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版本号：HRZB-2026-00720260430001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组团赴法国和荷兰开展经贸促进活动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HRZB-2026-007</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陕西海瑞项目管理有限公司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组团赴法国和荷兰开展经贸促进活动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组团赴法国和荷兰开展经贸促进活动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按照2026年招商引资工作方案安排，扩大高水平对内对外开放，进一步加强我省与欧洲国家的经贸合作，组成陕西经贸代表团赴德国和英国开展经贸促进交流活动。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采购包1（组团赴法国和荷兰开展经贸促进活动）：属于专门面向中小企业采购。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供应商须提供企业赋码后2024年度或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4、税收缴纳证明：提供2026年1月至今已缴纳的至少一个月的纳税证明或完税证明，依法免税的单位应提供相关证明材料；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5、社会保障资金缴纳证明：提供2026年1月至今已缴存的至少一个月的社会保障资金缴存单据或社保机构开具的社会保险参保缴费情况证明，依法不需要缴纳社会保障资金的单位应提供相关证明材料；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63913961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陕西省西安市高新区唐延路25号银河新坐标商务A座0906室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闫云芳 祝毅晗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13324579220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采购包1：214,600.00元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代理服务费收费标准：招标代理服务费定额收费，按定额5000.00元收取。 成交单位的代理服务费交纳信息 银行户名： 陕西海瑞项目管理有限公司 开户银行：中国农业银行股份有限公司西安曲江池南路支行 账号：26125101040008837 联系人：财务部 联系电话：13324579220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陕西海瑞项目管理有限公司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联系人：闫云芳 祝毅晗</w:t>
      </w:r>
    </w:p>
    <w:p>
      <w:pPr>
        <w:pStyle w:val="null3"/>
      </w:pPr>
      <w:r>
        <w:rPr>
          <w:rFonts w:ascii="仿宋_GB2312" w:hAnsi="仿宋_GB2312" w:cs="仿宋_GB2312" w:eastAsia="仿宋_GB2312"/>
        </w:rPr>
        <w:t>联系电话：13324579220</w:t>
      </w:r>
    </w:p>
    <w:p>
      <w:pPr>
        <w:pStyle w:val="null3"/>
      </w:pPr>
      <w:r>
        <w:rPr>
          <w:rFonts w:ascii="仿宋_GB2312" w:hAnsi="仿宋_GB2312" w:cs="仿宋_GB2312" w:eastAsia="仿宋_GB2312"/>
        </w:rPr>
        <w:t>地址：陕西省西安市高新区唐延路25号银河新坐标商务A座0906室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w:t>
      </w:r>
      <w:r>
        <w:rPr>
          <w:rFonts w:ascii="仿宋_GB2312" w:hAnsi="仿宋_GB2312" w:cs="仿宋_GB2312" w:eastAsia="仿宋_GB2312"/>
        </w:rPr>
        <w:t>2026年招商引资工作方案安排，扩大高水平对内对外开放，进一步加强我省与欧洲国家的</w:t>
      </w:r>
      <w:r>
        <w:rPr>
          <w:rFonts w:ascii="仿宋_GB2312" w:hAnsi="仿宋_GB2312" w:cs="仿宋_GB2312" w:eastAsia="仿宋_GB2312"/>
        </w:rPr>
        <w:t>经贸</w:t>
      </w:r>
      <w:r>
        <w:rPr>
          <w:rFonts w:ascii="仿宋_GB2312" w:hAnsi="仿宋_GB2312" w:cs="仿宋_GB2312" w:eastAsia="仿宋_GB2312"/>
        </w:rPr>
        <w:t>合作，组成陕西经贸代表团赴德国和英国开展经贸促进交流活动</w:t>
      </w: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214,600.00</w:t>
      </w:r>
    </w:p>
    <w:p>
      <w:pPr>
        <w:pStyle w:val="null3"/>
      </w:pPr>
      <w:r>
        <w:rPr>
          <w:rFonts w:ascii="仿宋_GB2312" w:hAnsi="仿宋_GB2312" w:cs="仿宋_GB2312" w:eastAsia="仿宋_GB2312"/>
        </w:rPr>
        <w:t>采购包最高限价（元）: 214,600.00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经贸促进活动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214,600.00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标的名称：经贸促进活动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一、采购内容：</w:t>
            </w:r>
          </w:p>
          <w:tbl>
            <w:tblPr>
              <w:tblInd w:type="dxa" w:w="105"/>
              <w:tblBorders>
                <w:top w:val="none" w:color="000000" w:sz="4"/>
                <w:left w:val="none" w:color="000000" w:sz="4"/>
                <w:bottom w:val="none" w:color="000000" w:sz="4"/>
                <w:right w:val="none" w:color="000000" w:sz="4"/>
                <w:insideH w:val="none"/>
                <w:insideV w:val="none"/>
              </w:tblBorders>
            </w:tblPr>
            <w:tblGrid>
              <w:gridCol w:w="216"/>
              <w:gridCol w:w="390"/>
              <w:gridCol w:w="550"/>
              <w:gridCol w:w="879"/>
              <w:gridCol w:w="517"/>
            </w:tblGrid>
            <w:tr>
              <w:tc>
                <w:tcPr>
                  <w:tcW w:type="dxa" w:w="2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序号</w:t>
                  </w:r>
                </w:p>
              </w:tc>
              <w:tc>
                <w:tcPr>
                  <w:tcW w:type="dxa" w:w="3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地点</w:t>
                  </w:r>
                </w:p>
              </w:tc>
              <w:tc>
                <w:tcPr>
                  <w:tcW w:type="dxa" w:w="5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举办日期</w:t>
                  </w:r>
                </w:p>
              </w:tc>
              <w:tc>
                <w:tcPr>
                  <w:tcW w:type="dxa" w:w="87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活动范围</w:t>
                  </w:r>
                </w:p>
              </w:tc>
              <w:tc>
                <w:tcPr>
                  <w:tcW w:type="dxa" w:w="51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采购预算</w:t>
                  </w:r>
                </w:p>
                <w:p>
                  <w:pPr>
                    <w:pStyle w:val="null3"/>
                    <w:jc w:val="center"/>
                  </w:pPr>
                  <w:r>
                    <w:rPr>
                      <w:rFonts w:ascii="仿宋_GB2312" w:hAnsi="仿宋_GB2312" w:cs="仿宋_GB2312" w:eastAsia="仿宋_GB2312"/>
                      <w:sz w:val="24"/>
                    </w:rPr>
                    <w:t>（万元）</w:t>
                  </w:r>
                </w:p>
              </w:tc>
            </w:tr>
            <w:tr>
              <w:tc>
                <w:tcPr>
                  <w:tcW w:type="dxa" w:w="2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1</w:t>
                  </w:r>
                </w:p>
              </w:tc>
              <w:tc>
                <w:tcPr>
                  <w:tcW w:type="dxa" w:w="3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法国</w:t>
                  </w:r>
                  <w:r>
                    <w:rPr>
                      <w:rFonts w:ascii="仿宋_GB2312" w:hAnsi="仿宋_GB2312" w:cs="仿宋_GB2312" w:eastAsia="仿宋_GB2312"/>
                      <w:sz w:val="24"/>
                    </w:rPr>
                    <w:t>、</w:t>
                  </w:r>
                  <w:r>
                    <w:rPr>
                      <w:rFonts w:ascii="仿宋_GB2312" w:hAnsi="仿宋_GB2312" w:cs="仿宋_GB2312" w:eastAsia="仿宋_GB2312"/>
                      <w:sz w:val="24"/>
                    </w:rPr>
                    <w:t>荷兰</w:t>
                  </w:r>
                </w:p>
              </w:tc>
              <w:tc>
                <w:tcPr>
                  <w:tcW w:type="dxa" w:w="5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2026年</w:t>
                  </w:r>
                  <w:r>
                    <w:rPr>
                      <w:rFonts w:ascii="仿宋_GB2312" w:hAnsi="仿宋_GB2312" w:cs="仿宋_GB2312" w:eastAsia="仿宋_GB2312"/>
                      <w:sz w:val="24"/>
                    </w:rPr>
                    <w:t>5</w:t>
                  </w:r>
                  <w:r>
                    <w:rPr>
                      <w:rFonts w:ascii="仿宋_GB2312" w:hAnsi="仿宋_GB2312" w:cs="仿宋_GB2312" w:eastAsia="仿宋_GB2312"/>
                      <w:sz w:val="24"/>
                    </w:rPr>
                    <w:t>月</w:t>
                  </w:r>
                </w:p>
              </w:tc>
              <w:tc>
                <w:tcPr>
                  <w:tcW w:type="dxa" w:w="87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陕西经贸代表团在</w:t>
                  </w:r>
                  <w:r>
                    <w:rPr>
                      <w:rFonts w:ascii="仿宋_GB2312" w:hAnsi="仿宋_GB2312" w:cs="仿宋_GB2312" w:eastAsia="仿宋_GB2312"/>
                      <w:sz w:val="24"/>
                    </w:rPr>
                    <w:t>法国、荷兰</w:t>
                  </w:r>
                  <w:r>
                    <w:rPr>
                      <w:rFonts w:ascii="仿宋_GB2312" w:hAnsi="仿宋_GB2312" w:cs="仿宋_GB2312" w:eastAsia="仿宋_GB2312"/>
                      <w:sz w:val="24"/>
                    </w:rPr>
                    <w:t>出访日程安排；在</w:t>
                  </w:r>
                  <w:r>
                    <w:rPr>
                      <w:rFonts w:ascii="仿宋_GB2312" w:hAnsi="仿宋_GB2312" w:cs="仿宋_GB2312" w:eastAsia="仿宋_GB2312"/>
                      <w:sz w:val="24"/>
                    </w:rPr>
                    <w:t>法国巴黎、荷兰阿姆斯特丹</w:t>
                  </w:r>
                  <w:r>
                    <w:rPr>
                      <w:rFonts w:ascii="仿宋_GB2312" w:hAnsi="仿宋_GB2312" w:cs="仿宋_GB2312" w:eastAsia="仿宋_GB2312"/>
                      <w:sz w:val="24"/>
                    </w:rPr>
                    <w:t>举办经贸促进交流活动</w:t>
                  </w:r>
                </w:p>
              </w:tc>
              <w:tc>
                <w:tcPr>
                  <w:tcW w:type="dxa" w:w="51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46万元</w:t>
                  </w:r>
                </w:p>
              </w:tc>
            </w:tr>
          </w:tbl>
          <w:p>
            <w:pPr>
              <w:pStyle w:val="null3"/>
            </w:pPr>
            <w:r>
              <w:rPr>
                <w:rFonts w:ascii="仿宋_GB2312" w:hAnsi="仿宋_GB2312" w:cs="仿宋_GB2312" w:eastAsia="仿宋_GB2312"/>
                <w:sz w:val="24"/>
              </w:rPr>
              <w:t>二、承办单位工作内容及要求</w:t>
            </w:r>
          </w:p>
          <w:p>
            <w:pPr>
              <w:pStyle w:val="null3"/>
            </w:pPr>
            <w:r>
              <w:rPr>
                <w:rFonts w:ascii="仿宋_GB2312" w:hAnsi="仿宋_GB2312" w:cs="仿宋_GB2312" w:eastAsia="仿宋_GB2312"/>
                <w:sz w:val="24"/>
              </w:rPr>
              <w:t>（一）工作要求：</w:t>
            </w:r>
          </w:p>
          <w:p>
            <w:pPr>
              <w:pStyle w:val="null3"/>
            </w:pPr>
            <w:r>
              <w:rPr>
                <w:rFonts w:ascii="仿宋_GB2312" w:hAnsi="仿宋_GB2312" w:cs="仿宋_GB2312" w:eastAsia="仿宋_GB2312"/>
                <w:sz w:val="24"/>
              </w:rPr>
              <w:t>1.完成会前培训、会期服务、会议总结和费用核销等全流程工作；</w:t>
            </w:r>
          </w:p>
          <w:p>
            <w:pPr>
              <w:pStyle w:val="null3"/>
            </w:pPr>
            <w:r>
              <w:rPr>
                <w:rFonts w:ascii="仿宋_GB2312" w:hAnsi="仿宋_GB2312" w:cs="仿宋_GB2312" w:eastAsia="仿宋_GB2312"/>
                <w:sz w:val="24"/>
              </w:rPr>
              <w:t>2.完成经贸活动组织、资源对接及会期服务、落地执行、费用核销等全流程工作。</w:t>
            </w:r>
          </w:p>
          <w:p>
            <w:pPr>
              <w:pStyle w:val="null3"/>
            </w:pPr>
            <w:r>
              <w:rPr>
                <w:rFonts w:ascii="仿宋_GB2312" w:hAnsi="仿宋_GB2312" w:cs="仿宋_GB2312" w:eastAsia="仿宋_GB2312"/>
                <w:sz w:val="24"/>
              </w:rPr>
              <w:t>（二）工作内容：</w:t>
            </w:r>
          </w:p>
          <w:p>
            <w:pPr>
              <w:pStyle w:val="null3"/>
            </w:pPr>
            <w:r>
              <w:rPr>
                <w:rFonts w:ascii="仿宋_GB2312" w:hAnsi="仿宋_GB2312" w:cs="仿宋_GB2312" w:eastAsia="仿宋_GB2312"/>
                <w:sz w:val="24"/>
              </w:rPr>
              <w:t>1、负责陕西经贸代表团有关商务礼仪、出境纪律等方面内容的会前培训，负责组织陕西经贸代表团按时参加会议，协助完成会期服务，承办单位必须不少于1人全程参与会议的组织；</w:t>
            </w:r>
          </w:p>
          <w:p>
            <w:pPr>
              <w:pStyle w:val="null3"/>
            </w:pPr>
            <w:r>
              <w:rPr>
                <w:rFonts w:ascii="仿宋_GB2312" w:hAnsi="仿宋_GB2312" w:cs="仿宋_GB2312" w:eastAsia="仿宋_GB2312"/>
                <w:sz w:val="24"/>
              </w:rPr>
              <w:t>2、负责与陕西经贸代表团保持沟通为会议活动遇到的问题（包括但不限于语言翻译、紧急情况的处置等）；</w:t>
            </w:r>
          </w:p>
          <w:p>
            <w:pPr>
              <w:pStyle w:val="null3"/>
            </w:pPr>
            <w:r>
              <w:rPr>
                <w:rFonts w:ascii="仿宋_GB2312" w:hAnsi="仿宋_GB2312" w:cs="仿宋_GB2312" w:eastAsia="仿宋_GB2312"/>
                <w:sz w:val="24"/>
              </w:rPr>
              <w:t>3、负责陕西经贸代表团在境外期间的安全工作；</w:t>
            </w:r>
          </w:p>
          <w:p>
            <w:pPr>
              <w:pStyle w:val="null3"/>
            </w:pPr>
            <w:r>
              <w:rPr>
                <w:rFonts w:ascii="仿宋_GB2312" w:hAnsi="仿宋_GB2312" w:cs="仿宋_GB2312" w:eastAsia="仿宋_GB2312"/>
                <w:sz w:val="24"/>
              </w:rPr>
              <w:t>4、负责在会议开始前按照省商务厅文件规定格式提交方案，会议费预算；</w:t>
            </w:r>
          </w:p>
          <w:p>
            <w:pPr>
              <w:pStyle w:val="null3"/>
            </w:pPr>
            <w:r>
              <w:rPr>
                <w:rFonts w:ascii="仿宋_GB2312" w:hAnsi="仿宋_GB2312" w:cs="仿宋_GB2312" w:eastAsia="仿宋_GB2312"/>
                <w:sz w:val="24"/>
              </w:rPr>
              <w:t>5、负责在结束后30日内，将会议执行情况、会议总结等上报省商务厅，并按照商务厅有关要求提交经费核销相关资料；</w:t>
            </w:r>
          </w:p>
          <w:p>
            <w:pPr>
              <w:pStyle w:val="null3"/>
            </w:pPr>
            <w:r>
              <w:rPr>
                <w:rFonts w:ascii="仿宋_GB2312" w:hAnsi="仿宋_GB2312" w:cs="仿宋_GB2312" w:eastAsia="仿宋_GB2312"/>
                <w:sz w:val="24"/>
              </w:rPr>
              <w:t>6、负责做好陕西经贸代表团组织开展经贸活动的配合工作，负责有关经贸活动的场地费用、设备租赁、邀请嘉宾等，包括团组出访资料制作，团组行程安排，拜访活动安排等领域的对接洽谈和座谈交流活动。负责协助在法国巴黎、荷兰阿姆斯特丹举办中国（陕西）—法国巴黎</w:t>
            </w:r>
            <w:r>
              <w:rPr>
                <w:rFonts w:ascii="仿宋_GB2312" w:hAnsi="仿宋_GB2312" w:cs="仿宋_GB2312" w:eastAsia="仿宋_GB2312"/>
                <w:sz w:val="24"/>
              </w:rPr>
              <w:t>（规模约</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人）</w:t>
            </w:r>
            <w:r>
              <w:rPr>
                <w:rFonts w:ascii="仿宋_GB2312" w:hAnsi="仿宋_GB2312" w:cs="仿宋_GB2312" w:eastAsia="仿宋_GB2312"/>
                <w:sz w:val="24"/>
              </w:rPr>
              <w:t>、荷兰阿姆斯特丹经贸合作恳谈会（规模约</w:t>
            </w:r>
            <w:r>
              <w:rPr>
                <w:rFonts w:ascii="仿宋_GB2312" w:hAnsi="仿宋_GB2312" w:cs="仿宋_GB2312" w:eastAsia="仿宋_GB2312"/>
                <w:sz w:val="24"/>
              </w:rPr>
              <w:t>80</w:t>
            </w:r>
            <w:r>
              <w:rPr>
                <w:rFonts w:ascii="仿宋_GB2312" w:hAnsi="仿宋_GB2312" w:cs="仿宋_GB2312" w:eastAsia="仿宋_GB2312"/>
                <w:sz w:val="24"/>
              </w:rPr>
              <w:t>人）。</w:t>
            </w:r>
          </w:p>
          <w:p>
            <w:pPr>
              <w:pStyle w:val="null3"/>
              <w:jc w:val="both"/>
            </w:pPr>
            <w:r>
              <w:rPr>
                <w:rFonts w:ascii="仿宋_GB2312" w:hAnsi="仿宋_GB2312" w:cs="仿宋_GB2312" w:eastAsia="仿宋_GB2312"/>
                <w:sz w:val="24"/>
              </w:rPr>
              <w:t>7、承接项目的单位需要积极配合、执行、协调各项约定的工作，及时与陕西经贸代表团进行反馈对接，做好各项保障工作。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合同签订之日起至活动结束后30日（需按采购人要求提供活动相关资料）。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承办单位负责在结束后30日内，将活动执行情况、活动总结等上报省商务厅，并按照商务厅有关要求提交经费核销相关资料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企业赋码后2024年度或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服务方案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响应文件封面 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服务内容及服务邀请应答表 服务方案 标的清单 报价表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供应商提供的针对本项目的分析理解，对项目理解和项目所在地区条件的认识，方案中包括但不限于：项目的必要性分析；发展思路及目标；任务和要求；对本项目重难点分析以及解决方案；①方案分析详细完整、科学合理、针对性强、可行性高，完全满足项目采购要求的，得15分；②方案内容较为详细完整、科学合理，针对性较强、可行性较高，满足项目采购要求的，得13分；③方案内容基本完整、合理，针对性、可行性一般，基本满足项目采购要求的，得10分；④方案不够详细完整，合理性、针对性、可行性较差，部分满足项目采购要求的，得5分；⑤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针对本项目提供服务实施方案，包括但不限于会前培训、会议策划；工作流程节点梳理、工作制度，会场布置、会场设备租赁和物料道具的布置；会议期间的运营维护、秩序维护、后勤保障及医疗救援等方案。会议现场的管理、组织及协调方案：①方案内容详细完整、科学合理、针对性强、可行性高，完全满足项目采购要求的，得15分；②方案内容较为详细完整、科学合理，针对性较强、可行性较高，满足项目采购要求的，得13分；③方案内容基本完整、合理，针对性、可行性一般，基本满足项目采购要求的，得10分；④方案不够详细完整，合理性、针对性、可行性较差，部分满足项目采购要求的，得5分；⑤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针对本项目提供会务邀请嘉宾及会议翻译服务方案，包括但不限于企业，国别机构，行业专家，新闻媒体等嘉宾的邀请;会议成果展示;成果推荐等方面;会议翻译等相关服务。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5分； ④方案不够详细完整，合理性、针对性、可行性较差，部分满足项目采购要求的，得3分；⑤未提供或其他不得分。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5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5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5分；②内容阐述完整但并未完全贴合项目需求理解情况、可实施性一般，得3分；③阐述内容有缺失影响、可实施性差，得1分。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供应商提供2023年1月1日至今类似项目业绩：每提供一项得2分，最多得8分（以合同复印件复印件为准，时间以合同签订时间为准，否则不得分）。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12分；②团队组织架构、人员构成及分工较为合理，岗位设置比较明确，责任制度较为严谨、规范，工作人员经验比较丰富，得8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根据本项目特点，提供针对本项目的后期服务方案。具体包括：后期服务承诺；会议后期宣传；全过程资料的收集、整理及移交。①方案内容详细完整、科学合理、针对性强、可行性高，完全满足项目采购要求的，得5分；②方案内容较为详细完整、科学合理，针对性较强、可行性较高，满足项目采购要求的，得3分；③方案内容基本完整、合理，针对性、可行性一般，基本满足项目采购要求的，得2分；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