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版本号：ZMZB2026YXY-5620260408001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2026年度执业（助理）医师、乡村全科执业助理医师资格理论考试在线培训课程资源采购项目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ZMZB2026YXY-56</w:t>
      </w:r>
      <w:r>
        <w:br/>
      </w:r>
      <w:r>
        <w:br/>
      </w:r>
      <w:r>
        <w:br/>
      </w:r>
    </w:p>
    <w:p>
      <w:pPr>
        <w:pStyle w:val="null3"/>
        <w:jc w:val="center"/>
        <w:outlineLvl w:val="2"/>
      </w:pPr>
      <w:r>
        <w:rPr>
          <w:rFonts w:ascii="仿宋_GB2312" w:hAnsi="仿宋_GB2312" w:cs="仿宋_GB2312" w:eastAsia="仿宋_GB2312"/>
          <w:sz w:val="28"/>
          <w:b/>
        </w:rPr>
        <w:t>西安医学院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w:t>
      </w:r>
      <w:r>
        <w:rPr>
          <w:rFonts w:ascii="仿宋_GB2312" w:hAnsi="仿宋_GB2312" w:cs="仿宋_GB2312" w:eastAsia="仿宋_GB2312"/>
        </w:rPr>
        <w:t>委托，拟对</w:t>
      </w:r>
      <w:r>
        <w:rPr>
          <w:rFonts w:ascii="仿宋_GB2312" w:hAnsi="仿宋_GB2312" w:cs="仿宋_GB2312" w:eastAsia="仿宋_GB2312"/>
        </w:rPr>
        <w:t>2026年度执业（助理）医师、乡村全科执业助理医师资格理论考试在线培训课程资源采购项目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ZMZB2026YXY-56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2026年度执业（助理）医师、乡村全科执业助理医师资格理论考试在线培训课程资源采购项目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2026年度执业（助理）医师、乡村全科执业助理医师资格理论考试在线培训课程资源采购项目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采购包1（2026年度执业（助理）医师、乡村全科执业助理医师资格理论考试在线培训课程资源采购项目）：属于专门面向中小企业采购。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p>
      <w:pPr>
        <w:pStyle w:val="null3"/>
      </w:pPr>
      <w:r>
        <w:rPr>
          <w:rFonts w:ascii="仿宋_GB2312" w:hAnsi="仿宋_GB2312" w:cs="仿宋_GB2312" w:eastAsia="仿宋_GB2312"/>
        </w:rPr>
        <w:t>3、税收缴纳证明：提供2025年1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西安市未央区辛王路1号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029-86177468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说明：1.中标人在签订合同前5个工作日内，向采购人缴纳合同总价5%的履约保证金；2.合同如期履约完成，采购人免息原缴费账户退还履约保证金全款。</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文件等法律法规规定的计价标准80%收取（含税），采购金额50万（不含）以下的项目不下浮 ，按照中标金额差额定率累进法计算，由中标/成交单位一次性支付给代理机构。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以合同文本描述的有关要求为准。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为积极响应国家关于加强乡村医生队伍建设的号召，贯彻落实《陕西省基层卫生人才队伍建设三年行动计划（2024-2026 年）》文件精神，提升乡村医生的专业技能和综合素质，让乡村医生通过系统培训，参加国家执业（助理）医师、乡村全科执业助理医师资格等考试，取得从医资格证，合法合规开展医疗服务。陕西省卫健委基层处委托我校组织开展陕西省2026年基层医生资格考试线上理论知识培训，根据该项目培训要求，结合我校实际情况，现申请对执业（助理）医师、乡村全科执业助理医师资格等考试线上理论培训课程资源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2026年度执业（助理）医师乡村全科执业助理医师资格理论考试在线培训课程资源</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标的名称：2026年度执业（助理）医师乡村全科执业助理医师资格理论考试在线培训课程资源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1.项目概况</w:t>
            </w:r>
          </w:p>
          <w:p>
            <w:pPr>
              <w:pStyle w:val="null3"/>
              <w:ind w:firstLine="420"/>
            </w:pPr>
            <w:r>
              <w:rPr>
                <w:rFonts w:ascii="仿宋_GB2312" w:hAnsi="仿宋_GB2312" w:cs="仿宋_GB2312" w:eastAsia="仿宋_GB2312"/>
              </w:rPr>
              <w:t>为积极响应国家关于加强乡村医生队伍建设的号召，贯彻落实《陕西省基层卫生人才队伍建设三年行动计划（2024-2026 年）》文件精神，提升乡村医生的专业技能和综合素质，让乡村医生通过系统培训，参加国家执业（助理）医师、乡村全科执业助理医师资格等考试，取得从医资格证，合法合规开展医疗服务。陕西省卫健委基层处委托我校组织开展陕西省2026年基层医生资格考试线上理论知识培训，根据该项目培训要求，结合我校实际情况，现申请对执业（助理）医师、乡村全科执业助理医师资格等考试线上理论培训课程资源进行采购。</w:t>
            </w:r>
          </w:p>
          <w:p>
            <w:pPr>
              <w:pStyle w:val="null3"/>
              <w:ind w:firstLine="420"/>
            </w:pPr>
            <w:r>
              <w:rPr>
                <w:rFonts w:ascii="仿宋_GB2312" w:hAnsi="仿宋_GB2312" w:cs="仿宋_GB2312" w:eastAsia="仿宋_GB2312"/>
                <w:b/>
              </w:rPr>
              <w:t>采购内容：</w:t>
            </w:r>
          </w:p>
          <w:p>
            <w:pPr>
              <w:pStyle w:val="null3"/>
              <w:ind w:firstLine="420"/>
            </w:pPr>
            <w:r>
              <w:rPr>
                <w:rFonts w:ascii="仿宋_GB2312" w:hAnsi="仿宋_GB2312" w:cs="仿宋_GB2312" w:eastAsia="仿宋_GB2312"/>
              </w:rPr>
              <w:t>满足不少于</w:t>
            </w:r>
            <w:r>
              <w:rPr>
                <w:rFonts w:ascii="仿宋_GB2312" w:hAnsi="仿宋_GB2312" w:cs="仿宋_GB2312" w:eastAsia="仿宋_GB2312"/>
              </w:rPr>
              <w:t>2000人</w:t>
            </w:r>
            <w:r>
              <w:rPr>
                <w:rFonts w:ascii="仿宋_GB2312" w:hAnsi="仿宋_GB2312" w:cs="仿宋_GB2312" w:eastAsia="仿宋_GB2312"/>
              </w:rPr>
              <w:t>在线培训理论课程学习、辅导、模拟考试学习平台；</w:t>
            </w:r>
          </w:p>
          <w:p>
            <w:pPr>
              <w:pStyle w:val="null3"/>
              <w:ind w:firstLine="420"/>
            </w:pPr>
            <w:r>
              <w:rPr>
                <w:rFonts w:ascii="仿宋_GB2312" w:hAnsi="仿宋_GB2312" w:cs="仿宋_GB2312" w:eastAsia="仿宋_GB2312"/>
              </w:rPr>
              <w:t>课程资源内容须符合执业（助理）医师、乡村全科执业助理医师资格等理论考试大纲，课程资源丰富，能帮助学员反复开展学习；</w:t>
            </w:r>
          </w:p>
          <w:p>
            <w:pPr>
              <w:pStyle w:val="null3"/>
              <w:ind w:firstLine="420"/>
            </w:pPr>
            <w:r>
              <w:rPr>
                <w:rFonts w:ascii="仿宋_GB2312" w:hAnsi="仿宋_GB2312" w:cs="仿宋_GB2312" w:eastAsia="仿宋_GB2312"/>
              </w:rPr>
              <w:t>有专家团队，辅导针对性强；有专业教学服务团队，提供系统化的培训学习效果评估，保证培训的质量；</w:t>
            </w:r>
          </w:p>
          <w:p>
            <w:pPr>
              <w:pStyle w:val="null3"/>
              <w:ind w:firstLine="420"/>
            </w:pPr>
            <w:r>
              <w:rPr>
                <w:rFonts w:ascii="仿宋_GB2312" w:hAnsi="仿宋_GB2312" w:cs="仿宋_GB2312" w:eastAsia="仿宋_GB2312"/>
              </w:rPr>
              <w:t>具有完善的售后服务体系，理论考试未通过提供</w:t>
            </w:r>
            <w:r>
              <w:rPr>
                <w:rFonts w:ascii="仿宋_GB2312" w:hAnsi="仿宋_GB2312" w:cs="仿宋_GB2312" w:eastAsia="仿宋_GB2312"/>
              </w:rPr>
              <w:t>1次免费重学机会；</w:t>
            </w:r>
          </w:p>
          <w:p>
            <w:pPr>
              <w:pStyle w:val="null3"/>
              <w:ind w:firstLine="420"/>
            </w:pPr>
            <w:r>
              <w:rPr>
                <w:rFonts w:ascii="仿宋_GB2312" w:hAnsi="仿宋_GB2312" w:cs="仿宋_GB2312" w:eastAsia="仿宋_GB2312"/>
              </w:rPr>
              <w:t>学习平台三级安全，可实现与我校的数字化平台有效衔接和后台数据分析。</w:t>
            </w:r>
          </w:p>
          <w:p>
            <w:pPr>
              <w:pStyle w:val="null3"/>
              <w:ind w:firstLine="420"/>
            </w:pPr>
            <w:r>
              <w:rPr>
                <w:rFonts w:ascii="仿宋_GB2312" w:hAnsi="仿宋_GB2312" w:cs="仿宋_GB2312" w:eastAsia="仿宋_GB2312"/>
                <w:b/>
              </w:rPr>
              <w:t>2.服务范围：</w:t>
            </w:r>
            <w:r>
              <w:rPr>
                <w:rFonts w:ascii="仿宋_GB2312" w:hAnsi="仿宋_GB2312" w:cs="仿宋_GB2312" w:eastAsia="仿宋_GB2312"/>
              </w:rPr>
              <w:t>提供国家乡村全科执业助理医师、执业助理医师、执业医师资格考试考前培训服务。</w:t>
            </w:r>
          </w:p>
          <w:p>
            <w:pPr>
              <w:pStyle w:val="null3"/>
              <w:ind w:firstLine="420"/>
            </w:pPr>
            <w:r>
              <w:rPr>
                <w:rFonts w:ascii="仿宋_GB2312" w:hAnsi="仿宋_GB2312" w:cs="仿宋_GB2312" w:eastAsia="仿宋_GB2312"/>
                <w:b/>
              </w:rPr>
              <w:t>3.服务要求：</w:t>
            </w:r>
          </w:p>
          <w:p>
            <w:pPr>
              <w:pStyle w:val="null3"/>
              <w:ind w:firstLine="420"/>
            </w:pPr>
            <w:r>
              <w:rPr>
                <w:rFonts w:ascii="仿宋_GB2312" w:hAnsi="仿宋_GB2312" w:cs="仿宋_GB2312" w:eastAsia="仿宋_GB2312"/>
              </w:rPr>
              <w:t>采取</w:t>
            </w:r>
            <w:r>
              <w:rPr>
                <w:rFonts w:ascii="仿宋_GB2312" w:hAnsi="仿宋_GB2312" w:cs="仿宋_GB2312" w:eastAsia="仿宋_GB2312"/>
              </w:rPr>
              <w:t>“线上自学+线下集中辅导”方式开展培训。线上自学利用云平台资源，依据国家医师资格考试大纲制定专题培训内容（包含基础精讲、重点学科串讲、考点精讲、阶段测评详解、考前冲刺等理论知识），通过“直播+网课”形式进行线上授课。学员须在规定时间内完成线上课程学习任务，确保学习进度和质量。</w:t>
            </w:r>
          </w:p>
          <w:p>
            <w:pPr>
              <w:pStyle w:val="null3"/>
              <w:ind w:firstLine="420"/>
            </w:pPr>
            <w:r>
              <w:rPr>
                <w:rFonts w:ascii="仿宋_GB2312" w:hAnsi="仿宋_GB2312" w:cs="仿宋_GB2312" w:eastAsia="仿宋_GB2312"/>
              </w:rPr>
              <w:t>（</w:t>
            </w:r>
            <w:r>
              <w:rPr>
                <w:rFonts w:ascii="仿宋_GB2312" w:hAnsi="仿宋_GB2312" w:cs="仿宋_GB2312" w:eastAsia="仿宋_GB2312"/>
              </w:rPr>
              <w:t>1）服务内容：提供执业（助理）医师、乡村全科执业助理医师资格技能培训和理论培训，以及配套的模拟考试、督学督管、效果评估等服务。</w:t>
            </w:r>
          </w:p>
          <w:p>
            <w:pPr>
              <w:pStyle w:val="null3"/>
              <w:ind w:firstLine="420"/>
            </w:pPr>
            <w:r>
              <w:rPr>
                <w:rFonts w:ascii="仿宋_GB2312" w:hAnsi="仿宋_GB2312" w:cs="仿宋_GB2312" w:eastAsia="仿宋_GB2312"/>
              </w:rPr>
              <w:t>（</w:t>
            </w:r>
            <w:r>
              <w:rPr>
                <w:rFonts w:ascii="仿宋_GB2312" w:hAnsi="仿宋_GB2312" w:cs="仿宋_GB2312" w:eastAsia="仿宋_GB2312"/>
              </w:rPr>
              <w:t>2）服务标准：课程资源内容须符合执业（助理）医师、乡村全科执业助理医师资格理论考试大纲，有专业的学习平台，考试培训不低于4次的专家远程辅导、每月不低于两次的培训督学反馈，考前提供不少于7天的理论面授集训，当年参加培训学员理论成绩不合格者第二年给重新免费补学一次，学习平台可以统计精确的培训数据，就本项目有高质量的培训报告。</w:t>
            </w:r>
          </w:p>
          <w:p>
            <w:pPr>
              <w:pStyle w:val="null3"/>
              <w:ind w:firstLine="420"/>
            </w:pPr>
            <w:r>
              <w:rPr>
                <w:rFonts w:ascii="仿宋_GB2312" w:hAnsi="仿宋_GB2312" w:cs="仿宋_GB2312" w:eastAsia="仿宋_GB2312"/>
              </w:rPr>
              <w:t>（</w:t>
            </w:r>
            <w:r>
              <w:rPr>
                <w:rFonts w:ascii="仿宋_GB2312" w:hAnsi="仿宋_GB2312" w:cs="仿宋_GB2312" w:eastAsia="仿宋_GB2312"/>
              </w:rPr>
              <w:t>3）服务人员数量及组成：2000人左右全省乡村医生</w:t>
            </w:r>
          </w:p>
          <w:p>
            <w:pPr>
              <w:pStyle w:val="null3"/>
              <w:ind w:firstLine="420"/>
            </w:pPr>
            <w:r>
              <w:rPr>
                <w:rFonts w:ascii="仿宋_GB2312" w:hAnsi="仿宋_GB2312" w:cs="仿宋_GB2312" w:eastAsia="仿宋_GB2312"/>
              </w:rPr>
              <w:t>（</w:t>
            </w:r>
            <w:r>
              <w:rPr>
                <w:rFonts w:ascii="仿宋_GB2312" w:hAnsi="仿宋_GB2312" w:cs="仿宋_GB2312" w:eastAsia="仿宋_GB2312"/>
              </w:rPr>
              <w:t>4）其他要求：培训课程资源中授课教师为行业专家，有20人以上的督学服务团队，课程资源可在电脑端、移动端观看。</w:t>
            </w:r>
          </w:p>
          <w:p>
            <w:pPr>
              <w:pStyle w:val="null3"/>
            </w:pPr>
            <w:r>
              <w:rPr>
                <w:rFonts w:ascii="仿宋_GB2312" w:hAnsi="仿宋_GB2312" w:cs="仿宋_GB2312" w:eastAsia="仿宋_GB2312"/>
              </w:rPr>
              <w:t xml:space="preserve">     </w:t>
            </w:r>
            <w:r>
              <w:rPr>
                <w:rFonts w:ascii="仿宋_GB2312" w:hAnsi="仿宋_GB2312" w:cs="仿宋_GB2312" w:eastAsia="仿宋_GB2312"/>
              </w:rPr>
              <w:t xml:space="preserve">  （5）参加培训的学员，通过系统的学习，在2026年国家临床执业医师、临床执业助理医师、中医执业医师、中医执业助理医师、</w:t>
            </w:r>
            <w:r>
              <w:rPr>
                <w:rFonts w:ascii="仿宋_GB2312" w:hAnsi="仿宋_GB2312" w:cs="仿宋_GB2312" w:eastAsia="仿宋_GB2312"/>
              </w:rPr>
              <w:t>乡村全科执业助理医师资格等理论考试综合通过率原则上不低于85%，有专业教学服务团队，有系统的培训学员的学习效果评价，保证培训的质量。（通过率以实际通过理论考试人数除以实际参加理论考试且完成全程线上课程总时长的80%总人数计算）重点说明：参加考试的学生，督学三番五次不学习，不按照教学计划进行学习的学生不予计算。</w:t>
            </w:r>
          </w:p>
          <w:p>
            <w:pPr>
              <w:pStyle w:val="null3"/>
              <w:jc w:val="both"/>
            </w:pPr>
            <w:r>
              <w:rPr>
                <w:rFonts w:ascii="仿宋_GB2312" w:hAnsi="仿宋_GB2312" w:cs="仿宋_GB2312" w:eastAsia="仿宋_GB2312"/>
                <w:b/>
              </w:rPr>
              <w:t>4.技术参数</w:t>
            </w:r>
          </w:p>
          <w:p>
            <w:pPr>
              <w:pStyle w:val="null3"/>
              <w:jc w:val="both"/>
            </w:pPr>
            <w:r>
              <w:rPr>
                <w:rFonts w:ascii="仿宋_GB2312" w:hAnsi="仿宋_GB2312" w:cs="仿宋_GB2312" w:eastAsia="仿宋_GB2312"/>
                <w:b/>
              </w:rPr>
              <w:t>一、系统功能</w:t>
            </w:r>
          </w:p>
          <w:p>
            <w:pPr>
              <w:pStyle w:val="null3"/>
              <w:ind w:firstLine="420"/>
            </w:pPr>
            <w:r>
              <w:rPr>
                <w:rFonts w:ascii="仿宋_GB2312" w:hAnsi="仿宋_GB2312" w:cs="仿宋_GB2312" w:eastAsia="仿宋_GB2312"/>
              </w:rPr>
              <w:t>部署专属在线学习平台，学员可通过平台查看直播课或者课程回放，并支持在线题库习题练习，全面适配移动端（</w:t>
            </w:r>
            <w:r>
              <w:rPr>
                <w:rFonts w:ascii="仿宋_GB2312" w:hAnsi="仿宋_GB2312" w:cs="仿宋_GB2312" w:eastAsia="仿宋_GB2312"/>
              </w:rPr>
              <w:t>APP/小程序）和电脑端，支持在手机、平板、电脑等设备上使用。</w:t>
            </w:r>
          </w:p>
          <w:p>
            <w:pPr>
              <w:pStyle w:val="null3"/>
              <w:ind w:firstLine="420"/>
            </w:pPr>
            <w:r>
              <w:rPr>
                <w:rFonts w:ascii="仿宋_GB2312" w:hAnsi="仿宋_GB2312" w:cs="仿宋_GB2312" w:eastAsia="仿宋_GB2312"/>
              </w:rPr>
              <w:t>1.支持管理员、教师、学员等多角色账号创建和密码重置，满足不同用户群体的管理需求。</w:t>
            </w:r>
          </w:p>
          <w:p>
            <w:pPr>
              <w:pStyle w:val="null3"/>
              <w:ind w:firstLine="420"/>
            </w:pPr>
            <w:r>
              <w:rPr>
                <w:rFonts w:ascii="仿宋_GB2312" w:hAnsi="仿宋_GB2312" w:cs="仿宋_GB2312" w:eastAsia="仿宋_GB2312"/>
              </w:rPr>
              <w:t>2.支持基于角色分配不同数据查看和操作权限，确保权责清晰，保障系统安全性和数据保密性。</w:t>
            </w:r>
          </w:p>
          <w:p>
            <w:pPr>
              <w:pStyle w:val="null3"/>
              <w:ind w:firstLine="420"/>
            </w:pPr>
            <w:r>
              <w:rPr>
                <w:rFonts w:ascii="仿宋_GB2312" w:hAnsi="仿宋_GB2312" w:cs="仿宋_GB2312" w:eastAsia="仿宋_GB2312"/>
              </w:rPr>
              <w:t>3.提供丰富的题库资源，覆盖执业（助理）医师、乡村全科执业助理医师相应科目,试题量充分满足考前练习需要。</w:t>
            </w:r>
          </w:p>
          <w:p>
            <w:pPr>
              <w:pStyle w:val="null3"/>
              <w:ind w:firstLine="420"/>
            </w:pPr>
            <w:r>
              <w:rPr>
                <w:rFonts w:ascii="仿宋_GB2312" w:hAnsi="仿宋_GB2312" w:cs="仿宋_GB2312" w:eastAsia="仿宋_GB2312"/>
              </w:rPr>
              <w:t>4.支持智能组卷，支持试卷分类、编辑、删除，通过试题篮可智能添加和手动添加试题，还能预览抽题信息并添加至对应试卷。可根据教学安排组织阶段性测评和模拟考试。</w:t>
            </w:r>
          </w:p>
          <w:p>
            <w:pPr>
              <w:pStyle w:val="null3"/>
              <w:ind w:firstLine="420"/>
            </w:pPr>
            <w:r>
              <w:rPr>
                <w:rFonts w:ascii="仿宋_GB2312" w:hAnsi="仿宋_GB2312" w:cs="仿宋_GB2312" w:eastAsia="仿宋_GB2312"/>
              </w:rPr>
              <w:t>5.支持考试管理，可进行新增考试、编辑考试、复制考试、考试查询、查看考试详情、查看考生列表、成绩查询、删除考试等操作。支持自主发布考试，以及多种考试设置和防作弊功能。</w:t>
            </w:r>
          </w:p>
          <w:p>
            <w:pPr>
              <w:pStyle w:val="null3"/>
              <w:ind w:firstLine="420"/>
            </w:pPr>
            <w:r>
              <w:rPr>
                <w:rFonts w:ascii="仿宋_GB2312" w:hAnsi="仿宋_GB2312" w:cs="仿宋_GB2312" w:eastAsia="仿宋_GB2312"/>
              </w:rPr>
              <w:t>6.提供学习统计功能，能够直观展示学员的看课情况和做题情况，支持导出看课记录和做题记录，帮助管理员了解学员学习情况。</w:t>
            </w:r>
          </w:p>
          <w:p>
            <w:pPr>
              <w:pStyle w:val="null3"/>
              <w:ind w:firstLine="420"/>
            </w:pPr>
            <w:r>
              <w:rPr>
                <w:rFonts w:ascii="仿宋_GB2312" w:hAnsi="仿宋_GB2312" w:cs="仿宋_GB2312" w:eastAsia="仿宋_GB2312"/>
              </w:rPr>
              <w:t>7.支持学员通过PC端和移动端多入口访问，提供账号密码、短信验证码、微信扫码等多种登录方式，不限制登录时间与次数，方便学员随时开启学习。</w:t>
            </w:r>
          </w:p>
          <w:p>
            <w:pPr>
              <w:pStyle w:val="null3"/>
              <w:ind w:firstLine="420"/>
            </w:pPr>
            <w:r>
              <w:rPr>
                <w:rFonts w:ascii="仿宋_GB2312" w:hAnsi="仿宋_GB2312" w:cs="仿宋_GB2312" w:eastAsia="仿宋_GB2312"/>
              </w:rPr>
              <w:t>8.支持直播学习过程中发送实时消息，学员可以与老师进行答题互动。</w:t>
            </w:r>
          </w:p>
          <w:p>
            <w:pPr>
              <w:pStyle w:val="null3"/>
              <w:ind w:firstLine="420"/>
            </w:pPr>
            <w:r>
              <w:rPr>
                <w:rFonts w:ascii="仿宋_GB2312" w:hAnsi="仿宋_GB2312" w:cs="仿宋_GB2312" w:eastAsia="仿宋_GB2312"/>
              </w:rPr>
              <w:t>9.提供丰富的试题资源，题型包括A1型题、A2型题、A3/A4型题、B型题，题目均配有答案解析。</w:t>
            </w:r>
          </w:p>
          <w:p>
            <w:pPr>
              <w:pStyle w:val="null3"/>
              <w:ind w:firstLine="420"/>
            </w:pPr>
            <w:r>
              <w:rPr>
                <w:rFonts w:ascii="仿宋_GB2312" w:hAnsi="仿宋_GB2312" w:cs="仿宋_GB2312" w:eastAsia="仿宋_GB2312"/>
              </w:rPr>
              <w:t>10.具备章节练习功能，支持按学科章节组织试题，学员可自主进行章节习题练习。</w:t>
            </w:r>
          </w:p>
          <w:p>
            <w:pPr>
              <w:pStyle w:val="null3"/>
              <w:ind w:firstLine="420"/>
            </w:pPr>
            <w:r>
              <w:rPr>
                <w:rFonts w:ascii="仿宋_GB2312" w:hAnsi="仿宋_GB2312" w:cs="仿宋_GB2312" w:eastAsia="仿宋_GB2312"/>
              </w:rPr>
              <w:t>11.支持错题收藏，可集中展示学员学习过程中答错的题目和错题重复的练习，学员可进行错题重练，强化知识点。</w:t>
            </w:r>
          </w:p>
          <w:p>
            <w:pPr>
              <w:pStyle w:val="null3"/>
              <w:ind w:firstLine="420"/>
            </w:pPr>
            <w:r>
              <w:rPr>
                <w:rFonts w:ascii="仿宋_GB2312" w:hAnsi="仿宋_GB2312" w:cs="仿宋_GB2312" w:eastAsia="仿宋_GB2312"/>
              </w:rPr>
              <w:t>12.具备知识图谱功能，以思维导图的形式直观展示知识点之间的逻辑关系，帮助学员构建清晰的学习框架。</w:t>
            </w:r>
          </w:p>
          <w:p>
            <w:pPr>
              <w:pStyle w:val="null3"/>
              <w:ind w:firstLine="420"/>
            </w:pPr>
            <w:r>
              <w:rPr>
                <w:rFonts w:ascii="仿宋_GB2312" w:hAnsi="仿宋_GB2312" w:cs="仿宋_GB2312" w:eastAsia="仿宋_GB2312"/>
              </w:rPr>
              <w:t>13.支持模拟考试，能够全面模拟真实考试流程，支持考前提示、答题卡和交卷提示等内容。学员可通过PC端和移动端进行考试答题。管理员进行监考台进行考试监管，了解学员的答题进度、得分情况。</w:t>
            </w:r>
          </w:p>
          <w:p>
            <w:pPr>
              <w:pStyle w:val="null3"/>
              <w:ind w:firstLine="400"/>
              <w:jc w:val="both"/>
            </w:pPr>
            <w:r>
              <w:rPr>
                <w:rFonts w:ascii="仿宋_GB2312" w:hAnsi="仿宋_GB2312" w:cs="仿宋_GB2312" w:eastAsia="仿宋_GB2312"/>
              </w:rPr>
              <w:t>14.支持考情统计，管理员可以查看某一学员或某一班级的考试情况数据，支持导出学员个人考试成绩分析报告和班级整体考试分析报告，了解学员的学习情况及薄弱点。</w:t>
            </w:r>
          </w:p>
          <w:p>
            <w:pPr>
              <w:pStyle w:val="null3"/>
              <w:ind w:firstLine="402"/>
              <w:jc w:val="both"/>
            </w:pPr>
            <w:r>
              <w:rPr>
                <w:rFonts w:ascii="仿宋_GB2312" w:hAnsi="仿宋_GB2312" w:cs="仿宋_GB2312" w:eastAsia="仿宋_GB2312"/>
                <w:b/>
              </w:rPr>
              <w:t>二、学习内容</w:t>
            </w:r>
          </w:p>
          <w:p>
            <w:pPr>
              <w:pStyle w:val="null3"/>
              <w:ind w:firstLine="400"/>
              <w:jc w:val="both"/>
            </w:pPr>
            <w:r>
              <w:rPr>
                <w:rFonts w:ascii="仿宋_GB2312" w:hAnsi="仿宋_GB2312" w:cs="仿宋_GB2312" w:eastAsia="仿宋_GB2312"/>
              </w:rPr>
              <w:t>1.依据2026年执业医师资格考试大纲进行培训课程设计，提供执业（助理）医师、乡村全科执业助理医师资格理论考试在线培训课程资源，包含如下内容：</w:t>
            </w:r>
          </w:p>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课程类型</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执业（助理）医师、乡村全科执业助理医师基础精讲课程</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执业（助理）医师、乡村全科执业助理医师重点学科串讲课程</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执业（助理）医师、乡村全科执业助理医师考点精讲课程</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执业（助理）医师、乡村全科执业助理医师阶段测评详解课程</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执业（助理）医师、乡村全科执业助理医师考前冲刺课程</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执业（助理）医师、乡村全科执业助理医师实践技能课程</w:t>
                  </w:r>
                </w:p>
              </w:tc>
            </w:tr>
          </w:tbl>
          <w:p>
            <w:pPr>
              <w:pStyle w:val="null3"/>
              <w:ind w:firstLine="402"/>
              <w:jc w:val="both"/>
            </w:pPr>
            <w:r>
              <w:rPr>
                <w:rFonts w:ascii="仿宋_GB2312" w:hAnsi="仿宋_GB2312" w:cs="仿宋_GB2312" w:eastAsia="仿宋_GB2312"/>
                <w:b/>
              </w:rPr>
              <w:t>说明：需包含临床执业（助理）医师、中医执业（助理）医师、中西医执业（助理）医师、乡村全科执业助理医师资格考试在线培训课程资源，并且需要根据考试大纲和考题变化进行定期更新试题资源。</w:t>
            </w:r>
          </w:p>
          <w:p>
            <w:pPr>
              <w:pStyle w:val="null3"/>
              <w:ind w:firstLine="402"/>
            </w:pPr>
            <w:r>
              <w:rPr>
                <w:rFonts w:ascii="仿宋_GB2312" w:hAnsi="仿宋_GB2312" w:cs="仿宋_GB2312" w:eastAsia="仿宋_GB2312"/>
                <w:b/>
              </w:rPr>
              <w:t>2.试题资源质量：</w:t>
            </w:r>
            <w:r>
              <w:rPr>
                <w:rFonts w:ascii="仿宋_GB2312" w:hAnsi="仿宋_GB2312" w:cs="仿宋_GB2312" w:eastAsia="仿宋_GB2312"/>
              </w:rPr>
              <w:t>从试卷类型、试题类型、试题难度各方面，全方位与国家医学考试中心和卫健委人才交流服务中心主持的国家医师资格考试对接，并按照日常教学的要求，按学科对试题资源重新分类。</w:t>
            </w:r>
          </w:p>
          <w:p>
            <w:pPr>
              <w:pStyle w:val="null3"/>
              <w:jc w:val="both"/>
            </w:pPr>
            <w:r>
              <w:rPr>
                <w:rFonts w:ascii="仿宋_GB2312" w:hAnsi="仿宋_GB2312" w:cs="仿宋_GB2312" w:eastAsia="仿宋_GB2312"/>
                <w:b/>
                <w:shd w:fill="FFFFFF" w:val="clear"/>
              </w:rPr>
              <w:t>三、功能清单</w:t>
            </w:r>
          </w:p>
          <w:tbl>
            <w:tblPr>
              <w:tblInd w:type="dxa" w:w="210"/>
              <w:tblBorders>
                <w:top w:val="none" w:color="000000" w:sz="4"/>
                <w:left w:val="none" w:color="000000" w:sz="4"/>
                <w:bottom w:val="none" w:color="000000" w:sz="4"/>
                <w:right w:val="none" w:color="000000" w:sz="4"/>
                <w:insideH w:val="none"/>
                <w:insideV w:val="none"/>
              </w:tblBorders>
            </w:tblPr>
            <w:tblGrid>
              <w:gridCol w:w="291"/>
              <w:gridCol w:w="227"/>
              <w:gridCol w:w="615"/>
              <w:gridCol w:w="246"/>
              <w:gridCol w:w="1162"/>
            </w:tblGrid>
            <w:tr>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项目</w:t>
                  </w:r>
                </w:p>
              </w:tc>
              <w:tc>
                <w:tcPr>
                  <w:tcW w:type="dxa" w:w="84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内容</w:t>
                  </w:r>
                </w:p>
              </w:tc>
              <w:tc>
                <w:tcPr>
                  <w:tcW w:type="dxa" w:w="2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产品</w:t>
                  </w: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要求</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形式</w:t>
                  </w: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产品形式</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网络</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手机端及电脑端学习</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资源</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辅导课程</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基础精讲课程</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涵盖全科目核心考点知识，全程采用直播形式授课</w:t>
                  </w: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重点学科串讲课程</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考点精讲课程</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聚焦高频考点和重难点、易错点及命题规律，直击考试核心</w:t>
                  </w: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阶段测评详解课程</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考前冲刺课程</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以题带点，通过典型例题深入剖析核心考点</w:t>
                  </w: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实践技能课程</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包含三站式考试内容的详细讲解</w:t>
                  </w:r>
                </w:p>
              </w:tc>
            </w:tr>
            <w:tr>
              <w:tc>
                <w:tcPr>
                  <w:tcW w:type="dxa" w:w="291"/>
                  <w:vMerge/>
                  <w:tcBorders>
                    <w:top w:val="none" w:color="000000" w:sz="4"/>
                    <w:left w:val="single" w:color="000000" w:sz="4"/>
                    <w:bottom w:val="single" w:color="000000" w:sz="4"/>
                    <w:right w:val="single" w:color="000000" w:sz="4"/>
                  </w:tcBorders>
                </w:tcP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试卷</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课后练习</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每课件配套</w:t>
                  </w:r>
                  <w:r>
                    <w:rPr>
                      <w:rFonts w:ascii="仿宋_GB2312" w:hAnsi="仿宋_GB2312" w:cs="仿宋_GB2312" w:eastAsia="仿宋_GB2312"/>
                      <w:sz w:val="20"/>
                      <w:color w:val="000000"/>
                    </w:rPr>
                    <w:t>1场同步练习</w:t>
                  </w: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同步练习</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每课件配套</w:t>
                  </w:r>
                  <w:r>
                    <w:rPr>
                      <w:rFonts w:ascii="仿宋_GB2312" w:hAnsi="仿宋_GB2312" w:cs="仿宋_GB2312" w:eastAsia="仿宋_GB2312"/>
                      <w:sz w:val="20"/>
                      <w:color w:val="000000"/>
                    </w:rPr>
                    <w:t>1场同步练习</w:t>
                  </w: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模拟考试</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统一组织模拟考试</w:t>
                  </w: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color w:val="000000"/>
                    </w:rPr>
                    <w:t>管理</w:t>
                  </w:r>
                </w:p>
                <w:p>
                  <w:pPr>
                    <w:pStyle w:val="null3"/>
                    <w:jc w:val="both"/>
                  </w:pPr>
                  <w:r>
                    <w:rPr>
                      <w:rFonts w:ascii="仿宋_GB2312" w:hAnsi="仿宋_GB2312" w:cs="仿宋_GB2312" w:eastAsia="仿宋_GB2312"/>
                      <w:sz w:val="20"/>
                      <w:b/>
                      <w:color w:val="000000"/>
                    </w:rPr>
                    <w:t>平台</w:t>
                  </w: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教务管理</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人员管理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为教学管理人员（含班主任）提供后台管理模块的权限</w:t>
                  </w: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角色管理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权限管理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学员管理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班级管理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专业管理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题库管理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智能组卷</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考务管理</w:t>
                  </w: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套题管理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考试管理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考试成绩分析</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vMerge/>
                  <w:tcBorders>
                    <w:top w:val="none" w:color="000000" w:sz="4"/>
                    <w:left w:val="single" w:color="000000" w:sz="4"/>
                    <w:bottom w:val="single" w:color="000000" w:sz="4"/>
                    <w:right w:val="single" w:color="000000" w:sz="4"/>
                  </w:tcBorders>
                </w:tcPr>
                <w:p/>
              </w:tc>
            </w:tr>
            <w:tr>
              <w:tc>
                <w:tcPr>
                  <w:tcW w:type="dxa" w:w="291"/>
                  <w:vMerge/>
                  <w:tcBorders>
                    <w:top w:val="none" w:color="000000" w:sz="4"/>
                    <w:left w:val="single" w:color="000000" w:sz="4"/>
                    <w:bottom w:val="single" w:color="000000" w:sz="4"/>
                    <w:right w:val="single" w:color="000000" w:sz="4"/>
                  </w:tcBorders>
                </w:tcPr>
                <w:p/>
              </w:tc>
              <w:tc>
                <w:tcPr>
                  <w:tcW w:type="dxa" w:w="227"/>
                  <w:vMerge/>
                  <w:tcBorders>
                    <w:top w:val="none" w:color="000000" w:sz="4"/>
                    <w:left w:val="single" w:color="000000" w:sz="4"/>
                    <w:bottom w:val="single" w:color="000000" w:sz="4"/>
                    <w:right w:val="single" w:color="000000" w:sz="4"/>
                  </w:tcBorders>
                </w:tcPr>
                <w:p/>
              </w:tc>
              <w:tc>
                <w:tcPr>
                  <w:tcW w:type="dxa" w:w="6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监考台</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vMerge/>
                  <w:tcBorders>
                    <w:top w:val="none" w:color="000000" w:sz="4"/>
                    <w:left w:val="single" w:color="000000" w:sz="4"/>
                    <w:bottom w:val="single" w:color="000000" w:sz="4"/>
                    <w:right w:val="single" w:color="000000" w:sz="4"/>
                  </w:tcBorders>
                </w:tcPr>
                <w:p/>
              </w:tc>
            </w:tr>
            <w:tr>
              <w:tc>
                <w:tcPr>
                  <w:tcW w:type="dxa" w:w="29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学生</w:t>
                  </w:r>
                </w:p>
                <w:p>
                  <w:pPr>
                    <w:pStyle w:val="null3"/>
                    <w:jc w:val="center"/>
                  </w:pPr>
                  <w:r>
                    <w:rPr>
                      <w:rFonts w:ascii="仿宋_GB2312" w:hAnsi="仿宋_GB2312" w:cs="仿宋_GB2312" w:eastAsia="仿宋_GB2312"/>
                      <w:sz w:val="20"/>
                      <w:b/>
                      <w:color w:val="000000"/>
                    </w:rPr>
                    <w:t>服务</w:t>
                  </w: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信息管理</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学习统计</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支持学习时长的展示及打卡统计</w:t>
                  </w: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在线看课</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直播互动</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学员可关注直播日历，支持直播课过程中与老师互动</w:t>
                  </w: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章节练习</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组题练习</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试题收藏</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错题集锦</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模拟考试</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答题统计</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能直观展示未答题数，并支持试题标疑，便于检查</w:t>
                  </w: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考试分析</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历年真题</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1"/>
                  <w:vMerge/>
                  <w:tcBorders>
                    <w:top w:val="none" w:color="000000" w:sz="4"/>
                    <w:left w:val="single" w:color="000000" w:sz="4"/>
                    <w:bottom w:val="single" w:color="000000" w:sz="4"/>
                    <w:right w:val="single" w:color="000000" w:sz="4"/>
                  </w:tcBorders>
                </w:tcPr>
                <w:p/>
              </w:tc>
              <w:tc>
                <w:tcPr>
                  <w:tcW w:type="dxa" w:w="8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思维导图</w:t>
                  </w:r>
                </w:p>
              </w:tc>
              <w:tc>
                <w:tcPr>
                  <w:tcW w:type="dxa" w:w="2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color w:val="000000"/>
                    </w:rPr>
                    <w:t>●</w:t>
                  </w:r>
                </w:p>
              </w:tc>
              <w:tc>
                <w:tcPr>
                  <w:tcW w:type="dxa" w:w="1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jc w:val="center"/>
            </w:pPr>
            <w:r>
              <w:rPr>
                <w:rFonts w:ascii="仿宋_GB2312" w:hAnsi="仿宋_GB2312" w:cs="仿宋_GB2312" w:eastAsia="仿宋_GB2312"/>
                <w:sz w:val="20"/>
                <w:b/>
              </w:rPr>
              <w:t>年度服务质量考核评价标准</w:t>
            </w:r>
            <w:r>
              <w:rPr>
                <w:rFonts w:ascii="仿宋_GB2312" w:hAnsi="仿宋_GB2312" w:cs="仿宋_GB2312" w:eastAsia="仿宋_GB2312"/>
                <w:sz w:val="20"/>
                <w:b/>
              </w:rPr>
              <w:t>（</w:t>
            </w:r>
            <w:r>
              <w:rPr>
                <w:rFonts w:ascii="仿宋_GB2312" w:hAnsi="仿宋_GB2312" w:cs="仿宋_GB2312" w:eastAsia="仿宋_GB2312"/>
                <w:sz w:val="20"/>
                <w:b/>
              </w:rPr>
              <w:t>具体内容详见附件</w:t>
            </w:r>
            <w:r>
              <w:rPr>
                <w:rFonts w:ascii="仿宋_GB2312" w:hAnsi="仿宋_GB2312" w:cs="仿宋_GB2312" w:eastAsia="仿宋_GB2312"/>
                <w:sz w:val="20"/>
                <w:b/>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年，合同每年一签，当年度服务期满前，供应商应至少提前7个工作日向采购人提出书面申请，采购人根据对供应商的满意度测评结果综合考量，决定是否续签合同。若双方协商一致，在采购人履行相应报批手续后，续签下一年度合同，合同一年一签，每次合同履行期限不超过1年，最多可续签2次。</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西安医学院高新校区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验收以合同文本描述的有关技术要求为准。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12</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完成课程资源服务内容并经采购人验收合格</w:t>
      </w:r>
      <w:r>
        <w:rPr>
          <w:rFonts w:ascii="仿宋_GB2312" w:hAnsi="仿宋_GB2312" w:cs="仿宋_GB2312" w:eastAsia="仿宋_GB2312"/>
        </w:rPr>
        <w:t xml:space="preserve"> ，达到付款条件起 </w:t>
      </w:r>
      <w:r>
        <w:rPr>
          <w:rFonts w:ascii="仿宋_GB2312" w:hAnsi="仿宋_GB2312" w:cs="仿宋_GB2312" w:eastAsia="仿宋_GB2312"/>
        </w:rPr>
        <w:t>12</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以合同文本描述的有关要求为准。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注：财务状况中供应商提供的财务审计报告必须上传注册会计师统一监管平台并申请赋码，否则做无效投标处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2.落实《关于推动解决政府采购异常低价问题的通知》财库〔2026〕2号 相关要求。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响应报价未超过采购预算或者最高限价(合格)，响应报价超过采购预算或者最高限价(不合格)</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服务期限满足竞争性磋商文件要求(合格)，服务期限不满足竞争性磋商文件要求(不合格)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响应文件的签署、盖章符合竞争性磋商文件要求(合格)，响应文件的签署、盖章不符合竞争性磋商文件要求 (不合格)</w:t>
            </w:r>
          </w:p>
        </w:tc>
        <w:tc>
          <w:tcPr>
            <w:tcW w:type="dxa" w:w="1661"/>
          </w:tcPr>
          <w:p>
            <w:pPr>
              <w:pStyle w:val="null3"/>
            </w:pPr>
            <w:r>
              <w:rPr>
                <w:rFonts w:ascii="仿宋_GB2312" w:hAnsi="仿宋_GB2312" w:cs="仿宋_GB2312" w:eastAsia="仿宋_GB2312"/>
              </w:rPr>
              <w:t>响应文件封面 供应商资格要求.docx 中小企业声明函 商务应答表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响应文件投标有效期符合竞争性磋商文件要求的(合格)，响应文件无投标有效期或有效期达不到竞争性磋商文件要求的(不合格)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响应文件是否含有采购人不能接受的附加条件的</w:t>
            </w:r>
          </w:p>
        </w:tc>
        <w:tc>
          <w:tcPr>
            <w:tcW w:type="dxa" w:w="3322"/>
          </w:tcPr>
          <w:p>
            <w:pPr>
              <w:pStyle w:val="null3"/>
            </w:pPr>
            <w:r>
              <w:rPr>
                <w:rFonts w:ascii="仿宋_GB2312" w:hAnsi="仿宋_GB2312" w:cs="仿宋_GB2312" w:eastAsia="仿宋_GB2312"/>
              </w:rPr>
              <w:t>响应文件未含有采购人不能接受的附加条件的（合格），响应文件含有采购人不能接受的附加条件的（不合格）</w:t>
            </w:r>
          </w:p>
        </w:tc>
        <w:tc>
          <w:tcPr>
            <w:tcW w:type="dxa" w:w="1661"/>
          </w:tcPr>
          <w:p>
            <w:pPr>
              <w:pStyle w:val="null3"/>
            </w:pPr>
            <w:r>
              <w:rPr>
                <w:rFonts w:ascii="仿宋_GB2312" w:hAnsi="仿宋_GB2312" w:cs="仿宋_GB2312" w:eastAsia="仿宋_GB2312"/>
              </w:rPr>
              <w:t>响应文件封面 商务应答表 供应商认为有必要说明的其他问题.docx 标的清单 报价表 服务内容及服务要求应答表.docx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法律、法规和竞争性磋商文件规定的其他无效情形</w:t>
            </w:r>
          </w:p>
        </w:tc>
        <w:tc>
          <w:tcPr>
            <w:tcW w:type="dxa" w:w="3322"/>
          </w:tcPr>
          <w:p>
            <w:pPr>
              <w:pStyle w:val="null3"/>
            </w:pPr>
            <w:r>
              <w:rPr>
                <w:rFonts w:ascii="仿宋_GB2312" w:hAnsi="仿宋_GB2312" w:cs="仿宋_GB2312" w:eastAsia="仿宋_GB2312"/>
              </w:rPr>
              <w:t>不存在法律、法规和竞争性磋商文件规定的其他无效情形(合格)，存在法律、法规和竞争性磋商文件规定的其他无效情形(不合格)</w:t>
            </w:r>
          </w:p>
        </w:tc>
        <w:tc>
          <w:tcPr>
            <w:tcW w:type="dxa" w:w="1661"/>
          </w:tcPr>
          <w:p>
            <w:pPr>
              <w:pStyle w:val="null3"/>
            </w:pPr>
            <w:r>
              <w:rPr>
                <w:rFonts w:ascii="仿宋_GB2312" w:hAnsi="仿宋_GB2312" w:cs="仿宋_GB2312" w:eastAsia="仿宋_GB2312"/>
              </w:rPr>
              <w:t>响应文件封面 供应商认为有必要说明的其他问题.docx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项目理解与重难点分析</w:t>
            </w:r>
          </w:p>
        </w:tc>
        <w:tc>
          <w:tcPr>
            <w:tcW w:type="dxa" w:w="2492"/>
          </w:tcPr>
          <w:p>
            <w:pPr>
              <w:pStyle w:val="null3"/>
            </w:pPr>
            <w:r>
              <w:rPr>
                <w:rFonts w:ascii="仿宋_GB2312" w:hAnsi="仿宋_GB2312" w:cs="仿宋_GB2312" w:eastAsia="仿宋_GB2312"/>
              </w:rPr>
              <w:t>一、针对本项目的理解，内容包含：①项目实施背景；②实施目的③工作内容及实施意义； 二、评审标准 ： 1、完整性：方案须全面，对本项目具备充分的认识，符合本项目服务总体要求，方案描述详细； 2、可实施性及针对性：切合本项目实际情况，紧扣项目，实施步骤清晰、合理； 三、赋分依据（满分3分） ①项目实施背景：每完全满足一个评审标准得0.5分，满分1分；未提供不得分； ②实施目的:每完全满足一个评审标准得0.5分，满分1分；未提供不得分； ③工作内容及实施意义:每完全满足一个评审标准得0.5分，满分1分；未提供不得分；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项目理解与重难点分析.docx</w:t>
            </w:r>
          </w:p>
        </w:tc>
      </w:tr>
      <w:tr>
        <w:tc>
          <w:tcPr>
            <w:tcW w:type="dxa" w:w="831"/>
            <w:vMerge/>
          </w:tcPr>
          <w:p/>
        </w:tc>
        <w:tc>
          <w:tcPr>
            <w:tcW w:type="dxa" w:w="1661"/>
          </w:tcPr>
          <w:p>
            <w:pPr>
              <w:pStyle w:val="null3"/>
            </w:pPr>
            <w:r>
              <w:rPr>
                <w:rFonts w:ascii="仿宋_GB2312" w:hAnsi="仿宋_GB2312" w:cs="仿宋_GB2312" w:eastAsia="仿宋_GB2312"/>
              </w:rPr>
              <w:t>培训课程开发方案</w:t>
            </w:r>
          </w:p>
        </w:tc>
        <w:tc>
          <w:tcPr>
            <w:tcW w:type="dxa" w:w="2492"/>
          </w:tcPr>
          <w:p>
            <w:pPr>
              <w:pStyle w:val="null3"/>
            </w:pPr>
            <w:r>
              <w:rPr>
                <w:rFonts w:ascii="仿宋_GB2312" w:hAnsi="仿宋_GB2312" w:cs="仿宋_GB2312" w:eastAsia="仿宋_GB2312"/>
              </w:rPr>
              <w:t>一、供应商提供针对本项目的培训课程开发及系统开发方案，内容包含：①培训课程定位与目标②培训课程内容设计③培训课程教学方法④配套资源与服务。⑤培训课程学时设置 二、评审标准 ：1、完整性：方案须全面，对评审内容中的各项要求描述详细； 2、可实施性及针对性：切合本项目实际情况，紧扣项目，实施步骤清晰、合理； 三、赋分依据（满分5分） ①培训课程定位与目标：每完全满足一个评审标准得0.5分，满分1分；未提供不得分； ②培训课程内容设计:每完全满足一个评审标准0.5分，满分1分；未提供不得分； ③培训课程教学方法：每完全满足一个评审标准得0.5分，满分1分；未提供不得分； ④配套资源与服务：每完全满足一个评审标准得0.5分，满分1分；未提供不得分； ⑤培训课程学时设置：每完全满足一个评审标准得0.5分，满分1分；未提供不得分；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培训课程开发方案.docx</w:t>
            </w:r>
          </w:p>
        </w:tc>
      </w:tr>
      <w:tr>
        <w:tc>
          <w:tcPr>
            <w:tcW w:type="dxa" w:w="831"/>
            <w:vMerge/>
          </w:tcPr>
          <w:p/>
        </w:tc>
        <w:tc>
          <w:tcPr>
            <w:tcW w:type="dxa" w:w="1661"/>
          </w:tcPr>
          <w:p>
            <w:pPr>
              <w:pStyle w:val="null3"/>
            </w:pPr>
            <w:r>
              <w:rPr>
                <w:rFonts w:ascii="仿宋_GB2312" w:hAnsi="仿宋_GB2312" w:cs="仿宋_GB2312" w:eastAsia="仿宋_GB2312"/>
              </w:rPr>
              <w:t>教学实施方案</w:t>
            </w:r>
          </w:p>
        </w:tc>
        <w:tc>
          <w:tcPr>
            <w:tcW w:type="dxa" w:w="2492"/>
          </w:tcPr>
          <w:p>
            <w:pPr>
              <w:pStyle w:val="null3"/>
            </w:pPr>
            <w:r>
              <w:rPr>
                <w:rFonts w:ascii="仿宋_GB2312" w:hAnsi="仿宋_GB2312" w:cs="仿宋_GB2312" w:eastAsia="仿宋_GB2312"/>
              </w:rPr>
              <w:t>一、供应商针对本项目提供教学实施方案，内容包含：①培训目标②培训体系③教学大纲④教学计划及教学方式⑤学员管理制度及考勤管理制度等。 二、 评审标准 ：1、完整性：方案须全面，对评审内容中的各项要求描述详细； 2、可实施性及针对性：切合本项目实际情况，紧扣项目，实施步骤清晰、合理； 三、赋分依据（满分5分） ①培训目标：每完全满足一个评审标准得0.5分，满分1分；未提供不得分； ②培训体系：每完全满足一个评审标准0.5分，满分1分；未提供不得分； ③教学大纲：每完全满足一个评审标准0.5分，满分1分；未提供不得分； ④教学计划及教学方式：每完全满足一个评审标准0.5分，满分1分；未提供不得分； ⑤学员管理制度及考勤管理制度等：每完全满足一个评审标准0.5分，满分1分；未提供不得分；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教学实施方案.docx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一、供应商针对本项目提供的服务承诺方案内容包含： ①突发事件应急预案②服务质量保证承诺③课程与题库更新方案④平台运行与技术保障方案⑤师资与教学服务承诺 二、评审标准 1、完整性：方案须全面，对评审内容中的各项要求描述详细； 2、可实施性及针对性：切合本项目实际情况，紧扣项目，实施步骤清晰、合理； 三、赋分依据（满分5分） ①突发事件应急预案：每完全满足一个评审标准得0.5分，满分1分；未提供不得分； ②服务质量保证承诺：每完全满足一个评审标准0.5分，满分1分；未提供不得分； ③课程与题库更新方案：每完全满足一个评审标准0.5分，满分1分；未提供不得分； ④平台运行与技术保障方案：每完全满足一个评审标准0.5分，满分1分；未提供不得分； ⑤师资与教学服务承诺：每完全满足一个评审标准0.5分，满分1分；未提供不得分；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售后培训方案</w:t>
            </w:r>
          </w:p>
        </w:tc>
        <w:tc>
          <w:tcPr>
            <w:tcW w:type="dxa" w:w="2492"/>
          </w:tcPr>
          <w:p>
            <w:pPr>
              <w:pStyle w:val="null3"/>
            </w:pPr>
            <w:r>
              <w:rPr>
                <w:rFonts w:ascii="仿宋_GB2312" w:hAnsi="仿宋_GB2312" w:cs="仿宋_GB2312" w:eastAsia="仿宋_GB2312"/>
              </w:rPr>
              <w:t>一、供应商针对本项目提供的培训方案内容包含：①应用软件技术及系统操作②题库与模拟训练体系③学习平台功能与体验 二、评审标准 1、完整性：方案须全面，对评审内容中的各项要求描述详细； 2、可实施性及针对性：切合本项目实际情况，紧扣项目，实施步骤清晰、合理； 三、赋分依据（满分3分） ①应用软件技术及系统操作：每完全满足一个评审标准得0.5分，满分1分；未提供不得分； ②题库与模拟训练体系：每完全满足一个评审标准0.5分，满分1分；未提供不得分； ③学习平台功能与体验：每完全满足一个评审标准得0.5分，满分1分；未提供不得分；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售后培训方案.docx</w:t>
            </w:r>
          </w:p>
        </w:tc>
      </w:tr>
      <w:tr>
        <w:tc>
          <w:tcPr>
            <w:tcW w:type="dxa" w:w="831"/>
            <w:vMerge/>
          </w:tcPr>
          <w:p/>
        </w:tc>
        <w:tc>
          <w:tcPr>
            <w:tcW w:type="dxa" w:w="1661"/>
          </w:tcPr>
          <w:p>
            <w:pPr>
              <w:pStyle w:val="null3"/>
            </w:pPr>
            <w:r>
              <w:rPr>
                <w:rFonts w:ascii="仿宋_GB2312" w:hAnsi="仿宋_GB2312" w:cs="仿宋_GB2312" w:eastAsia="仿宋_GB2312"/>
              </w:rPr>
              <w:t>系统开发方案</w:t>
            </w:r>
          </w:p>
        </w:tc>
        <w:tc>
          <w:tcPr>
            <w:tcW w:type="dxa" w:w="2492"/>
          </w:tcPr>
          <w:p>
            <w:pPr>
              <w:pStyle w:val="null3"/>
            </w:pPr>
            <w:r>
              <w:rPr>
                <w:rFonts w:ascii="仿宋_GB2312" w:hAnsi="仿宋_GB2312" w:cs="仿宋_GB2312" w:eastAsia="仿宋_GB2312"/>
              </w:rPr>
              <w:t>一、供应商针对本项目提供的系统开发方案内容包含：①在线学习系统功能完整性②针对医师资格考试的专项功能与适配度③资源建设与内容质量 二、评审标准 1、完整性：方案须全面，对评审内容中的各项要求描述详细； 2、可实施性及针对性：切合本项目实际情况，紧扣项目，实施步骤清晰、合理； 三、赋分依据（满分6分） ①在线学习系统功能完整性：每完全满足一个评审标准得1分，满分2分；未提供不得分； ②针对医师资格考试的专项功能与适配度：每完全满足一个评审标准1分，满分2分；未提供不得分； ③资源建设与内容质量：每完全满足一个评审标准得1分，满分2分；未提供不得分；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系统开发方案.docx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一、供应商针对本项目提供的进度保障措施内容包含： ①进度计划 ②进度安排、每项考试的理论课程安排，每个班次的进度安排、编制进度安排③进度保障④进度风险防控保障⑤资源配备保障。 二、评审标准 1、完整性：方案须全面，对评审内容中的各项要求描述详细； 2、可实施性及针对性：切合本项目实际情况，紧扣项目，实施步骤清晰、合理； 三、赋分依据（满分5分） ①进度计划：每完全满足一个评审标准得0.5分，满分1分；未提供不得分； ②进度安排、每项考试的理论课程安排，每个班次的进度安排、编制进度安排：每完全满足一个评审标准0.5分，满分1分；未提供不得分； ③进度保障保障：每完全满足一个评审标准0.5分，满分1分；未提供不得分； ④进度风险防控保障：每完全满足一个评审标准0.5分，满分1分；未提供不得分； ⑤资源配备保障：每完全满足一个评审标准0.5分，满分1分；未提供不得分；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进度保障措施.docx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1、授课团队：师资队伍结构合理，涵盖主要学科，具有讲师（或同等级）职称，每人得0.5分，具有副教授（或同等级）职称或以上，每1人得1分，满分10分。人员不重复计算。 2、督学和答疑团队：本项目需配备医学类相关专业督学及答疑人员不少于20人（少于20人此项不得分），其中通过国家执业医师考试或具有讲师（或同等级）职称或以上，每人得0.5分，且人员不重复计算。满分3分。 3.平台运维团队：本项目需配备专业的IT技术团队不少于5人，得基础分2分。团队中具有计算机技术与软件专业技术资格（高级）证书，每人加1分，具有计算机技术与软件专业技术资格（中级）证书，每人加0.5分，且人员不重复计算。满分3分。 备注：1、供应商提供学历证明、医师资格或职称、社保证明或劳动合同或聘任协议等相关证明材料，未提供证明材料或所提供的材料不全或不明的，不计分。 2、以上3项人员不得重复，如有重复，重复项均不得分。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提供供应商2024年1月1日至今（以合同签订时间为准），供应商具有类似服务项目业绩的，每提供一份计1分，满分5分。备注：响应文件中提供中标通知书和合同复印件加盖公章。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履约质量证明</w:t>
            </w:r>
          </w:p>
        </w:tc>
        <w:tc>
          <w:tcPr>
            <w:tcW w:type="dxa" w:w="2492"/>
          </w:tcPr>
          <w:p>
            <w:pPr>
              <w:pStyle w:val="null3"/>
            </w:pPr>
            <w:r>
              <w:rPr>
                <w:rFonts w:ascii="仿宋_GB2312" w:hAnsi="仿宋_GB2312" w:cs="仿宋_GB2312" w:eastAsia="仿宋_GB2312"/>
              </w:rPr>
              <w:t>供应商提供2024年1月1日至今服务过的业主单位的通过率证明（通过率≥90%）或满意度评价（能够明确体现满意），每提供一份计1分，满分3分。 备注：提供合同复印件以及业主单位盖章的证明材料，含通过率、满意度等信息。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履约质量证明.docx</w:t>
            </w:r>
          </w:p>
        </w:tc>
      </w:tr>
      <w:tr>
        <w:tc>
          <w:tcPr>
            <w:tcW w:type="dxa" w:w="831"/>
            <w:vMerge/>
          </w:tcPr>
          <w:p/>
        </w:tc>
        <w:tc>
          <w:tcPr>
            <w:tcW w:type="dxa" w:w="1661"/>
          </w:tcPr>
          <w:p>
            <w:pPr>
              <w:pStyle w:val="null3"/>
            </w:pPr>
            <w:r>
              <w:rPr>
                <w:rFonts w:ascii="仿宋_GB2312" w:hAnsi="仿宋_GB2312" w:cs="仿宋_GB2312" w:eastAsia="仿宋_GB2312"/>
              </w:rPr>
              <w:t>软件著作权及经营许可</w:t>
            </w:r>
          </w:p>
        </w:tc>
        <w:tc>
          <w:tcPr>
            <w:tcW w:type="dxa" w:w="2492"/>
          </w:tcPr>
          <w:p>
            <w:pPr>
              <w:pStyle w:val="null3"/>
            </w:pPr>
            <w:r>
              <w:rPr>
                <w:rFonts w:ascii="仿宋_GB2312" w:hAnsi="仿宋_GB2312" w:cs="仿宋_GB2312" w:eastAsia="仿宋_GB2312"/>
              </w:rPr>
              <w:t>1.供应商具有在线学习平台，能够支撑线上课程学习，提供医师资格考试类学习平台计算机软件著作权登记证书，得1分。 2.供应商具有增值电信业务经营许可证，得1分。 备注：响应文件中提供计算机软件著作权登记证书复印件加盖公章。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软件著作权及经营许可.docx</w:t>
            </w:r>
          </w:p>
        </w:tc>
      </w:tr>
      <w:tr>
        <w:tc>
          <w:tcPr>
            <w:tcW w:type="dxa" w:w="831"/>
            <w:vMerge/>
          </w:tcPr>
          <w:p/>
        </w:tc>
        <w:tc>
          <w:tcPr>
            <w:tcW w:type="dxa" w:w="1661"/>
          </w:tcPr>
          <w:p>
            <w:pPr>
              <w:pStyle w:val="null3"/>
            </w:pPr>
            <w:r>
              <w:rPr>
                <w:rFonts w:ascii="仿宋_GB2312" w:hAnsi="仿宋_GB2312" w:cs="仿宋_GB2312" w:eastAsia="仿宋_GB2312"/>
              </w:rPr>
              <w:t>安全备案</w:t>
            </w:r>
          </w:p>
        </w:tc>
        <w:tc>
          <w:tcPr>
            <w:tcW w:type="dxa" w:w="2492"/>
          </w:tcPr>
          <w:p>
            <w:pPr>
              <w:pStyle w:val="null3"/>
            </w:pPr>
            <w:r>
              <w:rPr>
                <w:rFonts w:ascii="仿宋_GB2312" w:hAnsi="仿宋_GB2312" w:cs="仿宋_GB2312" w:eastAsia="仿宋_GB2312"/>
              </w:rPr>
              <w:t>供应商的在线学习平台通过三级信息系统安全等级保护测评，得2分。 备注：响应文件中提供公安部门备案证明复印件并加盖公章。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安全备案.docx</w:t>
            </w:r>
          </w:p>
        </w:tc>
      </w:tr>
      <w:tr>
        <w:tc>
          <w:tcPr>
            <w:tcW w:type="dxa" w:w="831"/>
            <w:vMerge/>
          </w:tcPr>
          <w:p/>
        </w:tc>
        <w:tc>
          <w:tcPr>
            <w:tcW w:type="dxa" w:w="1661"/>
          </w:tcPr>
          <w:p>
            <w:pPr>
              <w:pStyle w:val="null3"/>
            </w:pPr>
            <w:r>
              <w:rPr>
                <w:rFonts w:ascii="仿宋_GB2312" w:hAnsi="仿宋_GB2312" w:cs="仿宋_GB2312" w:eastAsia="仿宋_GB2312"/>
              </w:rPr>
              <w:t>系统演示</w:t>
            </w:r>
          </w:p>
        </w:tc>
        <w:tc>
          <w:tcPr>
            <w:tcW w:type="dxa" w:w="2492"/>
          </w:tcPr>
          <w:p>
            <w:pPr>
              <w:pStyle w:val="null3"/>
            </w:pPr>
            <w:r>
              <w:rPr>
                <w:rFonts w:ascii="仿宋_GB2312" w:hAnsi="仿宋_GB2312" w:cs="仿宋_GB2312" w:eastAsia="仿宋_GB2312"/>
              </w:rPr>
              <w:t>“产品功能性参数”表中带“●”的项需提供真实系统演示，供应商须自行搭建演示环境（严禁采用 demo、PPT 等非真实环境），通过现场演示方式逐条演示相关软件功能（演示不得超过 15分钟）；根据演示效果进行赋分，每成功演示一项最高得0.5分，否则不得分，总计10分。 演示地点：西安市雁塔区科技路30号合力紫郡B座21层（供应商须在开标截止时间前到达演示地点进行签到）</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经初审合格的供应商，其响应报价为有效报价。 评审基准价：即满足竞争性磋商文件要求且最终响应报价最低的报价为评审基准价。 其他供应商的价格分统一按照下列公式计算。 响应报价计分=(评审基准价／最终响应报价)×30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详见附件：项目理解与重难点分析.docx</w:t>
      </w:r>
    </w:p>
    <w:p>
      <w:pPr>
        <w:pStyle w:val="null3"/>
        <w:ind w:firstLine="960"/>
      </w:pPr>
      <w:r>
        <w:rPr>
          <w:rFonts w:ascii="仿宋_GB2312" w:hAnsi="仿宋_GB2312" w:cs="仿宋_GB2312" w:eastAsia="仿宋_GB2312"/>
        </w:rPr>
        <w:t>详见附件：培训课程开发方案.docx</w:t>
      </w:r>
    </w:p>
    <w:p>
      <w:pPr>
        <w:pStyle w:val="null3"/>
        <w:ind w:firstLine="960"/>
      </w:pPr>
      <w:r>
        <w:rPr>
          <w:rFonts w:ascii="仿宋_GB2312" w:hAnsi="仿宋_GB2312" w:cs="仿宋_GB2312" w:eastAsia="仿宋_GB2312"/>
        </w:rPr>
        <w:t>详见附件：教学实施方案.docx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详见附件：售后培训方案.docx</w:t>
      </w:r>
    </w:p>
    <w:p>
      <w:pPr>
        <w:pStyle w:val="null3"/>
        <w:ind w:firstLine="960"/>
      </w:pPr>
      <w:r>
        <w:rPr>
          <w:rFonts w:ascii="仿宋_GB2312" w:hAnsi="仿宋_GB2312" w:cs="仿宋_GB2312" w:eastAsia="仿宋_GB2312"/>
        </w:rPr>
        <w:t>详见附件：系统开发方案.docx</w:t>
      </w:r>
    </w:p>
    <w:p>
      <w:pPr>
        <w:pStyle w:val="null3"/>
        <w:ind w:firstLine="960"/>
      </w:pPr>
      <w:r>
        <w:rPr>
          <w:rFonts w:ascii="仿宋_GB2312" w:hAnsi="仿宋_GB2312" w:cs="仿宋_GB2312" w:eastAsia="仿宋_GB2312"/>
        </w:rPr>
        <w:t>详见附件：进度保障措施.docx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详见附件：履约质量证明.docx</w:t>
      </w:r>
    </w:p>
    <w:p>
      <w:pPr>
        <w:pStyle w:val="null3"/>
        <w:ind w:firstLine="960"/>
      </w:pPr>
      <w:r>
        <w:rPr>
          <w:rFonts w:ascii="仿宋_GB2312" w:hAnsi="仿宋_GB2312" w:cs="仿宋_GB2312" w:eastAsia="仿宋_GB2312"/>
        </w:rPr>
        <w:t>详见附件：软件著作权及经营许可.docx</w:t>
      </w:r>
    </w:p>
    <w:p>
      <w:pPr>
        <w:pStyle w:val="null3"/>
        <w:ind w:firstLine="960"/>
      </w:pPr>
      <w:r>
        <w:rPr>
          <w:rFonts w:ascii="仿宋_GB2312" w:hAnsi="仿宋_GB2312" w:cs="仿宋_GB2312" w:eastAsia="仿宋_GB2312"/>
        </w:rPr>
        <w:t>详见附件：安全备案.docx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详见附件：西安医学院服务类采购合同（模板）.docx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