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版本号：WSQ-2026-092.120260410001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2026年报告出版服务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WSQ-2026-092.1</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2026年报告出版服务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WSQ-2026-092.1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2026年报告出版服务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本项目为2026年报告出版服务，共分为4个包，具体内容详见招标文件第三章。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2、企业资质：投标供应商须具备图书出版许可证；供应商需在项目电子化交易系统中按要求上传相应证明文件并进行电子签章；</w:t>
      </w:r>
    </w:p>
    <w:p>
      <w:pPr>
        <w:pStyle w:val="null3"/>
      </w:pPr>
      <w:r>
        <w:rPr>
          <w:rFonts w:ascii="仿宋_GB2312" w:hAnsi="仿宋_GB2312" w:cs="仿宋_GB2312" w:eastAsia="仿宋_GB2312"/>
        </w:rPr>
        <w:t>3、财务状况审查：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审查：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税收缴纳审查：税收缴纳证明：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6、法定代表人授权委托书审查：法定代表人授权委托书：法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7、无重大违法记录：无重大违法记录：供应商参加政府采购活动前3年内在经营活动中没有重大违法记录；供应商需在项目电子化交易系统中按要求填写《投标函》完成承诺并进行电子签章。</w:t>
      </w:r>
    </w:p>
    <w:p>
      <w:pPr>
        <w:pStyle w:val="null3"/>
      </w:pPr>
      <w:r>
        <w:rPr>
          <w:rFonts w:ascii="仿宋_GB2312" w:hAnsi="仿宋_GB2312" w:cs="仿宋_GB2312" w:eastAsia="仿宋_GB2312"/>
        </w:rPr>
        <w:t>8、信用主体查询：供应商未被列入“信用中国网站（www.creditchina.gov.cn）”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9、其他承诺响应：具有履行合同所必需的设备和专业技术能力；未为本项目提供整体设计、规范编制或者项目管理、监理、检测等服务；供应商需在项目电子化交易系统中按要求填写《投标函》完成承诺并进行电子签章。</w:t>
      </w:r>
    </w:p>
    <w:p>
      <w:pPr>
        <w:pStyle w:val="null3"/>
      </w:pPr>
      <w:r>
        <w:rPr>
          <w:rFonts w:ascii="仿宋_GB2312" w:hAnsi="仿宋_GB2312" w:cs="仿宋_GB2312" w:eastAsia="仿宋_GB2312"/>
        </w:rPr>
        <w:t>10、控股管理关系：控股管理关系：单位负责人为同一人或者存在直接控股、管理关系的供应商，不得参加同一合同下的政府采购活动；供应商需在项目电子化交易系统中按要求填写《投标函》完成承诺并进行电子签章。</w:t>
      </w:r>
    </w:p>
    <w:p>
      <w:pPr>
        <w:pStyle w:val="null3"/>
      </w:pPr>
      <w:r>
        <w:rPr>
          <w:rFonts w:ascii="仿宋_GB2312" w:hAnsi="仿宋_GB2312" w:cs="仿宋_GB2312" w:eastAsia="仿宋_GB2312"/>
        </w:rPr>
        <w:t>11、非联合体：本项目不接受联合体投标，不允许分包；供应商需在项目电子化交易系统中按要求填写《承诺书》完成承诺并进行电子签章。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2、企业资质：投标供应商须具备图书出版许可证；供应商需在项目电子化交易系统中按要求上传相应证明文件并进行电子签章；</w:t>
      </w:r>
    </w:p>
    <w:p>
      <w:pPr>
        <w:pStyle w:val="null3"/>
      </w:pPr>
      <w:r>
        <w:rPr>
          <w:rFonts w:ascii="仿宋_GB2312" w:hAnsi="仿宋_GB2312" w:cs="仿宋_GB2312" w:eastAsia="仿宋_GB2312"/>
        </w:rPr>
        <w:t>3、财务状况审查：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审查：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税收缴纳审查：税收缴纳证明：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6、法定代表人授权委托书审查：法定代表人授权委托书：法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7、无重大违法记录：无重大违法记录：供应商参加政府采购活动前3年内在经营活动中没有重大违法记录；供应商需在项目电子化交易系统中按要求填写《投标函》完成承诺并进行电子签章。</w:t>
      </w:r>
    </w:p>
    <w:p>
      <w:pPr>
        <w:pStyle w:val="null3"/>
      </w:pPr>
      <w:r>
        <w:rPr>
          <w:rFonts w:ascii="仿宋_GB2312" w:hAnsi="仿宋_GB2312" w:cs="仿宋_GB2312" w:eastAsia="仿宋_GB2312"/>
        </w:rPr>
        <w:t>8、信用主体查询：供应商未被列入“信用中国网站（www.creditchina.gov.cn）”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9、其他承诺响应：具有履行合同所必需的设备和专业技术能力；未为本项目提供整体设计、规范编制或者项目管理、监理、检测等服务；供应商需在项目电子化交易系统中按要求填写《投标函》完成承诺并进行电子签章。</w:t>
      </w:r>
    </w:p>
    <w:p>
      <w:pPr>
        <w:pStyle w:val="null3"/>
      </w:pPr>
      <w:r>
        <w:rPr>
          <w:rFonts w:ascii="仿宋_GB2312" w:hAnsi="仿宋_GB2312" w:cs="仿宋_GB2312" w:eastAsia="仿宋_GB2312"/>
        </w:rPr>
        <w:t>10、控股管理关系：控股管理关系：单位负责人为同一人或者存在直接控股、管理关系的供应商，不得参加同一合同下的政府采购活动；供应商需在项目电子化交易系统中按要求填写《投标函》完成承诺并进行电子签章。</w:t>
      </w:r>
    </w:p>
    <w:p>
      <w:pPr>
        <w:pStyle w:val="null3"/>
      </w:pPr>
      <w:r>
        <w:rPr>
          <w:rFonts w:ascii="仿宋_GB2312" w:hAnsi="仿宋_GB2312" w:cs="仿宋_GB2312" w:eastAsia="仿宋_GB2312"/>
        </w:rPr>
        <w:t>11、非联合体：本项目不接受联合体投标，不允许分包；供应商需在项目电子化交易系统中按要求填写《承诺书》完成承诺并进行电子签章。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2、企业资质：投标供应商须具备图书出版许可证；供应商需在项目电子化交易系统中按要求上传相应证明文件并进行电子签章；</w:t>
      </w:r>
    </w:p>
    <w:p>
      <w:pPr>
        <w:pStyle w:val="null3"/>
      </w:pPr>
      <w:r>
        <w:rPr>
          <w:rFonts w:ascii="仿宋_GB2312" w:hAnsi="仿宋_GB2312" w:cs="仿宋_GB2312" w:eastAsia="仿宋_GB2312"/>
        </w:rPr>
        <w:t>3、财务状况审查：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审查：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税收缴纳审查：税收缴纳证明：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6、法定代表人授权委托书审查：法定代表人授权委托书：法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7、无重大违法记录：无重大违法记录：供应商参加政府采购活动前3年内在经营活动中没有重大违法记录；供应商需在项目电子化交易系统中按要求填写《投标函》完成承诺并进行电子签章。</w:t>
      </w:r>
    </w:p>
    <w:p>
      <w:pPr>
        <w:pStyle w:val="null3"/>
      </w:pPr>
      <w:r>
        <w:rPr>
          <w:rFonts w:ascii="仿宋_GB2312" w:hAnsi="仿宋_GB2312" w:cs="仿宋_GB2312" w:eastAsia="仿宋_GB2312"/>
        </w:rPr>
        <w:t>8、信用主体查询：供应商未被列入“信用中国网站（www.creditchina.gov.cn）”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9、其他承诺响应：具有履行合同所必需的设备和专业技术能力；未为本项目提供整体设计、规范编制或者项目管理、监理、检测等服务；供应商需在项目电子化交易系统中按要求填写《投标函》完成承诺并进行电子签章。</w:t>
      </w:r>
    </w:p>
    <w:p>
      <w:pPr>
        <w:pStyle w:val="null3"/>
      </w:pPr>
      <w:r>
        <w:rPr>
          <w:rFonts w:ascii="仿宋_GB2312" w:hAnsi="仿宋_GB2312" w:cs="仿宋_GB2312" w:eastAsia="仿宋_GB2312"/>
        </w:rPr>
        <w:t>10、控股管理关系：控股管理关系：单位负责人为同一人或者存在直接控股、管理关系的供应商，不得参加同一合同下的政府采购活动；供应商需在项目电子化交易系统中按要求填写《投标函》完成承诺并进行电子签章。</w:t>
      </w:r>
    </w:p>
    <w:p>
      <w:pPr>
        <w:pStyle w:val="null3"/>
      </w:pPr>
      <w:r>
        <w:rPr>
          <w:rFonts w:ascii="仿宋_GB2312" w:hAnsi="仿宋_GB2312" w:cs="仿宋_GB2312" w:eastAsia="仿宋_GB2312"/>
        </w:rPr>
        <w:t>11、非联合体：本项目不接受联合体投标，不允许分包；供应商需在项目电子化交易系统中按要求填写《承诺书》完成承诺并进行电子签章。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2、企业资质：投标供应商须具备图书出版许可证；供应商需在项目电子化交易系统中按要求上传相应证明文件并进行电子签章；</w:t>
      </w:r>
    </w:p>
    <w:p>
      <w:pPr>
        <w:pStyle w:val="null3"/>
      </w:pPr>
      <w:r>
        <w:rPr>
          <w:rFonts w:ascii="仿宋_GB2312" w:hAnsi="仿宋_GB2312" w:cs="仿宋_GB2312" w:eastAsia="仿宋_GB2312"/>
        </w:rPr>
        <w:t>3、财务状况审查：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审查：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税收缴纳审查：税收缴纳证明：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6、法定代表人授权委托书审查：法定代表人授权委托书：法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7、无重大违法记录：无重大违法记录：供应商参加政府采购活动前3年内在经营活动中没有重大违法记录；供应商需在项目电子化交易系统中按要求填写《投标函》完成承诺并进行电子签章。</w:t>
      </w:r>
    </w:p>
    <w:p>
      <w:pPr>
        <w:pStyle w:val="null3"/>
      </w:pPr>
      <w:r>
        <w:rPr>
          <w:rFonts w:ascii="仿宋_GB2312" w:hAnsi="仿宋_GB2312" w:cs="仿宋_GB2312" w:eastAsia="仿宋_GB2312"/>
        </w:rPr>
        <w:t>8、信用主体查询：供应商未被列入“信用中国网站（www.creditchina.gov.cn）”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9、其他承诺响应：具有履行合同所必需的设备和专业技术能力；未为本项目提供整体设计、规范编制或者项目管理、监理、检测等服务；供应商需在项目电子化交易系统中按要求填写《投标函》完成承诺并进行电子签章。</w:t>
      </w:r>
    </w:p>
    <w:p>
      <w:pPr>
        <w:pStyle w:val="null3"/>
      </w:pPr>
      <w:r>
        <w:rPr>
          <w:rFonts w:ascii="仿宋_GB2312" w:hAnsi="仿宋_GB2312" w:cs="仿宋_GB2312" w:eastAsia="仿宋_GB2312"/>
        </w:rPr>
        <w:t>10、控股管理关系：控股管理关系：单位负责人为同一人或者存在直接控股、管理关系的供应商，不得参加同一合同下的政府采购活动；供应商需在项目电子化交易系统中按要求填写《投标函》完成承诺并进行电子签章。</w:t>
      </w:r>
    </w:p>
    <w:p>
      <w:pPr>
        <w:pStyle w:val="null3"/>
      </w:pPr>
      <w:r>
        <w:rPr>
          <w:rFonts w:ascii="仿宋_GB2312" w:hAnsi="仿宋_GB2312" w:cs="仿宋_GB2312" w:eastAsia="仿宋_GB2312"/>
        </w:rPr>
        <w:t>11、非联合体：本项目不接受联合体投标，不允许分包；供应商需在项目电子化交易系统中按要求填写《承诺书》完成承诺并进行电子签章。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029-84198629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采购包1：2,508,000.00元</w:t>
            </w:r>
          </w:p>
          <w:p>
            <w:pPr>
              <w:pStyle w:val="null3"/>
            </w:pPr>
            <w:r>
              <w:rPr>
                <w:rFonts w:ascii="仿宋_GB2312" w:hAnsi="仿宋_GB2312" w:cs="仿宋_GB2312" w:eastAsia="仿宋_GB2312"/>
              </w:rPr>
              <w:t>采购包2：1,245,000.00元</w:t>
            </w:r>
          </w:p>
          <w:p>
            <w:pPr>
              <w:pStyle w:val="null3"/>
            </w:pPr>
            <w:r>
              <w:rPr>
                <w:rFonts w:ascii="仿宋_GB2312" w:hAnsi="仿宋_GB2312" w:cs="仿宋_GB2312" w:eastAsia="仿宋_GB2312"/>
              </w:rPr>
              <w:t>采购包3：568,000.00元</w:t>
            </w:r>
          </w:p>
          <w:p>
            <w:pPr>
              <w:pStyle w:val="null3"/>
            </w:pPr>
            <w:r>
              <w:rPr>
                <w:rFonts w:ascii="仿宋_GB2312" w:hAnsi="仿宋_GB2312" w:cs="仿宋_GB2312" w:eastAsia="仿宋_GB2312"/>
              </w:rPr>
              <w:t>采购包4：135,000.00元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服务类标准，按照优惠后的下浮费率收费计取，中标/成交服务费按差额定率累进法计算，分包的项目，按包收取。服务费不足5000元的，按5000元收取。 100以下（不含）： 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甲方按照同类图书的基本要求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甲方按照同类图书的基本要求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甲方按照同类图书的基本要求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甲方按照同类图书的基本要求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联系电话：029-84198629</w:t>
      </w:r>
    </w:p>
    <w:p>
      <w:pPr>
        <w:pStyle w:val="null3"/>
      </w:pPr>
      <w:r>
        <w:rPr>
          <w:rFonts w:ascii="仿宋_GB2312" w:hAnsi="仿宋_GB2312" w:cs="仿宋_GB2312" w:eastAsia="仿宋_GB2312"/>
        </w:rPr>
        <w:t>地址：陕西省西安市高新区沣惠南路34号摩尔中心1幢11601室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本项目为2026年报告出版服务，共分为4个包。采购包1共250.8万元 ，其中：《临潼康家——新石器时代遗址考古发掘报告》1000册共123万；《高陵泾渭秦墓考古发掘报告》800册共33万；《陕西蓝田徐梁坡战国秦墓发掘报告》800册共31.5万；《伊塞克古墓》俄文版的中文翻译300册共21.3万；《王圪堵水库报告》800册共42万。采购包2共124.5万元，其中：《西安尤家庄汉墓》800册共47万;《隋王韶家族墓地考古发掘报告》800册共21.5万；《富平桑园砖瓦窑遗址考古发掘报告》800册共24万；《陕西考古简报集》500册共32万。采购包3共56.8万元，《汉高祖长陵考古调查勘探测绘报告》800册共33万；《唐庄陵》800册共23.8万。采购包4共13.5万元，《Important Archaeological Discoveries in 2024》300册共13.5万元。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2,508,000.00</w:t>
      </w:r>
    </w:p>
    <w:p>
      <w:pPr>
        <w:pStyle w:val="null3"/>
      </w:pPr>
      <w:r>
        <w:rPr>
          <w:rFonts w:ascii="仿宋_GB2312" w:hAnsi="仿宋_GB2312" w:cs="仿宋_GB2312" w:eastAsia="仿宋_GB2312"/>
        </w:rPr>
        <w:t>采购包最高限价（元）: 2,508,000.00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陕西省考古研究院2026年报告出版服务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1,245,000.00</w:t>
      </w:r>
    </w:p>
    <w:p>
      <w:pPr>
        <w:pStyle w:val="null3"/>
      </w:pPr>
      <w:r>
        <w:rPr>
          <w:rFonts w:ascii="仿宋_GB2312" w:hAnsi="仿宋_GB2312" w:cs="仿宋_GB2312" w:eastAsia="仿宋_GB2312"/>
        </w:rPr>
        <w:t>采购包最高限价（元）: 1,245,000.00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2026年报告出版服务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568,000.00</w:t>
      </w:r>
    </w:p>
    <w:p>
      <w:pPr>
        <w:pStyle w:val="null3"/>
      </w:pPr>
      <w:r>
        <w:rPr>
          <w:rFonts w:ascii="仿宋_GB2312" w:hAnsi="仿宋_GB2312" w:cs="仿宋_GB2312" w:eastAsia="仿宋_GB2312"/>
        </w:rPr>
        <w:t>采购包最高限价（元）: 568,000.00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2026年报告出版服务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135,000.00</w:t>
      </w:r>
    </w:p>
    <w:p>
      <w:pPr>
        <w:pStyle w:val="null3"/>
      </w:pPr>
      <w:r>
        <w:rPr>
          <w:rFonts w:ascii="仿宋_GB2312" w:hAnsi="仿宋_GB2312" w:cs="仿宋_GB2312" w:eastAsia="仿宋_GB2312"/>
        </w:rPr>
        <w:t>采购包最高限价（元）: 135,000.00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2026年报告出版服务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标的名称：陕西省考古研究院2026年报告出版服务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采购包1共250.8万元 ，其中：《临潼康家——新石器时代遗址考古发掘报告》1000册共123万；《高陵泾渭秦墓考古发掘报告》800册共33万；《陕西蓝田徐梁坡战国秦墓发掘报告》800册共31.5万；《伊塞克古墓》俄文版的中文翻译300册共21.3万；《王圪堵水库报告》800册共42万。</w:t>
            </w:r>
          </w:p>
          <w:p>
            <w:pPr>
              <w:pStyle w:val="null3"/>
            </w:pPr>
            <w:r>
              <w:rPr>
                <w:rFonts w:ascii="仿宋_GB2312" w:hAnsi="仿宋_GB2312" w:cs="仿宋_GB2312" w:eastAsia="仿宋_GB2312"/>
                <w:sz w:val="24"/>
              </w:rPr>
              <w:t>开本采用大16开（210mm×285mm）规格，正文统一使用80g胶版纸黑白印刷，彩色图版使用128g哑铜纸彩色印刷；封面采用铜版纸或特种纸，并覆亚膜结合UV或烫印工艺；所有成品需塑封后装箱，确保设计装帧达到行业较高水准，图文精美且工艺标准严格统一。</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标的名称：2026年报告出版服务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采购包2共124.5万元，其中：《西安尤家庄汉墓》800册共47万;《隋王韶家族墓地考古发掘报告》800册共21.5万；《富平桑园砖瓦窑遗址考古发掘报告》800册共24万；《陕西考古简报集》500册共32万。</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全部采用大16开（210mm×285mm）单册装帧；正文统一使用80g胶版纸黑白印刷，彩色图版使用128g铜版纸彩色印刷；封面采用铜版纸或特种纸，并覆亚膜结合UV或烫印工艺；所有成品需塑封装箱，确保设计装帧达到行业较高水准，图文专业且工艺标准严格统一。</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标的名称：2026年报告出版服务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采购包3共56.8万元，《汉高祖长陵考古调查勘探测绘报告》800册共33万；《唐庄陵》800册共23.8万。</w:t>
            </w:r>
          </w:p>
          <w:p>
            <w:pPr>
              <w:pStyle w:val="null3"/>
            </w:pPr>
            <w:r>
              <w:rPr>
                <w:rFonts w:ascii="仿宋_GB2312" w:hAnsi="仿宋_GB2312" w:cs="仿宋_GB2312" w:eastAsia="仿宋_GB2312"/>
                <w:sz w:val="24"/>
              </w:rPr>
              <w:t>均采用大16开（210mm×285mm）版式规格。正文部分使用80g胶版纸进行黑白印制，彩色图版选用128g哑光铜版纸彩色呈现；封面材质为铜版纸或布面，并结合亚膜覆膜及UV或烫印等工艺处理。所有印刷成品均须完成塑封后再行装箱，整体设计与装帧应达到业内较高品质标准，确保版面精良、图文清晰，制作工艺规范统一。</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标的名称：2026年报告出版服务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采购包4共13.5万元，《Important Archaeological Discoveries in 2024》300册共13.5万元。</w:t>
            </w:r>
          </w:p>
          <w:p>
            <w:pPr>
              <w:pStyle w:val="null3"/>
            </w:pPr>
            <w:r>
              <w:rPr>
                <w:rFonts w:ascii="仿宋_GB2312" w:hAnsi="仿宋_GB2312" w:cs="仿宋_GB2312" w:eastAsia="仿宋_GB2312"/>
                <w:sz w:val="24"/>
              </w:rPr>
              <w:t>本书整体采用大16开（210mm×285mm）开本设计。图书16开，尺寸210mm×285mm，内文140克特种艺术纸，全彩制版印刷；环衬130克特种纸；壳面选用160克特种纸及装帧布，UV或烫印等表面处理工艺；全书锁线、平脊硬壳精装，单本塑封。所有成品需塑封后装箱，确保设计装帧达到行业较高水准，图文精美且工艺标准严格统一。</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所配备人员充足，可保证本项目顺利实施。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所配备人员充足，可保证本项目顺利实施。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所配备人员充足，可保证本项目顺利实施。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所提供设施设备充足先进，可保证本项目顺利实施。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所提供设施设备充足先进，可保证本项目顺利实施。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所提供设施设备充足先进，可保证本项目顺利实施。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质量要求：国家图书出版基本要求。 质量保修范围和保修期：图书有质量问题，出版社予以退换。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质量要求：国家图书出版基本要求。 质量保修范围和保修期：图书有质量问题，出版社予以退换。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质量要求：国家图书出版基本要求。 质量保修范围和保修期：图书有质量问题，出版社予以退换。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质量要求：国家图书出版基本要求。 质量保修范围和保修期：图书有质量问题，出版社予以退换。</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按照国家出版物标准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按照国家出版物标准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按照国家出版物标准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按照国家出版物标准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图书排版后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报告出版后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图书排版后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报告出版后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图书排版后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报告出版后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图书排版后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报告出版后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双方协商，协商不成在出版社所在地法院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双方协商，协商不成在出版社所在地法院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双方协商，协商不成在出版社所在地法院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双方协商，协商不成在出版社所在地法院</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不专门面向中小企业。2、若为多个标包项目，则兼投不兼中。3、开标当日，供应商应保持通讯畅通，以便出现询标时能及时在线。4、样品邮寄地址：陕西省西安市高新区沣惠南路34号摩尔中心A座11601室；联系人：李婷婷；电话：15389248069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投标供应商须具备图书出版许可证；供应商需在项目电子化交易系统中按要求上传相应证明文件并进行电子签章；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投标供应商须具备图书出版许可证；供应商需在项目电子化交易系统中按要求上传相应证明文件并进行电子签章；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投标供应商须具备图书出版许可证；供应商需在项目电子化交易系统中按要求上传相应证明文件并进行电子签章；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投标供应商须具备图书出版许可证；供应商需在项目电子化交易系统中按要求上传相应证明文件并进行电子签章；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社保缴纳证明：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税收缴纳证明：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授权委托书：法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8、售后服务方案.docx 6、质量保障方案.docx 承诺书.docx 5、进度计划保障方案.docx 商务应答表.docx 7、服务承诺.docx 10、类似项目业绩一览表.docx 11、拟派人员配置情况表.docx 3、重难点分析.docx 供应商应提交的相关资格证明材料.docx 投标函 标的清单 投标文件封面 监狱企业的证明文件 4、出版物审读制度.docx 1、审稿校对方案.docx 2、编辑出版流程方案.docx 中小企业声明函 9、样品.docx 法定代表人身份证明书.docx 残疾人福利性单位声明函 服务内容及服务要求应答表.docx 法定代表人授权委托书.docx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投标人报价未超过采购预算价或者最高限价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（1）不满足本招标文件中“服务期限、服务地点、支付方式、支付约定”等实质性条款要求的； （2）法律、法规和招标文件规定的其他无效情形。</w:t>
            </w:r>
          </w:p>
        </w:tc>
        <w:tc>
          <w:tcPr>
            <w:tcW w:type="dxa" w:w="1661"/>
          </w:tcPr>
          <w:p>
            <w:pPr>
              <w:pStyle w:val="null3"/>
            </w:pPr>
            <w:r>
              <w:rPr>
                <w:rFonts w:ascii="仿宋_GB2312" w:hAnsi="仿宋_GB2312" w:cs="仿宋_GB2312" w:eastAsia="仿宋_GB2312"/>
              </w:rPr>
              <w:t>商务应答表.docx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8、售后服务方案.docx 6、质量保障方案.docx 5、进度计划保障方案.docx 承诺书.docx 商务应答表.docx 7、服务承诺.docx 10、类似项目业绩一览表.docx 11、拟派人员配置情况表.docx 3、重难点分析.docx 供应商应提交的相关资格证明材料.docx 投标函 标的清单 投标文件封面 监狱企业的证明文件 4、出版物审读制度.docx 1、审稿校对方案.docx 2、编辑出版流程方案.docx 中小企业声明函 9、样品.docx 法定代表人身份证明书.docx 残疾人福利性单位声明函 服务内容及服务要求应答表.docx 法定代表人授权委托书.docx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投标人报价未超过采购预算价或者最高限价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（1）不满足本招标文件中“服务期限、服务地点、支付方式、支付约定”等实质性条款要求的； （2）法律、法规和招标文件规定的其他无效情形。</w:t>
            </w:r>
          </w:p>
        </w:tc>
        <w:tc>
          <w:tcPr>
            <w:tcW w:type="dxa" w:w="1661"/>
          </w:tcPr>
          <w:p>
            <w:pPr>
              <w:pStyle w:val="null3"/>
            </w:pPr>
            <w:r>
              <w:rPr>
                <w:rFonts w:ascii="仿宋_GB2312" w:hAnsi="仿宋_GB2312" w:cs="仿宋_GB2312" w:eastAsia="仿宋_GB2312"/>
              </w:rPr>
              <w:t>商务应答表.docx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8、售后服务方案.docx 6、质量保障方案.docx 5、进度计划保障方案.docx 承诺书.docx 商务应答表.docx 7、服务承诺.docx 10、类似项目业绩一览表.docx 11、拟派人员配置情况表.docx 3、重难点分析.docx 供应商应提交的相关资格证明材料.docx 投标函 标的清单 投标文件封面 监狱企业的证明文件 4、出版物审读制度.docx 1、审稿校对方案.docx 2、编辑出版流程方案.docx 中小企业声明函 9、样品.docx 法定代表人身份证明书.docx 残疾人福利性单位声明函 服务内容及服务要求应答表.docx 法定代表人授权委托书.docx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投标人报价未超过采购预算价或者最高限价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（1）不满足本招标文件中“服务期限、服务地点、支付方式、支付约定”等实质性条款要求的； （2）法律、法规和招标文件规定的其他无效情形。</w:t>
            </w:r>
          </w:p>
        </w:tc>
        <w:tc>
          <w:tcPr>
            <w:tcW w:type="dxa" w:w="1661"/>
          </w:tcPr>
          <w:p>
            <w:pPr>
              <w:pStyle w:val="null3"/>
            </w:pPr>
            <w:r>
              <w:rPr>
                <w:rFonts w:ascii="仿宋_GB2312" w:hAnsi="仿宋_GB2312" w:cs="仿宋_GB2312" w:eastAsia="仿宋_GB2312"/>
              </w:rPr>
              <w:t>商务应答表.docx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8、售后服务方案.docx 6、质量保障方案.docx 5、进度计划保障方案.docx 承诺书.docx 商务应答表.docx 7、服务承诺.docx 10、类似项目业绩一览表.docx 11、拟派人员配置情况表.docx 3、重难点分析.docx 供应商应提交的相关资格证明材料.docx 投标函 标的清单 投标文件封面 监狱企业的证明文件 4、出版物审读制度.docx 1、审稿校对方案.docx 2、编辑出版流程方案.docx 中小企业声明函 9、样品.docx 法定代表人身份证明书.docx 残疾人福利性单位声明函 服务内容及服务要求应答表.docx 法定代表人授权委托书.docx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投标人报价未超过采购预算价或者最高限价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有下列情形之一的，应在符合性审查时按照无效投标处理： （1）不满足本招标文件中“服务期限、服务地点、支付方式、支付约定”等实质性条款要求的； （2）法律、法规和招标文件规定的其他无效情形。</w:t>
            </w:r>
          </w:p>
        </w:tc>
        <w:tc>
          <w:tcPr>
            <w:tcW w:type="dxa" w:w="1661"/>
          </w:tcPr>
          <w:p>
            <w:pPr>
              <w:pStyle w:val="null3"/>
            </w:pPr>
            <w:r>
              <w:rPr>
                <w:rFonts w:ascii="仿宋_GB2312" w:hAnsi="仿宋_GB2312" w:cs="仿宋_GB2312" w:eastAsia="仿宋_GB2312"/>
              </w:rPr>
              <w:t>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审稿校对方案</w:t>
            </w:r>
          </w:p>
        </w:tc>
        <w:tc>
          <w:tcPr>
            <w:tcW w:type="dxa" w:w="2492"/>
          </w:tcPr>
          <w:p>
            <w:pPr>
              <w:pStyle w:val="null3"/>
            </w:pPr>
            <w:r>
              <w:rPr>
                <w:rFonts w:ascii="仿宋_GB2312" w:hAnsi="仿宋_GB2312" w:cs="仿宋_GB2312" w:eastAsia="仿宋_GB2312"/>
              </w:rPr>
              <w:t>根据供应商提供的审稿校对方案进行赋分。 审稿校对方案完善可靠，思虑周全得6分; 审稿校对方案基本完善得4分; 审稿校对方案表述不清晰得2分; 未提供或审稿校对方案可行性较差得0分。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1、审稿校对方案.docx</w:t>
            </w:r>
          </w:p>
        </w:tc>
      </w:tr>
      <w:tr>
        <w:tc>
          <w:tcPr>
            <w:tcW w:type="dxa" w:w="831"/>
            <w:vMerge/>
          </w:tcPr>
          <w:p/>
        </w:tc>
        <w:tc>
          <w:tcPr>
            <w:tcW w:type="dxa" w:w="1661"/>
          </w:tcPr>
          <w:p>
            <w:pPr>
              <w:pStyle w:val="null3"/>
            </w:pPr>
            <w:r>
              <w:rPr>
                <w:rFonts w:ascii="仿宋_GB2312" w:hAnsi="仿宋_GB2312" w:cs="仿宋_GB2312" w:eastAsia="仿宋_GB2312"/>
              </w:rPr>
              <w:t>编辑出版流程方案</w:t>
            </w:r>
          </w:p>
        </w:tc>
        <w:tc>
          <w:tcPr>
            <w:tcW w:type="dxa" w:w="2492"/>
          </w:tcPr>
          <w:p>
            <w:pPr>
              <w:pStyle w:val="null3"/>
            </w:pPr>
            <w:r>
              <w:rPr>
                <w:rFonts w:ascii="仿宋_GB2312" w:hAnsi="仿宋_GB2312" w:cs="仿宋_GB2312" w:eastAsia="仿宋_GB2312"/>
              </w:rPr>
              <w:t>根据供应商提供的编辑出版流程方案进行赋分。 流程方案完善可靠，思虑周全得6分; 流程方案基本完善得4分; 流程方案表述不清晰得2分; 未提供或编辑出版流程方案可行性较差得0分。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2、编辑出版流程方案.docx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根据供应商提供的重难点分析进行赋分。 重难点分析完善可靠，思虑周全得6分; 重难点分析基本完善得4分; 重难点分析表述不清晰得2分; 未提供或重难点分析可行性较差得0分。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3、重难点分析.docx</w:t>
            </w:r>
          </w:p>
        </w:tc>
      </w:tr>
      <w:tr>
        <w:tc>
          <w:tcPr>
            <w:tcW w:type="dxa" w:w="831"/>
            <w:vMerge/>
          </w:tcPr>
          <w:p/>
        </w:tc>
        <w:tc>
          <w:tcPr>
            <w:tcW w:type="dxa" w:w="1661"/>
          </w:tcPr>
          <w:p>
            <w:pPr>
              <w:pStyle w:val="null3"/>
            </w:pPr>
            <w:r>
              <w:rPr>
                <w:rFonts w:ascii="仿宋_GB2312" w:hAnsi="仿宋_GB2312" w:cs="仿宋_GB2312" w:eastAsia="仿宋_GB2312"/>
              </w:rPr>
              <w:t>出版物审读制度</w:t>
            </w:r>
          </w:p>
        </w:tc>
        <w:tc>
          <w:tcPr>
            <w:tcW w:type="dxa" w:w="2492"/>
          </w:tcPr>
          <w:p>
            <w:pPr>
              <w:pStyle w:val="null3"/>
            </w:pPr>
            <w:r>
              <w:rPr>
                <w:rFonts w:ascii="仿宋_GB2312" w:hAnsi="仿宋_GB2312" w:cs="仿宋_GB2312" w:eastAsia="仿宋_GB2312"/>
              </w:rPr>
              <w:t>根据供应商提供的出版物审读制度进行赋分。 出版物审读制度考虑全面，审阅效率高得6分； 出版物审读制度基本完善，得4分； 出版物审读制度较为简略，仅有承诺得2分； 未提供或出版物审读制度效率差得0分。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4、出版物审读制度.docx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根据供应商提供的进度计划保障方案进行赋分。 进度计划完善可靠，有针对性，且进度安排有一定的前瞻性，保障手段能够确保整体计划不延误，留出清晰的应急空间得6分； 进度计划基本完善，且有一定的前瞻性，保障手段较为完善，基本能够保障整体计划不延误，但应急空间表述不清楚得4分； 进度计划基本完善，但没有前瞻性，保障手段较为简略，但承诺了整体计划不延误得2分； 未提供或进度计划无法满足时间要求得0分。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5、进度计划保障方案.docx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根据供应商提供的质量保障方案进行赋分。 质量保障方案能够确保图书编校及印制质量符合国家图书质量管理规定，整体计划不延误，留出清晰的应急空间得6分； 质量保障方案较为完善，基本能够保障图书编校及印制质量符合国家图书质量管理规定，整体计划不延误，但应急空间表述不清楚得4分； 质量保障方案较为简略，但承诺了整体计划不延误得2分； 未提供或质量保障可行性较差得0分。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6、质量保障方案.docx</w:t>
            </w:r>
          </w:p>
        </w:tc>
      </w:tr>
      <w:tr>
        <w:tc>
          <w:tcPr>
            <w:tcW w:type="dxa" w:w="831"/>
            <w:vMerge/>
          </w:tcPr>
          <w:p/>
        </w:tc>
        <w:tc>
          <w:tcPr>
            <w:tcW w:type="dxa" w:w="1661"/>
          </w:tcPr>
          <w:p>
            <w:pPr>
              <w:pStyle w:val="null3"/>
            </w:pPr>
            <w:r>
              <w:rPr>
                <w:rFonts w:ascii="仿宋_GB2312" w:hAnsi="仿宋_GB2312" w:cs="仿宋_GB2312" w:eastAsia="仿宋_GB2312"/>
              </w:rPr>
              <w:t>人员配置及分工</w:t>
            </w:r>
          </w:p>
        </w:tc>
        <w:tc>
          <w:tcPr>
            <w:tcW w:type="dxa" w:w="2492"/>
          </w:tcPr>
          <w:p>
            <w:pPr>
              <w:pStyle w:val="null3"/>
            </w:pPr>
            <w:r>
              <w:rPr>
                <w:rFonts w:ascii="仿宋_GB2312" w:hAnsi="仿宋_GB2312" w:cs="仿宋_GB2312" w:eastAsia="仿宋_GB2312"/>
              </w:rPr>
              <w:t>根据拟派项目团队成员的知识结构，分工、协作能力，队伍稳定性、组织编审的能力等方面进行评分，供应商需提供拟派团队一览表、学历证明、职称证（如有）等证明材料复印件。 1.供应商拟派一名项目负责人，需具有文物考古（或历史）学历背景和编审职称，均符合的得6分，符合1项的得3分，均不符合不得分。提供项目人员学历证书或学位证书或学历认证报告，以及技术职称证书加盖公章复印件，未提供不得分。 2.供应商拟派团队人员需具有文物考古（或历史）学历背景和编辑（含）以上职称证书，每具有一名满足上述条件的项目人员得2分，满分8分。提供项目人员学历证书或学位证书或学历认证报告，以及技术职称证书加盖公章复印件，未提供不得分。 3. 人员配备全面，经验丰富，分工细致，且有详尽的人员安排得6分；人员资质较全面，经验较丰富，分工较细致，且有较详尽的人员安排得4分；人员从业资质、经验、分工一般，人员安排及简单得2分；人员缺乏从业资质、经验、分工安排或无人员安排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11、拟派人员配置情况表.docx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供应商需提供2023年1月1日至今同类项目业绩（以合同签订日期为准），每提供1份得3分，最高得15分； 业绩证明以合同或中标/成交通知书为准，须在投标文件中附合同或中标/成交通知书的扫描件加盖单位公章。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10、类似项目业绩一览表.docx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根据供应商提供的服务承诺（内容包含但不限于针对本项目的服务质量目标、内容质量、出版质量等内容）进行赋分。 承诺事项具体、可行、可操作性强得5分； 承诺事项较具体、可操作性较强得3分； 承诺事项不具体得1分；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7、服务承诺.docx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根据供应商提供的售后服务方案（包括但不限于内容纠错、违约承诺及处罚措施等）进行赋分。 售后服务方案完善得4分； 售后服务方案基本完整得2分； 售后服务不完善得1分；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提供招标要求的纸张材料及与招标要求印刷质量相同的出版成品样书，根据提供的样品质量及印刷要求符合程度，计1-10分。未提供样品不得分。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9、样品.docx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价格分统一采用低价优先法计算，即满足招标文件要求且最低的投标报价为评审基准价，其价格分为满分。其他供应商的价格分统一按照下列公式计算：价格分=(评审基准价／投标报价)×报价得分分值；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审稿校对方案</w:t>
            </w:r>
          </w:p>
        </w:tc>
        <w:tc>
          <w:tcPr>
            <w:tcW w:type="dxa" w:w="2492"/>
          </w:tcPr>
          <w:p>
            <w:pPr>
              <w:pStyle w:val="null3"/>
            </w:pPr>
            <w:r>
              <w:rPr>
                <w:rFonts w:ascii="仿宋_GB2312" w:hAnsi="仿宋_GB2312" w:cs="仿宋_GB2312" w:eastAsia="仿宋_GB2312"/>
              </w:rPr>
              <w:t>根据供应商提供的审稿校对方案进行赋分。 审稿校对方案完善可靠，思虑周全得6分; 审稿校对方案基本完善得4分; 审稿校对方案表述不清晰得2分; 未提供或审稿校对方案可行性较差得0分。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1、审稿校对方案.docx</w:t>
            </w:r>
          </w:p>
        </w:tc>
      </w:tr>
      <w:tr>
        <w:tc>
          <w:tcPr>
            <w:tcW w:type="dxa" w:w="831"/>
            <w:vMerge/>
          </w:tcPr>
          <w:p/>
        </w:tc>
        <w:tc>
          <w:tcPr>
            <w:tcW w:type="dxa" w:w="1661"/>
          </w:tcPr>
          <w:p>
            <w:pPr>
              <w:pStyle w:val="null3"/>
            </w:pPr>
            <w:r>
              <w:rPr>
                <w:rFonts w:ascii="仿宋_GB2312" w:hAnsi="仿宋_GB2312" w:cs="仿宋_GB2312" w:eastAsia="仿宋_GB2312"/>
              </w:rPr>
              <w:t>编辑出版流程方案</w:t>
            </w:r>
          </w:p>
        </w:tc>
        <w:tc>
          <w:tcPr>
            <w:tcW w:type="dxa" w:w="2492"/>
          </w:tcPr>
          <w:p>
            <w:pPr>
              <w:pStyle w:val="null3"/>
            </w:pPr>
            <w:r>
              <w:rPr>
                <w:rFonts w:ascii="仿宋_GB2312" w:hAnsi="仿宋_GB2312" w:cs="仿宋_GB2312" w:eastAsia="仿宋_GB2312"/>
              </w:rPr>
              <w:t>根据供应商提供的编辑出版流程方案进行赋分。 流程方案完善可靠，思虑周全得6分; 流程方案基本完善得4分; 流程方案表述不清晰得2分; 未提供或编辑出版流程方案可行性较差得0分。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2、编辑出版流程方案.docx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根据供应商提供的重难点分析进行赋分。 重难点分析完善可靠，思虑周全得6分; 重难点分析基本完善得4分; 重难点分析表述不清晰得2分; 未提供或重难点分析可行性较差得0分。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3、重难点分析.docx</w:t>
            </w:r>
          </w:p>
        </w:tc>
      </w:tr>
      <w:tr>
        <w:tc>
          <w:tcPr>
            <w:tcW w:type="dxa" w:w="831"/>
            <w:vMerge/>
          </w:tcPr>
          <w:p/>
        </w:tc>
        <w:tc>
          <w:tcPr>
            <w:tcW w:type="dxa" w:w="1661"/>
          </w:tcPr>
          <w:p>
            <w:pPr>
              <w:pStyle w:val="null3"/>
            </w:pPr>
            <w:r>
              <w:rPr>
                <w:rFonts w:ascii="仿宋_GB2312" w:hAnsi="仿宋_GB2312" w:cs="仿宋_GB2312" w:eastAsia="仿宋_GB2312"/>
              </w:rPr>
              <w:t>出版物审读制度</w:t>
            </w:r>
          </w:p>
        </w:tc>
        <w:tc>
          <w:tcPr>
            <w:tcW w:type="dxa" w:w="2492"/>
          </w:tcPr>
          <w:p>
            <w:pPr>
              <w:pStyle w:val="null3"/>
            </w:pPr>
            <w:r>
              <w:rPr>
                <w:rFonts w:ascii="仿宋_GB2312" w:hAnsi="仿宋_GB2312" w:cs="仿宋_GB2312" w:eastAsia="仿宋_GB2312"/>
              </w:rPr>
              <w:t>根据供应商提供的出版物审读制度进行赋分。 出版物审读制度考虑全面，审阅效率高得6分； 出版物审读制度基本完善，得4分； 出版物审读制度较为简略，仅有承诺得2分； 未提供或出版物审读制度效率差得0分。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4、出版物审读制度.docx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根据供应商提供的进度计划保障方案进行赋分。 进度计划完善可靠，有针对性，且进度安排有一定的前瞻性，保障手段能够确保整体计划不延误，留出清晰的应急空间得6分； 进度计划基本完善，且有一定的前瞻性，保障手段较为完善，基本能够保障整体计划不延误，但应急空间表述不清楚得4分； 进度计划基本完善，但没有前瞻性，保障手段较为简略，但承诺了整体计划不延误得2分； 未提供或进度计划无法满足时间要求得0分。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5、进度计划保障方案.docx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根据供应商提供的质量保障方案进行赋分。 质量保障方案能够确保图书编校及印制质量符合国家图书质量管理规定，整体计划不延误，留出清晰的应急空间得6分； 质量保障方案较为完善，基本能够保障图书编校及印制质量符合国家图书质量管理规定，整体计划不延误，但应急空间表述不清楚得4分； 质量保障方案较为简略，但承诺了整体计划不延误得2分； 未提供或质量保障可行性较差得0分。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6、质量保障方案.docx</w:t>
            </w:r>
          </w:p>
        </w:tc>
      </w:tr>
      <w:tr>
        <w:tc>
          <w:tcPr>
            <w:tcW w:type="dxa" w:w="831"/>
            <w:vMerge/>
          </w:tcPr>
          <w:p/>
        </w:tc>
        <w:tc>
          <w:tcPr>
            <w:tcW w:type="dxa" w:w="1661"/>
          </w:tcPr>
          <w:p>
            <w:pPr>
              <w:pStyle w:val="null3"/>
            </w:pPr>
            <w:r>
              <w:rPr>
                <w:rFonts w:ascii="仿宋_GB2312" w:hAnsi="仿宋_GB2312" w:cs="仿宋_GB2312" w:eastAsia="仿宋_GB2312"/>
              </w:rPr>
              <w:t>人员配置及分工</w:t>
            </w:r>
          </w:p>
        </w:tc>
        <w:tc>
          <w:tcPr>
            <w:tcW w:type="dxa" w:w="2492"/>
          </w:tcPr>
          <w:p>
            <w:pPr>
              <w:pStyle w:val="null3"/>
            </w:pPr>
            <w:r>
              <w:rPr>
                <w:rFonts w:ascii="仿宋_GB2312" w:hAnsi="仿宋_GB2312" w:cs="仿宋_GB2312" w:eastAsia="仿宋_GB2312"/>
              </w:rPr>
              <w:t>根据拟派项目团队成员的知识结构，分工、协作能力，队伍稳定性、组织编审的能力等方面进行评分，供应商需提供拟派团队一览表、学历证明、职称证（如有）等证明材料复印件。 1.供应商拟派一名项目负责人，需具有文物考古（或历史）学历背景和编审职称，均符合的得6分，符合1项的得3分，均不符合不得分。提供项目人员学历证书或学位证书或学历认证报告，以及技术职称证书加盖公章复印件，未提供不得分。 2.供应商拟派团队人员需具有文物考古（或历史）学历背景和编辑（含）以上职称证书，每具有一名满足上述条件的项目人员得2分，满分8分。提供项目人员学历证书或学位证书或学历认证报告，以及技术职称证书加盖公章复印件，未提供不得分。 3. 人员配备全面，经验丰富，分工细致，且有详尽的人员安排得6分；人员资质较全面，经验较丰富，分工较细致，且有较详尽的人员安排得4分；人员从业资质、经验、分工一般，人员安排及简单得2分；人员缺乏从业资质、经验、分工安排或无人员安排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11、拟派人员配置情况表.docx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供应商需提供2023年1月1日至今同类项目业绩（以合同签订日期为准），每提供1份得3分，最高得15分； 业绩证明以合同或中标/成交通知书为准，须在投标文件中附合同或中标/成交通知书的扫描件加盖单位公章。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10、类似项目业绩一览表.docx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根据供应商提供的服务承诺（内容包含但不限于针对本项目的服务质量目标、内容质量、出版质量等内容）进行赋分。 承诺事项具体、可行、可操作性强得5分； 承诺事项较具体、可操作性较强得3分； 承诺事项不具体得1分；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7、服务承诺.docx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根据供应商提供的售后服务方案（包括但不限于内容纠错、违约承诺及处罚措施等）进行赋分。 售后服务方案完善得4分； 售后服务方案基本完整得2分； 售后服务不完善得1分；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提供招标要求的纸张材料及与招标要求印刷质量相同的出版成品样书，根据提供的样品质量及印刷要求符合程度，计1-10分。未提供样品不得分。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9、样品.docx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价格分统一采用低价优先法计算，即满足招标文件要求且最低的投标报价为评审基准价，其价格分为满分。其他供应商的价格分统一按照下列公式计算：价格分=(评审基准价／投标报价)×报价得分分值；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审稿校对方案</w:t>
            </w:r>
          </w:p>
        </w:tc>
        <w:tc>
          <w:tcPr>
            <w:tcW w:type="dxa" w:w="2492"/>
          </w:tcPr>
          <w:p>
            <w:pPr>
              <w:pStyle w:val="null3"/>
            </w:pPr>
            <w:r>
              <w:rPr>
                <w:rFonts w:ascii="仿宋_GB2312" w:hAnsi="仿宋_GB2312" w:cs="仿宋_GB2312" w:eastAsia="仿宋_GB2312"/>
              </w:rPr>
              <w:t>根据供应商提供的审稿校对方案进行赋分。 审稿校对方案完善可靠，思虑周全得6分; 审稿校对方案基本完善得4分; 审稿校对方案表述不清晰得2分; 未提供或审稿校对方案可行性较差得0分。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1、审稿校对方案.docx</w:t>
            </w:r>
          </w:p>
        </w:tc>
      </w:tr>
      <w:tr>
        <w:tc>
          <w:tcPr>
            <w:tcW w:type="dxa" w:w="831"/>
            <w:vMerge/>
          </w:tcPr>
          <w:p/>
        </w:tc>
        <w:tc>
          <w:tcPr>
            <w:tcW w:type="dxa" w:w="1661"/>
          </w:tcPr>
          <w:p>
            <w:pPr>
              <w:pStyle w:val="null3"/>
            </w:pPr>
            <w:r>
              <w:rPr>
                <w:rFonts w:ascii="仿宋_GB2312" w:hAnsi="仿宋_GB2312" w:cs="仿宋_GB2312" w:eastAsia="仿宋_GB2312"/>
              </w:rPr>
              <w:t>编辑出版流程方案</w:t>
            </w:r>
          </w:p>
        </w:tc>
        <w:tc>
          <w:tcPr>
            <w:tcW w:type="dxa" w:w="2492"/>
          </w:tcPr>
          <w:p>
            <w:pPr>
              <w:pStyle w:val="null3"/>
            </w:pPr>
            <w:r>
              <w:rPr>
                <w:rFonts w:ascii="仿宋_GB2312" w:hAnsi="仿宋_GB2312" w:cs="仿宋_GB2312" w:eastAsia="仿宋_GB2312"/>
              </w:rPr>
              <w:t>根据供应商提供的编辑出版流程方案进行赋分。 流程方案完善可靠，思虑周全得6分; 流程方案基本完善得4分; 流程方案表述不清晰得2分; 未提供或编辑出版流程方案可行性较差得0分。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2、编辑出版流程方案.docx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根据供应商提供的重难点分析进行赋分。 重难点分析完善可靠，思虑周全得6分; 重难点分析基本完善得4分; 重难点分析表述不清晰得2分; 未提供或重难点分析可行性较差得0分。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3、重难点分析.docx</w:t>
            </w:r>
          </w:p>
        </w:tc>
      </w:tr>
      <w:tr>
        <w:tc>
          <w:tcPr>
            <w:tcW w:type="dxa" w:w="831"/>
            <w:vMerge/>
          </w:tcPr>
          <w:p/>
        </w:tc>
        <w:tc>
          <w:tcPr>
            <w:tcW w:type="dxa" w:w="1661"/>
          </w:tcPr>
          <w:p>
            <w:pPr>
              <w:pStyle w:val="null3"/>
            </w:pPr>
            <w:r>
              <w:rPr>
                <w:rFonts w:ascii="仿宋_GB2312" w:hAnsi="仿宋_GB2312" w:cs="仿宋_GB2312" w:eastAsia="仿宋_GB2312"/>
              </w:rPr>
              <w:t>出版物审读制度</w:t>
            </w:r>
          </w:p>
        </w:tc>
        <w:tc>
          <w:tcPr>
            <w:tcW w:type="dxa" w:w="2492"/>
          </w:tcPr>
          <w:p>
            <w:pPr>
              <w:pStyle w:val="null3"/>
            </w:pPr>
            <w:r>
              <w:rPr>
                <w:rFonts w:ascii="仿宋_GB2312" w:hAnsi="仿宋_GB2312" w:cs="仿宋_GB2312" w:eastAsia="仿宋_GB2312"/>
              </w:rPr>
              <w:t>根据供应商提供的出版物审读制度进行赋分。 出版物审读制度考虑全面，审阅效率高得6分； 出版物审读制度基本完善，得4分； 出版物审读制度较为简略，仅有承诺得2分； 未提供或出版物审读制度效率差得0分。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4、出版物审读制度.docx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根据供应商提供的进度计划保障方案进行赋分。 进度计划完善可靠，有针对性，且进度安排有一定的前瞻性，保障手段能够确保整体计划不延误，留出清晰的应急空间得6分； 进度计划基本完善，且有一定的前瞻性，保障手段较为完善，基本能够保障整体计划不延误，但应急空间表述不清楚得4分； 进度计划基本完善，但没有前瞻性，保障手段较为简略，但承诺了整体计划不延误得2分； 未提供或进度计划无法满足时间要求得0分。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5、进度计划保障方案.docx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根据供应商提供的质量保障方案进行赋分。 质量保障方案能够确保图书编校及印制质量符合国家图书质量管理规定，整体计划不延误，留出清晰的应急空间得6分； 质量保障方案较为完善，基本能够保障图书编校及印制质量符合国家图书质量管理规定，整体计划不延误，但应急空间表述不清楚得4分； 质量保障方案较为简略，但承诺了整体计划不延误得2分； 未提供或质量保障可行性较差得0分。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6、质量保障方案.docx</w:t>
            </w:r>
          </w:p>
        </w:tc>
      </w:tr>
      <w:tr>
        <w:tc>
          <w:tcPr>
            <w:tcW w:type="dxa" w:w="831"/>
            <w:vMerge/>
          </w:tcPr>
          <w:p/>
        </w:tc>
        <w:tc>
          <w:tcPr>
            <w:tcW w:type="dxa" w:w="1661"/>
          </w:tcPr>
          <w:p>
            <w:pPr>
              <w:pStyle w:val="null3"/>
            </w:pPr>
            <w:r>
              <w:rPr>
                <w:rFonts w:ascii="仿宋_GB2312" w:hAnsi="仿宋_GB2312" w:cs="仿宋_GB2312" w:eastAsia="仿宋_GB2312"/>
              </w:rPr>
              <w:t>人员配置及分工</w:t>
            </w:r>
          </w:p>
        </w:tc>
        <w:tc>
          <w:tcPr>
            <w:tcW w:type="dxa" w:w="2492"/>
          </w:tcPr>
          <w:p>
            <w:pPr>
              <w:pStyle w:val="null3"/>
            </w:pPr>
            <w:r>
              <w:rPr>
                <w:rFonts w:ascii="仿宋_GB2312" w:hAnsi="仿宋_GB2312" w:cs="仿宋_GB2312" w:eastAsia="仿宋_GB2312"/>
              </w:rPr>
              <w:t>根据拟派项目团队成员的知识结构，分工、协作能力，队伍稳定性、组织编审的能力等方面进行评分，供应商需提供拟派团队一览表、学历证明、职称证（如有）等证明材料复印件。 1.供应商拟派一名项目负责人，需具有文物考古（或历史）学历背景和编审职称，均符合的得6分，符合1项的得3分，均不符合不得分。提供项目人员学历证书或学位证书或学历认证报告，以及技术职称证书加盖公章复印件，未提供不得分。 2.供应商拟派团队人员需具有文物考古（或历史）学历背景和编辑（含）以上职称证书，每具有一名满足上述条件的项目人员得2分，满分8分。提供项目人员学历证书或学位证书或学历认证报告，以及技术职称证书加盖公章复印件，未提供不得分。 3. 人员配备全面，经验丰富，分工细致，且有详尽的人员安排得6分；人员资质较全面，经验较丰富，分工较细致，且有较详尽的人员安排得4分；人员从业资质、经验、分工一般，人员安排及简单得2分；人员缺乏从业资质、经验、分工安排或无人员安排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11、拟派人员配置情况表.docx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供应商需提供2023年1月1日至今同类项目业绩（以合同签订日期为准），每提供1份得3分，最高得15分； 业绩证明以合同或中标/成交通知书为准，须在投标文件中附合同或中标/成交通知书的扫描件加盖单位公章。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10、类似项目业绩一览表.docx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根据供应商提供的服务承诺（内容包含但不限于针对本项目的服务质量目标、内容质量、出版质量等内容）进行赋分。 承诺事项具体、可行、可操作性强得5分； 承诺事项较具体、可操作性较强得3分； 承诺事项不具体得1分；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7、服务承诺.docx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根据供应商提供的售后服务方案（包括但不限于内容纠错、违约承诺及处罚措施等）进行赋分。 售后服务方案完善得4分； 售后服务方案基本完整得2分； 售后服务不完善得1分；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提供招标要求的纸张材料及与招标要求印刷质量相同的出版成品样书，根据提供的样品质量及印刷要求符合程度，计1-10分。未提供样品不得分。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9、样品.docx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价格分统一采用低价优先法计算，即满足招标文件要求且最低的投标报价为评审基准价，其价格分为满分。其他供应商的价格分统一按照下列公式计算：价格分=(评审基准价／投标报价)×报价得分分值；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审稿校对方案</w:t>
            </w:r>
          </w:p>
        </w:tc>
        <w:tc>
          <w:tcPr>
            <w:tcW w:type="dxa" w:w="2492"/>
          </w:tcPr>
          <w:p>
            <w:pPr>
              <w:pStyle w:val="null3"/>
            </w:pPr>
            <w:r>
              <w:rPr>
                <w:rFonts w:ascii="仿宋_GB2312" w:hAnsi="仿宋_GB2312" w:cs="仿宋_GB2312" w:eastAsia="仿宋_GB2312"/>
              </w:rPr>
              <w:t>根据供应商提供的审稿校对方案进行赋分。 审稿校对方案完善可靠，思虑周全得6分; 审稿校对方案基本完善得4分; 审稿校对方案表述不清晰得2分; 未提供或审稿校对方案可行性较差得0分。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1、审稿校对方案.docx</w:t>
            </w:r>
          </w:p>
        </w:tc>
      </w:tr>
      <w:tr>
        <w:tc>
          <w:tcPr>
            <w:tcW w:type="dxa" w:w="831"/>
            <w:vMerge/>
          </w:tcPr>
          <w:p/>
        </w:tc>
        <w:tc>
          <w:tcPr>
            <w:tcW w:type="dxa" w:w="1661"/>
          </w:tcPr>
          <w:p>
            <w:pPr>
              <w:pStyle w:val="null3"/>
            </w:pPr>
            <w:r>
              <w:rPr>
                <w:rFonts w:ascii="仿宋_GB2312" w:hAnsi="仿宋_GB2312" w:cs="仿宋_GB2312" w:eastAsia="仿宋_GB2312"/>
              </w:rPr>
              <w:t>编辑出版流程方案</w:t>
            </w:r>
          </w:p>
        </w:tc>
        <w:tc>
          <w:tcPr>
            <w:tcW w:type="dxa" w:w="2492"/>
          </w:tcPr>
          <w:p>
            <w:pPr>
              <w:pStyle w:val="null3"/>
            </w:pPr>
            <w:r>
              <w:rPr>
                <w:rFonts w:ascii="仿宋_GB2312" w:hAnsi="仿宋_GB2312" w:cs="仿宋_GB2312" w:eastAsia="仿宋_GB2312"/>
              </w:rPr>
              <w:t>根据供应商提供的编辑出版流程方案进行赋分。 流程方案完善可靠，思虑周全得6分; 流程方案基本完善得4分; 流程方案表述不清晰得2分; 未提供或编辑出版流程方案可行性较差得0分。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2、编辑出版流程方案.docx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根据供应商提供的重难点分析进行赋分。 重难点分析完善可靠，思虑周全得6分; 重难点分析基本完善得4分; 重难点分析表述不清晰得2分; 未提供或重难点分析可行性较差得0分。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3、重难点分析.docx</w:t>
            </w:r>
          </w:p>
        </w:tc>
      </w:tr>
      <w:tr>
        <w:tc>
          <w:tcPr>
            <w:tcW w:type="dxa" w:w="831"/>
            <w:vMerge/>
          </w:tcPr>
          <w:p/>
        </w:tc>
        <w:tc>
          <w:tcPr>
            <w:tcW w:type="dxa" w:w="1661"/>
          </w:tcPr>
          <w:p>
            <w:pPr>
              <w:pStyle w:val="null3"/>
            </w:pPr>
            <w:r>
              <w:rPr>
                <w:rFonts w:ascii="仿宋_GB2312" w:hAnsi="仿宋_GB2312" w:cs="仿宋_GB2312" w:eastAsia="仿宋_GB2312"/>
              </w:rPr>
              <w:t>出版物审读制度</w:t>
            </w:r>
          </w:p>
        </w:tc>
        <w:tc>
          <w:tcPr>
            <w:tcW w:type="dxa" w:w="2492"/>
          </w:tcPr>
          <w:p>
            <w:pPr>
              <w:pStyle w:val="null3"/>
            </w:pPr>
            <w:r>
              <w:rPr>
                <w:rFonts w:ascii="仿宋_GB2312" w:hAnsi="仿宋_GB2312" w:cs="仿宋_GB2312" w:eastAsia="仿宋_GB2312"/>
              </w:rPr>
              <w:t>根据供应商提供的出版物审读制度进行赋分。 出版物审读制度考虑全面，审阅效率高得6分； 出版物审读制度基本完善，得4分； 出版物审读制度较为简略，仅有承诺得2分； 未提供或出版物审读制度效率差得0分。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4、出版物审读制度.docx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根据供应商提供的进度计划保障方案进行赋分。 进度计划完善可靠，有针对性，且进度安排有一定的前瞻性，保障手段能够确保整体计划不延误，留出清晰的应急空间得6分； 进度计划基本完善，且有一定的前瞻性，保障手段较为完善，基本能够保障整体计划不延误，但应急空间表述不清楚得4分； 进度计划基本完善，但没有前瞻性，保障手段较为简略，但承诺了整体计划不延误得2分； 未提供或进度计划无法满足时间要求得0分。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5、进度计划保障方案.docx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根据供应商提供的质量保障方案进行赋分。 质量保障方案能够确保图书编校及印制质量符合国家图书质量管理规定，整体计划不延误，留出清晰的应急空间得6分； 质量保障方案较为完善，基本能够保障图书编校及印制质量符合国家图书质量管理规定，整体计划不延误，但应急空间表述不清楚得4分； 质量保障方案较为简略，但承诺了整体计划不延误得2分； 未提供或质量保障可行性较差得0分。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6、质量保障方案.docx</w:t>
            </w:r>
          </w:p>
        </w:tc>
      </w:tr>
      <w:tr>
        <w:tc>
          <w:tcPr>
            <w:tcW w:type="dxa" w:w="831"/>
            <w:vMerge/>
          </w:tcPr>
          <w:p/>
        </w:tc>
        <w:tc>
          <w:tcPr>
            <w:tcW w:type="dxa" w:w="1661"/>
          </w:tcPr>
          <w:p>
            <w:pPr>
              <w:pStyle w:val="null3"/>
            </w:pPr>
            <w:r>
              <w:rPr>
                <w:rFonts w:ascii="仿宋_GB2312" w:hAnsi="仿宋_GB2312" w:cs="仿宋_GB2312" w:eastAsia="仿宋_GB2312"/>
              </w:rPr>
              <w:t>人员配置及分工</w:t>
            </w:r>
          </w:p>
        </w:tc>
        <w:tc>
          <w:tcPr>
            <w:tcW w:type="dxa" w:w="2492"/>
          </w:tcPr>
          <w:p>
            <w:pPr>
              <w:pStyle w:val="null3"/>
            </w:pPr>
            <w:r>
              <w:rPr>
                <w:rFonts w:ascii="仿宋_GB2312" w:hAnsi="仿宋_GB2312" w:cs="仿宋_GB2312" w:eastAsia="仿宋_GB2312"/>
              </w:rPr>
              <w:t>根据拟派项目团队成员的知识结构，分工、协作能力，队伍稳定性、组织编审的能力等方面进行评分，供应商需提供拟派团队一览表、学历证明、职称证（如有）等证明材料复印件。 1.供应商拟派一名项目负责人，需具有文物考古（或历史）学历背景和编审职称，均符合的得6分，符合1项的得3分，均不符合不得分。提供项目人员学历证书或学位证书或学历认证报告，以及技术职称证书加盖公章复印件，未提供不得分。 2.供应商拟派团队人员需具有文物考古（或历史）学历背景和编辑（含）以上职称证书，每具有一名满足上述条件的项目人员得2分，满分8分。提供项目人员学历证书或学位证书或学历认证报告，以及技术职称证书加盖公章复印件，未提供不得分。 3. 人员配备全面，经验丰富，分工细致，且有详尽的人员安排得6分；人员资质较全面，经验较丰富，分工较细致，且有较详尽的人员安排得4分；人员从业资质、经验、分工一般，人员安排及简单得2分；人员缺乏从业资质、经验、分工安排或无人员安排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11、拟派人员配置情况表.docx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供应商需提供2023年1月1日至今同类项目业绩（以合同签订日期为准），每提供1份得3分，最高得15分； 业绩证明以合同或中标/成交通知书为准，须在投标文件中附合同或中标/成交通知书的扫描件加盖单位公章。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10、类似项目业绩一览表.docx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根据供应商提供的服务承诺（内容包含但不限于针对本项目的服务质量目标、内容质量、出版质量等内容）进行赋分。 承诺事项具体、可行、可操作性强得5分； 承诺事项较具体、可操作性较强得3分； 承诺事项不具体得1分；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7、服务承诺.docx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根据供应商提供的售后服务方案（包括但不限于内容纠错、违约承诺及处罚措施等）进行赋分。 售后服务方案完善得4分； 售后服务方案基本完整得2分； 售后服务不完善得1分；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提供招标要求的纸张材料及与招标要求印刷质量相同的出版成品样书，根据提供的样品质量及印刷要求符合程度，计1-10分。未提供样品不得分。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9、样品.docx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价格分统一采用低价优先法计算，即满足招标文件要求且最低的投标报价为评审基准价，其价格分为满分。其他供应商的价格分统一按照下列公式计算：价格分=(评审基准价／投标报价)×报价得分分值；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详见附件：1、审稿校对方案.docx</w:t>
      </w:r>
    </w:p>
    <w:p>
      <w:pPr>
        <w:pStyle w:val="null3"/>
        <w:ind w:firstLine="960"/>
      </w:pPr>
      <w:r>
        <w:rPr>
          <w:rFonts w:ascii="仿宋_GB2312" w:hAnsi="仿宋_GB2312" w:cs="仿宋_GB2312" w:eastAsia="仿宋_GB2312"/>
        </w:rPr>
        <w:t>详见附件：2、编辑出版流程方案.docx</w:t>
      </w:r>
    </w:p>
    <w:p>
      <w:pPr>
        <w:pStyle w:val="null3"/>
        <w:ind w:firstLine="960"/>
      </w:pPr>
      <w:r>
        <w:rPr>
          <w:rFonts w:ascii="仿宋_GB2312" w:hAnsi="仿宋_GB2312" w:cs="仿宋_GB2312" w:eastAsia="仿宋_GB2312"/>
        </w:rPr>
        <w:t>详见附件：3、重难点分析.docx</w:t>
      </w:r>
    </w:p>
    <w:p>
      <w:pPr>
        <w:pStyle w:val="null3"/>
        <w:ind w:firstLine="960"/>
      </w:pPr>
      <w:r>
        <w:rPr>
          <w:rFonts w:ascii="仿宋_GB2312" w:hAnsi="仿宋_GB2312" w:cs="仿宋_GB2312" w:eastAsia="仿宋_GB2312"/>
        </w:rPr>
        <w:t>详见附件：4、出版物审读制度.docx</w:t>
      </w:r>
    </w:p>
    <w:p>
      <w:pPr>
        <w:pStyle w:val="null3"/>
        <w:ind w:firstLine="960"/>
      </w:pPr>
      <w:r>
        <w:rPr>
          <w:rFonts w:ascii="仿宋_GB2312" w:hAnsi="仿宋_GB2312" w:cs="仿宋_GB2312" w:eastAsia="仿宋_GB2312"/>
        </w:rPr>
        <w:t>详见附件：5、进度计划保障方案.docx</w:t>
      </w:r>
    </w:p>
    <w:p>
      <w:pPr>
        <w:pStyle w:val="null3"/>
        <w:ind w:firstLine="960"/>
      </w:pPr>
      <w:r>
        <w:rPr>
          <w:rFonts w:ascii="仿宋_GB2312" w:hAnsi="仿宋_GB2312" w:cs="仿宋_GB2312" w:eastAsia="仿宋_GB2312"/>
        </w:rPr>
        <w:t>详见附件：6、质量保障方案.docx</w:t>
      </w:r>
    </w:p>
    <w:p>
      <w:pPr>
        <w:pStyle w:val="null3"/>
        <w:ind w:firstLine="960"/>
      </w:pPr>
      <w:r>
        <w:rPr>
          <w:rFonts w:ascii="仿宋_GB2312" w:hAnsi="仿宋_GB2312" w:cs="仿宋_GB2312" w:eastAsia="仿宋_GB2312"/>
        </w:rPr>
        <w:t>详见附件：7、服务承诺.docx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详见附件：9、样品.docx</w:t>
      </w:r>
    </w:p>
    <w:p>
      <w:pPr>
        <w:pStyle w:val="null3"/>
        <w:ind w:firstLine="960"/>
      </w:pPr>
      <w:r>
        <w:rPr>
          <w:rFonts w:ascii="仿宋_GB2312" w:hAnsi="仿宋_GB2312" w:cs="仿宋_GB2312" w:eastAsia="仿宋_GB2312"/>
        </w:rPr>
        <w:t>详见附件：10、类似项目业绩一览表.docx</w:t>
      </w:r>
    </w:p>
    <w:p>
      <w:pPr>
        <w:pStyle w:val="null3"/>
        <w:ind w:firstLine="960"/>
      </w:pPr>
      <w:r>
        <w:rPr>
          <w:rFonts w:ascii="仿宋_GB2312" w:hAnsi="仿宋_GB2312" w:cs="仿宋_GB2312" w:eastAsia="仿宋_GB2312"/>
        </w:rPr>
        <w:t>详见附件：11、拟派人员配置情况表.docx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详见附件：1、审稿校对方案.docx</w:t>
      </w:r>
    </w:p>
    <w:p>
      <w:pPr>
        <w:pStyle w:val="null3"/>
        <w:ind w:firstLine="960"/>
      </w:pPr>
      <w:r>
        <w:rPr>
          <w:rFonts w:ascii="仿宋_GB2312" w:hAnsi="仿宋_GB2312" w:cs="仿宋_GB2312" w:eastAsia="仿宋_GB2312"/>
        </w:rPr>
        <w:t>详见附件：2、编辑出版流程方案.docx</w:t>
      </w:r>
    </w:p>
    <w:p>
      <w:pPr>
        <w:pStyle w:val="null3"/>
        <w:ind w:firstLine="960"/>
      </w:pPr>
      <w:r>
        <w:rPr>
          <w:rFonts w:ascii="仿宋_GB2312" w:hAnsi="仿宋_GB2312" w:cs="仿宋_GB2312" w:eastAsia="仿宋_GB2312"/>
        </w:rPr>
        <w:t>详见附件：3、重难点分析.docx</w:t>
      </w:r>
    </w:p>
    <w:p>
      <w:pPr>
        <w:pStyle w:val="null3"/>
        <w:ind w:firstLine="960"/>
      </w:pPr>
      <w:r>
        <w:rPr>
          <w:rFonts w:ascii="仿宋_GB2312" w:hAnsi="仿宋_GB2312" w:cs="仿宋_GB2312" w:eastAsia="仿宋_GB2312"/>
        </w:rPr>
        <w:t>详见附件：4、出版物审读制度.docx</w:t>
      </w:r>
    </w:p>
    <w:p>
      <w:pPr>
        <w:pStyle w:val="null3"/>
        <w:ind w:firstLine="960"/>
      </w:pPr>
      <w:r>
        <w:rPr>
          <w:rFonts w:ascii="仿宋_GB2312" w:hAnsi="仿宋_GB2312" w:cs="仿宋_GB2312" w:eastAsia="仿宋_GB2312"/>
        </w:rPr>
        <w:t>详见附件：5、进度计划保障方案.docx</w:t>
      </w:r>
    </w:p>
    <w:p>
      <w:pPr>
        <w:pStyle w:val="null3"/>
        <w:ind w:firstLine="960"/>
      </w:pPr>
      <w:r>
        <w:rPr>
          <w:rFonts w:ascii="仿宋_GB2312" w:hAnsi="仿宋_GB2312" w:cs="仿宋_GB2312" w:eastAsia="仿宋_GB2312"/>
        </w:rPr>
        <w:t>详见附件：6、质量保障方案.docx</w:t>
      </w:r>
    </w:p>
    <w:p>
      <w:pPr>
        <w:pStyle w:val="null3"/>
        <w:ind w:firstLine="960"/>
      </w:pPr>
      <w:r>
        <w:rPr>
          <w:rFonts w:ascii="仿宋_GB2312" w:hAnsi="仿宋_GB2312" w:cs="仿宋_GB2312" w:eastAsia="仿宋_GB2312"/>
        </w:rPr>
        <w:t>详见附件：7、服务承诺.docx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详见附件：9、样品.docx</w:t>
      </w:r>
    </w:p>
    <w:p>
      <w:pPr>
        <w:pStyle w:val="null3"/>
        <w:ind w:firstLine="960"/>
      </w:pPr>
      <w:r>
        <w:rPr>
          <w:rFonts w:ascii="仿宋_GB2312" w:hAnsi="仿宋_GB2312" w:cs="仿宋_GB2312" w:eastAsia="仿宋_GB2312"/>
        </w:rPr>
        <w:t>详见附件：10、类似项目业绩一览表.docx</w:t>
      </w:r>
    </w:p>
    <w:p>
      <w:pPr>
        <w:pStyle w:val="null3"/>
        <w:ind w:firstLine="960"/>
      </w:pPr>
      <w:r>
        <w:rPr>
          <w:rFonts w:ascii="仿宋_GB2312" w:hAnsi="仿宋_GB2312" w:cs="仿宋_GB2312" w:eastAsia="仿宋_GB2312"/>
        </w:rPr>
        <w:t>详见附件：11、拟派人员配置情况表.docx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详见附件：1、审稿校对方案.docx</w:t>
      </w:r>
    </w:p>
    <w:p>
      <w:pPr>
        <w:pStyle w:val="null3"/>
        <w:ind w:firstLine="960"/>
      </w:pPr>
      <w:r>
        <w:rPr>
          <w:rFonts w:ascii="仿宋_GB2312" w:hAnsi="仿宋_GB2312" w:cs="仿宋_GB2312" w:eastAsia="仿宋_GB2312"/>
        </w:rPr>
        <w:t>详见附件：2、编辑出版流程方案.docx</w:t>
      </w:r>
    </w:p>
    <w:p>
      <w:pPr>
        <w:pStyle w:val="null3"/>
        <w:ind w:firstLine="960"/>
      </w:pPr>
      <w:r>
        <w:rPr>
          <w:rFonts w:ascii="仿宋_GB2312" w:hAnsi="仿宋_GB2312" w:cs="仿宋_GB2312" w:eastAsia="仿宋_GB2312"/>
        </w:rPr>
        <w:t>详见附件：3、重难点分析.docx</w:t>
      </w:r>
    </w:p>
    <w:p>
      <w:pPr>
        <w:pStyle w:val="null3"/>
        <w:ind w:firstLine="960"/>
      </w:pPr>
      <w:r>
        <w:rPr>
          <w:rFonts w:ascii="仿宋_GB2312" w:hAnsi="仿宋_GB2312" w:cs="仿宋_GB2312" w:eastAsia="仿宋_GB2312"/>
        </w:rPr>
        <w:t>详见附件：4、出版物审读制度.docx</w:t>
      </w:r>
    </w:p>
    <w:p>
      <w:pPr>
        <w:pStyle w:val="null3"/>
        <w:ind w:firstLine="960"/>
      </w:pPr>
      <w:r>
        <w:rPr>
          <w:rFonts w:ascii="仿宋_GB2312" w:hAnsi="仿宋_GB2312" w:cs="仿宋_GB2312" w:eastAsia="仿宋_GB2312"/>
        </w:rPr>
        <w:t>详见附件：5、进度计划保障方案.docx</w:t>
      </w:r>
    </w:p>
    <w:p>
      <w:pPr>
        <w:pStyle w:val="null3"/>
        <w:ind w:firstLine="960"/>
      </w:pPr>
      <w:r>
        <w:rPr>
          <w:rFonts w:ascii="仿宋_GB2312" w:hAnsi="仿宋_GB2312" w:cs="仿宋_GB2312" w:eastAsia="仿宋_GB2312"/>
        </w:rPr>
        <w:t>详见附件：6、质量保障方案.docx</w:t>
      </w:r>
    </w:p>
    <w:p>
      <w:pPr>
        <w:pStyle w:val="null3"/>
        <w:ind w:firstLine="960"/>
      </w:pPr>
      <w:r>
        <w:rPr>
          <w:rFonts w:ascii="仿宋_GB2312" w:hAnsi="仿宋_GB2312" w:cs="仿宋_GB2312" w:eastAsia="仿宋_GB2312"/>
        </w:rPr>
        <w:t>详见附件：7、服务承诺.docx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详见附件：9、样品.docx</w:t>
      </w:r>
    </w:p>
    <w:p>
      <w:pPr>
        <w:pStyle w:val="null3"/>
        <w:ind w:firstLine="960"/>
      </w:pPr>
      <w:r>
        <w:rPr>
          <w:rFonts w:ascii="仿宋_GB2312" w:hAnsi="仿宋_GB2312" w:cs="仿宋_GB2312" w:eastAsia="仿宋_GB2312"/>
        </w:rPr>
        <w:t>详见附件：10、类似项目业绩一览表.docx</w:t>
      </w:r>
    </w:p>
    <w:p>
      <w:pPr>
        <w:pStyle w:val="null3"/>
        <w:ind w:firstLine="960"/>
      </w:pPr>
      <w:r>
        <w:rPr>
          <w:rFonts w:ascii="仿宋_GB2312" w:hAnsi="仿宋_GB2312" w:cs="仿宋_GB2312" w:eastAsia="仿宋_GB2312"/>
        </w:rPr>
        <w:t>详见附件：11、拟派人员配置情况表.docx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详见附件：1、审稿校对方案.docx</w:t>
      </w:r>
    </w:p>
    <w:p>
      <w:pPr>
        <w:pStyle w:val="null3"/>
        <w:ind w:firstLine="960"/>
      </w:pPr>
      <w:r>
        <w:rPr>
          <w:rFonts w:ascii="仿宋_GB2312" w:hAnsi="仿宋_GB2312" w:cs="仿宋_GB2312" w:eastAsia="仿宋_GB2312"/>
        </w:rPr>
        <w:t>详见附件：2、编辑出版流程方案.docx</w:t>
      </w:r>
    </w:p>
    <w:p>
      <w:pPr>
        <w:pStyle w:val="null3"/>
        <w:ind w:firstLine="960"/>
      </w:pPr>
      <w:r>
        <w:rPr>
          <w:rFonts w:ascii="仿宋_GB2312" w:hAnsi="仿宋_GB2312" w:cs="仿宋_GB2312" w:eastAsia="仿宋_GB2312"/>
        </w:rPr>
        <w:t>详见附件：3、重难点分析.docx</w:t>
      </w:r>
    </w:p>
    <w:p>
      <w:pPr>
        <w:pStyle w:val="null3"/>
        <w:ind w:firstLine="960"/>
      </w:pPr>
      <w:r>
        <w:rPr>
          <w:rFonts w:ascii="仿宋_GB2312" w:hAnsi="仿宋_GB2312" w:cs="仿宋_GB2312" w:eastAsia="仿宋_GB2312"/>
        </w:rPr>
        <w:t>详见附件：4、出版物审读制度.docx</w:t>
      </w:r>
    </w:p>
    <w:p>
      <w:pPr>
        <w:pStyle w:val="null3"/>
        <w:ind w:firstLine="960"/>
      </w:pPr>
      <w:r>
        <w:rPr>
          <w:rFonts w:ascii="仿宋_GB2312" w:hAnsi="仿宋_GB2312" w:cs="仿宋_GB2312" w:eastAsia="仿宋_GB2312"/>
        </w:rPr>
        <w:t>详见附件：5、进度计划保障方案.docx</w:t>
      </w:r>
    </w:p>
    <w:p>
      <w:pPr>
        <w:pStyle w:val="null3"/>
        <w:ind w:firstLine="960"/>
      </w:pPr>
      <w:r>
        <w:rPr>
          <w:rFonts w:ascii="仿宋_GB2312" w:hAnsi="仿宋_GB2312" w:cs="仿宋_GB2312" w:eastAsia="仿宋_GB2312"/>
        </w:rPr>
        <w:t>详见附件：6、质量保障方案.docx</w:t>
      </w:r>
    </w:p>
    <w:p>
      <w:pPr>
        <w:pStyle w:val="null3"/>
        <w:ind w:firstLine="960"/>
      </w:pPr>
      <w:r>
        <w:rPr>
          <w:rFonts w:ascii="仿宋_GB2312" w:hAnsi="仿宋_GB2312" w:cs="仿宋_GB2312" w:eastAsia="仿宋_GB2312"/>
        </w:rPr>
        <w:t>详见附件：7、服务承诺.docx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详见附件：9、样品.docx</w:t>
      </w:r>
    </w:p>
    <w:p>
      <w:pPr>
        <w:pStyle w:val="null3"/>
        <w:ind w:firstLine="960"/>
      </w:pPr>
      <w:r>
        <w:rPr>
          <w:rFonts w:ascii="仿宋_GB2312" w:hAnsi="仿宋_GB2312" w:cs="仿宋_GB2312" w:eastAsia="仿宋_GB2312"/>
        </w:rPr>
        <w:t>详见附件：10、类似项目业绩一览表.docx</w:t>
      </w:r>
    </w:p>
    <w:p>
      <w:pPr>
        <w:pStyle w:val="null3"/>
        <w:ind w:firstLine="960"/>
      </w:pPr>
      <w:r>
        <w:rPr>
          <w:rFonts w:ascii="仿宋_GB2312" w:hAnsi="仿宋_GB2312" w:cs="仿宋_GB2312" w:eastAsia="仿宋_GB2312"/>
        </w:rPr>
        <w:t>详见附件：11、拟派人员配置情况表.docx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