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版本号：ZJZBSX-260206-0039.1B220260403001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采购面向空天地一体化网络的智能通信仿真与验证平台项目(三次)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ZJZBSX-260206-0039.1B2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采购面向空天地一体化网络的智能通信仿真与验证平台项目(三次)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ZJZBSX-260206-0039.1B2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采购面向空天地一体化网络的智能通信仿真与验证平台项目(三次)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采购面向空天地一体化网络的智能通信仿真与验证平台项目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p>
      <w:pPr>
        <w:pStyle w:val="null3"/>
      </w:pPr>
      <w:r>
        <w:rPr>
          <w:rFonts w:ascii="仿宋_GB2312" w:hAnsi="仿宋_GB2312" w:cs="仿宋_GB2312" w:eastAsia="仿宋_GB2312"/>
        </w:rPr>
        <w:t>3、财务状况报告：供应商提供2024年度或2025年度经审计的完整财务审计报告（审计报告应当包含报告正文、资产负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2025年04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04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 按计价格[2002]1980号文件及发改办【2003】857号文件规定标准（50万元以下按标准的100%、50万元（含）以上按标准的80%）支付。具体以代理机构出具的发票为准。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联系电话：029-87888601-8014</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00"/>
        </w:rPr>
        <w:t>为了满足多样化的无线通信需求，需要模拟真实物理环境及网络配置，构建面向空天地一体化网络的智能通信仿真与验证平台。具体地，需要能够通过软硬件平台模拟真实传播环境中的路径损耗、大气衰减、多径衰落以及多普勒频移等，以适用于卫星通信、无人机通信、6G无蜂窝网络等多种通信场景。针对多样化的通信需求，需要建立满足多样化业务需求的无线覆盖评价体系。通过上述的平台构建，支持先进通信技术进行快速验证和实验，为下一代移动通信系统的建设和发展提供了一个强大的实验和验证工具。</w:t>
      </w:r>
    </w:p>
    <w:p>
      <w:pPr>
        <w:pStyle w:val="null3"/>
        <w:ind w:firstLine="400"/>
        <w:jc w:val="both"/>
      </w:pPr>
      <w:r>
        <w:rPr>
          <w:rFonts w:ascii="仿宋_GB2312" w:hAnsi="仿宋_GB2312" w:cs="仿宋_GB2312" w:eastAsia="仿宋_GB2312"/>
          <w:sz w:val="21"/>
          <w:color w:val="000000"/>
        </w:rPr>
        <w:t xml:space="preserve">在6G通信技术研发提速、空天地一体化网络加速落地的背景下，传统通信实验平台面临“硬件性能不足”与“软件功能脱节”的双重瓶颈，已无法支撑高复杂度、高实时性的仿真需求。一方面，6G网络对多通道、大带宽、高动态信道的仿真需求激增，现有平台普遍存在通道数不足（≤4通道）、射频带宽有限（≤20MHz）、时延与多径模拟能力弱（多径数≤10条、时延≤50ms）等问题，无法复现真实6G场景下的多用户、多业务并行传输环境；另一方面，数字孪生技术在通信网络建模中的应用，要求平台具备强大的算力支撑——传统服务器内存不足（≤64GB）、无多核异构处理能力，导致数字孪生场景渲染卡顿、业务性能预测模型训练耗时过长（单次训练＞24小时），难以满足动态仿真需求。因此，构建“硬件高性能支撑+软件深度适配”的实验平台，解决通道数、带宽、算力、干扰模拟等硬件瓶颈，同时开发适配硬件特性的软件模块，成为突破6G与空天地一体化网络研发瓶颈的关键需求。   </w:t>
      </w:r>
    </w:p>
    <w:p>
      <w:pPr>
        <w:pStyle w:val="null3"/>
        <w:ind w:firstLine="400"/>
        <w:jc w:val="both"/>
      </w:pPr>
      <w:r>
        <w:rPr>
          <w:rFonts w:ascii="仿宋_GB2312" w:hAnsi="仿宋_GB2312" w:cs="仿宋_GB2312" w:eastAsia="仿宋_GB2312"/>
          <w:sz w:val="21"/>
          <w:color w:val="000000"/>
        </w:rPr>
        <w:t>针对西安邮电大学通信工程、电子信息工程以及电信工程与管理等相关专业的本科生，开展了《无线通信》这门课程。本门课程在讲解的过程中较为抽象，学生对卫星通信的传输过程及涉及的原理较难理解。借助于构建的新平台，可以为学生具象化无线通信的传输过程，增强学生对本门课程的理解。与此同时，所构建的平台可以模拟真实物理环境及网络配置。针对多样化的通信需求，还可以建立满足多样化业务需求的无线覆盖评价体系。综上所述，通过对上述的平台构建，可以满足本科生的教学需求，也可以对先进通信技术进行快速验证和实验，为下一代移动通信系统的建设和发展提供了一个强大的实验和验证工具。</w:t>
      </w:r>
    </w:p>
    <w:p>
      <w:pPr>
        <w:pStyle w:val="null3"/>
        <w:ind w:firstLine="560"/>
        <w:jc w:val="both"/>
      </w:pPr>
      <w:r>
        <w:rPr>
          <w:rFonts w:ascii="仿宋_GB2312" w:hAnsi="仿宋_GB2312" w:cs="仿宋_GB2312" w:eastAsia="仿宋_GB2312"/>
          <w:sz w:val="21"/>
          <w:b/>
          <w:color w:val="000000"/>
        </w:rPr>
        <w:t>2. 项目整体开发内容</w:t>
      </w:r>
    </w:p>
    <w:p>
      <w:pPr>
        <w:pStyle w:val="null3"/>
        <w:ind w:firstLine="400"/>
        <w:jc w:val="both"/>
      </w:pPr>
      <w:r>
        <w:rPr>
          <w:rFonts w:ascii="仿宋_GB2312" w:hAnsi="仿宋_GB2312" w:cs="仿宋_GB2312" w:eastAsia="仿宋_GB2312"/>
          <w:sz w:val="21"/>
          <w:color w:val="000000"/>
        </w:rPr>
        <w:t>该平台用于空天地一体化网络的智能通信仿真与验证平台的软件仿真，而空天地一体化网络的智能通信仿真与验证平台的USRP用于其硬件仿真和评测， 信道模拟器用于提供硬件仿真的无线环境。基于数字孪生的6G移动通信网络仿真平台由数字孪生仿真平台和高性能GPU组成，其中，仿真平台设计了交互界面、参数配置以及仿真算法库，GPU用于满足仿真平台的算力提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面向空天地一体化网络的智能通信仿真与验证平台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标的名称：面向空天地一体化网络的智能通信仿真与验证平台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w:t>
            </w:r>
          </w:p>
          <w:tbl>
            <w:tblPr>
              <w:tblInd w:type="dxa" w:w="105"/>
              <w:tblBorders>
                <w:top w:val="none" w:color="000000" w:sz="4"/>
                <w:left w:val="none" w:color="000000" w:sz="4"/>
                <w:bottom w:val="none" w:color="000000" w:sz="4"/>
                <w:right w:val="none" w:color="000000" w:sz="4"/>
                <w:insideH w:val="none"/>
                <w:insideV w:val="none"/>
              </w:tblBorders>
            </w:tblPr>
            <w:tblGrid>
              <w:gridCol w:w="201"/>
              <w:gridCol w:w="698"/>
              <w:gridCol w:w="1069"/>
              <w:gridCol w:w="201"/>
              <w:gridCol w:w="294"/>
              <w:gridCol w:w="327"/>
              <w:gridCol w:w="381"/>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标的明细</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是否核心产品</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是否允许进口产品</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基于数字孪生的6G移动通信网络仿真平台</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算力服务器</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3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1"/>
                  <w:vMerge/>
                  <w:tcBorders>
                    <w:top w:val="none" w:color="000000" w:sz="4"/>
                    <w:left w:val="single" w:color="000000" w:sz="4"/>
                    <w:bottom w:val="single" w:color="000000" w:sz="4"/>
                    <w:right w:val="single" w:color="000000" w:sz="4"/>
                  </w:tcBorders>
                </w:tcPr>
                <w:p/>
              </w:tc>
              <w:tc>
                <w:tcPr>
                  <w:tcW w:type="dxa" w:w="698"/>
                  <w:vMerge/>
                  <w:tcBorders>
                    <w:top w:val="non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高性能算力服务器</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vMerge/>
                  <w:tcBorders>
                    <w:top w:val="none" w:color="000000" w:sz="4"/>
                    <w:left w:val="single" w:color="000000" w:sz="4"/>
                    <w:bottom w:val="single" w:color="000000" w:sz="4"/>
                    <w:right w:val="single" w:color="000000" w:sz="4"/>
                  </w:tcBorders>
                </w:tcPr>
                <w:p/>
              </w:tc>
              <w:tc>
                <w:tcPr>
                  <w:tcW w:type="dxa" w:w="381"/>
                  <w:vMerge/>
                  <w:tcBorders>
                    <w:top w:val="none" w:color="000000" w:sz="4"/>
                    <w:left w:val="singl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698"/>
                  <w:vMerge/>
                  <w:tcBorders>
                    <w:top w:val="non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仿真系统</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vMerge/>
                  <w:tcBorders>
                    <w:top w:val="none" w:color="000000" w:sz="4"/>
                    <w:left w:val="single" w:color="000000" w:sz="4"/>
                    <w:bottom w:val="single" w:color="000000" w:sz="4"/>
                    <w:right w:val="single" w:color="000000" w:sz="4"/>
                  </w:tcBorders>
                </w:tcPr>
                <w:p/>
              </w:tc>
              <w:tc>
                <w:tcPr>
                  <w:tcW w:type="dxa" w:w="381"/>
                  <w:vMerge/>
                  <w:tcBorders>
                    <w:top w:val="none" w:color="000000" w:sz="4"/>
                    <w:left w:val="single" w:color="000000" w:sz="4"/>
                    <w:bottom w:val="single" w:color="000000" w:sz="4"/>
                    <w:right w:val="single" w:color="000000" w:sz="4"/>
                  </w:tcBorders>
                </w:tcP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USRP及相控阵天线</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USRP（1）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3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1"/>
                  <w:vMerge/>
                  <w:tcBorders>
                    <w:top w:val="none" w:color="000000" w:sz="4"/>
                    <w:left w:val="single" w:color="000000" w:sz="4"/>
                    <w:bottom w:val="single" w:color="000000" w:sz="4"/>
                    <w:right w:val="single" w:color="000000" w:sz="4"/>
                  </w:tcBorders>
                </w:tcPr>
                <w:p/>
              </w:tc>
              <w:tc>
                <w:tcPr>
                  <w:tcW w:type="dxa" w:w="698"/>
                  <w:vMerge/>
                  <w:tcBorders>
                    <w:top w:val="non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USRP（2）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vMerge/>
                  <w:tcBorders>
                    <w:top w:val="none" w:color="000000" w:sz="4"/>
                    <w:left w:val="single" w:color="000000" w:sz="4"/>
                    <w:bottom w:val="single" w:color="000000" w:sz="4"/>
                    <w:right w:val="single" w:color="000000" w:sz="4"/>
                  </w:tcBorders>
                </w:tcPr>
                <w:p/>
              </w:tc>
              <w:tc>
                <w:tcPr>
                  <w:tcW w:type="dxa" w:w="381"/>
                  <w:vMerge/>
                  <w:tcBorders>
                    <w:top w:val="none" w:color="000000" w:sz="4"/>
                    <w:left w:val="singl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698"/>
                  <w:vMerge/>
                  <w:tcBorders>
                    <w:top w:val="non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USRP（3）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vMerge/>
                  <w:tcBorders>
                    <w:top w:val="none" w:color="000000" w:sz="4"/>
                    <w:left w:val="single" w:color="000000" w:sz="4"/>
                    <w:bottom w:val="single" w:color="000000" w:sz="4"/>
                    <w:right w:val="single" w:color="000000" w:sz="4"/>
                  </w:tcBorders>
                </w:tcPr>
                <w:p/>
              </w:tc>
              <w:tc>
                <w:tcPr>
                  <w:tcW w:type="dxa" w:w="381"/>
                  <w:vMerge/>
                  <w:tcBorders>
                    <w:top w:val="none" w:color="000000" w:sz="4"/>
                    <w:left w:val="singl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698"/>
                  <w:vMerge/>
                  <w:tcBorders>
                    <w:top w:val="non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USRP（4）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vMerge/>
                  <w:tcBorders>
                    <w:top w:val="none" w:color="000000" w:sz="4"/>
                    <w:left w:val="single" w:color="000000" w:sz="4"/>
                    <w:bottom w:val="single" w:color="000000" w:sz="4"/>
                    <w:right w:val="single" w:color="000000" w:sz="4"/>
                  </w:tcBorders>
                </w:tcPr>
                <w:p/>
              </w:tc>
              <w:tc>
                <w:tcPr>
                  <w:tcW w:type="dxa" w:w="381"/>
                  <w:vMerge/>
                  <w:tcBorders>
                    <w:top w:val="none" w:color="000000" w:sz="4"/>
                    <w:left w:val="singl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698"/>
                  <w:vMerge/>
                  <w:tcBorders>
                    <w:top w:val="non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低功耗接入节点</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vMerge/>
                  <w:tcBorders>
                    <w:top w:val="none" w:color="000000" w:sz="4"/>
                    <w:left w:val="single" w:color="000000" w:sz="4"/>
                    <w:bottom w:val="single" w:color="000000" w:sz="4"/>
                    <w:right w:val="single" w:color="000000" w:sz="4"/>
                  </w:tcBorders>
                </w:tcPr>
                <w:p/>
              </w:tc>
              <w:tc>
                <w:tcPr>
                  <w:tcW w:type="dxa" w:w="381"/>
                  <w:vMerge/>
                  <w:tcBorders>
                    <w:top w:val="none" w:color="000000" w:sz="4"/>
                    <w:left w:val="singl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698"/>
                  <w:vMerge/>
                  <w:tcBorders>
                    <w:top w:val="non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相控阵天线</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vMerge/>
                  <w:tcBorders>
                    <w:top w:val="none" w:color="000000" w:sz="4"/>
                    <w:left w:val="single" w:color="000000" w:sz="4"/>
                    <w:bottom w:val="single" w:color="000000" w:sz="4"/>
                    <w:right w:val="single" w:color="000000" w:sz="4"/>
                  </w:tcBorders>
                </w:tcPr>
                <w:p/>
              </w:tc>
              <w:tc>
                <w:tcPr>
                  <w:tcW w:type="dxa" w:w="381"/>
                  <w:vMerge/>
                  <w:tcBorders>
                    <w:top w:val="none" w:color="000000" w:sz="4"/>
                    <w:left w:val="single" w:color="000000" w:sz="4"/>
                    <w:bottom w:val="single" w:color="000000" w:sz="4"/>
                    <w:right w:val="single" w:color="000000" w:sz="4"/>
                  </w:tcBorders>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17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空天地一体化无线信道仿真仪</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基于数字孪生的6G移动通信网络仿真平台</w:t>
            </w:r>
          </w:p>
          <w:p>
            <w:pPr>
              <w:pStyle w:val="null3"/>
              <w:jc w:val="both"/>
            </w:pPr>
            <w:r>
              <w:rPr>
                <w:rFonts w:ascii="仿宋_GB2312" w:hAnsi="仿宋_GB2312" w:cs="仿宋_GB2312" w:eastAsia="仿宋_GB2312"/>
                <w:sz w:val="21"/>
                <w:b/>
              </w:rPr>
              <w:t>（1）算力服务器技术指标</w:t>
            </w:r>
          </w:p>
          <w:p>
            <w:pPr>
              <w:pStyle w:val="null3"/>
            </w:pPr>
            <w:r>
              <w:rPr>
                <w:rFonts w:ascii="仿宋_GB2312" w:hAnsi="仿宋_GB2312" w:cs="仿宋_GB2312" w:eastAsia="仿宋_GB2312"/>
                <w:sz w:val="21"/>
              </w:rPr>
              <w:t>1、1颗处理器:主频不低于2.8GHz，内核数量不少于32，支持升级双路</w:t>
            </w:r>
          </w:p>
          <w:p>
            <w:pPr>
              <w:pStyle w:val="null3"/>
            </w:pPr>
            <w:r>
              <w:rPr>
                <w:rFonts w:ascii="仿宋_GB2312" w:hAnsi="仿宋_GB2312" w:cs="仿宋_GB2312" w:eastAsia="仿宋_GB2312"/>
                <w:sz w:val="21"/>
              </w:rPr>
              <w:t>2、内存:2根32GB DDR4 3200MHz</w:t>
            </w:r>
          </w:p>
          <w:p>
            <w:pPr>
              <w:pStyle w:val="null3"/>
            </w:pPr>
            <w:r>
              <w:rPr>
                <w:rFonts w:ascii="仿宋_GB2312" w:hAnsi="仿宋_GB2312" w:cs="仿宋_GB2312" w:eastAsia="仿宋_GB2312"/>
                <w:sz w:val="21"/>
              </w:rPr>
              <w:t>3、硬盘: 4T M.2固态硬盘</w:t>
            </w:r>
          </w:p>
          <w:p>
            <w:pPr>
              <w:pStyle w:val="null3"/>
            </w:pPr>
            <w:r>
              <w:rPr>
                <w:rFonts w:ascii="仿宋_GB2312" w:hAnsi="仿宋_GB2312" w:cs="仿宋_GB2312" w:eastAsia="仿宋_GB2312"/>
                <w:sz w:val="21"/>
              </w:rPr>
              <w:t>4、▲显卡: 显存容量 ≥24GB ，显存类型需为 GDDR7，显存位宽 ≥384 bit，显存带宽 ≥1344 GB/秒</w:t>
            </w:r>
          </w:p>
          <w:p>
            <w:pPr>
              <w:pStyle w:val="null3"/>
              <w:jc w:val="both"/>
            </w:pPr>
            <w:r>
              <w:rPr>
                <w:rFonts w:ascii="仿宋_GB2312" w:hAnsi="仿宋_GB2312" w:cs="仿宋_GB2312" w:eastAsia="仿宋_GB2312"/>
                <w:sz w:val="21"/>
              </w:rPr>
              <w:t>5、显示器：19寸</w:t>
            </w:r>
          </w:p>
          <w:p>
            <w:pPr>
              <w:pStyle w:val="null3"/>
              <w:jc w:val="both"/>
            </w:pPr>
            <w:r>
              <w:rPr>
                <w:rFonts w:ascii="仿宋_GB2312" w:hAnsi="仿宋_GB2312" w:cs="仿宋_GB2312" w:eastAsia="仿宋_GB2312"/>
                <w:sz w:val="21"/>
                <w:b/>
              </w:rPr>
              <w:t>（2）高性能算力服务器技术指标</w:t>
            </w:r>
          </w:p>
          <w:p>
            <w:pPr>
              <w:pStyle w:val="null3"/>
            </w:pPr>
            <w:r>
              <w:rPr>
                <w:rFonts w:ascii="仿宋_GB2312" w:hAnsi="仿宋_GB2312" w:cs="仿宋_GB2312" w:eastAsia="仿宋_GB2312"/>
                <w:sz w:val="21"/>
              </w:rPr>
              <w:t>1、2颗处理器:128核 2GHz</w:t>
            </w:r>
          </w:p>
          <w:p>
            <w:pPr>
              <w:pStyle w:val="null3"/>
            </w:pPr>
            <w:r>
              <w:rPr>
                <w:rFonts w:ascii="仿宋_GB2312" w:hAnsi="仿宋_GB2312" w:cs="仿宋_GB2312" w:eastAsia="仿宋_GB2312"/>
                <w:sz w:val="21"/>
              </w:rPr>
              <w:t>2、内存:8根32GB DDR5</w:t>
            </w:r>
          </w:p>
          <w:p>
            <w:pPr>
              <w:pStyle w:val="null3"/>
            </w:pPr>
            <w:r>
              <w:rPr>
                <w:rFonts w:ascii="仿宋_GB2312" w:hAnsi="仿宋_GB2312" w:cs="仿宋_GB2312" w:eastAsia="仿宋_GB2312"/>
                <w:sz w:val="21"/>
              </w:rPr>
              <w:t>3、硬盘:8T SATA固态硬盘</w:t>
            </w:r>
          </w:p>
          <w:p>
            <w:pPr>
              <w:pStyle w:val="null3"/>
            </w:pPr>
            <w:r>
              <w:rPr>
                <w:rFonts w:ascii="仿宋_GB2312" w:hAnsi="仿宋_GB2312" w:cs="仿宋_GB2312" w:eastAsia="仿宋_GB2312"/>
                <w:sz w:val="21"/>
              </w:rPr>
              <w:t>4、显卡:8块，单卡显存容量 ≥32GB，显存类型需为 GDDR7，显存位宽 ≥512-bit，显存带宽 ≥1.5 TB/s</w:t>
            </w:r>
          </w:p>
          <w:p>
            <w:pPr>
              <w:pStyle w:val="null3"/>
            </w:pPr>
            <w:r>
              <w:rPr>
                <w:rFonts w:ascii="仿宋_GB2312" w:hAnsi="仿宋_GB2312" w:cs="仿宋_GB2312" w:eastAsia="仿宋_GB2312"/>
                <w:sz w:val="21"/>
              </w:rPr>
              <w:t>5、RAID卡:PM8204-8i2G 带电容</w:t>
            </w:r>
          </w:p>
          <w:p>
            <w:pPr>
              <w:pStyle w:val="null3"/>
            </w:pPr>
            <w:r>
              <w:rPr>
                <w:rFonts w:ascii="仿宋_GB2312" w:hAnsi="仿宋_GB2312" w:cs="仿宋_GB2312" w:eastAsia="仿宋_GB2312"/>
                <w:sz w:val="21"/>
              </w:rPr>
              <w:t>6、网卡:1个双口10G PCIe以太网适配器(包含2个FP+模块);1个100GbE 2端口 PCIe 以太网适配器</w:t>
            </w:r>
          </w:p>
          <w:p>
            <w:pPr>
              <w:pStyle w:val="null3"/>
            </w:pPr>
            <w:r>
              <w:rPr>
                <w:rFonts w:ascii="仿宋_GB2312" w:hAnsi="仿宋_GB2312" w:cs="仿宋_GB2312" w:eastAsia="仿宋_GB2312"/>
                <w:sz w:val="21"/>
              </w:rPr>
              <w:t>7、电源:4个2200W热插拔电源</w:t>
            </w:r>
          </w:p>
          <w:p>
            <w:pPr>
              <w:pStyle w:val="null3"/>
            </w:pPr>
            <w:r>
              <w:rPr>
                <w:rFonts w:ascii="仿宋_GB2312" w:hAnsi="仿宋_GB2312" w:cs="仿宋_GB2312" w:eastAsia="仿宋_GB2312"/>
                <w:sz w:val="21"/>
                <w:b/>
              </w:rPr>
              <w:t>（3）仿真系统</w:t>
            </w:r>
          </w:p>
          <w:p>
            <w:pPr>
              <w:pStyle w:val="null3"/>
            </w:pPr>
            <w:r>
              <w:rPr>
                <w:rFonts w:ascii="仿宋_GB2312" w:hAnsi="仿宋_GB2312" w:cs="仿宋_GB2312" w:eastAsia="仿宋_GB2312"/>
                <w:sz w:val="21"/>
              </w:rPr>
              <w:t>1、不小于16通道机箱，每通道2个本振，RF收发一体；频率范围选件:30M~6GHz；单通道射频带宽20MHz/300MHz/500MHz/1000MHz；</w:t>
            </w:r>
          </w:p>
          <w:p>
            <w:pPr>
              <w:pStyle w:val="null3"/>
            </w:pPr>
            <w:r>
              <w:rPr>
                <w:rFonts w:ascii="仿宋_GB2312" w:hAnsi="仿宋_GB2312" w:cs="仿宋_GB2312" w:eastAsia="仿宋_GB2312"/>
                <w:sz w:val="21"/>
              </w:rPr>
              <w:t>2、▲要求实现智能规划分析能力：基于大数据实现高精度覆盖地理化定位，动态构建反映网络最新现状的模型；通过栅格化指标特征管理，支持多维度、灵活化的规划需求价值评估；依托一站式 GIS 底座数据，支撑全面、深度的网络分析；</w:t>
            </w:r>
          </w:p>
          <w:p>
            <w:pPr>
              <w:pStyle w:val="null3"/>
            </w:pPr>
            <w:r>
              <w:rPr>
                <w:rFonts w:ascii="仿宋_GB2312" w:hAnsi="仿宋_GB2312" w:cs="仿宋_GB2312" w:eastAsia="仿宋_GB2312"/>
                <w:sz w:val="21"/>
              </w:rPr>
              <w:t>3、要求实现 DTN 射线仿真能力与 AIDP 智能图纸审核功能，实现规划生产流程与数智化能力深度融合；最大仿真时延:≥100ms；最大多径数:≥24条；最大多普勒频移:±6MHz；支持AWGN/CW 干扰仿真，以及其他干扰:跳频干扰，扫频干扰，脉冲干扰，均匀分布干扰等；</w:t>
            </w:r>
          </w:p>
          <w:p>
            <w:pPr>
              <w:pStyle w:val="null3"/>
            </w:pPr>
            <w:r>
              <w:rPr>
                <w:rFonts w:ascii="仿宋_GB2312" w:hAnsi="仿宋_GB2312" w:cs="仿宋_GB2312" w:eastAsia="仿宋_GB2312"/>
                <w:sz w:val="21"/>
              </w:rPr>
              <w:t>4、集成1个独立1000Mbps网口，用于远程管理。</w:t>
            </w:r>
          </w:p>
          <w:p>
            <w:pPr>
              <w:pStyle w:val="null3"/>
            </w:pPr>
            <w:r>
              <w:rPr>
                <w:rFonts w:ascii="仿宋_GB2312" w:hAnsi="仿宋_GB2312" w:cs="仿宋_GB2312" w:eastAsia="仿宋_GB2312"/>
                <w:sz w:val="21"/>
              </w:rPr>
              <w:t>5、要求实现覆盖仿真能力：通过自动识别规划需求，实现规划需求自动满足与收益预测；综合地理化价值因素，形成两套仿真方案。</w:t>
            </w:r>
          </w:p>
          <w:p>
            <w:pPr>
              <w:pStyle w:val="null3"/>
            </w:pPr>
            <w:r>
              <w:rPr>
                <w:rFonts w:ascii="仿宋_GB2312" w:hAnsi="仿宋_GB2312" w:cs="仿宋_GB2312" w:eastAsia="仿宋_GB2312"/>
                <w:sz w:val="21"/>
              </w:rPr>
              <w:t>6、要求实现覆盖寻优能力：采用 AI 智能迭代寻优技术，快速精准匹配网络覆盖最优组合；自动完成方位角、参数、波束 Pattern、发射功率等多要素协同规划与优化。</w:t>
            </w:r>
          </w:p>
          <w:p>
            <w:pPr>
              <w:pStyle w:val="null3"/>
            </w:pPr>
            <w:r>
              <w:rPr>
                <w:rFonts w:ascii="仿宋_GB2312" w:hAnsi="仿宋_GB2312" w:cs="仿宋_GB2312" w:eastAsia="仿宋_GB2312"/>
                <w:sz w:val="21"/>
              </w:rPr>
              <w:t>7、要求实现覆盖区域聚类能力：基于室外覆盖栅格数据，运用 AI 聚类算法生成面状汇聚区域类型。</w:t>
            </w:r>
          </w:p>
          <w:p>
            <w:pPr>
              <w:pStyle w:val="null3"/>
            </w:pPr>
            <w:r>
              <w:rPr>
                <w:rFonts w:ascii="仿宋_GB2312" w:hAnsi="仿宋_GB2312" w:cs="仿宋_GB2312" w:eastAsia="仿宋_GB2312"/>
                <w:sz w:val="21"/>
              </w:rPr>
              <w:t>8、要求实现区域智能规划站址能力：在识别覆盖区域基础上，自动完成区域站址初选、选址范围划定、站点精确定位、设备选型匹配及方案输出。</w:t>
            </w:r>
          </w:p>
          <w:p>
            <w:pPr>
              <w:pStyle w:val="null3"/>
            </w:pPr>
            <w:r>
              <w:rPr>
                <w:rFonts w:ascii="仿宋_GB2312" w:hAnsi="仿宋_GB2312" w:cs="仿宋_GB2312" w:eastAsia="仿宋_GB2312"/>
                <w:sz w:val="21"/>
                <w:b/>
              </w:rPr>
              <w:t>二、USRP及相控阵天线</w:t>
            </w:r>
          </w:p>
          <w:p>
            <w:pPr>
              <w:pStyle w:val="null3"/>
            </w:pPr>
            <w:r>
              <w:rPr>
                <w:rFonts w:ascii="仿宋_GB2312" w:hAnsi="仿宋_GB2312" w:cs="仿宋_GB2312" w:eastAsia="仿宋_GB2312"/>
                <w:sz w:val="21"/>
                <w:b/>
              </w:rPr>
              <w:t>（1）USRP（1）技术指标</w:t>
            </w:r>
          </w:p>
          <w:p>
            <w:pPr>
              <w:pStyle w:val="null3"/>
            </w:pPr>
            <w:r>
              <w:rPr>
                <w:rFonts w:ascii="仿宋_GB2312" w:hAnsi="仿宋_GB2312" w:cs="仿宋_GB2312" w:eastAsia="仿宋_GB2312"/>
                <w:sz w:val="21"/>
              </w:rPr>
              <w:t>1、▲提供≥4路射频发送通道和≥4路射频接收通道，每个通道实时带宽≥400MHz，频段覆盖10MHz-8GHz；</w:t>
            </w:r>
          </w:p>
          <w:p>
            <w:pPr>
              <w:pStyle w:val="null3"/>
            </w:pPr>
            <w:r>
              <w:rPr>
                <w:rFonts w:ascii="仿宋_GB2312" w:hAnsi="仿宋_GB2312" w:cs="仿宋_GB2312" w:eastAsia="仿宋_GB2312"/>
                <w:sz w:val="21"/>
              </w:rPr>
              <w:t>2、集成高精度ADC和DAC，精度≥14位，其中ADC采样率≥4.9GSPS，DAC采样率≥9.8GSPS，并提供参考测试代码；</w:t>
            </w:r>
          </w:p>
          <w:p>
            <w:pPr>
              <w:pStyle w:val="null3"/>
            </w:pPr>
            <w:r>
              <w:rPr>
                <w:rFonts w:ascii="仿宋_GB2312" w:hAnsi="仿宋_GB2312" w:cs="仿宋_GB2312" w:eastAsia="仿宋_GB2312"/>
                <w:sz w:val="21"/>
              </w:rPr>
              <w:t>3、可编程处理器的逻辑资源≥930K，DSP计算单元≥4200个；同时集成四核 ARM，频率≥1.2GHz和双核 ARM，频率≥500MHz；</w:t>
            </w:r>
          </w:p>
          <w:p>
            <w:pPr>
              <w:pStyle w:val="null3"/>
            </w:pPr>
            <w:r>
              <w:rPr>
                <w:rFonts w:ascii="仿宋_GB2312" w:hAnsi="仿宋_GB2312" w:cs="仿宋_GB2312" w:eastAsia="仿宋_GB2312"/>
                <w:sz w:val="21"/>
              </w:rPr>
              <w:t>4、通信接口提供千兆以太网/USB2.0 OTG，数据接口提供 40G/100G QSFP28和10G SFP+，调试接口为USB JTAG；</w:t>
            </w:r>
          </w:p>
          <w:p>
            <w:pPr>
              <w:pStyle w:val="null3"/>
            </w:pPr>
            <w:r>
              <w:rPr>
                <w:rFonts w:ascii="仿宋_GB2312" w:hAnsi="仿宋_GB2312" w:cs="仿宋_GB2312" w:eastAsia="仿宋_GB2312"/>
                <w:sz w:val="21"/>
              </w:rPr>
              <w:t>5、提供光纤数据前传卡，实现射频单元的光口数据转换为PCIe接口，支持二次开发；</w:t>
            </w:r>
          </w:p>
          <w:p>
            <w:pPr>
              <w:pStyle w:val="null3"/>
            </w:pPr>
            <w:r>
              <w:rPr>
                <w:rFonts w:ascii="仿宋_GB2312" w:hAnsi="仿宋_GB2312" w:cs="仿宋_GB2312" w:eastAsia="仿宋_GB2312"/>
                <w:sz w:val="21"/>
              </w:rPr>
              <w:t>6、前传卡可编程FPGA逻辑资源≥1000K，板载内存≥4GB，提供PCIe 3.0x16接口；提供2个100G光纤接口，板载高精度时钟分配网络，支持远端时钟同步模式；</w:t>
            </w:r>
          </w:p>
          <w:p>
            <w:pPr>
              <w:pStyle w:val="null3"/>
            </w:pPr>
            <w:r>
              <w:rPr>
                <w:rFonts w:ascii="仿宋_GB2312" w:hAnsi="仿宋_GB2312" w:cs="仿宋_GB2312" w:eastAsia="仿宋_GB2312"/>
                <w:sz w:val="21"/>
              </w:rPr>
              <w:t>7、提供嵌入式Web端应用程序，可以实现射频的收发测试和自检，支持波形预存功能；</w:t>
            </w:r>
          </w:p>
          <w:p>
            <w:pPr>
              <w:pStyle w:val="null3"/>
            </w:pPr>
            <w:r>
              <w:rPr>
                <w:rFonts w:ascii="仿宋_GB2312" w:hAnsi="仿宋_GB2312" w:cs="仿宋_GB2312" w:eastAsia="仿宋_GB2312"/>
                <w:sz w:val="21"/>
              </w:rPr>
              <w:t>8、提供GUI的参考设计，提供调制解调实现案例，包括单音信号、IEEE 802.11a/11n、LTE、和5GNR等，支持设置带宽，速率，数据长度和天线数量，也可以定制OFDM波形，支持设定子载波数量、有效子载波和调制模式；</w:t>
            </w:r>
          </w:p>
          <w:p>
            <w:pPr>
              <w:pStyle w:val="null3"/>
            </w:pPr>
            <w:r>
              <w:rPr>
                <w:rFonts w:ascii="仿宋_GB2312" w:hAnsi="仿宋_GB2312" w:cs="仿宋_GB2312" w:eastAsia="仿宋_GB2312"/>
                <w:sz w:val="21"/>
              </w:rPr>
              <w:t>9、提供基于802.11a PHY的FPGA IPcore，能够实现高清视频无线传输；</w:t>
            </w:r>
          </w:p>
          <w:p>
            <w:pPr>
              <w:pStyle w:val="null3"/>
            </w:pPr>
            <w:r>
              <w:rPr>
                <w:rFonts w:ascii="仿宋_GB2312" w:hAnsi="仿宋_GB2312" w:cs="仿宋_GB2312" w:eastAsia="仿宋_GB2312"/>
                <w:sz w:val="21"/>
              </w:rPr>
              <w:t>10、提供基于x86平台的射频记录回放演示软件，可以支持四路射频采集和回放；</w:t>
            </w:r>
          </w:p>
          <w:p>
            <w:pPr>
              <w:pStyle w:val="null3"/>
              <w:jc w:val="both"/>
            </w:pPr>
            <w:r>
              <w:rPr>
                <w:rFonts w:ascii="仿宋_GB2312" w:hAnsi="仿宋_GB2312" w:cs="仿宋_GB2312" w:eastAsia="仿宋_GB2312"/>
                <w:sz w:val="21"/>
              </w:rPr>
              <w:t>11、设备支持开源4G/5G协议栈，包括基站侧和核心网，可以支持商业终端的接入；</w:t>
            </w:r>
          </w:p>
          <w:p>
            <w:pPr>
              <w:pStyle w:val="null3"/>
              <w:jc w:val="both"/>
            </w:pPr>
            <w:r>
              <w:rPr>
                <w:rFonts w:ascii="仿宋_GB2312" w:hAnsi="仿宋_GB2312" w:cs="仿宋_GB2312" w:eastAsia="仿宋_GB2312"/>
                <w:sz w:val="21"/>
              </w:rPr>
              <w:t>12、根据射频通道数配置连接线缆。</w:t>
            </w:r>
          </w:p>
          <w:p>
            <w:pPr>
              <w:pStyle w:val="null3"/>
              <w:jc w:val="both"/>
            </w:pPr>
            <w:r>
              <w:rPr>
                <w:rFonts w:ascii="仿宋_GB2312" w:hAnsi="仿宋_GB2312" w:cs="仿宋_GB2312" w:eastAsia="仿宋_GB2312"/>
                <w:sz w:val="21"/>
                <w:b/>
              </w:rPr>
              <w:t>（2）USRP（2）技术指标</w:t>
            </w:r>
          </w:p>
          <w:p>
            <w:pPr>
              <w:pStyle w:val="null3"/>
            </w:pPr>
            <w:r>
              <w:rPr>
                <w:rFonts w:ascii="仿宋_GB2312" w:hAnsi="仿宋_GB2312" w:cs="仿宋_GB2312" w:eastAsia="仿宋_GB2312"/>
                <w:sz w:val="21"/>
              </w:rPr>
              <w:t>1、▲射频通道≥2路发射，≥2路接收和≥2路观察通道，频段范围75MHz～6GHz，每个通道实时带宽≥200MHz；</w:t>
            </w:r>
          </w:p>
          <w:p>
            <w:pPr>
              <w:pStyle w:val="null3"/>
            </w:pPr>
            <w:r>
              <w:rPr>
                <w:rFonts w:ascii="仿宋_GB2312" w:hAnsi="仿宋_GB2312" w:cs="仿宋_GB2312" w:eastAsia="仿宋_GB2312"/>
                <w:sz w:val="21"/>
              </w:rPr>
              <w:t>2、可编程FPGA的逻辑资源≥444K，内置双核ARM处理器，主频≥800 MHz，DDR3 SDRAM≥2GB；</w:t>
            </w:r>
          </w:p>
          <w:p>
            <w:pPr>
              <w:pStyle w:val="null3"/>
            </w:pPr>
            <w:r>
              <w:rPr>
                <w:rFonts w:ascii="仿宋_GB2312" w:hAnsi="仿宋_GB2312" w:cs="仿宋_GB2312" w:eastAsia="仿宋_GB2312"/>
                <w:sz w:val="21"/>
              </w:rPr>
              <w:t>3、控制接口提供千兆以太网和USB2.0 OTG，数据接口提供10GSFP+和40G QSFP+光纤接口，存储卡≥８GB，调试接口为USB JTAG接口；</w:t>
            </w:r>
          </w:p>
          <w:p>
            <w:pPr>
              <w:pStyle w:val="null3"/>
            </w:pPr>
            <w:r>
              <w:rPr>
                <w:rFonts w:ascii="仿宋_GB2312" w:hAnsi="仿宋_GB2312" w:cs="仿宋_GB2312" w:eastAsia="仿宋_GB2312"/>
                <w:sz w:val="21"/>
              </w:rPr>
              <w:t>4、时钟同步接口支持外部本振输入，支持外部参考时钟输入/输出和GPS扩展接口</w:t>
            </w:r>
          </w:p>
          <w:p>
            <w:pPr>
              <w:pStyle w:val="null3"/>
            </w:pPr>
            <w:r>
              <w:rPr>
                <w:rFonts w:ascii="仿宋_GB2312" w:hAnsi="仿宋_GB2312" w:cs="仿宋_GB2312" w:eastAsia="仿宋_GB2312"/>
                <w:sz w:val="21"/>
              </w:rPr>
              <w:t>5、提供独立的FPGA前传卡，采用PCIe3.0x8接口，FPGA的逻辑资源≥530K，DSP计算单元≥1920个，提供PCIe3.0接口驱动程序和APIs函数库，支持二次开发；</w:t>
            </w:r>
          </w:p>
          <w:p>
            <w:pPr>
              <w:pStyle w:val="null3"/>
            </w:pPr>
            <w:r>
              <w:rPr>
                <w:rFonts w:ascii="仿宋_GB2312" w:hAnsi="仿宋_GB2312" w:cs="仿宋_GB2312" w:eastAsia="仿宋_GB2312"/>
                <w:sz w:val="21"/>
              </w:rPr>
              <w:t>6、设备支持程序开发流程，提供调制解调实现案例，包括单音信号、IEEE 802.11a/11n、LTE、和5GNR等，支持设置带宽，速率，数据长度和天线数量，也可以定制OFDM波形，支持设定子载波数量、有效子载波和调制模式；</w:t>
            </w:r>
          </w:p>
          <w:p>
            <w:pPr>
              <w:pStyle w:val="null3"/>
            </w:pPr>
            <w:r>
              <w:rPr>
                <w:rFonts w:ascii="仿宋_GB2312" w:hAnsi="仿宋_GB2312" w:cs="仿宋_GB2312" w:eastAsia="仿宋_GB2312"/>
                <w:sz w:val="21"/>
              </w:rPr>
              <w:t>7、提供符合802.11a物理层的FPGA IPcore，能够支持高清视频图像的实时传输；</w:t>
            </w:r>
          </w:p>
          <w:p>
            <w:pPr>
              <w:pStyle w:val="null3"/>
              <w:jc w:val="both"/>
            </w:pPr>
            <w:r>
              <w:rPr>
                <w:rFonts w:ascii="仿宋_GB2312" w:hAnsi="仿宋_GB2312" w:cs="仿宋_GB2312" w:eastAsia="仿宋_GB2312"/>
                <w:sz w:val="21"/>
              </w:rPr>
              <w:t>8、设备支持开源4G/5G协议栈，包括基站侧和核心网，可以支持商业终端的接入；</w:t>
            </w:r>
          </w:p>
          <w:p>
            <w:pPr>
              <w:pStyle w:val="null3"/>
              <w:jc w:val="both"/>
            </w:pPr>
            <w:r>
              <w:rPr>
                <w:rFonts w:ascii="仿宋_GB2312" w:hAnsi="仿宋_GB2312" w:cs="仿宋_GB2312" w:eastAsia="仿宋_GB2312"/>
                <w:sz w:val="21"/>
              </w:rPr>
              <w:t>9、根据射频通道数配置连接线缆。</w:t>
            </w:r>
          </w:p>
          <w:p>
            <w:pPr>
              <w:pStyle w:val="null3"/>
            </w:pPr>
            <w:r>
              <w:rPr>
                <w:rFonts w:ascii="仿宋_GB2312" w:hAnsi="仿宋_GB2312" w:cs="仿宋_GB2312" w:eastAsia="仿宋_GB2312"/>
                <w:sz w:val="21"/>
                <w:b/>
              </w:rPr>
              <w:t>（3）USRP（3）</w:t>
            </w:r>
          </w:p>
          <w:p>
            <w:pPr>
              <w:pStyle w:val="null3"/>
            </w:pPr>
            <w:r>
              <w:rPr>
                <w:rFonts w:ascii="仿宋_GB2312" w:hAnsi="仿宋_GB2312" w:cs="仿宋_GB2312" w:eastAsia="仿宋_GB2312"/>
                <w:sz w:val="21"/>
              </w:rPr>
              <w:t>1、射频通道≥2路发射和≥2路接收，频段覆盖70MHz～6GHz，带宽≥56MHz；</w:t>
            </w:r>
          </w:p>
          <w:p>
            <w:pPr>
              <w:pStyle w:val="null3"/>
            </w:pPr>
            <w:r>
              <w:rPr>
                <w:rFonts w:ascii="仿宋_GB2312" w:hAnsi="仿宋_GB2312" w:cs="仿宋_GB2312" w:eastAsia="仿宋_GB2312"/>
                <w:sz w:val="21"/>
              </w:rPr>
              <w:t>2、可编程FPGA的逻辑资源≥85K，内置双核ARM处理器，数据接口包括USB3.0和千兆以太网，调试接口为USB-JTAG；</w:t>
            </w:r>
          </w:p>
          <w:p>
            <w:pPr>
              <w:pStyle w:val="null3"/>
            </w:pPr>
            <w:r>
              <w:rPr>
                <w:rFonts w:ascii="仿宋_GB2312" w:hAnsi="仿宋_GB2312" w:cs="仿宋_GB2312" w:eastAsia="仿宋_GB2312"/>
                <w:sz w:val="21"/>
              </w:rPr>
              <w:t>3、支持程序开发流程，提供调制解调实现案例，包括单音信号、IEEE 802.11a/11n、LTE、和5GNR等，支持设置带宽，速率，数据长度和天线数量，也可以定制OFDM波形，支持设定子载波数量、有效子载波和调制模式；</w:t>
            </w:r>
          </w:p>
          <w:p>
            <w:pPr>
              <w:pStyle w:val="null3"/>
            </w:pPr>
            <w:r>
              <w:rPr>
                <w:rFonts w:ascii="仿宋_GB2312" w:hAnsi="仿宋_GB2312" w:cs="仿宋_GB2312" w:eastAsia="仿宋_GB2312"/>
                <w:sz w:val="21"/>
              </w:rPr>
              <w:t>4、支持开源的GNU Radio开发环境，提供C和C++开发APIs，支持Linux操作系统；</w:t>
            </w:r>
          </w:p>
          <w:p>
            <w:pPr>
              <w:pStyle w:val="null3"/>
            </w:pPr>
            <w:r>
              <w:rPr>
                <w:rFonts w:ascii="仿宋_GB2312" w:hAnsi="仿宋_GB2312" w:cs="仿宋_GB2312" w:eastAsia="仿宋_GB2312"/>
                <w:sz w:val="21"/>
              </w:rPr>
              <w:t>5、提供基于Python的调制解调案例，包括但不限于ASK，FSK，PSK和OFDM等；</w:t>
            </w:r>
          </w:p>
          <w:p>
            <w:pPr>
              <w:pStyle w:val="null3"/>
              <w:jc w:val="both"/>
            </w:pPr>
            <w:r>
              <w:rPr>
                <w:rFonts w:ascii="仿宋_GB2312" w:hAnsi="仿宋_GB2312" w:cs="仿宋_GB2312" w:eastAsia="仿宋_GB2312"/>
                <w:sz w:val="21"/>
              </w:rPr>
              <w:t>6、▲提供射频采集回放软件，可以实现固定长度的单次采集和回放功能，提供二次开发所需要的API函数库和示例代码；</w:t>
            </w:r>
          </w:p>
          <w:p>
            <w:pPr>
              <w:pStyle w:val="null3"/>
              <w:jc w:val="both"/>
            </w:pPr>
            <w:r>
              <w:rPr>
                <w:rFonts w:ascii="仿宋_GB2312" w:hAnsi="仿宋_GB2312" w:cs="仿宋_GB2312" w:eastAsia="仿宋_GB2312"/>
                <w:sz w:val="21"/>
              </w:rPr>
              <w:t>7、根据射频通道数配置连接线缆。</w:t>
            </w:r>
          </w:p>
          <w:p>
            <w:pPr>
              <w:pStyle w:val="null3"/>
            </w:pPr>
            <w:r>
              <w:rPr>
                <w:rFonts w:ascii="仿宋_GB2312" w:hAnsi="仿宋_GB2312" w:cs="仿宋_GB2312" w:eastAsia="仿宋_GB2312"/>
                <w:sz w:val="21"/>
                <w:b/>
              </w:rPr>
              <w:t>（4）USRP（4）技术指标</w:t>
            </w:r>
          </w:p>
          <w:p>
            <w:pPr>
              <w:pStyle w:val="null3"/>
            </w:pPr>
            <w:r>
              <w:rPr>
                <w:rFonts w:ascii="仿宋_GB2312" w:hAnsi="仿宋_GB2312" w:cs="仿宋_GB2312" w:eastAsia="仿宋_GB2312"/>
                <w:sz w:val="21"/>
              </w:rPr>
              <w:t>1、▲射频通道≥4路发射和≥4路接收；</w:t>
            </w:r>
          </w:p>
          <w:p>
            <w:pPr>
              <w:pStyle w:val="null3"/>
            </w:pPr>
            <w:r>
              <w:rPr>
                <w:rFonts w:ascii="仿宋_GB2312" w:hAnsi="仿宋_GB2312" w:cs="仿宋_GB2312" w:eastAsia="仿宋_GB2312"/>
                <w:sz w:val="21"/>
              </w:rPr>
              <w:t>2、RF频率范围1MHz-7.2GHz</w:t>
            </w:r>
          </w:p>
          <w:p>
            <w:pPr>
              <w:pStyle w:val="null3"/>
            </w:pPr>
            <w:r>
              <w:rPr>
                <w:rFonts w:ascii="仿宋_GB2312" w:hAnsi="仿宋_GB2312" w:cs="仿宋_GB2312" w:eastAsia="仿宋_GB2312"/>
                <w:sz w:val="21"/>
              </w:rPr>
              <w:t>3、工作带宽OBW≥200MHz（IBW≥100MHz）；</w:t>
            </w:r>
          </w:p>
          <w:p>
            <w:pPr>
              <w:pStyle w:val="null3"/>
            </w:pPr>
            <w:r>
              <w:rPr>
                <w:rFonts w:ascii="仿宋_GB2312" w:hAnsi="仿宋_GB2312" w:cs="仿宋_GB2312" w:eastAsia="仿宋_GB2312"/>
                <w:sz w:val="21"/>
              </w:rPr>
              <w:t>4、同时支持ORAN规范的eCPRI和CPRI前传协议；</w:t>
            </w:r>
          </w:p>
          <w:p>
            <w:pPr>
              <w:pStyle w:val="null3"/>
            </w:pPr>
            <w:r>
              <w:rPr>
                <w:rFonts w:ascii="仿宋_GB2312" w:hAnsi="仿宋_GB2312" w:cs="仿宋_GB2312" w:eastAsia="仿宋_GB2312"/>
                <w:sz w:val="21"/>
              </w:rPr>
              <w:t>5、支持25G SFP+光口和2路1G RJ45网口；</w:t>
            </w:r>
          </w:p>
          <w:p>
            <w:pPr>
              <w:pStyle w:val="null3"/>
            </w:pPr>
            <w:r>
              <w:rPr>
                <w:rFonts w:ascii="仿宋_GB2312" w:hAnsi="仿宋_GB2312" w:cs="仿宋_GB2312" w:eastAsia="仿宋_GB2312"/>
                <w:sz w:val="21"/>
              </w:rPr>
              <w:t>6、提供配套的可在通用服务器上部署的PCIE数据前传卡；</w:t>
            </w:r>
          </w:p>
          <w:p>
            <w:pPr>
              <w:pStyle w:val="null3"/>
            </w:pPr>
            <w:r>
              <w:rPr>
                <w:rFonts w:ascii="仿宋_GB2312" w:hAnsi="仿宋_GB2312" w:cs="仿宋_GB2312" w:eastAsia="仿宋_GB2312"/>
                <w:sz w:val="21"/>
              </w:rPr>
              <w:t>7、单路射频发射功率≥24dBm，具备轻量化设计，总量≤2kg，整机功耗不超过35W；</w:t>
            </w:r>
          </w:p>
          <w:p>
            <w:pPr>
              <w:pStyle w:val="null3"/>
            </w:pPr>
            <w:r>
              <w:rPr>
                <w:rFonts w:ascii="仿宋_GB2312" w:hAnsi="仿宋_GB2312" w:cs="仿宋_GB2312" w:eastAsia="仿宋_GB2312"/>
                <w:sz w:val="21"/>
              </w:rPr>
              <w:t>8、支持3GPP频段N41/N78；</w:t>
            </w:r>
          </w:p>
          <w:p>
            <w:pPr>
              <w:pStyle w:val="null3"/>
            </w:pPr>
            <w:r>
              <w:rPr>
                <w:rFonts w:ascii="仿宋_GB2312" w:hAnsi="仿宋_GB2312" w:cs="仿宋_GB2312" w:eastAsia="仿宋_GB2312"/>
                <w:sz w:val="21"/>
              </w:rPr>
              <w:t>9、ACLR在24dBm发射功率下≤-49dBc；</w:t>
            </w:r>
          </w:p>
          <w:p>
            <w:pPr>
              <w:pStyle w:val="null3"/>
            </w:pPr>
            <w:r>
              <w:rPr>
                <w:rFonts w:ascii="仿宋_GB2312" w:hAnsi="仿宋_GB2312" w:cs="仿宋_GB2312" w:eastAsia="仿宋_GB2312"/>
                <w:sz w:val="21"/>
              </w:rPr>
              <w:t>10、驻波比VSWR≤1.5；</w:t>
            </w:r>
          </w:p>
          <w:p>
            <w:pPr>
              <w:pStyle w:val="null3"/>
            </w:pPr>
            <w:r>
              <w:rPr>
                <w:rFonts w:ascii="仿宋_GB2312" w:hAnsi="仿宋_GB2312" w:cs="仿宋_GB2312" w:eastAsia="仿宋_GB2312"/>
                <w:sz w:val="21"/>
              </w:rPr>
              <w:t>11、接收机对100MHz NR QPSK信号灵敏度优于-94dBm；</w:t>
            </w:r>
          </w:p>
          <w:p>
            <w:pPr>
              <w:pStyle w:val="null3"/>
            </w:pPr>
            <w:r>
              <w:rPr>
                <w:rFonts w:ascii="仿宋_GB2312" w:hAnsi="仿宋_GB2312" w:cs="仿宋_GB2312" w:eastAsia="仿宋_GB2312"/>
                <w:sz w:val="21"/>
              </w:rPr>
              <w:t>12、支持1588v2同步；</w:t>
            </w:r>
          </w:p>
          <w:p>
            <w:pPr>
              <w:pStyle w:val="null3"/>
            </w:pPr>
            <w:r>
              <w:rPr>
                <w:rFonts w:ascii="仿宋_GB2312" w:hAnsi="仿宋_GB2312" w:cs="仿宋_GB2312" w:eastAsia="仿宋_GB2312"/>
                <w:sz w:val="21"/>
              </w:rPr>
              <w:t>13、支持软件无线电及图形化配置；</w:t>
            </w:r>
          </w:p>
          <w:p>
            <w:pPr>
              <w:pStyle w:val="null3"/>
            </w:pPr>
            <w:r>
              <w:rPr>
                <w:rFonts w:ascii="仿宋_GB2312" w:hAnsi="仿宋_GB2312" w:cs="仿宋_GB2312" w:eastAsia="仿宋_GB2312"/>
                <w:sz w:val="21"/>
              </w:rPr>
              <w:t>14、提供可部署在通用服务器上的5G NR基带处理软件包，支持完整的5G NR接入网功能，基带版本不低于3GPP NR Rel17，包括PHY/MAC/RLC/RRC等，软件支持≥8个波束的管理与资源调度能力；</w:t>
            </w:r>
          </w:p>
          <w:p>
            <w:pPr>
              <w:pStyle w:val="null3"/>
            </w:pPr>
            <w:r>
              <w:rPr>
                <w:rFonts w:ascii="仿宋_GB2312" w:hAnsi="仿宋_GB2312" w:cs="仿宋_GB2312" w:eastAsia="仿宋_GB2312"/>
                <w:sz w:val="21"/>
              </w:rPr>
              <w:t>15、基带处理软件可支持100MHz的NR小区基带处理，下行速率≥5.5Gbps，上行速率≥1.5Gbps,并提供二次开发用SDK；</w:t>
            </w:r>
          </w:p>
          <w:p>
            <w:pPr>
              <w:pStyle w:val="null3"/>
            </w:pPr>
            <w:r>
              <w:rPr>
                <w:rFonts w:ascii="仿宋_GB2312" w:hAnsi="仿宋_GB2312" w:cs="仿宋_GB2312" w:eastAsia="仿宋_GB2312"/>
                <w:sz w:val="21"/>
              </w:rPr>
              <w:t>16、提供可部署在通用服务器上的5G NR核心网软件包，支持完整的5G NR 核心网功能，包括UPF/AMF/SMF等功能；</w:t>
            </w:r>
          </w:p>
          <w:p>
            <w:pPr>
              <w:pStyle w:val="null3"/>
            </w:pPr>
            <w:r>
              <w:rPr>
                <w:rFonts w:ascii="仿宋_GB2312" w:hAnsi="仿宋_GB2312" w:cs="仿宋_GB2312" w:eastAsia="仿宋_GB2312"/>
                <w:sz w:val="21"/>
              </w:rPr>
              <w:t>17、提供支持网络部署的设备管理工具（OMC）；</w:t>
            </w:r>
          </w:p>
          <w:p>
            <w:pPr>
              <w:pStyle w:val="null3"/>
            </w:pPr>
            <w:r>
              <w:rPr>
                <w:rFonts w:ascii="仿宋_GB2312" w:hAnsi="仿宋_GB2312" w:cs="仿宋_GB2312" w:eastAsia="仿宋_GB2312"/>
                <w:sz w:val="21"/>
              </w:rPr>
              <w:t>18、支持终端通信质量以及速率检测图形化；</w:t>
            </w:r>
          </w:p>
          <w:p>
            <w:pPr>
              <w:pStyle w:val="null3"/>
              <w:jc w:val="both"/>
            </w:pPr>
            <w:r>
              <w:rPr>
                <w:rFonts w:ascii="仿宋_GB2312" w:hAnsi="仿宋_GB2312" w:cs="仿宋_GB2312" w:eastAsia="仿宋_GB2312"/>
                <w:sz w:val="21"/>
              </w:rPr>
              <w:t>19、提供相关前传接口与基带开发API；</w:t>
            </w:r>
          </w:p>
          <w:p>
            <w:pPr>
              <w:pStyle w:val="null3"/>
              <w:jc w:val="both"/>
            </w:pPr>
            <w:r>
              <w:rPr>
                <w:rFonts w:ascii="仿宋_GB2312" w:hAnsi="仿宋_GB2312" w:cs="仿宋_GB2312" w:eastAsia="仿宋_GB2312"/>
                <w:sz w:val="21"/>
              </w:rPr>
              <w:t>20、根据射频通道数配置连接线缆。</w:t>
            </w:r>
          </w:p>
          <w:p>
            <w:pPr>
              <w:pStyle w:val="null3"/>
              <w:jc w:val="both"/>
            </w:pPr>
            <w:r>
              <w:rPr>
                <w:rFonts w:ascii="仿宋_GB2312" w:hAnsi="仿宋_GB2312" w:cs="仿宋_GB2312" w:eastAsia="仿宋_GB2312"/>
                <w:sz w:val="21"/>
                <w:b/>
              </w:rPr>
              <w:t>（5）低功耗接入节点技术指标</w:t>
            </w:r>
          </w:p>
          <w:p>
            <w:pPr>
              <w:pStyle w:val="null3"/>
            </w:pPr>
            <w:r>
              <w:rPr>
                <w:rFonts w:ascii="仿宋_GB2312" w:hAnsi="仿宋_GB2312" w:cs="仿宋_GB2312" w:eastAsia="仿宋_GB2312"/>
                <w:sz w:val="21"/>
              </w:rPr>
              <w:t>1、▲测试用5G NR终端；</w:t>
            </w:r>
          </w:p>
          <w:p>
            <w:pPr>
              <w:pStyle w:val="null3"/>
            </w:pPr>
            <w:r>
              <w:rPr>
                <w:rFonts w:ascii="仿宋_GB2312" w:hAnsi="仿宋_GB2312" w:cs="仿宋_GB2312" w:eastAsia="仿宋_GB2312"/>
                <w:sz w:val="21"/>
              </w:rPr>
              <w:t>2、支持3GPP NR Rel17终端侧协议栈支持常用卫星频段和地面站频段；</w:t>
            </w:r>
          </w:p>
          <w:p>
            <w:pPr>
              <w:pStyle w:val="null3"/>
            </w:pPr>
            <w:r>
              <w:rPr>
                <w:rFonts w:ascii="仿宋_GB2312" w:hAnsi="仿宋_GB2312" w:cs="仿宋_GB2312" w:eastAsia="仿宋_GB2312"/>
                <w:sz w:val="21"/>
              </w:rPr>
              <w:t>3、天线增益≥8dBi；</w:t>
            </w:r>
          </w:p>
          <w:p>
            <w:pPr>
              <w:pStyle w:val="null3"/>
            </w:pPr>
            <w:r>
              <w:rPr>
                <w:rFonts w:ascii="仿宋_GB2312" w:hAnsi="仿宋_GB2312" w:cs="仿宋_GB2312" w:eastAsia="仿宋_GB2312"/>
                <w:sz w:val="21"/>
              </w:rPr>
              <w:t>4、支持实时信号质量抓取和业务报文抓取</w:t>
            </w:r>
          </w:p>
          <w:p>
            <w:pPr>
              <w:pStyle w:val="null3"/>
              <w:jc w:val="both"/>
            </w:pPr>
            <w:r>
              <w:rPr>
                <w:rFonts w:ascii="仿宋_GB2312" w:hAnsi="仿宋_GB2312" w:cs="仿宋_GB2312" w:eastAsia="仿宋_GB2312"/>
                <w:sz w:val="21"/>
                <w:b/>
              </w:rPr>
              <w:t>（6）相控阵天线技术指标</w:t>
            </w:r>
          </w:p>
          <w:p>
            <w:pPr>
              <w:pStyle w:val="null3"/>
            </w:pPr>
            <w:r>
              <w:rPr>
                <w:rFonts w:ascii="仿宋_GB2312" w:hAnsi="仿宋_GB2312" w:cs="仿宋_GB2312" w:eastAsia="仿宋_GB2312"/>
                <w:sz w:val="21"/>
              </w:rPr>
              <w:t>1、▲阵面天线阵元数目≥64个；</w:t>
            </w:r>
          </w:p>
          <w:p>
            <w:pPr>
              <w:pStyle w:val="null3"/>
            </w:pPr>
            <w:r>
              <w:rPr>
                <w:rFonts w:ascii="仿宋_GB2312" w:hAnsi="仿宋_GB2312" w:cs="仿宋_GB2312" w:eastAsia="仿宋_GB2312"/>
                <w:sz w:val="21"/>
              </w:rPr>
              <w:t>2、极化模式为线极化（水平或垂直极化）；</w:t>
            </w:r>
          </w:p>
          <w:p>
            <w:pPr>
              <w:pStyle w:val="null3"/>
            </w:pPr>
            <w:r>
              <w:rPr>
                <w:rFonts w:ascii="仿宋_GB2312" w:hAnsi="仿宋_GB2312" w:cs="仿宋_GB2312" w:eastAsia="仿宋_GB2312"/>
                <w:sz w:val="21"/>
              </w:rPr>
              <w:t>3、驻波比≤1.5；</w:t>
            </w:r>
          </w:p>
          <w:p>
            <w:pPr>
              <w:pStyle w:val="null3"/>
            </w:pPr>
            <w:r>
              <w:rPr>
                <w:rFonts w:ascii="仿宋_GB2312" w:hAnsi="仿宋_GB2312" w:cs="仿宋_GB2312" w:eastAsia="仿宋_GB2312"/>
                <w:sz w:val="21"/>
              </w:rPr>
              <w:t>4、支持波束码本动态配置；</w:t>
            </w:r>
          </w:p>
          <w:p>
            <w:pPr>
              <w:pStyle w:val="null3"/>
            </w:pPr>
            <w:r>
              <w:rPr>
                <w:rFonts w:ascii="仿宋_GB2312" w:hAnsi="仿宋_GB2312" w:cs="仿宋_GB2312" w:eastAsia="仿宋_GB2312"/>
                <w:sz w:val="21"/>
              </w:rPr>
              <w:t>5、设计带宽≥200MHz，中心频点≥3.5GHz</w:t>
            </w:r>
          </w:p>
          <w:p>
            <w:pPr>
              <w:pStyle w:val="null3"/>
              <w:jc w:val="both"/>
            </w:pPr>
            <w:r>
              <w:rPr>
                <w:rFonts w:ascii="仿宋_GB2312" w:hAnsi="仿宋_GB2312" w:cs="仿宋_GB2312" w:eastAsia="仿宋_GB2312"/>
                <w:sz w:val="21"/>
                <w:b/>
              </w:rPr>
              <w:t>三、空天地一体化无线信道仿真仪</w:t>
            </w:r>
          </w:p>
          <w:p>
            <w:pPr>
              <w:pStyle w:val="null3"/>
            </w:pPr>
            <w:r>
              <w:rPr>
                <w:rFonts w:ascii="仿宋_GB2312" w:hAnsi="仿宋_GB2312" w:cs="仿宋_GB2312" w:eastAsia="仿宋_GB2312"/>
                <w:sz w:val="21"/>
              </w:rPr>
              <w:t>1、▲射频通道数：≥8，每通道全双工（通道数可扩展）；</w:t>
            </w:r>
          </w:p>
          <w:p>
            <w:pPr>
              <w:pStyle w:val="null3"/>
            </w:pPr>
            <w:r>
              <w:rPr>
                <w:rFonts w:ascii="仿宋_GB2312" w:hAnsi="仿宋_GB2312" w:cs="仿宋_GB2312" w:eastAsia="仿宋_GB2312"/>
                <w:sz w:val="21"/>
              </w:rPr>
              <w:t>2、射频通道接口：N型或SMA型，全双工；</w:t>
            </w:r>
          </w:p>
          <w:p>
            <w:pPr>
              <w:pStyle w:val="null3"/>
            </w:pPr>
            <w:r>
              <w:rPr>
                <w:rFonts w:ascii="仿宋_GB2312" w:hAnsi="仿宋_GB2312" w:cs="仿宋_GB2312" w:eastAsia="仿宋_GB2312"/>
                <w:sz w:val="21"/>
              </w:rPr>
              <w:t>3、▲射频频率范围：450MHz~6GHz；</w:t>
            </w:r>
          </w:p>
          <w:p>
            <w:pPr>
              <w:pStyle w:val="null3"/>
            </w:pPr>
            <w:r>
              <w:rPr>
                <w:rFonts w:ascii="仿宋_GB2312" w:hAnsi="仿宋_GB2312" w:cs="仿宋_GB2312" w:eastAsia="仿宋_GB2312"/>
                <w:sz w:val="21"/>
              </w:rPr>
              <w:t>4、支持带宽：200MHz；</w:t>
            </w:r>
          </w:p>
          <w:p>
            <w:pPr>
              <w:pStyle w:val="null3"/>
            </w:pPr>
            <w:r>
              <w:rPr>
                <w:rFonts w:ascii="仿宋_GB2312" w:hAnsi="仿宋_GB2312" w:cs="仿宋_GB2312" w:eastAsia="仿宋_GB2312"/>
                <w:sz w:val="21"/>
              </w:rPr>
              <w:t>5、运行状态底噪：≤-162dBm/Hz（输出小于-40dBm时）；</w:t>
            </w:r>
          </w:p>
          <w:p>
            <w:pPr>
              <w:pStyle w:val="null3"/>
            </w:pPr>
            <w:r>
              <w:rPr>
                <w:rFonts w:ascii="仿宋_GB2312" w:hAnsi="仿宋_GB2312" w:cs="仿宋_GB2312" w:eastAsia="仿宋_GB2312"/>
                <w:sz w:val="21"/>
              </w:rPr>
              <w:t>6、输入信号功率：-40dBm~37dBm；</w:t>
            </w:r>
          </w:p>
          <w:p>
            <w:pPr>
              <w:pStyle w:val="null3"/>
            </w:pPr>
            <w:r>
              <w:rPr>
                <w:rFonts w:ascii="仿宋_GB2312" w:hAnsi="仿宋_GB2312" w:cs="仿宋_GB2312" w:eastAsia="仿宋_GB2312"/>
                <w:sz w:val="21"/>
              </w:rPr>
              <w:t>7、输出信号功率：-120dBm~-10dBm；</w:t>
            </w:r>
          </w:p>
          <w:p>
            <w:pPr>
              <w:pStyle w:val="null3"/>
            </w:pPr>
            <w:r>
              <w:rPr>
                <w:rFonts w:ascii="仿宋_GB2312" w:hAnsi="仿宋_GB2312" w:cs="仿宋_GB2312" w:eastAsia="仿宋_GB2312"/>
                <w:sz w:val="21"/>
              </w:rPr>
              <w:t>8、支持CW干扰、AWGN干扰、脉冲干扰、扫频干扰，宽带窄带干扰以及导入用户自定义干扰；</w:t>
            </w:r>
          </w:p>
          <w:p>
            <w:pPr>
              <w:pStyle w:val="null3"/>
            </w:pPr>
            <w:r>
              <w:rPr>
                <w:rFonts w:ascii="仿宋_GB2312" w:hAnsi="仿宋_GB2312" w:cs="仿宋_GB2312" w:eastAsia="仿宋_GB2312"/>
                <w:sz w:val="21"/>
              </w:rPr>
              <w:t>9、▲支持4G/5G通信场景中3GPP标准38.901定义的TDL、CDL衰落模型，包括TDL-A/B/C/D/E，CDL-A/B/C/D/E等；</w:t>
            </w:r>
          </w:p>
          <w:p>
            <w:pPr>
              <w:pStyle w:val="null3"/>
            </w:pPr>
            <w:r>
              <w:rPr>
                <w:rFonts w:ascii="仿宋_GB2312" w:hAnsi="仿宋_GB2312" w:cs="仿宋_GB2312" w:eastAsia="仿宋_GB2312"/>
                <w:sz w:val="21"/>
              </w:rPr>
              <w:t>10、卫星通信场景中大气衰减、电离层衰减、雨衰，多径衰落模型包括Loo、Corazza、Lutz、ITU-R 681-11规定的卫星信道模型等；</w:t>
            </w:r>
          </w:p>
          <w:p>
            <w:pPr>
              <w:pStyle w:val="null3"/>
            </w:pPr>
            <w:r>
              <w:rPr>
                <w:rFonts w:ascii="仿宋_GB2312" w:hAnsi="仿宋_GB2312" w:cs="仿宋_GB2312" w:eastAsia="仿宋_GB2312"/>
                <w:sz w:val="21"/>
              </w:rPr>
              <w:t>11. 支持时延模拟：≥1s（200MHz信号带宽下）</w:t>
            </w:r>
          </w:p>
          <w:p>
            <w:pPr>
              <w:pStyle w:val="null3"/>
            </w:pPr>
            <w:r>
              <w:rPr>
                <w:rFonts w:ascii="仿宋_GB2312" w:hAnsi="仿宋_GB2312" w:cs="仿宋_GB2312" w:eastAsia="仿宋_GB2312"/>
                <w:sz w:val="21"/>
              </w:rPr>
              <w:t>12. 支持多径效应模拟：多径最大时延拓展:≥10us;</w:t>
            </w:r>
          </w:p>
          <w:p>
            <w:pPr>
              <w:pStyle w:val="null3"/>
            </w:pPr>
            <w:r>
              <w:rPr>
                <w:rFonts w:ascii="仿宋_GB2312" w:hAnsi="仿宋_GB2312" w:cs="仿宋_GB2312" w:eastAsia="仿宋_GB2312"/>
                <w:sz w:val="21"/>
              </w:rPr>
              <w:t>13. 支持全联通组网仿真，8个全双工节点接入，每个子信道多径数≥32</w:t>
            </w:r>
          </w:p>
          <w:p>
            <w:pPr>
              <w:pStyle w:val="null3"/>
            </w:pPr>
            <w:r>
              <w:rPr>
                <w:rFonts w:ascii="仿宋_GB2312" w:hAnsi="仿宋_GB2312" w:cs="仿宋_GB2312" w:eastAsia="仿宋_GB2312"/>
                <w:sz w:val="21"/>
              </w:rPr>
              <w:t>14、支持用户自定义编辑信道模型；</w:t>
            </w:r>
          </w:p>
          <w:p>
            <w:pPr>
              <w:pStyle w:val="null3"/>
            </w:pPr>
            <w:r>
              <w:rPr>
                <w:rFonts w:ascii="仿宋_GB2312" w:hAnsi="仿宋_GB2312" w:cs="仿宋_GB2312" w:eastAsia="仿宋_GB2312"/>
                <w:sz w:val="21"/>
              </w:rPr>
              <w:t>15、具备千兆网口。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合同签订后45日历天内安装调试完成并保证可正常使用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①磋商文件、响应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项目质保期为最终验收通过之日起不少于3年，供应商终身提供产品技术支持与免费软件版本更新服务；（2）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按照《中华人民共和国民法典》和《中华人民共和国政府采购法》中的相关条款执行。（2）未按合同要求的提供产品或质量不能满足技术要求，甲方有权终止合同，甚至对供方违约行为进行追究。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售后服务要求：（1）免费送货上门，免费按采购人要求安装调试，免费技术培训，直至操作人员熟练操作产品的各项功能。（2）免费保修期内接到报障电话在承诺时间内派工程技术人员上门维修解决问题，如果需要更换配件的，要求更换的配件应跟被更换的品牌、类型相一致或者是同类同档次的替代品，后者需征得用户方管理人员同意。（4）若产品自带软件的，则须提供免费保修期内免费升级服务。（5）供应商为用户提供至少一次免费设备移机服务 3.5.2为顺利推进政府采购电子化交易平台应用工作，投标人需要在线提交所有通过电子化交易平台实施的政府采购项目的投标文件，同时，线下提交投标文件壹份。 注：生成PDF电子文件时，先将各分册合并为完整一册，统一在投标文件页脚正中间编制整册连续页码，确保页码连贯、位置统一、生成的完整纸质投标文件建议A4纸双面打印，装订成册并编制目录和页码，密封并加盖公章。邮寄（仅接收顺丰快递，勿寄顺丰同城）或现场提交均可。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04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04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产品参数技术表.docx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产品参数技术表.docx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商务、技术要求是否满足实质性要求</w:t>
            </w:r>
          </w:p>
        </w:tc>
        <w:tc>
          <w:tcPr>
            <w:tcW w:type="dxa" w:w="3322"/>
          </w:tcPr>
          <w:p>
            <w:pPr>
              <w:pStyle w:val="null3"/>
            </w:pPr>
            <w:r>
              <w:rPr>
                <w:rFonts w:ascii="仿宋_GB2312" w:hAnsi="仿宋_GB2312" w:cs="仿宋_GB2312" w:eastAsia="仿宋_GB2312"/>
              </w:rPr>
              <w:t>商务、技术要求是否满足实质性要求的（供货期大于招标要求、质保期小于招标要求、付款方式不满足招标要求等）</w:t>
            </w:r>
          </w:p>
        </w:tc>
        <w:tc>
          <w:tcPr>
            <w:tcW w:type="dxa" w:w="1661"/>
          </w:tcPr>
          <w:p>
            <w:pPr>
              <w:pStyle w:val="null3"/>
            </w:pPr>
            <w:r>
              <w:rPr>
                <w:rFonts w:ascii="仿宋_GB2312" w:hAnsi="仿宋_GB2312" w:cs="仿宋_GB2312" w:eastAsia="仿宋_GB2312"/>
              </w:rPr>
              <w:t>产品参数技术表.docx 相关方案.docx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和功能中：1、重要参数评审：“▲”项参数条款响应得分=（投标人满足“▲”项技术参数条款的数量÷“▲”项技术参数条款的总数量）×22分；2、一般参数评审（除“▲”项）：其余参数条款响应得分=（投标人满足的其余技术参数条款的数量÷其余技术参数条款的总数量）×8分；4、技术要求总得分=重要参数评审得分+一般参数评审得分。 注：加“▲”参数需提供佐证材料，佐证材料不限于：产品彩页、检测报告、官网截图等证明材料，佐证材料须包含产品的技术参数，并按要求放入投标文件中，予以证明其技术参数的响应性。投标人自行承担因证明材料不全而被视为技术参数偏离的风险。要求提供佐证材料以佐证材料为准，不提供的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产品参数技术表.docx</w:t>
            </w:r>
          </w:p>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 6分） 设备选型：每完全满足一个评审标准得1.5分，满分6分；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项目实施计划和保证措施</w:t>
            </w:r>
          </w:p>
        </w:tc>
        <w:tc>
          <w:tcPr>
            <w:tcW w:type="dxa" w:w="2492"/>
          </w:tcPr>
          <w:p>
            <w:pPr>
              <w:pStyle w:val="null3"/>
            </w:pPr>
            <w:r>
              <w:rPr>
                <w:rFonts w:ascii="仿宋_GB2312" w:hAnsi="仿宋_GB2312" w:cs="仿宋_GB2312" w:eastAsia="仿宋_GB2312"/>
              </w:rPr>
              <w:t>一、评审内容 供应商需提供科学、完整、合理、规范的实施方案及措施。内容包含：①项目实施方案计划②进度保证措施③人员配置方案④供货、安装、调试方案、验收措施。 二、评审标准 1、完整性：方案须全面，对评审内容中的各项要求描述详细； 2、可实施性：切合本项目实际情况，实施步骤清晰、合理； 3、针对性：方案能够紧扣项目实际情况，内容科学合理。 三、赋分依据（满分12分） ①项目实施方案计划：每完全满足一个评审标准得1分，满分3分； ②进度保证措施:每完全满足一个评审标准得1分，满分3分； ③人员配置方案:每完全满足一个评审标准得1分，满分3分； ④供货、安装、调试方案、验收：每完全满足一个评审标准得1分，满分3分。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根据项目实际需求提供售后服务方案。内容包含：①售后服务范围及保障措施②响应时间③故障处理及补救措施④定期回访及维护。 二、评审标准 1.完整性：方案须全面，对评审内容中的各项要求有详细描述； 2.可实施性：切合本项目实际情况，提出步骤清晰、合理的方案； 3.针对性：方案能够紧扣项目实际情况，内容科学合理。 三、赋分依据（满分12分） ①售后服务范围及保障措施：每完全满足一个评审标准得1分，满分3分； ②响应时间:每完全满足一个评审标准得1分，满分3分； ③故障处理及补救措施:每完全满足一个评审标准得1分，满分3分； ④定期回访及维护：完全满足一个评审标准得1分，满分3分。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投标人针对本项目提供①培训方案②培训人员及时间安排。 二、评审标准： 1、完整性：方案须全面，对评审内容中的各项要求描述详细； 2、可实施性、合理性：切合本项目实际情况，实施步骤清晰、合理； 三、赋分依据（满分5分）： ①培训方案：每完全满足一项评审标准得1.5分，满分3分；②培训人员及时间安排：每完全满足一项评审标准得1分，满分2分；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投标人提供自2023年1月1日起（以合同签订日为准）至今承担过类似业绩，每提供1个业绩合同得1分，最高得5分。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详见附件：产品参数技术表.docx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详见附件：附件（授权、书面声明、承诺）.docx</w:t>
      </w:r>
    </w:p>
    <w:p>
      <w:pPr>
        <w:pStyle w:val="null3"/>
        <w:ind w:firstLine="960"/>
      </w:pPr>
      <w:r>
        <w:rPr>
          <w:rFonts w:ascii="仿宋_GB2312" w:hAnsi="仿宋_GB2312" w:cs="仿宋_GB2312" w:eastAsia="仿宋_GB2312"/>
        </w:rPr>
        <w:t>详见附件：相关方案.docx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详见附件：货物类合同模板.docx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