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版本号：SZB-2026-013-0220260410001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“灵犀计划”项目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SZB-2026-013-02</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“灵犀计划”项目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SZB-2026-013-02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“灵犀计划”项目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深化实施陕西知识产权转化运用“灵犀计划”，构建需求挖掘、供需匹配、对接落地、金融护航全链条服务，破解供给与需求“双向盲区”。面向重点产业开展专利盘点、精准匹配、专场对接、项目辅导、金融赋能与成果撮合，推动专利从实验室走向生产线，提升转化效率与规模，打造政产学研金介协同生态，强化区域知识产权运营能力，助力创新链产业链资金链人才链深度融合。供应商需完成供需摸排、专利盘点、供需匹配、专场活动组织、专家聘请、项目辅导、路演对接、金融赋能、宣传推广、会务保障、成果撮合、资料汇编、总结报告及配套系统支撑与管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2、法定代表人授权书：提供法定代表人授权委托书原件（附法定代表人身份证复印件）及被授权委托人身份证（法定代表人参加投标时只须提供法定代表人身份证）</w:t>
      </w:r>
    </w:p>
    <w:p>
      <w:pPr>
        <w:pStyle w:val="null3"/>
      </w:pPr>
      <w:r>
        <w:rPr>
          <w:rFonts w:ascii="仿宋_GB2312" w:hAnsi="仿宋_GB2312" w:cs="仿宋_GB2312" w:eastAsia="仿宋_GB2312"/>
        </w:rPr>
        <w:t>3、财务状况报告：提供经审计的2024年度或2025年度的财务报告或提供开标日期前六个月内其基本账户开户银行出具的资信证明；其他组织和自然人提供银行出具的资信证明或财务报表</w:t>
      </w:r>
    </w:p>
    <w:p>
      <w:pPr>
        <w:pStyle w:val="null3"/>
      </w:pPr>
      <w:r>
        <w:rPr>
          <w:rFonts w:ascii="仿宋_GB2312" w:hAnsi="仿宋_GB2312" w:cs="仿宋_GB2312" w:eastAsia="仿宋_GB2312"/>
        </w:rPr>
        <w:t>4、税收缴纳证明：提供已缴纳的本年度或上年度任一月份的缴税凭证。依法免税的供应商应提供相关文件证明</w:t>
      </w:r>
    </w:p>
    <w:p>
      <w:pPr>
        <w:pStyle w:val="null3"/>
      </w:pPr>
      <w:r>
        <w:rPr>
          <w:rFonts w:ascii="仿宋_GB2312" w:hAnsi="仿宋_GB2312" w:cs="仿宋_GB2312" w:eastAsia="仿宋_GB2312"/>
        </w:rPr>
        <w:t>5、社会保障资金缴纳证明：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p>
      <w:pPr>
        <w:pStyle w:val="null3"/>
      </w:pPr>
      <w:r>
        <w:rPr>
          <w:rFonts w:ascii="仿宋_GB2312" w:hAnsi="仿宋_GB2312" w:cs="仿宋_GB2312" w:eastAsia="仿宋_GB2312"/>
        </w:rPr>
        <w:t>6、信用记录：参加本次政府采购活动前3年内在经营活动中没有重大违纪，以及未被列入失信被执行人、重大税收违法案件当事人名单、政府采购严重违法失信行为记录名单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7、信用主体查询：供应商通过“信用中国”网站(www.creditchina.gov.cn)查询相关主体信用记录，查询时间须在采购文件发售期至开标截止时间之间，并将网页截图附在响应文件中</w:t>
      </w:r>
    </w:p>
    <w:p>
      <w:pPr>
        <w:pStyle w:val="null3"/>
      </w:pPr>
      <w:r>
        <w:rPr>
          <w:rFonts w:ascii="仿宋_GB2312" w:hAnsi="仿宋_GB2312" w:cs="仿宋_GB2312" w:eastAsia="仿宋_GB2312"/>
        </w:rPr>
        <w:t>8、书面声明：具有履行合同所必需的专业技术和行业组织协调能力的承诺函</w:t>
      </w:r>
    </w:p>
    <w:p>
      <w:pPr>
        <w:pStyle w:val="null3"/>
      </w:pPr>
      <w:r>
        <w:rPr>
          <w:rFonts w:ascii="仿宋_GB2312" w:hAnsi="仿宋_GB2312" w:cs="仿宋_GB2312" w:eastAsia="仿宋_GB2312"/>
        </w:rPr>
        <w:t>9、《非联合体投标声明》：本项目不接受联合体投标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西安市雁翔路99号交大博源科技广场C座12楼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18821775788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 ，参照国家计委计价格【2002】 1980号文支付，一次性收取。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地址：西安市雁翔路99号交大博源科技广场C座12楼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化实施陕西知识产权转化运用“灵犀计划”，构建需求挖掘、供需匹配、对接落地、金融护航全链条服务，破解供给与需求“双向盲区”。面向重点产业开展专利盘点、精准匹配、专场对接、项目辅导、金融赋能与成果撮合，推动专利从实验室走向生产线，提升转化效率与规模，打造政产学研金介协同生态，强化区域知识产权运营能力，助力创新链产业链资金链人才链深度融合。供应商需完成供需摸排、专利盘点、供需匹配、专场活动组织、专家聘请、项目辅导、路演对接、金融赋能、宣传推广、会务保障、成果撮合、资料汇编、总结报告及配套系统支撑与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3,750,000.00</w:t>
      </w:r>
    </w:p>
    <w:p>
      <w:pPr>
        <w:pStyle w:val="null3"/>
      </w:pPr>
      <w:r>
        <w:rPr>
          <w:rFonts w:ascii="仿宋_GB2312" w:hAnsi="仿宋_GB2312" w:cs="仿宋_GB2312" w:eastAsia="仿宋_GB2312"/>
        </w:rPr>
        <w:t>采购包最高限价（元）: 3,750,000.00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陕西知识产权转化运用灵犀计划项目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标的名称：陕西知识产权转化运用灵犀计划项目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调研要求，供应商需制定产业需求调研方案。明确调研对象、调研方式、调研内容。组建由行业专家、投融资机构组成的“需求挖掘专班”，全年调研对象不少于35家，挖掘梳理企业共性需求，为后续对接提供指引。根据调研情况为每家企业建立专属档案，包括企业基本信息、技术需求、对接记录、签约情况、后续服务跟踪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供需匹配要求，依托陕西省知识产权大数据公共服务平台及全球1.8亿条专利数据资源，制定线上线下相结合的供需匹配方案。线上利用智能匹配模块对产业需求与专利技术进行多维度匹配，线下组织专业团队对匹配结果进行人工复核，确保技术可行性与市场适配性。对重点产业的“卡脖子”技术进行全球专利动态监测，形成产业专题页面、重点技术专利检测库、预警清单，实现高价值专利的精准推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活动举办要求，围绕全省重点产业链，制定专题活动方案，全年举办不少于4场专题活动。活动形式包括但不限于产业对接会、专利技术路演、需求发布、项目成果展示、专家会诊、金融问诊等。活动主题聚焦全省、市重点产业，确保每期活动有主题、有内容。活动前制定详细流程安排、嘉宾邀请、场地规划，确保活动有序高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活动搭建要求，根据活动设置，负责每期活动的视觉设计与物料制作。包括活动主视觉、展区设计、宣传海报、手册、展板、背景板等所有宣传物料的设计与制作。负责活动现场的布展搭建，包括展位搭建、展架制作、灯光音响、多媒体设备等，确保物料质量与安全，符合消防、环保等相关规定。设计需体现“灵犀计划”品牌形象，突出知识产权转化运用主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成果跟踪服务要求，制定签约成果跟踪服务机制。对活动中达成的签约项目进行持续跟踪，记录落地进展、存在问题、后续需求，定期形成成果跟踪报告。对已对接但未签约的项目，建立后续服务通道，持续推动供需双方深入对接，提高转化成功率。项目结束后，形成总体成果总结报告，包括签约金额、转化数量、典型案例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rPr>
              <w:t>宣传要求，制定全方位宣传推广方案。整合传统媒体与新媒体资源，开展活动前预热、活动中报道、活动后深度宣传。涵盖传统媒体（电视、报纸、广播）和新媒体（微信公众号、抖音、行业网站等）；媒体宣传须覆盖国家级主流媒体不少于2家，省级主流媒体不少于3家，市级媒体不少于5家。宣传内容需突出“灵犀计划”品牌形象，展示知识产权转化运用成效，提升全社会知识产权意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18"/>
              </w:rPr>
              <w:t>人员配置要求，团队应包含产业调研、供需匹配、活动执行、设计制作、媒体宣传、档案管理、成果跟踪等专业人员，确保各环节高效协同。提供人员名单、岗位职责、工作经历等证明材料。</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18"/>
              </w:rPr>
              <w:t>项目服务与验收要求，成立专属项目团队，提供7×24小时响应服务，定期汇报项目进展。项目结束后，整理并提交完整的项目资料包，包括策划方案、执行记录、宣传数据、设计源文件、视频图片素材等。配合采购人完成项目验收，根据验收意见及时整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按照合同约定期限完成所有内容。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提供法定代表人授权委托书原件（附法定代表人身份证复印件）及被授权委托人身份证（法定代表人参加投标时只须提供法定代表人身份证）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提供经审计的2024年度或2025年度的财务报告或提供开标日期前六个月内其基本账户开户银行出具的资信证明；其他组织和自然人提供银行出具的资信证明或财务报表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提供已缴纳的本年度或上年度任一月份的缴税凭证。依法免税的供应商应提供相关文件证明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供应商通过“信用中国”网站(www.creditchina.gov.cn)查询相关主体信用记录，查询时间须在采购文件发售期至开标截止时间之间，并将网页截图附在响应文件中</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具有履行合同所必需的专业技术和行业组织协调能力的承诺函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总体服务策划方案</w:t>
            </w:r>
          </w:p>
        </w:tc>
        <w:tc>
          <w:tcPr>
            <w:tcW w:type="dxa" w:w="2492"/>
          </w:tcPr>
          <w:p>
            <w:pPr>
              <w:pStyle w:val="null3"/>
            </w:pPr>
            <w:r>
              <w:rPr>
                <w:rFonts w:ascii="仿宋_GB2312" w:hAnsi="仿宋_GB2312" w:cs="仿宋_GB2312" w:eastAsia="仿宋_GB2312"/>
              </w:rPr>
              <w:t>根据供应商对本项目技术需求的理解及需求分析思路是否清晰、内容是否全面、各方面安排是否科学合理： 1、供应商所提供的服务内容完整科学，符合项目实际及需求，可操作性强，完全满足或优于磋商文件相关标准，满足采购人实际需求，根据响应情况得10-15分； 2、供应商所提供的服务内容完整，基本符合项目实际需求，可操作根据响应情况得5-10分； 3、供应商所提供服务内容存在缺漏项，在项目实施过程中可能存在工作不到位的情况，根据响应情况得0-5分。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调研方案</w:t>
            </w:r>
          </w:p>
        </w:tc>
        <w:tc>
          <w:tcPr>
            <w:tcW w:type="dxa" w:w="2492"/>
          </w:tcPr>
          <w:p>
            <w:pPr>
              <w:pStyle w:val="null3"/>
            </w:pPr>
            <w:r>
              <w:rPr>
                <w:rFonts w:ascii="仿宋_GB2312" w:hAnsi="仿宋_GB2312" w:cs="仿宋_GB2312" w:eastAsia="仿宋_GB2312"/>
              </w:rPr>
              <w:t>根据供应商的调研工作方案，对本项目的产业需求调研具有科学合理的调研工作开展计划，包括但不限于：人员配置、调研对象、调研方式、调研内容、调研数量、调查问卷、资料清单以及跟踪服务等，提出针对性解决方案，实施方案中项目梳理清晰规范，保障项目切实到位，工作方案设计清晰合理： 1、供应商针对磋商文件技术要求提供针对性强且完善的实施方案，调研计划书详细、合理、全面，服务方案达到或优于磋商文件标准。根据响应情况得9-12分； 2、供应商针对磋商文件技术要求提供实施方案，方案基本合理，服务方案符合采购人基本要求。根据响应情况得5-8分； 3、供应商所提供的项目实施方案有缺陷或不尽合理，服务质量未能达到采购人实际需求，根据响应情况得0-4分。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供需对接方案</w:t>
            </w:r>
          </w:p>
        </w:tc>
        <w:tc>
          <w:tcPr>
            <w:tcW w:type="dxa" w:w="2492"/>
          </w:tcPr>
          <w:p>
            <w:pPr>
              <w:pStyle w:val="null3"/>
            </w:pPr>
            <w:r>
              <w:rPr>
                <w:rFonts w:ascii="仿宋_GB2312" w:hAnsi="仿宋_GB2312" w:cs="仿宋_GB2312" w:eastAsia="仿宋_GB2312"/>
              </w:rPr>
              <w:t>供应商针对项目要求提供制定线上线下相结合的供需匹配方案，包括但不限于：1、利用智能匹配模块对产业需求与专利技术进行多维度匹配方案；2、线下组织专业团队人工复核方案;3、形成产业专题页面、重点技术专利检测库、预警清单等。 完全满足采购需求，无瑕疵，计12分； 方案内容每存在1处瑕疵扣4分；未提供或内容存在3处及以上瑕疵：0分。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活动方案</w:t>
            </w:r>
          </w:p>
        </w:tc>
        <w:tc>
          <w:tcPr>
            <w:tcW w:type="dxa" w:w="2492"/>
          </w:tcPr>
          <w:p>
            <w:pPr>
              <w:pStyle w:val="null3"/>
            </w:pPr>
            <w:r>
              <w:rPr>
                <w:rFonts w:ascii="仿宋_GB2312" w:hAnsi="仿宋_GB2312" w:cs="仿宋_GB2312" w:eastAsia="仿宋_GB2312"/>
              </w:rPr>
              <w:t>供应商针对项目开展活动举办工作提供相应的技术方案及实际的活动开展需要提供的相关物料方案，需要清晰合理，包括但不限于：活动形式、活动方案、活动环节、活动视觉设计、现场搭建方案、活动物料设计等，提出针对性解决方案，实施方案中项目梳理清晰规范，保障项目切实到位，工作方案设计清晰合理： 1、供应商针对磋商文件技术要求提供针对性强且完善的实施方案，调研计划书详细、合理、全面，服务方案达到或优于磋商文件标准。根据响应情况得10-15分； 2、供应商针对磋商文件技术要求提供实施方案，方案基本合理，服务方案符合采购人基本要求。根据响应情况得5-10分； 3、供应商所提供的项目实施方案有缺陷或不尽合理，服务质量未能达到采购人实际需求，根据响应情况得0-5分。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供应商针对本项目需求提供宣传推广方案，包括但不限于：1、各级媒体及各类官方媒体资源整合及对接，包含传统媒体和新媒体；2、宣传质量控制方案；3、舆论监测方案与快速应对机制。 完全满足采购需求，无瑕疵，计12分； 方案内容每存在1处瑕疵扣1分；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配备合理、充足，有相关经验的专项小组以及专门负责此项目的负责人。人员分工搭配合理，各岗位职责明确，满足调整需求，拟派专人负责与采购人协调沟通；团队人员职责分工明确，专业配置合理，确保本项目顺利实施。完全满足采购需求，无瑕疵，计6分； 方案内容每存在1处瑕疵扣2分；未提供或内容存在3处及以上瑕疵：0分。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结合本项目实际情况提供全面、合理、可行性强的服务承诺。1、提供7×24小时响应服务，定期汇报项目进展；2、项目结束后，整理并提交完整的项目资料包，包括策划方案、执行记录、宣传数据、设计源文件、视频图片素材等；3、配合采购人完成项目验收，根据验收意见及时整改。完全满足采购需求，无瑕疵，计6分； 方案内容每存在1处瑕疵扣2分；未提供或内容存在3处及以上瑕疵：0分。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提供供应商2023年1月1日起至今承揽过类似业务的业绩，每提供1个有效业绩得3分；本项目最高得9分。 （业绩证明包括：合同，以合同签订时间为准，须附合同的扫描件加盖公章）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评标基准价：通过资格性审查和符合性审查且报价最低的投标报价为评标基准价。 投标报价得分：投标报价得分统一按照下列公式计算： 价格分=(评标基准价／投标报价)×价格权值×100 （注：如评标委员会一致认为最低报价或某些分项报价明显不合理，有降低质量、不能诚信履约的可能时，评标委员会有权通知投标人进行解释。如投标人未能在规定期限内作出解释，或所作解释不合理，经评标委员会取得一致意见后，对该投标人将不予推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