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C9E350">
      <w:pPr>
        <w:pStyle w:val="3"/>
        <w:shd w:val="clear"/>
        <w:spacing w:before="0" w:after="0" w:line="360" w:lineRule="auto"/>
        <w:jc w:val="center"/>
        <w:rPr>
          <w:rFonts w:hint="eastAsia" w:ascii="宋体" w:hAnsi="宋体" w:cs="宋体"/>
          <w:b w:val="0"/>
          <w:bCs w:val="0"/>
          <w:sz w:val="28"/>
          <w:szCs w:val="36"/>
          <w:highlight w:val="none"/>
        </w:rPr>
      </w:pPr>
      <w:r>
        <w:rPr>
          <w:rFonts w:hint="eastAsia" w:ascii="宋体" w:hAnsi="宋体" w:cs="宋体"/>
          <w:sz w:val="28"/>
          <w:szCs w:val="36"/>
          <w:highlight w:val="none"/>
        </w:rPr>
        <w:t>响应分项报价表</w:t>
      </w:r>
    </w:p>
    <w:p w14:paraId="413FA3E0">
      <w:pPr>
        <w:pStyle w:val="6"/>
        <w:shd w:val="clear"/>
        <w:spacing w:line="360" w:lineRule="auto"/>
        <w:rPr>
          <w:rFonts w:hint="eastAsia" w:ascii="宋体" w:hAnsi="宋体" w:cs="宋体"/>
          <w:sz w:val="21"/>
          <w:szCs w:val="21"/>
          <w:highlight w:val="none"/>
        </w:rPr>
      </w:pPr>
      <w:r>
        <w:rPr>
          <w:rFonts w:hint="eastAsia" w:ascii="宋体" w:hAnsi="宋体" w:cs="宋体"/>
          <w:sz w:val="21"/>
          <w:szCs w:val="21"/>
          <w:highlight w:val="none"/>
        </w:rPr>
        <w:t>项目编号：</w:t>
      </w:r>
    </w:p>
    <w:p w14:paraId="1F21310E">
      <w:pPr>
        <w:shd w:val="clear"/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项目名称：</w:t>
      </w:r>
    </w:p>
    <w:p w14:paraId="784EEF7E">
      <w:pPr>
        <w:shd w:val="clear"/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采购包号：</w:t>
      </w:r>
    </w:p>
    <w:tbl>
      <w:tblPr>
        <w:tblStyle w:val="7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7"/>
        <w:gridCol w:w="1223"/>
        <w:gridCol w:w="1013"/>
        <w:gridCol w:w="1339"/>
        <w:gridCol w:w="840"/>
        <w:gridCol w:w="1091"/>
        <w:gridCol w:w="965"/>
        <w:gridCol w:w="849"/>
        <w:gridCol w:w="600"/>
      </w:tblGrid>
      <w:tr w14:paraId="742F7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05AC637C">
            <w:pPr>
              <w:shd w:val="clear"/>
              <w:jc w:val="center"/>
              <w:rPr>
                <w:rFonts w:hint="eastAsia"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序号</w:t>
            </w:r>
          </w:p>
        </w:tc>
        <w:tc>
          <w:tcPr>
            <w:tcW w:w="723" w:type="pct"/>
            <w:vAlign w:val="center"/>
          </w:tcPr>
          <w:p w14:paraId="33E1FD69">
            <w:pPr>
              <w:shd w:val="clear"/>
              <w:jc w:val="center"/>
              <w:rPr>
                <w:rFonts w:hint="eastAsia"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标的物名称</w:t>
            </w:r>
          </w:p>
        </w:tc>
        <w:tc>
          <w:tcPr>
            <w:tcW w:w="600" w:type="pct"/>
            <w:vAlign w:val="center"/>
          </w:tcPr>
          <w:p w14:paraId="0DA2E169">
            <w:pPr>
              <w:shd w:val="clear"/>
              <w:jc w:val="center"/>
              <w:rPr>
                <w:rFonts w:hint="eastAsia"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品牌/规格</w:t>
            </w:r>
            <w:r>
              <w:rPr>
                <w:rFonts w:hint="eastAsia" w:ascii="宋体" w:hAnsi="宋体" w:cs="宋体"/>
                <w:b/>
                <w:highlight w:val="none"/>
              </w:rPr>
              <w:t>/型号</w:t>
            </w:r>
          </w:p>
        </w:tc>
        <w:tc>
          <w:tcPr>
            <w:tcW w:w="791" w:type="pct"/>
            <w:vAlign w:val="center"/>
          </w:tcPr>
          <w:p w14:paraId="2C3933D6">
            <w:pPr>
              <w:shd w:val="clear"/>
              <w:jc w:val="center"/>
              <w:rPr>
                <w:rFonts w:hint="eastAsia"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生产厂家</w:t>
            </w:r>
          </w:p>
        </w:tc>
        <w:tc>
          <w:tcPr>
            <w:tcW w:w="498" w:type="pct"/>
            <w:vAlign w:val="center"/>
          </w:tcPr>
          <w:p w14:paraId="0C5C2F4D">
            <w:pPr>
              <w:shd w:val="clear"/>
              <w:jc w:val="center"/>
              <w:rPr>
                <w:rFonts w:hint="eastAsia"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单位</w:t>
            </w:r>
          </w:p>
        </w:tc>
        <w:tc>
          <w:tcPr>
            <w:tcW w:w="645" w:type="pct"/>
            <w:vAlign w:val="center"/>
          </w:tcPr>
          <w:p w14:paraId="5BDB10AC">
            <w:pPr>
              <w:shd w:val="clear"/>
              <w:jc w:val="center"/>
              <w:rPr>
                <w:rFonts w:hint="eastAsia"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数 量</w:t>
            </w:r>
          </w:p>
        </w:tc>
        <w:tc>
          <w:tcPr>
            <w:tcW w:w="571" w:type="pct"/>
            <w:vAlign w:val="center"/>
          </w:tcPr>
          <w:p w14:paraId="3C2E8679">
            <w:pPr>
              <w:shd w:val="clear"/>
              <w:jc w:val="center"/>
              <w:rPr>
                <w:rFonts w:hint="eastAsia"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单 价</w:t>
            </w:r>
          </w:p>
          <w:p w14:paraId="3AEFA5D9">
            <w:pPr>
              <w:shd w:val="clear"/>
              <w:jc w:val="center"/>
              <w:rPr>
                <w:rFonts w:hint="eastAsia"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（元）</w:t>
            </w:r>
          </w:p>
        </w:tc>
        <w:tc>
          <w:tcPr>
            <w:tcW w:w="459" w:type="pct"/>
            <w:vAlign w:val="center"/>
          </w:tcPr>
          <w:p w14:paraId="1406E9C7">
            <w:pPr>
              <w:shd w:val="clear"/>
              <w:jc w:val="center"/>
              <w:rPr>
                <w:rFonts w:hint="eastAsia"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b/>
                <w:highlight w:val="none"/>
              </w:rPr>
              <w:t>小计</w:t>
            </w:r>
            <w:r>
              <w:rPr>
                <w:rFonts w:ascii="宋体" w:hAnsi="宋体" w:cs="宋体"/>
                <w:b/>
                <w:highlight w:val="none"/>
              </w:rPr>
              <w:t>（元）</w:t>
            </w:r>
          </w:p>
        </w:tc>
        <w:tc>
          <w:tcPr>
            <w:tcW w:w="352" w:type="pct"/>
            <w:vAlign w:val="center"/>
          </w:tcPr>
          <w:p w14:paraId="66C76779">
            <w:pPr>
              <w:shd w:val="clear"/>
              <w:jc w:val="center"/>
              <w:rPr>
                <w:rFonts w:hint="eastAsia" w:ascii="宋体" w:hAnsi="宋体" w:cs="宋体"/>
                <w:b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备注</w:t>
            </w:r>
          </w:p>
        </w:tc>
      </w:tr>
      <w:tr w14:paraId="2508D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2FA184A2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6B807E32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410CDED4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26D5A2C6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6B313BB3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4E943A0B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595B38EA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2873B8F4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76F1053E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</w:tr>
      <w:tr w14:paraId="354AE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5B06DB3B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310F537E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13445A75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7CA530F2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30541BCE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6F9A7DCD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4791A601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4E63AF13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1E7231BB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</w:tr>
      <w:tr w14:paraId="474A4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067F2156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252B0D99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6E9F1D6E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4A7BDF59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1738764C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56532CD2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0A0401FB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37E9DDD9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27BB07E5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</w:tr>
      <w:tr w14:paraId="5BCBD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62987336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343D70BF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6D483729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6DEF4B81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4ECC0DA5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29566257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466D2358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457A90F5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73624825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</w:tr>
      <w:tr w14:paraId="76B6B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0A0180F8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4DEFE5DE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0F83B2AA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1DCB47A4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0AF17433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5413807C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7B49BD0A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076F84F2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112FB600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</w:tr>
      <w:tr w14:paraId="6CA4F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4D5790D9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696E9C3B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54C49ACB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1BD5A509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026802AF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087D5B25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0EE1F151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4B127270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083BE100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</w:tr>
      <w:tr w14:paraId="7DD3F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61163CBF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4CDA71DF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3E885039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6D759610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64C95824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709BBB66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144C6E18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3DB8CE9A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7AE3C8B2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</w:tr>
      <w:tr w14:paraId="222E0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59CB0380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20A0458A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2E42C226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16D30BAE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73F76359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5831F6F9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6D046B58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0202B2F6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3C4892AE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</w:tr>
      <w:tr w14:paraId="3163B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6" w:type="pct"/>
            <w:vAlign w:val="center"/>
          </w:tcPr>
          <w:p w14:paraId="7D209409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723" w:type="pct"/>
            <w:vAlign w:val="center"/>
          </w:tcPr>
          <w:p w14:paraId="59663CF4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600" w:type="pct"/>
            <w:vAlign w:val="center"/>
          </w:tcPr>
          <w:p w14:paraId="33CEE6D8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791" w:type="pct"/>
            <w:vAlign w:val="center"/>
          </w:tcPr>
          <w:p w14:paraId="14DBAC99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498" w:type="pct"/>
            <w:vAlign w:val="center"/>
          </w:tcPr>
          <w:p w14:paraId="6170F5DC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645" w:type="pct"/>
            <w:vAlign w:val="center"/>
          </w:tcPr>
          <w:p w14:paraId="1228664C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571" w:type="pct"/>
            <w:vAlign w:val="center"/>
          </w:tcPr>
          <w:p w14:paraId="69C6FA31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459" w:type="pct"/>
            <w:vAlign w:val="center"/>
          </w:tcPr>
          <w:p w14:paraId="7C56E005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  <w:tc>
          <w:tcPr>
            <w:tcW w:w="352" w:type="pct"/>
            <w:vAlign w:val="center"/>
          </w:tcPr>
          <w:p w14:paraId="40C8A7D0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</w:p>
        </w:tc>
      </w:tr>
      <w:tr w14:paraId="4EA3A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9"/>
            <w:vAlign w:val="center"/>
          </w:tcPr>
          <w:p w14:paraId="1319EF39">
            <w:pPr>
              <w:shd w:val="clear"/>
              <w:adjustRightInd w:val="0"/>
              <w:snapToGrid w:val="0"/>
              <w:spacing w:line="360" w:lineRule="exact"/>
              <w:jc w:val="center"/>
              <w:rPr>
                <w:rFonts w:hint="eastAsia" w:ascii="仿宋" w:hAnsi="仿宋"/>
                <w:highlight w:val="none"/>
              </w:rPr>
            </w:pPr>
            <w:r>
              <w:rPr>
                <w:rFonts w:ascii="宋体" w:hAnsi="宋体" w:cs="宋体"/>
                <w:b/>
                <w:highlight w:val="none"/>
              </w:rPr>
              <w:t>总价（人民币大写</w:t>
            </w:r>
            <w:r>
              <w:rPr>
                <w:rFonts w:ascii="Calibri" w:hAnsi="Calibri" w:eastAsia="Calibri" w:cs="Calibri"/>
                <w:b/>
                <w:highlight w:val="none"/>
              </w:rPr>
              <w:t xml:space="preserve"> </w:t>
            </w:r>
            <w:r>
              <w:rPr>
                <w:rFonts w:ascii="宋体" w:hAnsi="宋体" w:cs="宋体"/>
                <w:b/>
                <w:highlight w:val="none"/>
              </w:rPr>
              <w:t>）：</w:t>
            </w:r>
            <w:r>
              <w:rPr>
                <w:rFonts w:ascii="Calibri" w:hAnsi="Calibri" w:eastAsia="Calibri" w:cs="Calibri"/>
                <w:b/>
                <w:highlight w:val="none"/>
              </w:rPr>
              <w:t xml:space="preserve">                               </w:t>
            </w:r>
            <w:r>
              <w:rPr>
                <w:rFonts w:ascii="宋体" w:hAnsi="宋体" w:cs="宋体"/>
                <w:b/>
                <w:highlight w:val="none"/>
              </w:rPr>
              <w:t>合计（小写）　</w:t>
            </w:r>
            <w:r>
              <w:rPr>
                <w:rFonts w:hint="eastAsia" w:ascii="Calibri" w:hAnsi="Calibri" w:cs="Calibri"/>
                <w:b/>
                <w:highlight w:val="none"/>
              </w:rPr>
              <w:t>：</w:t>
            </w:r>
            <w:r>
              <w:rPr>
                <w:rFonts w:ascii="Calibri" w:hAnsi="Calibri" w:eastAsia="Calibri" w:cs="Calibri"/>
                <w:b/>
                <w:highlight w:val="none"/>
              </w:rPr>
              <w:t xml:space="preserve">        </w:t>
            </w:r>
            <w:r>
              <w:rPr>
                <w:rFonts w:ascii="宋体" w:hAnsi="宋体" w:cs="宋体"/>
                <w:b/>
                <w:highlight w:val="none"/>
              </w:rPr>
              <w:t>元</w:t>
            </w:r>
          </w:p>
        </w:tc>
      </w:tr>
      <w:tr w14:paraId="11A7B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9"/>
            <w:vAlign w:val="center"/>
          </w:tcPr>
          <w:p w14:paraId="627BBBC5">
            <w:pPr>
              <w:shd w:val="clear"/>
              <w:adjustRightInd w:val="0"/>
              <w:snapToGrid w:val="0"/>
              <w:spacing w:line="360" w:lineRule="exact"/>
              <w:jc w:val="left"/>
              <w:rPr>
                <w:rFonts w:hint="eastAsia" w:ascii="宋体" w:hAnsi="宋体" w:cs="宋体"/>
                <w:b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注：以上价款均包含货物费(含质保期内的备品备件费)、包装费、运杂费(含搬运、装卸、保险费等)、工程费、材料费、全部税 费、安装调试费等相关费用。</w:t>
            </w:r>
          </w:p>
        </w:tc>
      </w:tr>
    </w:tbl>
    <w:p w14:paraId="35BAB157">
      <w:pPr>
        <w:pStyle w:val="10"/>
        <w:shd w:val="clear"/>
        <w:spacing w:line="360" w:lineRule="auto"/>
        <w:rPr>
          <w:rFonts w:ascii="宋体" w:hAnsi="宋体" w:eastAsia="宋体" w:cs="宋体"/>
          <w:sz w:val="21"/>
          <w:szCs w:val="21"/>
          <w:highlight w:val="none"/>
          <w:lang w:eastAsia="zh-CN"/>
        </w:rPr>
      </w:pPr>
    </w:p>
    <w:p w14:paraId="3A72B2EA">
      <w:pPr>
        <w:shd w:val="clear"/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1.如果按单价计算的结果与总价不一致，以单价为准修正总价。</w:t>
      </w:r>
    </w:p>
    <w:p w14:paraId="5328DAF2">
      <w:pPr>
        <w:shd w:val="clear"/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2.上表中合计金额应与开标一览表中的投标总报价保持一致，且不得超出采购预算及最高限价。</w:t>
      </w:r>
    </w:p>
    <w:p w14:paraId="4ED1A439">
      <w:pPr>
        <w:shd w:val="clear"/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供应商（盖公章）：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            </w:t>
      </w:r>
    </w:p>
    <w:p w14:paraId="506C466C">
      <w:pPr>
        <w:shd w:val="clear"/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法定代表人或委托代理人（签字或盖章）：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</w:t>
      </w:r>
    </w:p>
    <w:p w14:paraId="100E2B62">
      <w:pPr>
        <w:shd w:val="clear"/>
        <w:spacing w:line="360" w:lineRule="auto"/>
        <w:ind w:firstLine="1680" w:firstLineChars="800"/>
        <w:rPr>
          <w:rFonts w:hint="eastAsia" w:ascii="宋体" w:hAnsi="宋体" w:cs="宋体"/>
          <w:kern w:val="0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日    期：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</w:t>
      </w:r>
    </w:p>
    <w:p w14:paraId="15EE0E9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733AEA"/>
    <w:rsid w:val="06511E5F"/>
    <w:rsid w:val="0A733AEA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paragraph" w:styleId="3">
    <w:name w:val="heading 3"/>
    <w:basedOn w:val="1"/>
    <w:next w:val="4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qFormat/>
    <w:uiPriority w:val="0"/>
    <w:pPr>
      <w:adjustRightInd w:val="0"/>
      <w:snapToGrid w:val="0"/>
      <w:spacing w:line="360" w:lineRule="auto"/>
      <w:ind w:firstLine="420" w:firstLineChars="200"/>
    </w:pPr>
    <w:rPr>
      <w:rFonts w:hAnsi="宋体" w:cs="宋体"/>
    </w:rPr>
  </w:style>
  <w:style w:type="paragraph" w:styleId="5">
    <w:name w:val="toc 4"/>
    <w:basedOn w:val="1"/>
    <w:next w:val="1"/>
    <w:qFormat/>
    <w:uiPriority w:val="39"/>
    <w:pPr>
      <w:ind w:left="1260" w:leftChars="600"/>
    </w:pPr>
  </w:style>
  <w:style w:type="paragraph" w:styleId="6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character" w:customStyle="1" w:styleId="9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2026-04-08T01:57:00Z</dcterms:created>
  <dc:creator>子夜</dc:creator>
  <cp:lastModifiedBy>子夜</cp:lastModifiedBy>
  <dcterms:modified xsi:type="dcterms:W3CDTF">2026-04-08T01:58:04Z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8C46D2F31FF64D61980BE9A02E254AC2_11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