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版本号：TDZB-2026-200720260410001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2026年狱内囚服采购</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TDZB-2026-2007</w:t>
      </w:r>
      <w:r>
        <w:br/>
      </w:r>
      <w:r>
        <w:br/>
      </w:r>
      <w:r>
        <w:br/>
      </w:r>
      <w:r>
        <w:br/>
      </w:r>
      <w:r>
        <w:br/>
      </w:r>
    </w:p>
    <w:p>
      <w:pPr>
        <w:pStyle w:val="null3"/>
        <w:jc w:val="center"/>
        <w:outlineLvl w:val="5"/>
      </w:pPr>
      <w:r>
        <w:rPr>
          <w:rFonts w:ascii="仿宋_GB2312" w:hAnsi="仿宋_GB2312" w:cs="仿宋_GB2312" w:eastAsia="仿宋_GB2312"/>
          <w:sz w:val="15"/>
          <w:b/>
        </w:rPr>
        <w:t>陕西省渭南监狱</w:t>
      </w:r>
    </w:p>
    <w:p>
      <w:pPr>
        <w:pStyle w:val="null3"/>
        <w:jc w:val="center"/>
        <w:outlineLvl w:val="5"/>
      </w:pPr>
      <w:r>
        <w:rPr>
          <w:rFonts w:ascii="仿宋_GB2312" w:hAnsi="仿宋_GB2312" w:cs="仿宋_GB2312" w:eastAsia="仿宋_GB2312"/>
          <w:sz w:val="15"/>
          <w:b/>
        </w:rPr>
        <w:t>腾德工程咨询有限公司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陕西省渭南监狱</w:t>
      </w:r>
      <w:r>
        <w:rPr>
          <w:rFonts w:ascii="仿宋_GB2312" w:hAnsi="仿宋_GB2312" w:cs="仿宋_GB2312" w:eastAsia="仿宋_GB2312"/>
        </w:rPr>
        <w:t>委托，拟对</w:t>
      </w:r>
      <w:r>
        <w:rPr>
          <w:rFonts w:ascii="仿宋_GB2312" w:hAnsi="仿宋_GB2312" w:cs="仿宋_GB2312" w:eastAsia="仿宋_GB2312"/>
        </w:rPr>
        <w:t>2026年狱内囚服采购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2026年狱内囚服采购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2026年狱内囚服采购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采购包1（2026年狱内囚服采购）：属于专门面向中小企业采购。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 法人证书\民办非企业单位登记证书\非企业专业服务机构执业许可证等。</w:t>
      </w:r>
    </w:p>
    <w:p>
      <w:pPr>
        <w:pStyle w:val="null3"/>
      </w:pPr>
      <w:r>
        <w:rPr>
          <w:rFonts w:ascii="仿宋_GB2312" w:hAnsi="仿宋_GB2312" w:cs="仿宋_GB2312" w:eastAsia="仿宋_GB2312"/>
        </w:rPr>
        <w:t>2、财务状况报告（任选其一）：1.2024年度或2025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6、履行合同能力的承诺：提供具有履行合同所必需的设备和专业技术能力的承诺函。</w:t>
      </w:r>
    </w:p>
    <w:p>
      <w:pPr>
        <w:pStyle w:val="null3"/>
      </w:pPr>
      <w:r>
        <w:rPr>
          <w:rFonts w:ascii="仿宋_GB2312" w:hAnsi="仿宋_GB2312" w:cs="仿宋_GB2312" w:eastAsia="仿宋_GB2312"/>
        </w:rPr>
        <w:t>7、法定代表人（主要负责人）委托授权书\身份证明：法定代表人（主要负责人）委托代理人参加协商会议时，应提供法定代表人（主要负责人）委托授权书；法定代表人（主要负责人）亲自参加协商会议时，应提供法定代表人（主要负责人）身份证明书。</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陕西省渭南监狱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陕西省渭南监狱-吴君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09132065463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郑源、朱小克、宁超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17629246867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采购包1：1,300,800.00元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采购包1：1,300,800.00元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 法的通知》（计价格﹝2002﹞1980号）和国家发改委办公厅颁发的《关于招标代理服务收费有关问题的通知》（发改办价格﹝2003﹞857号）文件规定标准收取。具体收费金额将在成交公告中公布。 采购代理服务费缴纳账户信息： 代理机构开户名称 ：腾德工程咨询有限公司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陕西省渭南监狱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陕西省渭南监狱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符合国家有关行业标准，符合《监狱法》有关标准和规定。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陕西省渭南监狱2026年囚被服采购项目。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1,300,800.00</w:t>
      </w:r>
    </w:p>
    <w:p>
      <w:pPr>
        <w:pStyle w:val="null3"/>
      </w:pPr>
      <w:r>
        <w:rPr>
          <w:rFonts w:ascii="仿宋_GB2312" w:hAnsi="仿宋_GB2312" w:cs="仿宋_GB2312" w:eastAsia="仿宋_GB2312"/>
        </w:rPr>
        <w:t>采购包最高限价（元）: 1,300,800.00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囚服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after="105"/>
              <w:ind w:right="195"/>
              <w:jc w:val="left"/>
            </w:pPr>
            <w:r>
              <w:rPr>
                <w:rFonts w:ascii="仿宋_GB2312" w:hAnsi="仿宋_GB2312" w:cs="仿宋_GB2312" w:eastAsia="仿宋_GB2312"/>
                <w:sz w:val="24"/>
                <w:b/>
              </w:rPr>
              <w:t>一、采购数量</w:t>
            </w:r>
          </w:p>
          <w:tbl>
            <w:tblPr>
              <w:tblInd w:type="dxa" w:w="285"/>
              <w:tblBorders>
                <w:top w:val="none" w:color="000000" w:sz="4"/>
                <w:left w:val="none" w:color="000000" w:sz="4"/>
                <w:bottom w:val="none" w:color="000000" w:sz="4"/>
                <w:right w:val="none" w:color="000000" w:sz="4"/>
                <w:insideH w:val="none"/>
                <w:insideV w:val="none"/>
              </w:tblBorders>
            </w:tblPr>
            <w:tblGrid>
              <w:gridCol w:w="320"/>
              <w:gridCol w:w="129"/>
              <w:gridCol w:w="129"/>
              <w:gridCol w:w="158"/>
              <w:gridCol w:w="250"/>
              <w:gridCol w:w="129"/>
              <w:gridCol w:w="129"/>
              <w:gridCol w:w="259"/>
              <w:gridCol w:w="276"/>
              <w:gridCol w:w="129"/>
              <w:gridCol w:w="129"/>
              <w:gridCol w:w="129"/>
              <w:gridCol w:w="129"/>
              <w:gridCol w:w="250"/>
            </w:tblGrid>
            <w:tr>
              <w:tc>
                <w:tcPr>
                  <w:tcW w:type="dxa" w:w="2545"/>
                  <w:gridSpan w:val="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b/>
                    </w:rPr>
                    <w:t>表一（服装类）</w:t>
                  </w:r>
                </w:p>
              </w:tc>
            </w:tr>
            <w:tr>
              <w:tc>
                <w:tcPr>
                  <w:tcW w:type="dxa" w:w="4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型号</w:t>
                  </w:r>
                  <w:r>
                    <w:br/>
                  </w:r>
                  <w:r>
                    <w:rPr>
                      <w:rFonts w:ascii="仿宋_GB2312" w:hAnsi="仿宋_GB2312" w:cs="仿宋_GB2312" w:eastAsia="仿宋_GB2312"/>
                      <w:sz w:val="21"/>
                    </w:rPr>
                    <w:t>数量</w:t>
                  </w:r>
                </w:p>
                <w:p>
                  <w:pPr>
                    <w:pStyle w:val="null3"/>
                    <w:spacing w:before="105" w:after="105"/>
                    <w:jc w:val="left"/>
                  </w:pPr>
                  <w:r>
                    <w:rPr>
                      <w:rFonts w:ascii="仿宋_GB2312" w:hAnsi="仿宋_GB2312" w:cs="仿宋_GB2312" w:eastAsia="仿宋_GB2312"/>
                      <w:sz w:val="21"/>
                    </w:rPr>
                    <w:t>名称</w:t>
                  </w:r>
                </w:p>
              </w:tc>
              <w:tc>
                <w:tcPr>
                  <w:tcW w:type="dxa" w:w="2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特号</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一号</w:t>
                  </w:r>
                </w:p>
              </w:tc>
              <w:tc>
                <w:tcPr>
                  <w:tcW w:type="dxa" w:w="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二号</w:t>
                  </w:r>
                </w:p>
              </w:tc>
              <w:tc>
                <w:tcPr>
                  <w:tcW w:type="dxa" w:w="4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三号</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四号</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小计</w:t>
                  </w:r>
                </w:p>
              </w:tc>
            </w:tr>
            <w:tr>
              <w:tc>
                <w:tcPr>
                  <w:tcW w:type="dxa" w:w="4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春秋装</w:t>
                  </w:r>
                </w:p>
              </w:tc>
              <w:tc>
                <w:tcPr>
                  <w:tcW w:type="dxa" w:w="2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1100</w:t>
                  </w:r>
                </w:p>
              </w:tc>
              <w:tc>
                <w:tcPr>
                  <w:tcW w:type="dxa" w:w="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1100</w:t>
                  </w:r>
                </w:p>
              </w:tc>
              <w:tc>
                <w:tcPr>
                  <w:tcW w:type="dxa" w:w="4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3500</w:t>
                  </w:r>
                </w:p>
              </w:tc>
            </w:tr>
            <w:tr>
              <w:tc>
                <w:tcPr>
                  <w:tcW w:type="dxa" w:w="4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夏装</w:t>
                  </w:r>
                </w:p>
              </w:tc>
              <w:tc>
                <w:tcPr>
                  <w:tcW w:type="dxa" w:w="2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1200</w:t>
                  </w:r>
                </w:p>
              </w:tc>
              <w:tc>
                <w:tcPr>
                  <w:tcW w:type="dxa" w:w="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1200</w:t>
                  </w:r>
                </w:p>
              </w:tc>
              <w:tc>
                <w:tcPr>
                  <w:tcW w:type="dxa" w:w="4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3700</w:t>
                  </w:r>
                </w:p>
              </w:tc>
            </w:tr>
            <w:tr>
              <w:tc>
                <w:tcPr>
                  <w:tcW w:type="dxa" w:w="4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冬装</w:t>
                  </w:r>
                </w:p>
              </w:tc>
              <w:tc>
                <w:tcPr>
                  <w:tcW w:type="dxa" w:w="2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4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2000</w:t>
                  </w:r>
                </w:p>
              </w:tc>
            </w:tr>
            <w:tr>
              <w:tc>
                <w:tcPr>
                  <w:tcW w:type="dxa" w:w="4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内裤</w:t>
                  </w:r>
                </w:p>
              </w:tc>
              <w:tc>
                <w:tcPr>
                  <w:tcW w:type="dxa" w:w="2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900</w:t>
                  </w:r>
                </w:p>
              </w:tc>
              <w:tc>
                <w:tcPr>
                  <w:tcW w:type="dxa" w:w="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900</w:t>
                  </w:r>
                </w:p>
              </w:tc>
              <w:tc>
                <w:tcPr>
                  <w:tcW w:type="dxa" w:w="4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3000</w:t>
                  </w:r>
                </w:p>
              </w:tc>
            </w:tr>
            <w:tr>
              <w:tc>
                <w:tcPr>
                  <w:tcW w:type="dxa" w:w="4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袜子</w:t>
                  </w:r>
                </w:p>
              </w:tc>
              <w:tc>
                <w:tcPr>
                  <w:tcW w:type="dxa" w:w="2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3306</w:t>
                  </w:r>
                </w:p>
              </w:tc>
              <w:tc>
                <w:tcPr>
                  <w:tcW w:type="dxa" w:w="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3306</w:t>
                  </w:r>
                </w:p>
              </w:tc>
            </w:tr>
            <w:tr>
              <w:tc>
                <w:tcPr>
                  <w:tcW w:type="dxa" w:w="4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帽子</w:t>
                  </w:r>
                </w:p>
              </w:tc>
              <w:tc>
                <w:tcPr>
                  <w:tcW w:type="dxa" w:w="2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3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w:t>
                  </w:r>
                </w:p>
              </w:tc>
              <w:tc>
                <w:tcPr>
                  <w:tcW w:type="dxa" w:w="4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2000</w:t>
                  </w:r>
                </w:p>
              </w:tc>
            </w:tr>
            <w:tr>
              <w:tc>
                <w:tcPr>
                  <w:tcW w:type="dxa" w:w="2545"/>
                  <w:gridSpan w:val="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表二（鞋类）</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尺码</w:t>
                  </w:r>
                  <w:r>
                    <w:br/>
                  </w:r>
                  <w:r>
                    <w:rPr>
                      <w:rFonts w:ascii="仿宋_GB2312" w:hAnsi="仿宋_GB2312" w:cs="仿宋_GB2312" w:eastAsia="仿宋_GB2312"/>
                      <w:sz w:val="21"/>
                    </w:rPr>
                    <w:t>数量</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38</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39</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41</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42</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43</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44</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小计</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囚单鞋</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700</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囚棉鞋</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650</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650</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w:t>
                  </w:r>
                </w:p>
              </w:tc>
              <w:tc>
                <w:tcPr>
                  <w:tcW w:type="dxa" w:w="2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3000</w:t>
                  </w:r>
                </w:p>
              </w:tc>
            </w:tr>
            <w:tr>
              <w:tc>
                <w:tcPr>
                  <w:tcW w:type="dxa" w:w="2545"/>
                  <w:gridSpan w:val="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表三（其他类）</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名称</w:t>
                  </w:r>
                </w:p>
              </w:tc>
              <w:tc>
                <w:tcPr>
                  <w:tcW w:type="dxa" w:w="222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小计</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枕套</w:t>
                  </w:r>
                </w:p>
              </w:tc>
              <w:tc>
                <w:tcPr>
                  <w:tcW w:type="dxa" w:w="222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被罩</w:t>
                  </w:r>
                </w:p>
              </w:tc>
              <w:tc>
                <w:tcPr>
                  <w:tcW w:type="dxa" w:w="222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床单</w:t>
                  </w:r>
                </w:p>
              </w:tc>
              <w:tc>
                <w:tcPr>
                  <w:tcW w:type="dxa" w:w="222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2000</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新入监罪犯生活用品包</w:t>
                  </w:r>
                </w:p>
              </w:tc>
              <w:tc>
                <w:tcPr>
                  <w:tcW w:type="dxa" w:w="2225"/>
                  <w:gridSpan w:val="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743"/>
                    <w:gridCol w:w="1257"/>
                  </w:tblGrid>
                  <w:tr>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名称</w:t>
                        </w:r>
                      </w:p>
                    </w:tc>
                    <w:tc>
                      <w:tcPr>
                        <w:tcW w:type="dxa" w:w="125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数量</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脸盆</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毛巾</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香皂</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洗衣粉</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透明皂</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牙膏</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牙刷</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牙缸</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美拉瓷碗（大）</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美拉瓷碗（小）</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勺子</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口杯</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塑料凳子</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雨衣</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卫生纸</w:t>
                        </w:r>
                      </w:p>
                    </w:tc>
                    <w:tc>
                      <w:tcPr>
                        <w:tcW w:type="dxa" w:w="125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1200</w:t>
                        </w:r>
                      </w:p>
                    </w:tc>
                  </w:tr>
                  <w:tr>
                    <w:tc>
                      <w:tcPr>
                        <w:tcW w:type="dxa" w:w="74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电推剪</w:t>
                        </w:r>
                      </w:p>
                    </w:tc>
                    <w:tc>
                      <w:tcPr>
                        <w:tcW w:type="dxa" w:w="1257"/>
                        <w:tcBorders>
                          <w:top w:val="singl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100</w:t>
                        </w:r>
                      </w:p>
                    </w:tc>
                  </w:tr>
                </w:tbl>
                <w:p>
                  <w:pPr>
                    <w:pStyle w:val="null3"/>
                    <w:jc w:val="center"/>
                  </w:pPr>
                </w:p>
              </w:tc>
            </w:tr>
          </w:tbl>
          <w:p>
            <w:pPr>
              <w:pStyle w:val="null3"/>
            </w:pPr>
            <w:r>
              <w:rPr>
                <w:rFonts w:ascii="仿宋_GB2312" w:hAnsi="仿宋_GB2312" w:cs="仿宋_GB2312" w:eastAsia="仿宋_GB2312"/>
              </w:rPr>
              <w:t xml:space="preserve"> </w:t>
            </w:r>
          </w:p>
          <w:p>
            <w:pPr>
              <w:pStyle w:val="null3"/>
              <w:spacing w:before="105" w:after="105"/>
              <w:jc w:val="left"/>
            </w:pPr>
            <w:r>
              <w:rPr>
                <w:rFonts w:ascii="仿宋_GB2312" w:hAnsi="仿宋_GB2312" w:cs="仿宋_GB2312" w:eastAsia="仿宋_GB2312"/>
                <w:sz w:val="24"/>
                <w:b/>
              </w:rPr>
              <w:t>二、采购规格及技术参数</w:t>
            </w:r>
          </w:p>
          <w:tbl>
            <w:tblPr>
              <w:tblBorders>
                <w:top w:val="none" w:color="000000" w:sz="4"/>
                <w:left w:val="none" w:color="000000" w:sz="4"/>
                <w:bottom w:val="none" w:color="000000" w:sz="4"/>
                <w:right w:val="none" w:color="000000" w:sz="4"/>
                <w:insideH w:val="none"/>
                <w:insideV w:val="none"/>
              </w:tblBorders>
            </w:tblPr>
            <w:tblGrid>
              <w:gridCol w:w="211"/>
              <w:gridCol w:w="295"/>
              <w:gridCol w:w="220"/>
              <w:gridCol w:w="384"/>
              <w:gridCol w:w="703"/>
              <w:gridCol w:w="408"/>
              <w:gridCol w:w="333"/>
            </w:tblGrid>
            <w:tr>
              <w:tc>
                <w:tcPr>
                  <w:tcW w:type="dxa" w:w="2554"/>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rPr>
                    <w:t>男囚服技术参数</w:t>
                  </w: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29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品种</w:t>
                  </w:r>
                </w:p>
              </w:tc>
              <w:tc>
                <w:tcPr>
                  <w:tcW w:type="dxa" w:w="2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型号</w:t>
                  </w:r>
                </w:p>
              </w:tc>
              <w:tc>
                <w:tcPr>
                  <w:tcW w:type="dxa" w:w="182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主要技术参数</w:t>
                  </w: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single" w:color="000000" w:sz="4"/>
                    <w:left w:val="single" w:color="000000" w:sz="4"/>
                    <w:bottom w:val="single" w:color="000000" w:sz="4"/>
                    <w:right w:val="single" w:color="000000" w:sz="4"/>
                  </w:tcBorders>
                </w:tcPr>
                <w:p/>
              </w:tc>
              <w:tc>
                <w:tcPr>
                  <w:tcW w:type="dxa" w:w="220"/>
                  <w:vMerge/>
                  <w:tcBorders>
                    <w:top w:val="singl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材料名称</w:t>
                  </w:r>
                </w:p>
              </w:tc>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规格</w:t>
                  </w:r>
                </w:p>
              </w:tc>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备注</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款式要求</w:t>
                  </w: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春秋服（男）</w:t>
                  </w:r>
                </w:p>
              </w:tc>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灰蓝线府绸</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T/C 65/35，纱支42/2×21</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白色涤棉平布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T/C 80/20，纱支30×30</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袋布、腰里。可用面料、可搭配</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粘合衬</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PE30</w:t>
                  </w:r>
                  <w:r>
                    <w:rPr>
                      <w:rFonts w:ascii="仿宋_GB2312" w:hAnsi="仿宋_GB2312" w:cs="仿宋_GB2312" w:eastAsia="仿宋_GB2312"/>
                      <w:sz w:val="21"/>
                      <w:vertAlign w:val="superscript"/>
                    </w:rPr>
                    <w:t>S</w:t>
                  </w:r>
                  <w:r>
                    <w:rPr>
                      <w:rFonts w:ascii="仿宋_GB2312" w:hAnsi="仿宋_GB2312" w:cs="仿宋_GB2312" w:eastAsia="仿宋_GB2312"/>
                      <w:sz w:val="21"/>
                    </w:rPr>
                    <w:t>×30</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 xml:space="preserve">S </w:t>
                  </w:r>
                  <w:r>
                    <w:rPr>
                      <w:rFonts w:ascii="仿宋_GB2312" w:hAnsi="仿宋_GB2312" w:cs="仿宋_GB2312" w:eastAsia="仿宋_GB2312"/>
                      <w:sz w:val="21"/>
                    </w:rPr>
                    <w:t>(无纺)</w:t>
                  </w:r>
                  <w:r>
                    <w:rPr>
                      <w:rFonts w:ascii="仿宋_GB2312" w:hAnsi="仿宋_GB2312" w:cs="仿宋_GB2312" w:eastAsia="仿宋_GB2312"/>
                      <w:sz w:val="21"/>
                      <w:vertAlign w:val="superscript"/>
                    </w:rPr>
                    <w:t xml:space="preserve">   </w:t>
                  </w:r>
                  <w:r>
                    <w:rPr>
                      <w:rFonts w:ascii="仿宋_GB2312" w:hAnsi="仿宋_GB2312" w:cs="仿宋_GB2312" w:eastAsia="仿宋_GB2312"/>
                      <w:sz w:val="21"/>
                    </w:rPr>
                    <w:t>幅宽：</w:t>
                  </w:r>
                  <w:r>
                    <w:rPr>
                      <w:rFonts w:ascii="仿宋_GB2312" w:hAnsi="仿宋_GB2312" w:cs="仿宋_GB2312" w:eastAsia="仿宋_GB2312"/>
                      <w:sz w:val="21"/>
                    </w:rPr>
                    <w:t>0.9m</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领面、腰里</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灰蓝线府绸标志布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T/C 65/35，纱支42/2×21 </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覆肩、袋盖等标志布配料</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A、B、C专用标志钮扣</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前门襟（顺色）</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四眼塑脂扣</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1.5cm</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裤掩襟扣（顺色）</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涤纶线</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403</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缝纫、环缝、锁眼、钉扣</w:t>
                  </w:r>
                </w:p>
              </w:tc>
              <w:tc>
                <w:tcPr>
                  <w:tcW w:type="dxa" w:w="33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夏服（男）</w:t>
                  </w:r>
                </w:p>
              </w:tc>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浅驼色涤府绸</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T/C 65/35，纱支45×45 </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灰蓝色涤府绸</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 xml:space="preserve">T/C 65/35，纱支45×45 </w:t>
                  </w:r>
                </w:p>
                <w:p>
                  <w:pPr>
                    <w:pStyle w:val="null3"/>
                    <w:spacing w:before="105" w:after="105"/>
                    <w:jc w:val="both"/>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白色涤棉平布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T/C 80/20，纱支30×30</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袋布、腰里。可用面料、可搭配</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粘合衬</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PE30</w:t>
                  </w:r>
                  <w:r>
                    <w:rPr>
                      <w:rFonts w:ascii="仿宋_GB2312" w:hAnsi="仿宋_GB2312" w:cs="仿宋_GB2312" w:eastAsia="仿宋_GB2312"/>
                      <w:sz w:val="21"/>
                      <w:vertAlign w:val="superscript"/>
                    </w:rPr>
                    <w:t>S</w:t>
                  </w:r>
                  <w:r>
                    <w:rPr>
                      <w:rFonts w:ascii="仿宋_GB2312" w:hAnsi="仿宋_GB2312" w:cs="仿宋_GB2312" w:eastAsia="仿宋_GB2312"/>
                      <w:sz w:val="21"/>
                    </w:rPr>
                    <w:t>×30</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 xml:space="preserve">S </w:t>
                  </w:r>
                  <w:r>
                    <w:rPr>
                      <w:rFonts w:ascii="仿宋_GB2312" w:hAnsi="仿宋_GB2312" w:cs="仿宋_GB2312" w:eastAsia="仿宋_GB2312"/>
                      <w:sz w:val="21"/>
                    </w:rPr>
                    <w:t>(无纺)</w:t>
                  </w:r>
                  <w:r>
                    <w:rPr>
                      <w:rFonts w:ascii="仿宋_GB2312" w:hAnsi="仿宋_GB2312" w:cs="仿宋_GB2312" w:eastAsia="仿宋_GB2312"/>
                      <w:sz w:val="21"/>
                      <w:vertAlign w:val="superscript"/>
                    </w:rPr>
                    <w:t xml:space="preserve">   </w:t>
                  </w:r>
                  <w:r>
                    <w:rPr>
                      <w:rFonts w:ascii="仿宋_GB2312" w:hAnsi="仿宋_GB2312" w:cs="仿宋_GB2312" w:eastAsia="仿宋_GB2312"/>
                      <w:sz w:val="21"/>
                    </w:rPr>
                    <w:t>幅宽：</w:t>
                  </w:r>
                  <w:r>
                    <w:rPr>
                      <w:rFonts w:ascii="仿宋_GB2312" w:hAnsi="仿宋_GB2312" w:cs="仿宋_GB2312" w:eastAsia="仿宋_GB2312"/>
                      <w:sz w:val="21"/>
                    </w:rPr>
                    <w:t>0.9m</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领面、腰里</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浅蓝涤府绸标志布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T/C 65/35，纱支45×45 </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覆肩、袋盖等标志布配料</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灰蓝涤府绸标志布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T/C 65/35，纱支45×45 </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裤子标志布配料</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A、B、C专用标志钮扣</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前门襟（顺色）</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A、B、C专用标志钮扣</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裤掩襟扣</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A、B、C专用标志钮扣</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裤腰</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涤纶线</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403</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缝纫、环缝、锁眼、钉扣</w:t>
                  </w:r>
                </w:p>
              </w:tc>
              <w:tc>
                <w:tcPr>
                  <w:tcW w:type="dxa" w:w="333"/>
                  <w:vMerge/>
                  <w:tcBorders>
                    <w:top w:val="none" w:color="000000" w:sz="4"/>
                    <w:left w:val="single" w:color="000000" w:sz="4"/>
                    <w:bottom w:val="single" w:color="000000" w:sz="4"/>
                    <w:right w:val="single" w:color="000000" w:sz="4"/>
                  </w:tcBorders>
                </w:tcPr>
                <w:p/>
              </w:tc>
            </w:tr>
            <w:tr>
              <w:tc>
                <w:tcPr>
                  <w:tcW w:type="dxa" w:w="2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棉衣（男）</w:t>
                  </w:r>
                </w:p>
              </w:tc>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灰蓝线府绸</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T/C 65/35，纱支42/2×21</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水洗布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T/C 65/35，纱支45×45 </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96×72</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白色涤棉平布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T/C 80/20，纱支30×30</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袋布、腰里。可用面料、可搭配</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粘合衬</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PE30</w:t>
                  </w:r>
                  <w:r>
                    <w:rPr>
                      <w:rFonts w:ascii="仿宋_GB2312" w:hAnsi="仿宋_GB2312" w:cs="仿宋_GB2312" w:eastAsia="仿宋_GB2312"/>
                      <w:sz w:val="21"/>
                      <w:vertAlign w:val="superscript"/>
                    </w:rPr>
                    <w:t>S</w:t>
                  </w:r>
                  <w:r>
                    <w:rPr>
                      <w:rFonts w:ascii="仿宋_GB2312" w:hAnsi="仿宋_GB2312" w:cs="仿宋_GB2312" w:eastAsia="仿宋_GB2312"/>
                      <w:sz w:val="21"/>
                    </w:rPr>
                    <w:t>×30</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 xml:space="preserve">S </w:t>
                  </w:r>
                  <w:r>
                    <w:rPr>
                      <w:rFonts w:ascii="仿宋_GB2312" w:hAnsi="仿宋_GB2312" w:cs="仿宋_GB2312" w:eastAsia="仿宋_GB2312"/>
                      <w:sz w:val="21"/>
                    </w:rPr>
                    <w:t>(无纺)</w:t>
                  </w:r>
                  <w:r>
                    <w:rPr>
                      <w:rFonts w:ascii="仿宋_GB2312" w:hAnsi="仿宋_GB2312" w:cs="仿宋_GB2312" w:eastAsia="仿宋_GB2312"/>
                      <w:sz w:val="21"/>
                      <w:vertAlign w:val="superscript"/>
                    </w:rPr>
                    <w:t xml:space="preserve">   </w:t>
                  </w:r>
                  <w:r>
                    <w:rPr>
                      <w:rFonts w:ascii="仿宋_GB2312" w:hAnsi="仿宋_GB2312" w:cs="仿宋_GB2312" w:eastAsia="仿宋_GB2312"/>
                      <w:sz w:val="21"/>
                    </w:rPr>
                    <w:t>幅宽：</w:t>
                  </w:r>
                  <w:r>
                    <w:rPr>
                      <w:rFonts w:ascii="仿宋_GB2312" w:hAnsi="仿宋_GB2312" w:cs="仿宋_GB2312" w:eastAsia="仿宋_GB2312"/>
                      <w:sz w:val="21"/>
                    </w:rPr>
                    <w:t>0.9m</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领面、腰里</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灰蓝线府绸标志布</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T/C 65/35，纱支42/2×21 </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覆肩等标志布配料</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A、B、C专用标志钮扣</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前门襟（顺色）</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四眼塑脂扣</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裤掩襟扣</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涤纶线</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36#</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缝纫、环缝、锁眼、钉扣</w:t>
                  </w: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喷胶棉</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身</w:t>
                  </w:r>
                  <w:r>
                    <w:rPr>
                      <w:rFonts w:ascii="仿宋_GB2312" w:hAnsi="仿宋_GB2312" w:cs="仿宋_GB2312" w:eastAsia="仿宋_GB2312"/>
                      <w:sz w:val="21"/>
                    </w:rPr>
                    <w:t xml:space="preserve">240g </w:t>
                  </w:r>
                </w:p>
              </w:tc>
              <w:tc>
                <w:tcPr>
                  <w:tcW w:type="dxa" w:w="4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vMerge/>
                  <w:tcBorders>
                    <w:top w:val="none" w:color="000000" w:sz="4"/>
                    <w:left w:val="single" w:color="000000" w:sz="4"/>
                    <w:bottom w:val="single" w:color="000000" w:sz="4"/>
                    <w:right w:val="single" w:color="000000" w:sz="4"/>
                  </w:tcBorders>
                </w:tcPr>
                <w:p/>
              </w:tc>
            </w:tr>
            <w:tr>
              <w:tc>
                <w:tcPr>
                  <w:tcW w:type="dxa" w:w="211"/>
                  <w:vMerge/>
                  <w:tcBorders>
                    <w:top w:val="none" w:color="000000" w:sz="4"/>
                    <w:left w:val="single" w:color="000000" w:sz="4"/>
                    <w:bottom w:val="single" w:color="000000" w:sz="4"/>
                    <w:right w:val="single" w:color="000000" w:sz="4"/>
                  </w:tcBorders>
                </w:tcPr>
                <w:p/>
              </w:tc>
              <w:tc>
                <w:tcPr>
                  <w:tcW w:type="dxa" w:w="295"/>
                  <w:vMerge/>
                  <w:tcBorders>
                    <w:top w:val="none" w:color="000000" w:sz="4"/>
                    <w:left w:val="single" w:color="000000" w:sz="4"/>
                    <w:bottom w:val="single" w:color="000000" w:sz="4"/>
                    <w:right w:val="single" w:color="000000" w:sz="4"/>
                  </w:tcBorders>
                </w:tcPr>
                <w:p/>
              </w:tc>
              <w:tc>
                <w:tcPr>
                  <w:tcW w:type="dxa" w:w="220"/>
                  <w:vMerge/>
                  <w:tcBorders>
                    <w:top w:val="none" w:color="000000" w:sz="4"/>
                    <w:left w:val="single" w:color="000000" w:sz="4"/>
                    <w:bottom w:val="single" w:color="000000" w:sz="4"/>
                    <w:right w:val="single" w:color="000000" w:sz="4"/>
                  </w:tcBorders>
                </w:tcPr>
                <w:p/>
              </w:tc>
              <w:tc>
                <w:tcPr>
                  <w:tcW w:type="dxa" w:w="384"/>
                  <w:vMerge/>
                  <w:tcBorders>
                    <w:top w:val="none" w:color="000000" w:sz="4"/>
                    <w:left w:val="single" w:color="000000" w:sz="4"/>
                    <w:bottom w:val="single" w:color="000000" w:sz="4"/>
                    <w:right w:val="single" w:color="000000" w:sz="4"/>
                  </w:tcBorders>
                </w:tcP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袖</w:t>
                  </w:r>
                  <w:r>
                    <w:rPr>
                      <w:rFonts w:ascii="仿宋_GB2312" w:hAnsi="仿宋_GB2312" w:cs="仿宋_GB2312" w:eastAsia="仿宋_GB2312"/>
                      <w:sz w:val="21"/>
                    </w:rPr>
                    <w:t xml:space="preserve">180g </w:t>
                  </w:r>
                </w:p>
              </w:tc>
              <w:tc>
                <w:tcPr>
                  <w:tcW w:type="dxa" w:w="408"/>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单帽</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灰蓝线府绸</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 xml:space="preserve">T/C 65/35，纱支42/2×21 </w:t>
                  </w:r>
                </w:p>
                <w:p>
                  <w:pPr>
                    <w:pStyle w:val="null3"/>
                    <w:spacing w:before="105" w:after="105"/>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男单囚鞋</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内裤（男）</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1、汗布，浅灰色，T/C35/65，32普梳。</w:t>
                  </w:r>
                </w:p>
                <w:p>
                  <w:pPr>
                    <w:pStyle w:val="null3"/>
                    <w:spacing w:before="105" w:after="105"/>
                    <w:jc w:val="left"/>
                  </w:pPr>
                  <w:r>
                    <w:rPr>
                      <w:rFonts w:ascii="仿宋_GB2312" w:hAnsi="仿宋_GB2312" w:cs="仿宋_GB2312" w:eastAsia="仿宋_GB2312"/>
                      <w:sz w:val="21"/>
                    </w:rPr>
                    <w:t>2、标志布：白底灰蓝条，T/C35/65，160g/㎡，32普梳。</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囚服袜子</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男棉囚鞋</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鞋为铁蓝色，松紧口式布面胶棉鞋。男棉鞋楦型为三型半，女棉鞋楦型为二型半，鞋面前部有“囚”字变形标记。标记外圆直径26mm，宽度2～2.5mm，标记颜色为白色，有夜间反光功能。2、鞋面用涤棉铁蓝色帆布制作，鞋两侧有两条条形纳米夜视反光标记，间距5mm。夹层为毛毡，鞋里布及中底布为本色涤棉帆布。在鞋内侧显著位置印有区分标识，中底层为发泡海绵，加防霉防臭剂，厚度为9mm。大底为带“囚”字变形标记专用大底，材料为黑色橡胶，后跟高2mm，有防滑功能。围条为黑色橡胶，印有“人”字形暗纹。</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bl>
          <w:p>
            <w:pPr>
              <w:pStyle w:val="null3"/>
            </w:pPr>
            <w:r>
              <w:rPr>
                <w:rFonts w:ascii="仿宋_GB2312" w:hAnsi="仿宋_GB2312" w:cs="仿宋_GB2312" w:eastAsia="仿宋_GB2312"/>
                <w:sz w:val="21"/>
              </w:rPr>
              <w:t xml:space="preserve"> </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陕西省渭南市临渭区乐天大街118号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供应商按采购人要求将全部货物送到指定地点并完成相关工作后，采购人组织验收，质量按单一来源采购文件的采购参数内容验收。检测方法、抽样数量等依据国家、省、市现行法规、规范及标准的标准执行。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自项目总体验收合格之日起1年。质保期内，出现产品自身质量问题的，供应商应在接到采购人通知后24小时内派出人员到现场进行查验、回收、修复并在10天内将修复好的货物送交至采购人，若非货物本身质量问题，产生的相关修复费用则由采购人自行支付； 2、成交供应商在质量保证期内应当为采购人提供以下电话咨询售后服务：成交供应商或制造商应当为采购人提供售后服务电话，及时解决采购货物在使用中遇到的问题。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违约责任：（一）按《中华人民共和国民法典》中的相关条款执行。 （二）未按合同或报价要求提供产品或供应提供的产品质量不能满足采购人技术要求，其所发生的一切费用由乙方自行承担，给采购人造成损失的应予以赔偿，乙方在供货中若发生重大违法犯罪记录、及偷税漏税等不良行为，采购人有权终止合同，甚至对乙方违约行为进行追究，同时采购人有权取消其乙方中标资格。 （三）在合同实施过程中，若乙方未按合同要求提供货物，甲方将提出限期整改要求，乙方应根据要求及时整改。若乙方未按要求进行整改，甲方有权单方面终止合同。 合同争议解决的方式： 本合同在履行过程中发生的争议，由甲、乙双方当事人协商解决，协商不成的按下列 第（二）种方式解决： （一）提交仲裁委员会仲裁； （二）依法向甲方所在地人民法院起诉。</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一、供应商务必在响应文件递交截止时间30分钟前，通过项目电子化交易系统进行签到，如未进行签到，产生的一切后果由供应商自行承担。 二、供应商的响应报价是供应商响应本项目要求的全部工作内容的价格体现，包括但不限于：人工费、材料费、管理费、验收费、运输费、装卸（卸货至采购人指定地点）、服务费、利润和税金等与项目实施相关的全部费用。在提供服务的过程中的任何遗漏，均由成交供应商免费提供，采购人将不再支付任何费用。 三、根据《陕西省财政厅关于进一步优化政府采购营商环境有关事项的通知》（陕财办采〔2023〕4号）要求，成交供应商应当在成交通知书发出之日起25日内与采购人签订政府采购合同。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 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1.2024年度或2025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法定代表人（主要负责人）委托代理人参加协商会议时，应提供法定代表人（主要负责人）委托授权书；法定代表人（主要负责人）亲自参加协商会议时，应提供法定代表人（主要负责人）身份证明书。</w:t>
            </w:r>
          </w:p>
        </w:tc>
        <w:tc>
          <w:tcPr>
            <w:tcW w:type="dxa" w:w="1661"/>
          </w:tcPr>
          <w:p>
            <w:pPr>
              <w:pStyle w:val="null3"/>
            </w:pPr>
            <w:r>
              <w:rPr>
                <w:rFonts w:ascii="仿宋_GB2312" w:hAnsi="仿宋_GB2312" w:cs="仿宋_GB2312" w:eastAsia="仿宋_GB2312"/>
              </w:rPr>
              <w:t>资格证明资料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本项目专门面向中小企业采购项目，监狱企业、残疾人福利性单位视同小型、微型企业。 注：监狱企业应提供监狱企业的证明文件。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 响应文件格式” 的规定</w:t>
            </w:r>
          </w:p>
        </w:tc>
        <w:tc>
          <w:tcPr>
            <w:tcW w:type="dxa" w:w="1661"/>
          </w:tcPr>
          <w:p>
            <w:pPr>
              <w:pStyle w:val="null3"/>
            </w:pPr>
            <w:r>
              <w:rPr>
                <w:rFonts w:ascii="仿宋_GB2312" w:hAnsi="仿宋_GB2312" w:cs="仿宋_GB2312" w:eastAsia="仿宋_GB2312"/>
              </w:rPr>
              <w:t>响应文件封面 资格证明资料 产品技术参数表 残疾人福利性单位声明函 中小企业声明函 商务应答表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符合要求且未超出采购预算或采购文件规定的最高限价。</w:t>
            </w:r>
          </w:p>
        </w:tc>
        <w:tc>
          <w:tcPr>
            <w:tcW w:type="dxa" w:w="1661"/>
          </w:tcPr>
          <w:p>
            <w:pPr>
              <w:pStyle w:val="null3"/>
            </w:pPr>
            <w:r>
              <w:rPr>
                <w:rFonts w:ascii="仿宋_GB2312" w:hAnsi="仿宋_GB2312" w:cs="仿宋_GB2312" w:eastAsia="仿宋_GB2312"/>
              </w:rPr>
              <w:t>分项报价表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