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版本号：【KRDL】K4-260403820260421001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骊山校园2号教师公寓改造项目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【KRDL】K4-2604038</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骊山校园2号教师公寓改造项目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【KRDL】K4-2604038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骊山校园2号教师公寓改造项目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工程地点位于西安科技大学临潼校区，骊山校园2号教师公寓建于2001年左右，六层砖混结构（地面以上五层，沿坡度与地面平行为负一层），建筑面积约2500平方米，2号教师公寓楼体为标准“一”字型，长约45米，宽约13米，本次工程内容包含两部分：一部分为房屋建筑及装饰工程、给排水工程、电气工程、弱电工程、通风空调工程5个模块，另外一部分为消防工程设备改造及新增设施，具体以本项目竞争性磋商文件、工程量清单及图纸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采购包1（骊山校园2号教师公寓改造项目）：属于专门面向中小企业采购。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社会保障资金缴纳证明：供应商提供自2025年4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3、税收缴纳证明：供应商提供自2025年4月至今已缴纳的至少一个月纳税证明或完税证明，依法免税的单位应提供相关证明材料；</w:t>
      </w:r>
    </w:p>
    <w:p>
      <w:pPr>
        <w:pStyle w:val="null3"/>
      </w:pPr>
      <w:r>
        <w:rPr>
          <w:rFonts w:ascii="仿宋_GB2312" w:hAnsi="仿宋_GB2312" w:cs="仿宋_GB2312" w:eastAsia="仿宋_GB2312"/>
        </w:rPr>
        <w:t>4、财务状况证明：供应商提供2024年或2025年度经审计的完整财务审计报告或在开标日期前六个月内其基本开户银行出具的资信证明；</w:t>
      </w:r>
    </w:p>
    <w:p>
      <w:pPr>
        <w:pStyle w:val="null3"/>
      </w:pPr>
      <w:r>
        <w:rPr>
          <w:rFonts w:ascii="仿宋_GB2312" w:hAnsi="仿宋_GB2312" w:cs="仿宋_GB2312" w:eastAsia="仿宋_GB2312"/>
        </w:rPr>
        <w:t>5、供应商资质要求：供应商须具备建设行政主管部门颁发合法有效的建筑工程施工总承包三级(含)以上资质，并具备有效的安全生产许可证，且在人员、设备、资金等方面具备相应施工能力；</w:t>
      </w:r>
    </w:p>
    <w:p>
      <w:pPr>
        <w:pStyle w:val="null3"/>
      </w:pPr>
      <w:r>
        <w:rPr>
          <w:rFonts w:ascii="仿宋_GB2312" w:hAnsi="仿宋_GB2312" w:cs="仿宋_GB2312" w:eastAsia="仿宋_GB2312"/>
        </w:rPr>
        <w:t>6、供应商拟派项目经理资质和专业要求：供应商拟派项目经理具备合法有效的建筑工程专业注册建造师二级（含）以上执业资格及安全生产考核合格证书（安全B证），在本单位注册且无在建工程；</w:t>
      </w:r>
    </w:p>
    <w:p>
      <w:pPr>
        <w:pStyle w:val="null3"/>
      </w:pPr>
      <w:r>
        <w:rPr>
          <w:rFonts w:ascii="仿宋_GB2312" w:hAnsi="仿宋_GB2312" w:cs="仿宋_GB2312" w:eastAsia="仿宋_GB2312"/>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8、其他要求：供应商及其拟派项目经理须在“陕西省住房和城乡建设厅”官方网站可查询；如供应商为外省进陕企业，还须同时提供“陕西省住房和城乡建设厅”官网企业库外省进陕施工企业信息首页截图；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姚瑶、代光艳、路坦、贾亚妮、刘如拉、王昭、刘昆、张晨、王森、靳祥德、成荔、彭明杨、王莉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029-89581863、15229797656、17302920968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采购包1：3,145,200.00元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说明：供应商成交后凭成交通知书向采购人缴纳成交金额的3%作为履约保证金，验收合格后转为质保金，待质保期满后无息退还。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中华人民共和国国家发展和改革委员会办公厅颁发的《关于招标代理服务收费有关问题的通知》（发改办价格[2003] 857号）的有关规定下浮22.5%，向采购代理机构一次付清代理服务费。注：采购代理费或响应保证金转账需备注项目名称+采购代理服务费。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踏勘时间：2026-04-17 10:00:00</w:t>
            </w:r>
          </w:p>
          <w:p>
            <w:pPr>
              <w:pStyle w:val="null3"/>
              <w:ind w:firstLine="975"/>
            </w:pPr>
            <w:r>
              <w:rPr>
                <w:rFonts w:ascii="仿宋_GB2312" w:hAnsi="仿宋_GB2312" w:cs="仿宋_GB2312" w:eastAsia="仿宋_GB2312"/>
              </w:rPr>
              <w:t>踏勘地点：西安科技大学临潼校区骊山校园</w:t>
            </w:r>
          </w:p>
          <w:p>
            <w:pPr>
              <w:pStyle w:val="null3"/>
              <w:ind w:firstLine="975"/>
            </w:pPr>
            <w:r>
              <w:rPr>
                <w:rFonts w:ascii="仿宋_GB2312" w:hAnsi="仿宋_GB2312" w:cs="仿宋_GB2312" w:eastAsia="仿宋_GB2312"/>
              </w:rPr>
              <w:t>联系人：张老师</w:t>
            </w:r>
          </w:p>
          <w:p>
            <w:pPr>
              <w:pStyle w:val="null3"/>
              <w:ind w:firstLine="975"/>
            </w:pPr>
            <w:r>
              <w:rPr>
                <w:rFonts w:ascii="仿宋_GB2312" w:hAnsi="仿宋_GB2312" w:cs="仿宋_GB2312" w:eastAsia="仿宋_GB2312"/>
              </w:rPr>
              <w:t>联系电话号码：18066617289</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以竞争性磋商文件、响应文件及合同要求为准。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联系人：代光艳、刘如拉、贾亚妮、路坦</w:t>
      </w:r>
    </w:p>
    <w:p>
      <w:pPr>
        <w:pStyle w:val="null3"/>
      </w:pPr>
      <w:r>
        <w:rPr>
          <w:rFonts w:ascii="仿宋_GB2312" w:hAnsi="仿宋_GB2312" w:cs="仿宋_GB2312" w:eastAsia="仿宋_GB2312"/>
        </w:rPr>
        <w:t>联系电话：029-89581863、15229797656、17302920968</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3,145,200.00</w:t>
      </w:r>
    </w:p>
    <w:p>
      <w:pPr>
        <w:pStyle w:val="null3"/>
      </w:pPr>
      <w:r>
        <w:rPr>
          <w:rFonts w:ascii="仿宋_GB2312" w:hAnsi="仿宋_GB2312" w:cs="仿宋_GB2312" w:eastAsia="仿宋_GB2312"/>
        </w:rPr>
        <w:t>采购包最高限价（元）: 3,145,199.20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骊山校园2号教师公寓改造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3,145,200.00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标的名称：骊山校园2号教师公寓改造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00"/>
              </w:rPr>
              <w:t>一、项目概况</w:t>
            </w:r>
          </w:p>
          <w:p>
            <w:pPr>
              <w:pStyle w:val="null3"/>
              <w:ind w:firstLine="480"/>
              <w:jc w:val="left"/>
            </w:pPr>
            <w:r>
              <w:rPr>
                <w:rFonts w:ascii="仿宋_GB2312" w:hAnsi="仿宋_GB2312" w:cs="仿宋_GB2312" w:eastAsia="仿宋_GB2312"/>
                <w:sz w:val="24"/>
                <w:color w:val="000000"/>
              </w:rPr>
              <w:t>临潼校区骊山校园</w:t>
            </w:r>
            <w:r>
              <w:rPr>
                <w:rFonts w:ascii="仿宋_GB2312" w:hAnsi="仿宋_GB2312" w:cs="仿宋_GB2312" w:eastAsia="仿宋_GB2312"/>
                <w:sz w:val="24"/>
                <w:color w:val="000000"/>
              </w:rPr>
              <w:t>2号教师公寓建于2001年左右，六层砖混结构（地面以上五层，沿坡度与地面平行为负一层），建筑面积约2500平方米。2号教师公寓楼体为标准“一”字型，长约45米，宽约13米。共计房间102间，其中沿坡度与地面平行负一层有房间10间，每间面积约16.83平方米，无卫生间。地面以上一层有房间19间（含1间值班室），每间面积约16.83平方米，公共卫生间2间，水房1间，建筑面积约50平方米。二层、三层、四层结构一样，每层各有房间21间，每间面积约16.83平方米，公共卫生间2间，水房1间，建筑面积约50平方米。五层有房间10间，每间面积约16.83平方米，公共卫生间2间，水房1间，建筑面积约50平方米。室内前后楼梯2个。根据2026年学校工作安排，为有效解决骊山校园学生公寓住宿床位紧张局面，拟将2#教师公寓改造为学生公寓，可增加住宿床位360张。</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本次工程内容包含：</w:t>
            </w:r>
          </w:p>
          <w:p>
            <w:pPr>
              <w:pStyle w:val="null3"/>
              <w:ind w:firstLine="480"/>
              <w:jc w:val="left"/>
            </w:pPr>
            <w:r>
              <w:rPr>
                <w:rFonts w:ascii="仿宋_GB2312" w:hAnsi="仿宋_GB2312" w:cs="仿宋_GB2312" w:eastAsia="仿宋_GB2312"/>
                <w:sz w:val="24"/>
                <w:color w:val="000000"/>
              </w:rPr>
              <w:t>1.功能调整：将原有宿舍改造提升为标准4人间学生宿舍，合理规划室内床位布局、用电、用网、空调等设施；</w:t>
            </w:r>
          </w:p>
          <w:p>
            <w:pPr>
              <w:pStyle w:val="null3"/>
              <w:ind w:firstLine="480"/>
              <w:jc w:val="left"/>
            </w:pPr>
            <w:r>
              <w:rPr>
                <w:rFonts w:ascii="仿宋_GB2312" w:hAnsi="仿宋_GB2312" w:cs="仿宋_GB2312" w:eastAsia="仿宋_GB2312"/>
                <w:sz w:val="24"/>
                <w:color w:val="000000"/>
              </w:rPr>
              <w:t>2.水电改造：更换老化线路、管道，增加或更换用电插座和照明设施，升级给水排水管网；</w:t>
            </w:r>
          </w:p>
          <w:p>
            <w:pPr>
              <w:pStyle w:val="null3"/>
              <w:ind w:firstLine="480"/>
              <w:jc w:val="left"/>
            </w:pPr>
            <w:r>
              <w:rPr>
                <w:rFonts w:ascii="仿宋_GB2312" w:hAnsi="仿宋_GB2312" w:cs="仿宋_GB2312" w:eastAsia="仿宋_GB2312"/>
                <w:sz w:val="24"/>
                <w:color w:val="000000"/>
              </w:rPr>
              <w:t>3.公共设施：每层公共卫生间、盥洗室改造，增加淋浴间、洗衣间和直饮水供应点；</w:t>
            </w:r>
          </w:p>
          <w:p>
            <w:pPr>
              <w:pStyle w:val="null3"/>
              <w:ind w:firstLine="480"/>
              <w:jc w:val="left"/>
            </w:pPr>
            <w:r>
              <w:rPr>
                <w:rFonts w:ascii="仿宋_GB2312" w:hAnsi="仿宋_GB2312" w:cs="仿宋_GB2312" w:eastAsia="仿宋_GB2312"/>
                <w:sz w:val="24"/>
                <w:color w:val="000000"/>
              </w:rPr>
              <w:t>4.消防设施：加装消防报警系统、管网等消防设施设备；</w:t>
            </w:r>
          </w:p>
          <w:p>
            <w:pPr>
              <w:pStyle w:val="null3"/>
              <w:ind w:firstLine="480"/>
              <w:jc w:val="left"/>
            </w:pPr>
            <w:r>
              <w:rPr>
                <w:rFonts w:ascii="仿宋_GB2312" w:hAnsi="仿宋_GB2312" w:cs="仿宋_GB2312" w:eastAsia="仿宋_GB2312"/>
                <w:sz w:val="24"/>
                <w:color w:val="000000"/>
              </w:rPr>
              <w:t>5.内外装修：修缮墙面、地面，更换门窗、更新公共走廊及楼梯间设施。6、智能化配套：安装门禁系统、监控、水电计量装置及网络端口；</w:t>
            </w:r>
          </w:p>
          <w:p>
            <w:pPr>
              <w:pStyle w:val="null3"/>
              <w:ind w:firstLine="480"/>
              <w:jc w:val="left"/>
            </w:pPr>
            <w:r>
              <w:rPr>
                <w:rFonts w:ascii="仿宋_GB2312" w:hAnsi="仿宋_GB2312" w:cs="仿宋_GB2312" w:eastAsia="仿宋_GB2312"/>
                <w:sz w:val="24"/>
                <w:color w:val="000000"/>
              </w:rPr>
              <w:t>具体详见工程量清单、图纸等文件。</w:t>
            </w:r>
          </w:p>
          <w:p>
            <w:pPr>
              <w:pStyle w:val="null3"/>
              <w:ind w:firstLine="482"/>
              <w:jc w:val="both"/>
            </w:pPr>
            <w:r>
              <w:rPr>
                <w:rFonts w:ascii="仿宋_GB2312" w:hAnsi="仿宋_GB2312" w:cs="仿宋_GB2312" w:eastAsia="仿宋_GB2312"/>
                <w:sz w:val="24"/>
                <w:b/>
                <w:color w:val="000000"/>
              </w:rPr>
              <w:t>二、工程技术标准及要求</w:t>
            </w:r>
          </w:p>
          <w:p>
            <w:pPr>
              <w:pStyle w:val="null3"/>
              <w:ind w:firstLine="480"/>
              <w:jc w:val="both"/>
            </w:pPr>
            <w:r>
              <w:rPr>
                <w:rFonts w:ascii="仿宋_GB2312" w:hAnsi="仿宋_GB2312" w:cs="仿宋_GB2312" w:eastAsia="仿宋_GB2312"/>
                <w:sz w:val="24"/>
                <w:color w:val="000000"/>
              </w:rPr>
              <w:t>1.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ind w:firstLine="480"/>
              <w:jc w:val="both"/>
            </w:pPr>
            <w:r>
              <w:rPr>
                <w:rFonts w:ascii="仿宋_GB2312" w:hAnsi="仿宋_GB2312" w:cs="仿宋_GB2312" w:eastAsia="仿宋_GB2312"/>
                <w:sz w:val="24"/>
                <w:color w:val="000000"/>
              </w:rPr>
              <w:t>2.本工程其他技术标准及要求执行现行规范和采购人实际需求。</w:t>
            </w:r>
          </w:p>
          <w:p>
            <w:pPr>
              <w:pStyle w:val="null3"/>
              <w:ind w:firstLine="480"/>
              <w:jc w:val="both"/>
            </w:pPr>
            <w:r>
              <w:rPr>
                <w:rFonts w:ascii="仿宋_GB2312" w:hAnsi="仿宋_GB2312" w:cs="仿宋_GB2312" w:eastAsia="仿宋_GB2312"/>
                <w:sz w:val="24"/>
                <w:color w:val="000000"/>
              </w:rPr>
              <w:t>3.在施工过程中，如果国家或有关部门颁布了新的技术部分准或规范，则承包人应采用新的标准或规范进行施工。</w:t>
            </w:r>
          </w:p>
          <w:p>
            <w:pPr>
              <w:pStyle w:val="null3"/>
              <w:ind w:firstLine="480"/>
              <w:jc w:val="both"/>
            </w:pPr>
            <w:r>
              <w:rPr>
                <w:rFonts w:ascii="仿宋_GB2312" w:hAnsi="仿宋_GB2312" w:cs="仿宋_GB2312" w:eastAsia="仿宋_GB2312"/>
                <w:sz w:val="24"/>
                <w:color w:val="000000"/>
              </w:rPr>
              <w:t>4.采购人提供工程的施工方案和相关技术文件，是采购人现有的能被供应商利用的资料，采购人对供应商做出的任何推论、理解均不负责任。</w:t>
            </w:r>
          </w:p>
          <w:p>
            <w:pPr>
              <w:pStyle w:val="null3"/>
              <w:ind w:firstLine="480"/>
              <w:jc w:val="left"/>
            </w:pPr>
            <w:r>
              <w:rPr>
                <w:rFonts w:ascii="仿宋_GB2312" w:hAnsi="仿宋_GB2312" w:cs="仿宋_GB2312" w:eastAsia="仿宋_GB2312"/>
                <w:sz w:val="24"/>
                <w:color w:val="000000"/>
              </w:rPr>
              <w:t>5.供应商应先到工程地点踏勘以充分了解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ind w:firstLine="480"/>
              <w:jc w:val="both"/>
            </w:pPr>
            <w:r>
              <w:rPr>
                <w:rFonts w:ascii="仿宋_GB2312" w:hAnsi="仿宋_GB2312" w:cs="仿宋_GB2312" w:eastAsia="仿宋_GB2312"/>
                <w:sz w:val="24"/>
                <w:color w:val="000000"/>
              </w:rPr>
              <w:t>6.供应商取得验收手续后，及时通知采购人验收，并按采购人的要求提交竣工验收申请报告及竣工资料，采购人应及时组织验收，并在验收后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w:t>
            </w:r>
          </w:p>
          <w:p>
            <w:pPr>
              <w:pStyle w:val="null3"/>
              <w:ind w:firstLine="480"/>
              <w:jc w:val="both"/>
            </w:pPr>
            <w:r>
              <w:rPr>
                <w:rFonts w:ascii="仿宋_GB2312" w:hAnsi="仿宋_GB2312" w:cs="仿宋_GB2312" w:eastAsia="仿宋_GB2312"/>
                <w:sz w:val="24"/>
                <w:color w:val="000000"/>
              </w:rPr>
              <w:t>7.成交供应商未经采购人及有关部门同意，不得擅自变更本项目在竞争性磋商过程承诺中认定的采购范围、实施组织方案和项目经理（响应文件中应明确项目经理的姓名及联系方法，以备检查）</w:t>
            </w:r>
          </w:p>
          <w:p>
            <w:pPr>
              <w:pStyle w:val="null3"/>
              <w:ind w:firstLine="480"/>
              <w:jc w:val="both"/>
            </w:pPr>
            <w:r>
              <w:rPr>
                <w:rFonts w:ascii="仿宋_GB2312" w:hAnsi="仿宋_GB2312" w:cs="仿宋_GB2312" w:eastAsia="仿宋_GB2312"/>
                <w:sz w:val="24"/>
                <w:color w:val="000000"/>
              </w:rPr>
              <w:t>8.成交供应商必须自行施工，不得转包、分包。</w:t>
            </w:r>
          </w:p>
          <w:p>
            <w:pPr>
              <w:pStyle w:val="null3"/>
              <w:ind w:firstLine="480"/>
              <w:jc w:val="both"/>
            </w:pPr>
            <w:r>
              <w:rPr>
                <w:rFonts w:ascii="仿宋_GB2312" w:hAnsi="仿宋_GB2312" w:cs="仿宋_GB2312" w:eastAsia="仿宋_GB2312"/>
                <w:sz w:val="24"/>
                <w:color w:val="000000"/>
              </w:rPr>
              <w:t>9.成交供应商在施工过程中不得影响学校的日常生活、工作秩序。</w:t>
            </w:r>
          </w:p>
          <w:p>
            <w:pPr>
              <w:pStyle w:val="null3"/>
              <w:ind w:firstLine="480"/>
              <w:jc w:val="both"/>
            </w:pPr>
            <w:r>
              <w:rPr>
                <w:rFonts w:ascii="仿宋_GB2312" w:hAnsi="仿宋_GB2312" w:cs="仿宋_GB2312" w:eastAsia="仿宋_GB2312"/>
                <w:sz w:val="24"/>
                <w:color w:val="000000"/>
              </w:rPr>
              <w:t>10.现场垃圾清运、治污减霾工作由成交供应商全权负责，供应商应负责做好项目的扬尘防治工作及垃圾清运工作。</w:t>
            </w:r>
          </w:p>
          <w:p>
            <w:pPr>
              <w:pStyle w:val="null3"/>
              <w:ind w:firstLine="482"/>
              <w:jc w:val="both"/>
            </w:pPr>
            <w:r>
              <w:rPr>
                <w:rFonts w:ascii="仿宋_GB2312" w:hAnsi="仿宋_GB2312" w:cs="仿宋_GB2312" w:eastAsia="仿宋_GB2312"/>
                <w:sz w:val="24"/>
                <w:b/>
                <w:color w:val="000000"/>
              </w:rPr>
              <w:t>三、工程量清单及图纸</w:t>
            </w:r>
          </w:p>
          <w:p>
            <w:pPr>
              <w:pStyle w:val="null3"/>
              <w:ind w:firstLine="482"/>
              <w:jc w:val="both"/>
            </w:pPr>
            <w:r>
              <w:rPr>
                <w:rFonts w:ascii="仿宋_GB2312" w:hAnsi="仿宋_GB2312" w:cs="仿宋_GB2312" w:eastAsia="仿宋_GB2312"/>
                <w:sz w:val="24"/>
                <w:b/>
                <w:color w:val="000000"/>
              </w:rPr>
              <w:t>（一）工程量清单：</w:t>
            </w:r>
            <w:r>
              <w:rPr>
                <w:rFonts w:ascii="仿宋_GB2312" w:hAnsi="仿宋_GB2312" w:cs="仿宋_GB2312" w:eastAsia="仿宋_GB2312"/>
                <w:sz w:val="24"/>
                <w:color w:val="000000"/>
              </w:rPr>
              <w:t>详见附件。</w:t>
            </w:r>
          </w:p>
          <w:p>
            <w:pPr>
              <w:pStyle w:val="null3"/>
              <w:ind w:firstLine="482"/>
              <w:jc w:val="both"/>
            </w:pPr>
            <w:r>
              <w:rPr>
                <w:rFonts w:ascii="仿宋_GB2312" w:hAnsi="仿宋_GB2312" w:cs="仿宋_GB2312" w:eastAsia="仿宋_GB2312"/>
                <w:sz w:val="24"/>
                <w:b/>
                <w:color w:val="000000"/>
              </w:rPr>
              <w:t>（二）图纸：</w:t>
            </w:r>
            <w:r>
              <w:rPr>
                <w:rFonts w:ascii="仿宋_GB2312" w:hAnsi="仿宋_GB2312" w:cs="仿宋_GB2312" w:eastAsia="仿宋_GB2312"/>
                <w:sz w:val="24"/>
                <w:color w:val="000000"/>
              </w:rPr>
              <w:t>详见附件。</w:t>
            </w:r>
          </w:p>
          <w:p>
            <w:pPr>
              <w:pStyle w:val="null3"/>
              <w:ind w:left="480"/>
              <w:jc w:val="both"/>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商务要求</w:t>
            </w:r>
            <w:r>
              <w:br/>
            </w:r>
            <w:r>
              <w:rPr>
                <w:rFonts w:ascii="仿宋_GB2312" w:hAnsi="仿宋_GB2312" w:cs="仿宋_GB2312" w:eastAsia="仿宋_GB2312"/>
                <w:sz w:val="24"/>
                <w:b/>
                <w:color w:val="000000"/>
              </w:rPr>
              <w:t>（一）工期：</w:t>
            </w:r>
            <w:r>
              <w:rPr>
                <w:rFonts w:ascii="仿宋_GB2312" w:hAnsi="仿宋_GB2312" w:cs="仿宋_GB2312" w:eastAsia="仿宋_GB2312"/>
                <w:sz w:val="24"/>
                <w:color w:val="000000"/>
              </w:rPr>
              <w:t>自接到采购人开工通知之日起</w:t>
            </w:r>
            <w:r>
              <w:rPr>
                <w:rFonts w:ascii="仿宋_GB2312" w:hAnsi="仿宋_GB2312" w:cs="仿宋_GB2312" w:eastAsia="仿宋_GB2312"/>
                <w:sz w:val="24"/>
                <w:color w:val="000000"/>
              </w:rPr>
              <w:t>80个日历天内。</w:t>
            </w:r>
          </w:p>
          <w:p>
            <w:pPr>
              <w:pStyle w:val="null3"/>
              <w:ind w:firstLine="482"/>
              <w:jc w:val="both"/>
            </w:pPr>
            <w:r>
              <w:rPr>
                <w:rFonts w:ascii="仿宋_GB2312" w:hAnsi="仿宋_GB2312" w:cs="仿宋_GB2312" w:eastAsia="仿宋_GB2312"/>
                <w:sz w:val="24"/>
                <w:b/>
                <w:color w:val="000000"/>
              </w:rPr>
              <w:t>（二）工程地点</w:t>
            </w:r>
            <w:r>
              <w:rPr>
                <w:rFonts w:ascii="仿宋_GB2312" w:hAnsi="仿宋_GB2312" w:cs="仿宋_GB2312" w:eastAsia="仿宋_GB2312"/>
                <w:sz w:val="24"/>
                <w:color w:val="000000"/>
              </w:rPr>
              <w:t>：西安科技大学临潼校区骊山校园。</w:t>
            </w:r>
          </w:p>
          <w:p>
            <w:pPr>
              <w:pStyle w:val="null3"/>
              <w:ind w:firstLine="482"/>
              <w:jc w:val="both"/>
            </w:pPr>
            <w:r>
              <w:rPr>
                <w:rFonts w:ascii="仿宋_GB2312" w:hAnsi="仿宋_GB2312" w:cs="仿宋_GB2312" w:eastAsia="仿宋_GB2312"/>
                <w:sz w:val="24"/>
                <w:b/>
                <w:color w:val="000000"/>
              </w:rPr>
              <w:t>（三）质量要求</w:t>
            </w:r>
            <w:r>
              <w:rPr>
                <w:rFonts w:ascii="仿宋_GB2312" w:hAnsi="仿宋_GB2312" w:cs="仿宋_GB2312" w:eastAsia="仿宋_GB2312"/>
                <w:sz w:val="24"/>
                <w:color w:val="000000"/>
              </w:rPr>
              <w:t>：满足现行《建筑与市政工程施工质量控制通用规范》的要求，质量验收合格。</w:t>
            </w:r>
          </w:p>
          <w:p>
            <w:pPr>
              <w:pStyle w:val="null3"/>
              <w:ind w:firstLine="482"/>
              <w:jc w:val="both"/>
            </w:pPr>
            <w:r>
              <w:rPr>
                <w:rFonts w:ascii="仿宋_GB2312" w:hAnsi="仿宋_GB2312" w:cs="仿宋_GB2312" w:eastAsia="仿宋_GB2312"/>
                <w:sz w:val="24"/>
                <w:b/>
                <w:color w:val="000000"/>
              </w:rPr>
              <w:t>（四）付款方式：</w:t>
            </w:r>
            <w:r>
              <w:rPr>
                <w:rFonts w:ascii="仿宋_GB2312" w:hAnsi="仿宋_GB2312" w:cs="仿宋_GB2312" w:eastAsia="仿宋_GB2312"/>
                <w:sz w:val="24"/>
                <w:color w:val="000000"/>
              </w:rPr>
              <w:t>签订合同前成交供应商向采购人缴纳合同金额</w:t>
            </w:r>
            <w:r>
              <w:rPr>
                <w:rFonts w:ascii="仿宋_GB2312" w:hAnsi="仿宋_GB2312" w:cs="仿宋_GB2312" w:eastAsia="仿宋_GB2312"/>
                <w:sz w:val="24"/>
                <w:color w:val="000000"/>
              </w:rPr>
              <w:t>3%作为履约保证金，合同签订后采购人向成交供应商支付40%合同金额的预付款。工程完工经采购人验收合格后支付20%工程款，经工程审计后，采购人向成交供应商支付至审定价的100%。</w:t>
            </w:r>
          </w:p>
          <w:p>
            <w:pPr>
              <w:pStyle w:val="null3"/>
              <w:ind w:firstLine="482"/>
              <w:jc w:val="both"/>
            </w:pPr>
            <w:r>
              <w:rPr>
                <w:rFonts w:ascii="仿宋_GB2312" w:hAnsi="仿宋_GB2312" w:cs="仿宋_GB2312" w:eastAsia="仿宋_GB2312"/>
                <w:sz w:val="24"/>
                <w:b/>
                <w:color w:val="000000"/>
              </w:rPr>
              <w:t>（五）质量保证期：</w:t>
            </w:r>
            <w:r>
              <w:rPr>
                <w:rFonts w:ascii="仿宋_GB2312" w:hAnsi="仿宋_GB2312" w:cs="仿宋_GB2312" w:eastAsia="仿宋_GB2312"/>
                <w:sz w:val="24"/>
                <w:color w:val="000000"/>
              </w:rPr>
              <w:t>本项目竣工验收合格通过之日起</w:t>
            </w:r>
            <w:r>
              <w:rPr>
                <w:rFonts w:ascii="仿宋_GB2312" w:hAnsi="仿宋_GB2312" w:cs="仿宋_GB2312" w:eastAsia="仿宋_GB2312"/>
                <w:sz w:val="24"/>
                <w:color w:val="000000"/>
              </w:rPr>
              <w:t>2年，供应商可在此基础上根据企业自身情况自主承诺予以</w:t>
            </w:r>
            <w:r>
              <w:rPr>
                <w:rFonts w:ascii="仿宋_GB2312" w:hAnsi="仿宋_GB2312" w:cs="仿宋_GB2312" w:eastAsia="仿宋_GB2312"/>
                <w:sz w:val="24"/>
                <w:color w:val="000000"/>
              </w:rPr>
              <w:t>延长。</w:t>
            </w:r>
          </w:p>
          <w:p>
            <w:pPr>
              <w:pStyle w:val="null3"/>
              <w:ind w:firstLine="480"/>
              <w:jc w:val="both"/>
            </w:pPr>
            <w:r>
              <w:rPr>
                <w:rFonts w:ascii="仿宋_GB2312" w:hAnsi="仿宋_GB2312" w:cs="仿宋_GB2312" w:eastAsia="仿宋_GB2312"/>
                <w:sz w:val="24"/>
                <w:color w:val="000000"/>
              </w:rPr>
              <w:t>质保期内如因施工及设备质量问题需要维修，成交供应商应保证</w:t>
            </w:r>
            <w:r>
              <w:rPr>
                <w:rFonts w:ascii="仿宋_GB2312" w:hAnsi="仿宋_GB2312" w:cs="仿宋_GB2312" w:eastAsia="仿宋_GB2312"/>
                <w:sz w:val="24"/>
                <w:color w:val="000000"/>
              </w:rPr>
              <w:t>48小时内提供维修方案，5天内完成维修，无条件负责维修，否则采购人有权另行委托他人完成，所发生的费用均由成交供应商承担。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质量标准：满足现行《建筑与市政工程施工质量控制通用规范》的要求，质量验收合格。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应按照磋商文件中规定的时间及地点前往项目地点踏勘，以充分了解工地位置、情况、道路、储存空间、装卸限制及任何其他足以影响响应报价的情况，供应商因忽视或误解工地情况而导致的其提出的任何索赔或工期延长申请将不被批准。凡因供应商对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2.磋商报价时各供应商应根据文件说明、做法、施工组织设计、施工验收规范、现场条件、工程特点等内容编制磋商报价。 3.所有材料必须使用合格产品，竞争性磋商文件如对材料的材质、品牌等有明确要求的，不得变更相关要求，使用前应当由采购人认质确认后方可投入使用。工程施工完毕后需对施工场地进行保洁，保洁标准达到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 xml:space="preserve"> 响应保证金注意事项：（1）响应保证金须从供应商户名支付，如从个人户名或非供应商户名支付，将被拒绝，视为自动放弃投标权利（该个人是供应商的情形除外）；响应保证金缴纳时间：开标时间之前；以保函形式交纳响应保证金的，供应商应在投标截止时间前将保函上传至政府采购电子化交易平台，同时将保函扫描成清晰的PDF文件，发送至邮箱2973608682@qq.com（邮件命名：项目名称+项目编号）；供应商应在响应文件中附保函复印件。保函必须由具有开具投标保函资格的单位开具；若供应商违约，开具保函单位承担连带责任；（2）响应保证金的提交金额、时间不满足磋商文件要求的，投标无效；（3）供应商未按指定账户提交响应保证金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自2025年4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供应商提供自2025年4月至今已缴纳的至少一个月纳税证明或完税证明，依法免税的单位应提供相关证明材料；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供应商提供2024年或2025年度经审计的完整财务审计报告或在开标日期前六个月内其基本开户银行出具的资信证明；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供应商须具备建设行政主管部门颁发合法有效的建筑工程施工总承包三级(含)以上资质，并具备有效的安全生产许可证，且在人员、设备、资金等方面具备相应施工能力；</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供应商拟派项目经理资质和专业要求</w:t>
            </w:r>
          </w:p>
        </w:tc>
        <w:tc>
          <w:tcPr>
            <w:tcW w:type="dxa" w:w="3322"/>
          </w:tcPr>
          <w:p>
            <w:pPr>
              <w:pStyle w:val="null3"/>
            </w:pPr>
            <w:r>
              <w:rPr>
                <w:rFonts w:ascii="仿宋_GB2312" w:hAnsi="仿宋_GB2312" w:cs="仿宋_GB2312" w:eastAsia="仿宋_GB2312"/>
              </w:rPr>
              <w:t>供应商拟派项目经理具备合法有效的建筑工程专业注册建造师二级（含）以上执业资格及安全生产考核合格证书（安全B证），在本单位注册且无在建工程；</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二、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已标价工程量清单 拟派项目经理证明材料.docx 中小企业声明函 企业业绩.docx 施工组织设计.docx 响应文件封面 项目部团队人员情况表..docx 残疾人福利性单位声明函 法定代表人证明书及授权书.docx 报价函 标的清单 资格证明材料.docx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响应函是否按磋商文件要求签署、盖章的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响应函应需在项目电子化交易系统中按要求填写《响应函》、《报价函》完成承诺并进行电子签章；</w:t>
            </w:r>
          </w:p>
        </w:tc>
        <w:tc>
          <w:tcPr>
            <w:tcW w:type="dxa" w:w="1661"/>
          </w:tcPr>
          <w:p>
            <w:pPr>
              <w:pStyle w:val="null3"/>
            </w:pPr>
            <w:r>
              <w:rPr>
                <w:rFonts w:ascii="仿宋_GB2312" w:hAnsi="仿宋_GB2312" w:cs="仿宋_GB2312" w:eastAsia="仿宋_GB2312"/>
              </w:rPr>
              <w:t>已标价工程量清单 拟派项目经理证明材料.docx 中小企业声明函 企业业绩.docx 施工组织设计.docx 响应文件封面 项目部团队人员情况表..docx 残疾人福利性单位声明函 法定代表人证明书及授权书.docx 报价函 标的清单 资格证明材料.docx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已标价工程量清单 拟派项目经理证明材料.docx 中小企业声明函 企业业绩.docx 施工组织设计.docx 响应文件封面 项目部团队人员情况表..docx 残疾人福利性单位声明函 法定代表人证明书及授权书.docx 报价函 标的清单 资格证明材料.docx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已标价工程量清单扉页是否加盖有注册或登记在工程造价咨询企业的造价人员签字并盖执业印章(委托第三方造价咨询企业需提供相关证明材料)</w:t>
            </w:r>
          </w:p>
        </w:tc>
        <w:tc>
          <w:tcPr>
            <w:tcW w:type="dxa" w:w="3322"/>
          </w:tcPr>
          <w:p>
            <w:pPr>
              <w:pStyle w:val="null3"/>
            </w:pPr>
            <w:r>
              <w:rPr>
                <w:rFonts w:ascii="仿宋_GB2312" w:hAnsi="仿宋_GB2312" w:cs="仿宋_GB2312" w:eastAsia="仿宋_GB2312"/>
              </w:rPr>
              <w:t>已标价工程量清单扉页已加盖有注册或登记在工程造价咨询企业的造价人员签字并盖执业印章(委托第三方造价咨询企业需提供相关证明材料)</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供应商提供自2023年1月1日至本项目响应文件递交截止时间前已承接的类似业绩证明材料，每提供1项的得1分，最多得5分。未提供的不得分。 评审依据：类似业绩证明材料指维修改造工程的业绩证明材料，或其他工程施工中包含维修改造工程施工内容的业绩证明材料，提供施工合同证明材料复印件，时间以合同体现时间为准。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拟派项目经理学历、职称及业绩1</w:t>
            </w:r>
          </w:p>
        </w:tc>
        <w:tc>
          <w:tcPr>
            <w:tcW w:type="dxa" w:w="2492"/>
          </w:tcPr>
          <w:p>
            <w:pPr>
              <w:pStyle w:val="null3"/>
            </w:pPr>
            <w:r>
              <w:rPr>
                <w:rFonts w:ascii="仿宋_GB2312" w:hAnsi="仿宋_GB2312" w:cs="仿宋_GB2312" w:eastAsia="仿宋_GB2312"/>
              </w:rPr>
              <w:t>1.拟派项目经理具备中级（含）以上职称证书的得4分，初级职称的得2分，其他情况不得分。 评审依据：评审时以供应商提供拟派项目经理最高职称证书的扫描件或复印件为准，提供多个职称证明材料的，以最高职称材料为准，未提供的不得分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拟派项目经理证明材料.docx</w:t>
            </w:r>
          </w:p>
        </w:tc>
      </w:tr>
      <w:tr>
        <w:tc>
          <w:tcPr>
            <w:tcW w:type="dxa" w:w="831"/>
            <w:vMerge/>
          </w:tcPr>
          <w:p/>
        </w:tc>
        <w:tc>
          <w:tcPr>
            <w:tcW w:type="dxa" w:w="1661"/>
          </w:tcPr>
          <w:p>
            <w:pPr>
              <w:pStyle w:val="null3"/>
            </w:pPr>
            <w:r>
              <w:rPr>
                <w:rFonts w:ascii="仿宋_GB2312" w:hAnsi="仿宋_GB2312" w:cs="仿宋_GB2312" w:eastAsia="仿宋_GB2312"/>
              </w:rPr>
              <w:t>拟派项目经理学历、职称及业绩2</w:t>
            </w:r>
          </w:p>
        </w:tc>
        <w:tc>
          <w:tcPr>
            <w:tcW w:type="dxa" w:w="2492"/>
          </w:tcPr>
          <w:p>
            <w:pPr>
              <w:pStyle w:val="null3"/>
            </w:pPr>
            <w:r>
              <w:rPr>
                <w:rFonts w:ascii="仿宋_GB2312" w:hAnsi="仿宋_GB2312" w:cs="仿宋_GB2312" w:eastAsia="仿宋_GB2312"/>
              </w:rPr>
              <w:t>2.拟派项目经理具备本科（含）以上学历的得3分，大专学历的得2分，其他情况不得分。 评审依据：以供应商提供拟派项目经理学历证书的扫描件或复印件为准，提供多个学历或学位证书的，以最高学历为准，未提供的不得分。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拟派项目经理证明材料.docx</w:t>
            </w:r>
          </w:p>
        </w:tc>
      </w:tr>
      <w:tr>
        <w:tc>
          <w:tcPr>
            <w:tcW w:type="dxa" w:w="831"/>
            <w:vMerge/>
          </w:tcPr>
          <w:p/>
        </w:tc>
        <w:tc>
          <w:tcPr>
            <w:tcW w:type="dxa" w:w="1661"/>
          </w:tcPr>
          <w:p>
            <w:pPr>
              <w:pStyle w:val="null3"/>
            </w:pPr>
            <w:r>
              <w:rPr>
                <w:rFonts w:ascii="仿宋_GB2312" w:hAnsi="仿宋_GB2312" w:cs="仿宋_GB2312" w:eastAsia="仿宋_GB2312"/>
              </w:rPr>
              <w:t>拟派项目经理学历、职称及业绩3</w:t>
            </w:r>
          </w:p>
        </w:tc>
        <w:tc>
          <w:tcPr>
            <w:tcW w:type="dxa" w:w="2492"/>
          </w:tcPr>
          <w:p>
            <w:pPr>
              <w:pStyle w:val="null3"/>
            </w:pPr>
            <w:r>
              <w:rPr>
                <w:rFonts w:ascii="仿宋_GB2312" w:hAnsi="仿宋_GB2312" w:cs="仿宋_GB2312" w:eastAsia="仿宋_GB2312"/>
              </w:rPr>
              <w:t>3.供应商提供拟派项目经理自2023年1月1日以来至今已完成的包含维修改造工程内容的类似项目的业绩证明材料（在该项目中担任项目经理一职）提供1项的得3分，未提供的不得分。 评审依据：类似业绩证明材料指维修改造工程的业绩证明材料，或其他工程施工中包含维修改造工程施工内容的业绩证明材料，以合同及竣工验收资料为准。业绩时间以合同所体现的时间为准。缺少资料或未按照上述要求提供的，均按照0分计入。所提供合同或竣工验收资料复印件或扫描件中必须体现拟派项目经理在该项目中担任项目经理一职，否则不予赋分。企业业绩和拟派项目经理业绩可重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拟派项目经理证明材料.docx</w:t>
            </w:r>
          </w:p>
        </w:tc>
      </w:tr>
      <w:tr>
        <w:tc>
          <w:tcPr>
            <w:tcW w:type="dxa" w:w="831"/>
            <w:vMerge/>
          </w:tcPr>
          <w:p/>
        </w:tc>
        <w:tc>
          <w:tcPr>
            <w:tcW w:type="dxa" w:w="1661"/>
          </w:tcPr>
          <w:p>
            <w:pPr>
              <w:pStyle w:val="null3"/>
            </w:pPr>
            <w:r>
              <w:rPr>
                <w:rFonts w:ascii="仿宋_GB2312" w:hAnsi="仿宋_GB2312" w:cs="仿宋_GB2312" w:eastAsia="仿宋_GB2312"/>
              </w:rPr>
              <w:t>施工组织设计1</w:t>
            </w:r>
          </w:p>
        </w:tc>
        <w:tc>
          <w:tcPr>
            <w:tcW w:type="dxa" w:w="2492"/>
          </w:tcPr>
          <w:p>
            <w:pPr>
              <w:pStyle w:val="null3"/>
            </w:pPr>
            <w:r>
              <w:rPr>
                <w:rFonts w:ascii="仿宋_GB2312" w:hAnsi="仿宋_GB2312" w:cs="仿宋_GB2312" w:eastAsia="仿宋_GB2312"/>
              </w:rPr>
              <w:t>供应商提供的施工总体规划部署及施工方案需包含①项目施工总体思路；②施工实施阶段划分；③关键工序技术把控措施，共3项内容，每项满分3分，总分9分。 其中，每项以具体内容与本项目及响应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施工组织设计2</w:t>
            </w:r>
          </w:p>
        </w:tc>
        <w:tc>
          <w:tcPr>
            <w:tcW w:type="dxa" w:w="2492"/>
          </w:tcPr>
          <w:p>
            <w:pPr>
              <w:pStyle w:val="null3"/>
            </w:pPr>
            <w:r>
              <w:rPr>
                <w:rFonts w:ascii="仿宋_GB2312" w:hAnsi="仿宋_GB2312" w:cs="仿宋_GB2312" w:eastAsia="仿宋_GB2312"/>
              </w:rPr>
              <w:t>供应商提供的质量管控体系方案需包含①质量目标及管控措施；②全流程质量检验、整改机制；③质量通病防治措施，共3项内容，每项满分3分，总分9分。 其中，每项以具体内容与本项目及响应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施工组织设计3</w:t>
            </w:r>
          </w:p>
        </w:tc>
        <w:tc>
          <w:tcPr>
            <w:tcW w:type="dxa" w:w="2492"/>
          </w:tcPr>
          <w:p>
            <w:pPr>
              <w:pStyle w:val="null3"/>
            </w:pPr>
            <w:r>
              <w:rPr>
                <w:rFonts w:ascii="仿宋_GB2312" w:hAnsi="仿宋_GB2312" w:cs="仿宋_GB2312" w:eastAsia="仿宋_GB2312"/>
              </w:rPr>
              <w:t>供应商提供的进度管控与应急方案需包含①进度管控节点设置、动态调整；②工期延误风险预判及应对措施；③季节性施工（雨期、冬期）适配措施，共3项内容，每项满分3分，总分9分。 其中，每项以具体内容与与本项目及响应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施工组织设计4</w:t>
            </w:r>
          </w:p>
        </w:tc>
        <w:tc>
          <w:tcPr>
            <w:tcW w:type="dxa" w:w="2492"/>
          </w:tcPr>
          <w:p>
            <w:pPr>
              <w:pStyle w:val="null3"/>
            </w:pPr>
            <w:r>
              <w:rPr>
                <w:rFonts w:ascii="仿宋_GB2312" w:hAnsi="仿宋_GB2312" w:cs="仿宋_GB2312" w:eastAsia="仿宋_GB2312"/>
              </w:rPr>
              <w:t>供应商提供的安全文明施工方案需包含①安全生产管理制度、责任分工；②安全风险防控、应急处置方案；③文明施工、环保措施（扬尘、噪音管控等），共3项内容，每项满分3分，总分9分。 其中，每项以具体内容与与本项目及响应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施工组织设计5</w:t>
            </w:r>
          </w:p>
        </w:tc>
        <w:tc>
          <w:tcPr>
            <w:tcW w:type="dxa" w:w="2492"/>
          </w:tcPr>
          <w:p>
            <w:pPr>
              <w:pStyle w:val="null3"/>
            </w:pPr>
            <w:r>
              <w:rPr>
                <w:rFonts w:ascii="仿宋_GB2312" w:hAnsi="仿宋_GB2312" w:cs="仿宋_GB2312" w:eastAsia="仿宋_GB2312"/>
              </w:rPr>
              <w:t>供应商提供的资源配置保障方案需包含①施工队伍、管理人员及经验；②施工机械设备、材料供应；③人力、设备调度方案，共3项内容，每项满分3分，总分9分。 其中，每项以具体内容与与本项目及响应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项目部团队人员情况表..docx</w:t>
            </w:r>
          </w:p>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磋商报价得分=（磋商基准价/最后磋商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详见附件：拟派项目经理证明材料.docx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详见附件：项目部团队人员情况表..docx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