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版本号：TDZB-2026--200220260409001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2026年罪犯生活物资采购(二次)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TDZB-2026--2002</w:t>
      </w:r>
      <w:r>
        <w:br/>
      </w:r>
      <w:r>
        <w:br/>
      </w:r>
      <w:r>
        <w:br/>
      </w:r>
    </w:p>
    <w:p>
      <w:pPr>
        <w:pStyle w:val="null3"/>
        <w:jc w:val="center"/>
        <w:outlineLvl w:val="2"/>
      </w:pPr>
      <w:r>
        <w:rPr>
          <w:rFonts w:ascii="仿宋_GB2312" w:hAnsi="仿宋_GB2312" w:cs="仿宋_GB2312" w:eastAsia="仿宋_GB2312"/>
          <w:sz w:val="28"/>
          <w:b/>
        </w:rPr>
        <w:t>陕西省富平监狱</w:t>
      </w:r>
    </w:p>
    <w:p>
      <w:pPr>
        <w:pStyle w:val="null3"/>
        <w:jc w:val="center"/>
        <w:outlineLvl w:val="2"/>
      </w:pPr>
      <w:r>
        <w:rPr>
          <w:rFonts w:ascii="仿宋_GB2312" w:hAnsi="仿宋_GB2312" w:cs="仿宋_GB2312" w:eastAsia="仿宋_GB2312"/>
          <w:sz w:val="28"/>
          <w:b/>
        </w:rPr>
        <w:t>腾德工程咨询有限公司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腾德工程咨询有限公司</w:t>
      </w:r>
      <w:r>
        <w:rPr>
          <w:rFonts w:ascii="仿宋_GB2312" w:hAnsi="仿宋_GB2312" w:cs="仿宋_GB2312" w:eastAsia="仿宋_GB2312"/>
        </w:rPr>
        <w:t>（以下简称“代理机构”）受</w:t>
      </w:r>
      <w:r>
        <w:rPr>
          <w:rFonts w:ascii="仿宋_GB2312" w:hAnsi="仿宋_GB2312" w:cs="仿宋_GB2312" w:eastAsia="仿宋_GB2312"/>
        </w:rPr>
        <w:t>陕西省富平监狱</w:t>
      </w:r>
      <w:r>
        <w:rPr>
          <w:rFonts w:ascii="仿宋_GB2312" w:hAnsi="仿宋_GB2312" w:cs="仿宋_GB2312" w:eastAsia="仿宋_GB2312"/>
        </w:rPr>
        <w:t>委托，拟对</w:t>
      </w:r>
      <w:r>
        <w:rPr>
          <w:rFonts w:ascii="仿宋_GB2312" w:hAnsi="仿宋_GB2312" w:cs="仿宋_GB2312" w:eastAsia="仿宋_GB2312"/>
        </w:rPr>
        <w:t>2026年罪犯生活物资采购(二次)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TDZB-2026--2002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2026年罪犯生活物资采购(二次)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陕西省富平监狱对2026年罪犯生活物资采购组织公开招标，成交供应商应按照国家相关标准以及采购人要求按时将所需物资配送至监狱。</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采购包1（食用油）：属于专门面向中小企业采购。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年度财务报告或提交投标文件截止时间三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法定代表人授权委托书：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10、供应商资质要求：投标人为生产厂家的须提供食品生产许可证；投标人为代理商的须提供食品经营许可证或预包装食品经营者备案表及所投产品生产厂家的食品生产许可证。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陕西省富平监狱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陕西省富平县庄里镇建材路一号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711711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0913-8621173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腾德工程咨询有限公司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陕西省西安市未央区陕西省西安市经济技术开发区明光路177号中建财智广场5号楼501室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冯遥遥、朱小克、宁超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15209244507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代理服务费收费标准：参考原国家发展计划委员会《计价格[2002]1980号》和原国家发展和改革委员会办公厅《发改办价格[2003]857号》文件的通知标准下浮10%收取。 备注：项目编号+采购包名称+招标代理服务费。 采购代理服务费缴纳账户信息： 代理机构开户名称：腾德工程咨询有限公司 开户行：中国光大银行股份有限公司西安凤城九路支行 账 号：79260188000034793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陕西省富平监狱</w:t>
      </w:r>
      <w:r>
        <w:rPr>
          <w:rFonts w:ascii="仿宋_GB2312" w:hAnsi="仿宋_GB2312" w:cs="仿宋_GB2312" w:eastAsia="仿宋_GB2312"/>
        </w:rPr>
        <w:t>和</w:t>
      </w:r>
      <w:r>
        <w:rPr>
          <w:rFonts w:ascii="仿宋_GB2312" w:hAnsi="仿宋_GB2312" w:cs="仿宋_GB2312" w:eastAsia="仿宋_GB2312"/>
        </w:rPr>
        <w:t>腾德工程咨询有限公司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陕西省富平监狱</w:t>
      </w:r>
      <w:r>
        <w:rPr>
          <w:rFonts w:ascii="仿宋_GB2312" w:hAnsi="仿宋_GB2312" w:cs="仿宋_GB2312" w:eastAsia="仿宋_GB2312"/>
        </w:rPr>
        <w:t>负责解释。除上述招标文件内容，其他内容由</w:t>
      </w:r>
      <w:r>
        <w:rPr>
          <w:rFonts w:ascii="仿宋_GB2312" w:hAnsi="仿宋_GB2312" w:cs="仿宋_GB2312" w:eastAsia="仿宋_GB2312"/>
        </w:rPr>
        <w:t>腾德工程咨询有限公司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陕西省富平监狱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腾德工程咨询有限公司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联系人：朱经理</w:t>
      </w:r>
    </w:p>
    <w:p>
      <w:pPr>
        <w:pStyle w:val="null3"/>
      </w:pPr>
      <w:r>
        <w:rPr>
          <w:rFonts w:ascii="仿宋_GB2312" w:hAnsi="仿宋_GB2312" w:cs="仿宋_GB2312" w:eastAsia="仿宋_GB2312"/>
        </w:rPr>
        <w:t>联系电话：15029055783</w:t>
      </w:r>
    </w:p>
    <w:p>
      <w:pPr>
        <w:pStyle w:val="null3"/>
      </w:pPr>
      <w:r>
        <w:rPr>
          <w:rFonts w:ascii="仿宋_GB2312" w:hAnsi="仿宋_GB2312" w:cs="仿宋_GB2312" w:eastAsia="仿宋_GB2312"/>
        </w:rPr>
        <w:t>地址：陕西省西安市经济技术开发区明光路177号中建财智广场5号楼501室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陕西省富平监狱对2026年罪犯生活物资采购组织公开招标，成交供应商应按照国家相关标准以及采购人要求按时将所需物资配送至监狱。</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324,000.00</w:t>
      </w:r>
    </w:p>
    <w:p>
      <w:pPr>
        <w:pStyle w:val="null3"/>
      </w:pPr>
      <w:r>
        <w:rPr>
          <w:rFonts w:ascii="仿宋_GB2312" w:hAnsi="仿宋_GB2312" w:cs="仿宋_GB2312" w:eastAsia="仿宋_GB2312"/>
        </w:rPr>
        <w:t>采购包最高限价（元）: 324,000.00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食用油</w:t>
            </w:r>
          </w:p>
        </w:tc>
        <w:tc>
          <w:tcPr>
            <w:tcW w:type="dxa" w:w="831"/>
          </w:tcPr>
          <w:p>
            <w:pPr>
              <w:pStyle w:val="null3"/>
              <w:jc w:val="right"/>
            </w:pPr>
            <w:r>
              <w:rPr>
                <w:rFonts w:ascii="仿宋_GB2312" w:hAnsi="仿宋_GB2312" w:cs="仿宋_GB2312" w:eastAsia="仿宋_GB2312"/>
              </w:rPr>
              <w:t>27,000.00</w:t>
            </w:r>
          </w:p>
        </w:tc>
        <w:tc>
          <w:tcPr>
            <w:tcW w:type="dxa" w:w="831"/>
          </w:tcPr>
          <w:p>
            <w:pPr>
              <w:pStyle w:val="null3"/>
              <w:jc w:val="right"/>
            </w:pPr>
            <w:r>
              <w:rPr>
                <w:rFonts w:ascii="仿宋_GB2312" w:hAnsi="仿宋_GB2312" w:cs="仿宋_GB2312" w:eastAsia="仿宋_GB2312"/>
              </w:rPr>
              <w:t>324,000.00</w:t>
            </w:r>
          </w:p>
        </w:tc>
        <w:tc>
          <w:tcPr>
            <w:tcW w:type="dxa" w:w="831"/>
          </w:tcPr>
          <w:p>
            <w:pPr>
              <w:pStyle w:val="null3"/>
            </w:pPr>
            <w:r>
              <w:rPr>
                <w:rFonts w:ascii="仿宋_GB2312" w:hAnsi="仿宋_GB2312" w:cs="仿宋_GB2312" w:eastAsia="仿宋_GB2312"/>
              </w:rPr>
              <w:t>公斤</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16.4L/桶的食用油(非转基因原料生产)，其中菜籽油为三级，13500公斤，每公斤最高限价为12.5元;大豆油为一级，13500公斤，每公斤最高限价为11.5元。质量标准具有正常植物油的色泽、透明度、气味和滋味，无焦臭、酸败及其它异味。标识要求:有“SC”标志及生产许可证号。执行标准:GB/T1536-2021,GB2716-2018。标明产品名称、净含量、生产企业名称、电话、地址、生产日期、保质期及营养成分表。供货时剩余保存期不少于标注保质期的二分之一。</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本项目服务期限自合同签订之日起1年(具体服务起止日期可随合同签订时间相应顺延)，在接到供货通知后3日内送至指定地点。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按月据实结算，次月付上月货款；结算单价以中标人响应单价为准，结算数量以实际发放数量为准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一、供应商务必在开标截止时间30分钟前，通过项目电子化交易系统进行签到，如未进行签到，产生的一起后果由供应商自行承担。 二、供应商的投标报价是供应商响应本项目要求的全部工作内容的价格体现，包括供应商完成本项目所需的直接费、间接费、利润、税金及其它相关的一切费用。在提供服务的过程中的任何遗漏，均由中标供应商免费提供，采购人将不再支付任何费用。三、根据《陕西省财政厅关于进一步优化政府采购营商环境有关事项的通知》（陕财办采〔2023〕4号）要求，中标供应商应当在中标通知书发出之日起25日内与采购人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供应商需在项目电子化交易系统中按要求填写《投标函》完成承诺进行电子签章,并按附件格式要求提供相关资格证明材料。</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招标文件内要求的其他实质性要求</w:t>
            </w:r>
          </w:p>
        </w:tc>
        <w:tc>
          <w:tcPr>
            <w:tcW w:type="dxa" w:w="1661"/>
          </w:tcPr>
          <w:p>
            <w:pPr>
              <w:pStyle w:val="null3"/>
            </w:pPr>
            <w:r>
              <w:rPr>
                <w:rFonts w:ascii="仿宋_GB2312" w:hAnsi="仿宋_GB2312" w:cs="仿宋_GB2312" w:eastAsia="仿宋_GB2312"/>
              </w:rPr>
              <w:t>产品技术参数表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针对本项目实施方案、进度计划、供货能力、供货时间、验收方案等方面。 1.方案合理、可行性强：得8分； 2.方案基本合理、可行性一般：得6分； 3.方案合理性和可行性较差：得3分；缺项得0分。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配送管理制度及管理办法</w:t>
            </w:r>
          </w:p>
        </w:tc>
        <w:tc>
          <w:tcPr>
            <w:tcW w:type="dxa" w:w="2492"/>
          </w:tcPr>
          <w:p>
            <w:pPr>
              <w:pStyle w:val="null3"/>
            </w:pPr>
            <w:r>
              <w:rPr>
                <w:rFonts w:ascii="仿宋_GB2312" w:hAnsi="仿宋_GB2312" w:cs="仿宋_GB2312" w:eastAsia="仿宋_GB2312"/>
              </w:rPr>
              <w:t>制定合理、可行的配送管理制度及管理办法。 1.相关制度内容完整，描述清晰，且能针对性满足项目需求：得7分； 2.相关制度内容较为完整，描述较为清晰，且能较好满足项目需求：得5分； 3.相关制度内容欠缺，描述不清晰，可行性一般：得3分；缺项得0分。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针对各种突发情况（市场供求变化、天气、车辆故障等）的应急预案，承诺能够在规定时间内物资按期、保质交货，并按照招标人要求将物资运送至指定地点。 1.方案合理、可行性强：得7分； 2.方案基本合理、可行性一般：得5分； 3.方案合理性和可行性较差：得3分；缺项得0分。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产品要求</w:t>
            </w:r>
          </w:p>
        </w:tc>
        <w:tc>
          <w:tcPr>
            <w:tcW w:type="dxa" w:w="2492"/>
          </w:tcPr>
          <w:p>
            <w:pPr>
              <w:pStyle w:val="null3"/>
            </w:pPr>
            <w:r>
              <w:rPr>
                <w:rFonts w:ascii="仿宋_GB2312" w:hAnsi="仿宋_GB2312" w:cs="仿宋_GB2312" w:eastAsia="仿宋_GB2312"/>
              </w:rPr>
              <w:t>产品规格符合要求，数量准确，且能提供所投产品（包含但不限于品种、等级、加工工艺、水分、气味等等）对应的质量指标、营养成分，并提供相应指标的证明材料。 1.提供材料完整，且能针对性满足项目需求：得8分； 2.提供材料较为完整，且能较好满足项目需求：得6分； 3.提供材料内容欠缺，描述不清晰：得3分；缺项得0分。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配送服务</w:t>
            </w:r>
          </w:p>
        </w:tc>
        <w:tc>
          <w:tcPr>
            <w:tcW w:type="dxa" w:w="2492"/>
          </w:tcPr>
          <w:p>
            <w:pPr>
              <w:pStyle w:val="null3"/>
            </w:pPr>
            <w:r>
              <w:rPr>
                <w:rFonts w:ascii="仿宋_GB2312" w:hAnsi="仿宋_GB2312" w:cs="仿宋_GB2312" w:eastAsia="仿宋_GB2312"/>
              </w:rPr>
              <w:t>投标人针对本项目有具体的供货组织安排，详细的人员、财力调配、运输车辆配送方案、派送措施等。 1.方案及措施合理、可行性强：得8分； 2.方案及措施基本合理、可行性一般：得6分； 3.方案及措施合理性和可行性较差：得3分；缺项得0分。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质量保证方案及措施</w:t>
            </w:r>
          </w:p>
        </w:tc>
        <w:tc>
          <w:tcPr>
            <w:tcW w:type="dxa" w:w="2492"/>
          </w:tcPr>
          <w:p>
            <w:pPr>
              <w:pStyle w:val="null3"/>
            </w:pPr>
            <w:r>
              <w:rPr>
                <w:rFonts w:ascii="仿宋_GB2312" w:hAnsi="仿宋_GB2312" w:cs="仿宋_GB2312" w:eastAsia="仿宋_GB2312"/>
              </w:rPr>
              <w:t>所投产品货源渠道正规，质量符合国家质量标准和食品卫生安全要求,检验手续合法有效。 1.方案及措施合理、可行性强：得7分； 2.方案及措施基本合理、可行性一般：得5分； 3.方案及措施合理性和可行性较差：得3分；缺项得0分。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设有专业的技术服务队伍、有效保障本项目的技术服务措施，对可能出现的各种售后突发情况有明确合理的对应方案。 1.方案合理、详细、可行性强：得10分； 2.方案基本合理、可行性一般：得7分； 3.方案合理性和可行性较差：得4分；缺项得0分。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企业内部管理制度</w:t>
            </w:r>
          </w:p>
        </w:tc>
        <w:tc>
          <w:tcPr>
            <w:tcW w:type="dxa" w:w="2492"/>
          </w:tcPr>
          <w:p>
            <w:pPr>
              <w:pStyle w:val="null3"/>
            </w:pPr>
            <w:r>
              <w:rPr>
                <w:rFonts w:ascii="仿宋_GB2312" w:hAnsi="仿宋_GB2312" w:cs="仿宋_GB2312" w:eastAsia="仿宋_GB2312"/>
              </w:rPr>
              <w:t>1.制度内容完整，可行性强：得3分； 2.制度内容较为完整，可行性一般：得2分；缺项得0分。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企业具有良好的社会信誉</w:t>
            </w:r>
          </w:p>
        </w:tc>
        <w:tc>
          <w:tcPr>
            <w:tcW w:type="dxa" w:w="2492"/>
          </w:tcPr>
          <w:p>
            <w:pPr>
              <w:pStyle w:val="null3"/>
            </w:pPr>
            <w:r>
              <w:rPr>
                <w:rFonts w:ascii="仿宋_GB2312" w:hAnsi="仿宋_GB2312" w:cs="仿宋_GB2312" w:eastAsia="仿宋_GB2312"/>
              </w:rPr>
              <w:t>1.在以往的服务项目中信誉良好，提供相关业主出具的证明材料，得1分； 2.提供企业社会信誉良好承诺书，得1分； 3.未提供相关证明材料或承诺书，得0分。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提供所投物品2023年1月1日（以合同签订日期为准）至今同类产品的类似业绩，以合同扫描件为准，提供1份得2分，最高得10分。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详见附件：分项报价</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