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版本号：SXHC2026-06320260512001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中亚文明主题图片展览</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SXHC2026-063</w:t>
      </w:r>
      <w:r>
        <w:br/>
      </w:r>
      <w:r>
        <w:br/>
      </w:r>
      <w:r>
        <w:br/>
      </w:r>
    </w:p>
    <w:p>
      <w:pPr>
        <w:pStyle w:val="null3"/>
        <w:jc w:val="center"/>
        <w:outlineLvl w:val="5"/>
      </w:pPr>
      <w:r>
        <w:rPr>
          <w:rFonts w:ascii="仿宋_GB2312" w:hAnsi="仿宋_GB2312" w:cs="仿宋_GB2312" w:eastAsia="仿宋_GB2312"/>
          <w:sz w:val="15"/>
          <w:b/>
        </w:rPr>
        <w:t>陕西省文物交流中心</w:t>
      </w:r>
    </w:p>
    <w:p>
      <w:pPr>
        <w:pStyle w:val="null3"/>
        <w:jc w:val="center"/>
        <w:outlineLvl w:val="5"/>
      </w:pPr>
      <w:r>
        <w:rPr>
          <w:rFonts w:ascii="仿宋_GB2312" w:hAnsi="仿宋_GB2312" w:cs="仿宋_GB2312" w:eastAsia="仿宋_GB2312"/>
          <w:sz w:val="15"/>
          <w:b/>
        </w:rPr>
        <w:t>陕西华采招标有限公司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陕西华采招标有限公司</w:t>
      </w:r>
      <w:r>
        <w:rPr>
          <w:rFonts w:ascii="仿宋_GB2312" w:hAnsi="仿宋_GB2312" w:cs="仿宋_GB2312" w:eastAsia="仿宋_GB2312"/>
        </w:rPr>
        <w:t>（以下简称“代理机构”）受</w:t>
      </w:r>
      <w:r>
        <w:rPr>
          <w:rFonts w:ascii="仿宋_GB2312" w:hAnsi="仿宋_GB2312" w:cs="仿宋_GB2312" w:eastAsia="仿宋_GB2312"/>
        </w:rPr>
        <w:t>陕西省文物交流中心</w:t>
      </w:r>
      <w:r>
        <w:rPr>
          <w:rFonts w:ascii="仿宋_GB2312" w:hAnsi="仿宋_GB2312" w:cs="仿宋_GB2312" w:eastAsia="仿宋_GB2312"/>
        </w:rPr>
        <w:t>委托，拟对</w:t>
      </w:r>
      <w:r>
        <w:rPr>
          <w:rFonts w:ascii="仿宋_GB2312" w:hAnsi="仿宋_GB2312" w:cs="仿宋_GB2312" w:eastAsia="仿宋_GB2312"/>
        </w:rPr>
        <w:t>中亚文明主题图片展览</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SXHC2026-063</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中亚文明主题图片展览</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本项目是积极响应国家“一带一路”倡议，构建人类命运共同体，深化与中亚各国人文交流与民心相通的切实举措。协助陕西省文物交流中心于2026年5月将中乌联合考古图片展在西安落地实施，并做好中土联合考古图片展前期考古资料的收集与整理工作。</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p>
      <w:pPr>
        <w:pStyle w:val="null3"/>
      </w:pPr>
      <w:r>
        <w:rPr>
          <w:rFonts w:ascii="仿宋_GB2312" w:hAnsi="仿宋_GB2312" w:cs="仿宋_GB2312" w:eastAsia="仿宋_GB2312"/>
        </w:rPr>
        <w:t>2、法定代表人身份证明或法定代表人授权委托书：法定代表人直接参加投标的，须提供法定代表人身份证明；法定代表人授权代表参加投标的，须提供法定代表人授权委托书。</w:t>
      </w:r>
    </w:p>
    <w:p>
      <w:pPr>
        <w:pStyle w:val="null3"/>
      </w:pPr>
      <w:r>
        <w:rPr>
          <w:rFonts w:ascii="仿宋_GB2312" w:hAnsi="仿宋_GB2312" w:cs="仿宋_GB2312" w:eastAsia="仿宋_GB2312"/>
        </w:rPr>
        <w:t>3、信誉要求：供应商未列入“失信被执行人”、“重大税收违法案件当事人名单”和“政府采购严重违法失信行为记录名单”。</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陕西省文物交流中心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西安市雁塔区乐游路31号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029-61253016</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陕西华采招标有限公司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西安高新区锦业路1号绿地领海大厦B座10层1006室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王丹妮、赵凡、张聪聪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029-68255920-804</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开户名称：陕西华采招标有限公司</w:t>
            </w:r>
          </w:p>
          <w:p>
            <w:pPr>
              <w:pStyle w:val="null3"/>
            </w:pPr>
            <w:r>
              <w:rPr>
                <w:rFonts w:ascii="仿宋_GB2312" w:hAnsi="仿宋_GB2312" w:cs="仿宋_GB2312" w:eastAsia="仿宋_GB2312"/>
              </w:rPr>
              <w:t>开户银行：交通银行陕西自贸试验区西安锦业路支行</w:t>
            </w:r>
          </w:p>
          <w:p>
            <w:pPr>
              <w:pStyle w:val="null3"/>
            </w:pPr>
            <w:r>
              <w:rPr>
                <w:rFonts w:ascii="仿宋_GB2312" w:hAnsi="仿宋_GB2312" w:cs="仿宋_GB2312" w:eastAsia="仿宋_GB2312"/>
              </w:rPr>
              <w:t>银行账号：611301132018010166661</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代理服务费的计算方法：以成交金额为基数，参考《国家计委关于印发&lt;招标代理服务收费管理暂行办法&gt;的通知》（计价格〔2002〕1980号）及《国家发改委关于降低部分建设项目收费标准规范收费行为等有关问题的通知》（发改价格〔2011〕534号） 规定按标准收取，若按照标准收取不足6000元，按6000元计取。 （2）代理服务费可以采取现金、支票、银行汇票、电汇、网银等方式缴纳。 （3）代理服务费缴纳信息： 银行户名：陕西华采招标有限公司 开户银行：招商银行陕西自贸试验区西安高新科技支行 账 号：1299 0594 2210 666 联 系人：韩工 联系电话：029-68255920转802。</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陕西省文物交流中心</w:t>
      </w:r>
      <w:r>
        <w:rPr>
          <w:rFonts w:ascii="仿宋_GB2312" w:hAnsi="仿宋_GB2312" w:cs="仿宋_GB2312" w:eastAsia="仿宋_GB2312"/>
        </w:rPr>
        <w:t>和</w:t>
      </w:r>
      <w:r>
        <w:rPr>
          <w:rFonts w:ascii="仿宋_GB2312" w:hAnsi="仿宋_GB2312" w:cs="仿宋_GB2312" w:eastAsia="仿宋_GB2312"/>
        </w:rPr>
        <w:t>陕西华采招标有限公司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陕西华采招标有限公司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陕西省文物交流中心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陕西华采招标有限公司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陕西华采招标有限公司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陕西华采招标有限公司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本项目是积极响应国家“一带一路”倡议，构建人类命运共同体，深化与中亚各国人文交流与民心相通的切实举措。协助陕西省文物交流中心于2026年5月将中乌联合考古图片展在西安落地实施，并做好中土联合考古图片展前期考古资料的收集与整理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中亚文明主题图片展览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pPr>
            <w:r>
              <w:rPr>
                <w:rFonts w:ascii="仿宋_GB2312" w:hAnsi="仿宋_GB2312" w:cs="仿宋_GB2312" w:eastAsia="仿宋_GB2312"/>
              </w:rPr>
              <w:t>批次</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标的名称：中亚文明主题图片展览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2"/>
            </w:pPr>
            <w:r>
              <w:rPr>
                <w:rFonts w:ascii="仿宋_GB2312" w:hAnsi="仿宋_GB2312" w:cs="仿宋_GB2312" w:eastAsia="仿宋_GB2312"/>
                <w:b/>
              </w:rPr>
              <w:t>一、项目概况</w:t>
            </w:r>
          </w:p>
          <w:p>
            <w:pPr>
              <w:pStyle w:val="null3"/>
              <w:ind w:firstLine="402"/>
            </w:pPr>
            <w:r>
              <w:rPr>
                <w:rFonts w:ascii="仿宋_GB2312" w:hAnsi="仿宋_GB2312" w:cs="仿宋_GB2312" w:eastAsia="仿宋_GB2312"/>
              </w:rPr>
              <w:t>本项目是积极响应国家“一带一路”倡议，构建人类命运共同体，深化与中亚各国人文交流与民心相通的切实举措。协助陕西省文物交流中心于2026年5月将中乌联合考古图片展在西安落地实施，并做好中土联合考古图片展前期考古资料的收集与整理工作。</w:t>
            </w:r>
          </w:p>
          <w:p>
            <w:pPr>
              <w:pStyle w:val="null3"/>
              <w:ind w:firstLine="402"/>
            </w:pPr>
            <w:r>
              <w:rPr>
                <w:rFonts w:ascii="仿宋_GB2312" w:hAnsi="仿宋_GB2312" w:cs="仿宋_GB2312" w:eastAsia="仿宋_GB2312"/>
                <w:b/>
              </w:rPr>
              <w:t>二、人员要求</w:t>
            </w:r>
          </w:p>
          <w:p>
            <w:pPr>
              <w:pStyle w:val="null3"/>
              <w:ind w:firstLine="402"/>
            </w:pPr>
            <w:r>
              <w:rPr>
                <w:rFonts w:ascii="仿宋_GB2312" w:hAnsi="仿宋_GB2312" w:cs="仿宋_GB2312" w:eastAsia="仿宋_GB2312"/>
              </w:rPr>
              <w:t>项目团队需具备中亚考古、历史研究及筹备文物图片展览的能力与执行经验，熟悉跨区域文化合作模式，擅长与中亚地区的博物馆、政府机构、学术单位等多方合作，能将中乌联合考古图片展落地并做好中土联合考古图片展的前期资料收集工作。团队人员数量充足且按照采购人要求配置，团队人员不少于10人。具体人数以采购人需求为准。</w:t>
            </w:r>
          </w:p>
          <w:p>
            <w:pPr>
              <w:pStyle w:val="null3"/>
              <w:ind w:firstLine="402"/>
            </w:pPr>
            <w:r>
              <w:rPr>
                <w:rFonts w:ascii="仿宋_GB2312" w:hAnsi="仿宋_GB2312" w:cs="仿宋_GB2312" w:eastAsia="仿宋_GB2312"/>
                <w:b/>
              </w:rPr>
              <w:t>三、商务要求</w:t>
            </w:r>
          </w:p>
          <w:p>
            <w:pPr>
              <w:pStyle w:val="null3"/>
              <w:ind w:firstLine="400"/>
            </w:pPr>
            <w:r>
              <w:rPr>
                <w:rFonts w:ascii="仿宋_GB2312" w:hAnsi="仿宋_GB2312" w:cs="仿宋_GB2312" w:eastAsia="仿宋_GB2312"/>
              </w:rPr>
              <w:t>（一）服务期限：合同签订之日起8个月，计划时间2026年5-12月，具体时间以采购人需求为准。</w:t>
            </w:r>
          </w:p>
          <w:p>
            <w:pPr>
              <w:pStyle w:val="null3"/>
              <w:ind w:firstLine="400"/>
            </w:pPr>
            <w:r>
              <w:rPr>
                <w:rFonts w:ascii="仿宋_GB2312" w:hAnsi="仿宋_GB2312" w:cs="仿宋_GB2312" w:eastAsia="仿宋_GB2312"/>
              </w:rPr>
              <w:t>（二）服务地点：采购人指定地点、西安国际会议中心麟德厅。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合同签订之日起8个月，计划时间2026年5-12月，具体时间以采购人需求为准。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采购人指定地点、西安国际会议中心麟德厅。</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项目服务到期且无任何违约的情形后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按照单一来源采购文件要求及合同约定执行。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1、本项目所属行业为：租赁和商务服务业（根据《中小企业划型标准规定》（工信部联企业〔2011〕300号），租赁和商务服务业划分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2、因系统格式设置无法调整，合同付款支付要求以第七章“拟签订采购合同文本”中体现的内容为准。3、、成交供应商在领取成交通知书前，须向采购代理机构提供纸质版响应文件3套（一正两副），且提供的响应文件必须与在陕西省政府采购综合管理平台的项目电子化交易系统中递交的电子响应文件内容一致，纸质版响应文件必须装订成册签字盖章。4、如单一来源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供应商需在项目电子化交易系统中按要求上传基本资格条件承诺函并进行电子签章。</w:t>
            </w:r>
          </w:p>
        </w:tc>
        <w:tc>
          <w:tcPr>
            <w:tcW w:type="dxa" w:w="1661"/>
          </w:tcPr>
          <w:p>
            <w:pPr>
              <w:pStyle w:val="null3"/>
            </w:pPr>
            <w:r>
              <w:rPr>
                <w:rFonts w:ascii="仿宋_GB2312" w:hAnsi="仿宋_GB2312" w:cs="仿宋_GB2312" w:eastAsia="仿宋_GB2312"/>
              </w:rPr>
              <w:t>基本资格条件承诺函.docx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提供身份证。若是分支机构参与投标，须提供总公司和分支机构的营业执照。</w:t>
            </w:r>
          </w:p>
        </w:tc>
        <w:tc>
          <w:tcPr>
            <w:tcW w:type="dxa" w:w="1661"/>
          </w:tcPr>
          <w:p>
            <w:pPr>
              <w:pStyle w:val="null3"/>
            </w:pPr>
            <w:r>
              <w:rPr>
                <w:rFonts w:ascii="仿宋_GB2312" w:hAnsi="仿宋_GB2312" w:cs="仿宋_GB2312" w:eastAsia="仿宋_GB2312"/>
              </w:rPr>
              <w:t>具有独立承担民事责任能力.docx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法定代表人直接参加投标的，须提供法定代表人身份证明；法定代表人授权代表参加投标的，须提供法定代表人授权委托书。</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供应商未列入“失信被执行人”、“重大税收违法案件当事人名单”和“政府采购严重违法失信行为记录名单”。</w:t>
            </w:r>
          </w:p>
        </w:tc>
        <w:tc>
          <w:tcPr>
            <w:tcW w:type="dxa" w:w="1661"/>
          </w:tcPr>
          <w:p>
            <w:pPr>
              <w:pStyle w:val="null3"/>
            </w:pPr>
            <w:r>
              <w:rPr>
                <w:rFonts w:ascii="仿宋_GB2312" w:hAnsi="仿宋_GB2312" w:cs="仿宋_GB2312" w:eastAsia="仿宋_GB2312"/>
              </w:rPr>
              <w:t>信誉要求.docx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协商小组认为供应商投标报价明显低于其他通过符合性审查投标人的投标报价，有可能影响产品质量或者不能诚信履约的，协商小组应当要求其在合理的时间内在项目电子化交易系统中上传说明材料，必要时提交相关证明材料。供应商提交的相关证明材料，应当加盖供应商（法定名称）电子印章，在协商小组要求的时间内通过项目电子化交易系统进行提交，否则提交的相关证明材料无效。供应商不能证明其投标报价合理性的，协商小组应当将其响应文件作为无效处理。</w:t>
            </w:r>
          </w:p>
        </w:tc>
        <w:tc>
          <w:tcPr>
            <w:tcW w:type="dxa" w:w="1661"/>
          </w:tcPr>
          <w:p>
            <w:pPr>
              <w:pStyle w:val="null3"/>
            </w:pPr>
            <w:r>
              <w:rPr>
                <w:rFonts w:ascii="仿宋_GB2312" w:hAnsi="仿宋_GB2312" w:cs="仿宋_GB2312" w:eastAsia="仿宋_GB2312"/>
              </w:rPr>
              <w:t>中小企业声明函 残疾人福利性单位声明函 费用组成明细表.docx 标的清单 报价表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供应商按照单一来源采购文件要求上传响应文件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（1）投标报价唯一； （2）报价货币符合单一来源采购文件要求； （3）未超出采购预算或单一来源采购文件规定的最高限价。</w:t>
            </w:r>
          </w:p>
        </w:tc>
        <w:tc>
          <w:tcPr>
            <w:tcW w:type="dxa" w:w="1661"/>
          </w:tcPr>
          <w:p>
            <w:pPr>
              <w:pStyle w:val="null3"/>
            </w:pPr>
            <w:r>
              <w:rPr>
                <w:rFonts w:ascii="仿宋_GB2312" w:hAnsi="仿宋_GB2312" w:cs="仿宋_GB2312" w:eastAsia="仿宋_GB2312"/>
              </w:rPr>
              <w:t>费用组成明细表.docx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与所投项目名称、项目编号一致，且符合单一来源采购文件签署盖章要求。</w:t>
            </w:r>
          </w:p>
        </w:tc>
        <w:tc>
          <w:tcPr>
            <w:tcW w:type="dxa" w:w="1661"/>
          </w:tcPr>
          <w:p>
            <w:pPr>
              <w:pStyle w:val="null3"/>
            </w:pPr>
            <w:r>
              <w:rPr>
                <w:rFonts w:ascii="仿宋_GB2312" w:hAnsi="仿宋_GB2312" w:cs="仿宋_GB2312" w:eastAsia="仿宋_GB2312"/>
              </w:rPr>
              <w:t>响应文件封面.docx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从提交响应文件的截止之日起不少于90天。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响应单一来源采购文件合同条款未出现负偏离且响应的内容中未附有采购人不能接受的附加条件。</w:t>
            </w:r>
          </w:p>
        </w:tc>
        <w:tc>
          <w:tcPr>
            <w:tcW w:type="dxa" w:w="1661"/>
          </w:tcPr>
          <w:p>
            <w:pPr>
              <w:pStyle w:val="null3"/>
            </w:pPr>
            <w:r>
              <w:rPr>
                <w:rFonts w:ascii="仿宋_GB2312" w:hAnsi="仿宋_GB2312" w:cs="仿宋_GB2312" w:eastAsia="仿宋_GB2312"/>
              </w:rPr>
              <w:t>合同条款响应偏离表.docx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服务方案及业绩证明</w:t>
            </w:r>
          </w:p>
        </w:tc>
        <w:tc>
          <w:tcPr>
            <w:tcW w:type="dxa" w:w="3322"/>
          </w:tcPr>
          <w:p>
            <w:pPr>
              <w:pStyle w:val="null3"/>
            </w:pPr>
            <w:r>
              <w:rPr>
                <w:rFonts w:ascii="仿宋_GB2312" w:hAnsi="仿宋_GB2312" w:cs="仿宋_GB2312" w:eastAsia="仿宋_GB2312"/>
              </w:rPr>
              <w:t>针对本项目服务要求编制项目服务方案，提供类似业绩。</w:t>
            </w:r>
          </w:p>
        </w:tc>
        <w:tc>
          <w:tcPr>
            <w:tcW w:type="dxa" w:w="1661"/>
          </w:tcPr>
          <w:p>
            <w:pPr>
              <w:pStyle w:val="null3"/>
            </w:pPr>
            <w:r>
              <w:rPr>
                <w:rFonts w:ascii="仿宋_GB2312" w:hAnsi="仿宋_GB2312" w:cs="仿宋_GB2312" w:eastAsia="仿宋_GB2312"/>
              </w:rPr>
              <w:t>服务方案响应说明.docx 业绩的有关证明材料.docx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详见附件：响应文件封面.docx</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详见附件：费用组成明细表.docx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详见附件：基本资格条件承诺函.docx</w:t>
      </w:r>
    </w:p>
    <w:p>
      <w:pPr>
        <w:pStyle w:val="null3"/>
        <w:ind w:firstLine="960"/>
      </w:pPr>
      <w:r>
        <w:rPr>
          <w:rFonts w:ascii="仿宋_GB2312" w:hAnsi="仿宋_GB2312" w:cs="仿宋_GB2312" w:eastAsia="仿宋_GB2312"/>
        </w:rPr>
        <w:t>详见附件：具有独立承担民事责任能力.docx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详见附件：信誉要求.docx</w:t>
      </w:r>
    </w:p>
    <w:p>
      <w:pPr>
        <w:pStyle w:val="null3"/>
        <w:ind w:firstLine="960"/>
      </w:pPr>
      <w:r>
        <w:rPr>
          <w:rFonts w:ascii="仿宋_GB2312" w:hAnsi="仿宋_GB2312" w:cs="仿宋_GB2312" w:eastAsia="仿宋_GB2312"/>
        </w:rPr>
        <w:t>详见附件：合同条款响应偏离表.docx</w:t>
      </w:r>
    </w:p>
    <w:p>
      <w:pPr>
        <w:pStyle w:val="null3"/>
        <w:ind w:firstLine="960"/>
      </w:pPr>
      <w:r>
        <w:rPr>
          <w:rFonts w:ascii="仿宋_GB2312" w:hAnsi="仿宋_GB2312" w:cs="仿宋_GB2312" w:eastAsia="仿宋_GB2312"/>
        </w:rPr>
        <w:t>详见附件：服务方案响应说明.docx</w:t>
      </w:r>
    </w:p>
    <w:p>
      <w:pPr>
        <w:pStyle w:val="null3"/>
        <w:ind w:firstLine="960"/>
      </w:pPr>
      <w:r>
        <w:rPr>
          <w:rFonts w:ascii="仿宋_GB2312" w:hAnsi="仿宋_GB2312" w:cs="仿宋_GB2312" w:eastAsia="仿宋_GB2312"/>
        </w:rPr>
        <w:t>详见附件：业绩的有关证明材料.docx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