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06329220">
      <w:pPr>
        <w:autoSpaceDE w:val="0"/>
        <w:autoSpaceDN w:val="0"/>
        <w:adjustRightInd w:val="0"/>
        <w:spacing w:line="360" w:lineRule="auto"/>
        <w:ind w:firstLine="640" w:firstLineChars="200"/>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bCs/>
          <w:sz w:val="32"/>
          <w:szCs w:val="32"/>
        </w:rPr>
        <w:t>甲方（采购人）：</w:t>
      </w:r>
    </w:p>
    <w:p w14:paraId="01A7D50A">
      <w:pPr>
        <w:snapToGrid w:val="0"/>
        <w:spacing w:line="520" w:lineRule="exact"/>
        <w:ind w:left="0" w:leftChars="0" w:firstLine="681" w:firstLineChars="213"/>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sz w:val="32"/>
          <w:szCs w:val="32"/>
          <w:lang w:val="zh-CN"/>
        </w:rPr>
        <w:t>乙方（成交供应商）：</w:t>
      </w:r>
    </w:p>
    <w:p w14:paraId="3CE1EF93">
      <w:pPr>
        <w:pStyle w:val="2"/>
        <w:tabs>
          <w:tab w:val="center" w:pos="4153"/>
          <w:tab w:val="right" w:pos="8306"/>
          <w:tab w:val="clear" w:pos="4140"/>
          <w:tab w:val="clear" w:pos="8300"/>
        </w:tabs>
        <w:rPr>
          <w:rFonts w:hint="eastAsia" w:ascii="仿宋_GB2312" w:hAnsi="仿宋_GB2312" w:eastAsia="仿宋_GB2312" w:cs="仿宋_GB2312"/>
          <w:sz w:val="32"/>
          <w:szCs w:val="32"/>
          <w:lang w:val="en-US" w:eastAsia="zh-CN"/>
        </w:rPr>
      </w:pPr>
    </w:p>
    <w:p w14:paraId="46516213">
      <w:pPr>
        <w:keepNext w:val="0"/>
        <w:keepLines w:val="0"/>
        <w:pageBreakBefore w:val="0"/>
        <w:tabs>
          <w:tab w:val="left" w:pos="5670"/>
          <w:tab w:val="left" w:pos="6663"/>
        </w:tabs>
        <w:kinsoku/>
        <w:wordWrap/>
        <w:overflowPunct/>
        <w:topLinePunct w:val="0"/>
        <w:autoSpaceDE w:val="0"/>
        <w:autoSpaceDN w:val="0"/>
        <w:bidi w:val="0"/>
        <w:adjustRightInd w:val="0"/>
        <w:snapToGrid w:val="0"/>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中亚文明主题图片展览</w:t>
      </w:r>
      <w:bookmarkStart w:id="2" w:name="_GoBack"/>
      <w:bookmarkEnd w:id="2"/>
      <w:r>
        <w:rPr>
          <w:rFonts w:hint="eastAsia" w:ascii="仿宋_GB2312" w:hAnsi="仿宋_GB2312" w:eastAsia="仿宋_GB2312" w:cs="仿宋_GB2312"/>
          <w:sz w:val="32"/>
          <w:szCs w:val="32"/>
          <w:u w:val="single"/>
        </w:rPr>
        <w:t>（项目编号：</w:t>
      </w:r>
      <w:r>
        <w:rPr>
          <w:rFonts w:hint="eastAsia" w:ascii="仿宋_GB2312" w:hAnsi="仿宋_GB2312" w:eastAsia="仿宋_GB2312" w:cs="仿宋_GB2312"/>
          <w:sz w:val="32"/>
          <w:szCs w:val="32"/>
          <w:u w:val="single"/>
          <w:lang w:val="en-US" w:eastAsia="zh-CN"/>
        </w:rPr>
        <w:t>SXHC2026-063</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由陕西华采招标有限公司组织</w:t>
      </w:r>
      <w:r>
        <w:rPr>
          <w:rFonts w:hint="eastAsia" w:ascii="仿宋_GB2312" w:hAnsi="仿宋_GB2312" w:eastAsia="仿宋_GB2312" w:cs="仿宋_GB2312"/>
          <w:sz w:val="32"/>
          <w:szCs w:val="32"/>
          <w:lang w:eastAsia="zh-CN"/>
        </w:rPr>
        <w:t>单一来源采购</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(以下简称“甲方”)</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（以下简称“乙方”）为成交供应商。                                                                 </w:t>
      </w:r>
      <w:r>
        <w:rPr>
          <w:rFonts w:hint="eastAsia" w:ascii="仿宋_GB2312" w:hAnsi="仿宋_GB2312" w:eastAsia="仿宋_GB2312" w:cs="仿宋_GB2312"/>
          <w:sz w:val="32"/>
          <w:szCs w:val="32"/>
          <w:u w:val="single"/>
        </w:rPr>
        <w:t xml:space="preserve">                                                                                                                                                                                                                                                                                                                                                                                                                                                                                                                                             </w:t>
      </w:r>
    </w:p>
    <w:p w14:paraId="6BBC4A04">
      <w:pPr>
        <w:keepNext w:val="0"/>
        <w:keepLines w:val="0"/>
        <w:pageBreakBefore w:val="0"/>
        <w:tabs>
          <w:tab w:val="left" w:pos="5670"/>
          <w:tab w:val="left" w:pos="6663"/>
        </w:tabs>
        <w:kinsoku/>
        <w:wordWrap/>
        <w:overflowPunct/>
        <w:topLinePunct w:val="0"/>
        <w:autoSpaceDE w:val="0"/>
        <w:autoSpaceDN w:val="0"/>
        <w:bidi w:val="0"/>
        <w:adjustRightInd w:val="0"/>
        <w:snapToGrid w:val="0"/>
        <w:spacing w:line="360" w:lineRule="auto"/>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依据《中华人民共和国民法典》和《中华人民共和国政府采购法》，经甲乙双方协商按下述条款和条件签署本合同。</w:t>
      </w:r>
    </w:p>
    <w:p w14:paraId="5DDA24C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sz w:val="32"/>
          <w:szCs w:val="32"/>
          <w:highlight w:val="none"/>
          <w:lang w:val="en-US" w:eastAsia="zh-CN"/>
        </w:rPr>
        <w:t>一、</w:t>
      </w:r>
      <w:r>
        <w:rPr>
          <w:rFonts w:hint="eastAsia" w:ascii="仿宋_GB2312" w:hAnsi="仿宋_GB2312" w:eastAsia="仿宋_GB2312" w:cs="仿宋_GB2312"/>
          <w:b/>
          <w:sz w:val="32"/>
          <w:szCs w:val="32"/>
          <w:highlight w:val="none"/>
        </w:rPr>
        <w:t>委托工作内容</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u w:val="single"/>
          <w:lang w:val="en-US" w:eastAsia="zh-CN"/>
        </w:rPr>
        <w:t xml:space="preserve">            </w:t>
      </w:r>
      <w:r>
        <w:rPr>
          <w:rFonts w:hint="eastAsia" w:ascii="仿宋_GB2312" w:hAnsi="仿宋_GB2312" w:eastAsia="仿宋_GB2312" w:cs="仿宋_GB2312"/>
          <w:b w:val="0"/>
          <w:bCs/>
          <w:sz w:val="32"/>
          <w:szCs w:val="32"/>
          <w:highlight w:val="none"/>
          <w:u w:val="single"/>
          <w:lang w:val="en-US" w:eastAsia="zh-CN"/>
        </w:rPr>
        <w:t xml:space="preserve">    </w:t>
      </w:r>
      <w:r>
        <w:rPr>
          <w:rFonts w:hint="eastAsia" w:ascii="仿宋_GB2312" w:hAnsi="仿宋_GB2312" w:eastAsia="仿宋_GB2312" w:cs="仿宋_GB2312"/>
          <w:b w:val="0"/>
          <w:bCs/>
          <w:sz w:val="32"/>
          <w:szCs w:val="32"/>
          <w:highlight w:val="none"/>
          <w:u w:val="none"/>
          <w:lang w:val="en-US" w:eastAsia="zh-CN"/>
        </w:rPr>
        <w:t xml:space="preserve">  </w:t>
      </w:r>
    </w:p>
    <w:p w14:paraId="7A390E9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rPr>
        <w:t>合同价款</w:t>
      </w:r>
    </w:p>
    <w:p w14:paraId="6D27EC09">
      <w:pPr>
        <w:keepNext w:val="0"/>
        <w:keepLines w:val="0"/>
        <w:pageBreakBefore w:val="0"/>
        <w:tabs>
          <w:tab w:val="left" w:pos="5670"/>
          <w:tab w:val="left" w:pos="6663"/>
        </w:tabs>
        <w:kinsoku/>
        <w:wordWrap/>
        <w:overflowPunct/>
        <w:topLinePunct w:val="0"/>
        <w:autoSpaceDE w:val="0"/>
        <w:autoSpaceDN w:val="0"/>
        <w:bidi w:val="0"/>
        <w:adjustRightInd w:val="0"/>
        <w:snapToGrid w:val="0"/>
        <w:spacing w:line="360" w:lineRule="auto"/>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）合同总价</w:t>
      </w:r>
      <w:r>
        <w:rPr>
          <w:rFonts w:hint="eastAsia" w:ascii="仿宋_GB2312" w:hAnsi="仿宋_GB2312" w:eastAsia="仿宋_GB2312" w:cs="仿宋_GB2312"/>
          <w:sz w:val="32"/>
          <w:szCs w:val="32"/>
          <w:lang w:val="en-US" w:eastAsia="zh-CN"/>
        </w:rPr>
        <w:t>款</w:t>
      </w:r>
      <w:r>
        <w:rPr>
          <w:rFonts w:hint="eastAsia" w:ascii="仿宋_GB2312" w:hAnsi="仿宋_GB2312" w:eastAsia="仿宋_GB2312" w:cs="仿宋_GB2312"/>
          <w:sz w:val="32"/>
          <w:szCs w:val="32"/>
          <w:lang w:eastAsia="zh-CN"/>
        </w:rPr>
        <w:t>为人民币（大写）</w:t>
      </w:r>
      <w:r>
        <w:rPr>
          <w:rFonts w:hint="eastAsia" w:ascii="仿宋_GB2312" w:hAnsi="仿宋_GB2312" w:eastAsia="仿宋_GB2312" w:cs="仿宋_GB2312"/>
          <w:sz w:val="32"/>
          <w:szCs w:val="32"/>
          <w:u w:val="single"/>
          <w:lang w:eastAsia="zh-CN"/>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lang w:eastAsia="zh-CN"/>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u w:val="single"/>
          <w:lang w:eastAsia="zh-CN"/>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lang w:eastAsia="zh-CN"/>
        </w:rPr>
        <w:t xml:space="preserve"> </w:t>
      </w:r>
      <w:r>
        <w:rPr>
          <w:rFonts w:hint="eastAsia" w:ascii="仿宋_GB2312" w:hAnsi="仿宋_GB2312" w:eastAsia="仿宋_GB2312" w:cs="仿宋_GB2312"/>
          <w:sz w:val="32"/>
          <w:szCs w:val="32"/>
          <w:lang w:eastAsia="zh-CN"/>
        </w:rPr>
        <w:t>）。</w:t>
      </w:r>
    </w:p>
    <w:p w14:paraId="1C77DAC4">
      <w:pPr>
        <w:keepNext w:val="0"/>
        <w:keepLines w:val="0"/>
        <w:pageBreakBefore w:val="0"/>
        <w:tabs>
          <w:tab w:val="left" w:pos="5670"/>
          <w:tab w:val="left" w:pos="6663"/>
        </w:tabs>
        <w:kinsoku/>
        <w:wordWrap/>
        <w:overflowPunct/>
        <w:topLinePunct w:val="0"/>
        <w:autoSpaceDE w:val="0"/>
        <w:autoSpaceDN w:val="0"/>
        <w:bidi w:val="0"/>
        <w:adjustRightInd w:val="0"/>
        <w:snapToGrid w:val="0"/>
        <w:spacing w:line="360" w:lineRule="auto"/>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 w:eastAsia="仿宋_GB2312"/>
          <w:bCs/>
          <w:sz w:val="32"/>
          <w:szCs w:val="32"/>
          <w:highlight w:val="none"/>
        </w:rPr>
        <w:t>合同价款</w:t>
      </w:r>
      <w:r>
        <w:rPr>
          <w:rFonts w:hint="eastAsia" w:ascii="仿宋_GB2312" w:eastAsia="仿宋_GB2312"/>
          <w:sz w:val="32"/>
          <w:szCs w:val="32"/>
          <w:highlight w:val="none"/>
        </w:rPr>
        <w:t>是指</w:t>
      </w:r>
      <w:r>
        <w:rPr>
          <w:rFonts w:hint="eastAsia" w:ascii="仿宋_GB2312" w:hAnsi="宋体" w:eastAsia="仿宋_GB2312"/>
          <w:sz w:val="32"/>
          <w:szCs w:val="32"/>
          <w:highlight w:val="none"/>
        </w:rPr>
        <w:t>本次</w:t>
      </w:r>
      <w:r>
        <w:rPr>
          <w:rFonts w:hint="eastAsia" w:ascii="仿宋_GB2312" w:hAnsi="宋体" w:eastAsia="仿宋_GB2312"/>
          <w:sz w:val="32"/>
          <w:szCs w:val="32"/>
          <w:highlight w:val="none"/>
          <w:lang w:val="zh-CN"/>
        </w:rPr>
        <w:t>服务</w:t>
      </w:r>
      <w:r>
        <w:rPr>
          <w:rFonts w:ascii="仿宋_GB2312" w:hAnsi="宋体" w:eastAsia="仿宋_GB2312"/>
          <w:sz w:val="32"/>
          <w:szCs w:val="32"/>
          <w:highlight w:val="none"/>
          <w:lang w:val="zh-CN"/>
        </w:rPr>
        <w:t>内容所需的全部费用</w:t>
      </w:r>
      <w:r>
        <w:rPr>
          <w:rFonts w:hint="eastAsia" w:ascii="仿宋_GB2312" w:hAnsi="宋体" w:eastAsia="仿宋_GB2312"/>
          <w:sz w:val="32"/>
          <w:szCs w:val="32"/>
          <w:highlight w:val="none"/>
          <w:lang w:val="zh-CN"/>
        </w:rPr>
        <w:t>，包括但不限于人工费、会场费、材料费、设计费、培训费、管理费、不可预见费用、直接费、间接费、利润、税金及其他相关的一切费用。</w:t>
      </w:r>
      <w:r>
        <w:rPr>
          <w:rFonts w:hint="eastAsia" w:ascii="仿宋_GB2312" w:hAnsi="宋体" w:eastAsia="仿宋_GB2312"/>
          <w:sz w:val="32"/>
          <w:szCs w:val="32"/>
          <w:highlight w:val="none"/>
        </w:rPr>
        <w:t>服务期内</w:t>
      </w:r>
      <w:r>
        <w:rPr>
          <w:rFonts w:hint="eastAsia" w:ascii="仿宋_GB2312" w:hAnsi="宋体" w:eastAsia="仿宋_GB2312"/>
          <w:sz w:val="32"/>
          <w:szCs w:val="32"/>
          <w:highlight w:val="none"/>
          <w:lang w:val="en-US" w:eastAsia="zh-CN"/>
        </w:rPr>
        <w:t>甲方</w:t>
      </w:r>
      <w:r>
        <w:rPr>
          <w:rFonts w:hint="eastAsia" w:ascii="仿宋_GB2312" w:hAnsi="宋体" w:eastAsia="仿宋_GB2312"/>
          <w:sz w:val="32"/>
          <w:szCs w:val="32"/>
          <w:highlight w:val="none"/>
        </w:rPr>
        <w:t>不再增加任何费用</w:t>
      </w:r>
      <w:r>
        <w:rPr>
          <w:rFonts w:hint="eastAsia" w:ascii="仿宋_GB2312" w:hAnsi="仿宋" w:eastAsia="仿宋_GB2312"/>
          <w:bCs/>
          <w:sz w:val="32"/>
          <w:szCs w:val="32"/>
          <w:highlight w:val="none"/>
        </w:rPr>
        <w:t>。</w:t>
      </w:r>
    </w:p>
    <w:p w14:paraId="3614793F">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bCs/>
          <w:sz w:val="32"/>
          <w:szCs w:val="32"/>
        </w:rPr>
        <w:t>（三）合同</w:t>
      </w:r>
      <w:r>
        <w:rPr>
          <w:rFonts w:hint="eastAsia" w:ascii="仿宋_GB2312" w:hAnsi="仿宋_GB2312" w:eastAsia="仿宋_GB2312" w:cs="仿宋_GB2312"/>
          <w:bCs/>
          <w:sz w:val="32"/>
          <w:szCs w:val="32"/>
          <w:lang w:val="en-US" w:eastAsia="zh-CN"/>
        </w:rPr>
        <w:t>总</w:t>
      </w:r>
      <w:r>
        <w:rPr>
          <w:rFonts w:hint="eastAsia" w:ascii="仿宋_GB2312" w:hAnsi="仿宋_GB2312" w:eastAsia="仿宋_GB2312" w:cs="仿宋_GB2312"/>
          <w:bCs/>
          <w:sz w:val="32"/>
          <w:szCs w:val="32"/>
        </w:rPr>
        <w:t>价款一次性包死，不受市场价格变化因素的影响。</w:t>
      </w:r>
    </w:p>
    <w:p w14:paraId="318909AF">
      <w:pPr>
        <w:keepNext w:val="0"/>
        <w:keepLines w:val="0"/>
        <w:pageBreakBefore w:val="0"/>
        <w:kinsoku/>
        <w:wordWrap/>
        <w:overflowPunct/>
        <w:topLinePunct w:val="0"/>
        <w:autoSpaceDE w:val="0"/>
        <w:autoSpaceDN w:val="0"/>
        <w:bidi w:val="0"/>
        <w:adjustRightInd w:val="0"/>
        <w:snapToGrid w:val="0"/>
        <w:spacing w:line="360" w:lineRule="auto"/>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三、款项结算</w:t>
      </w:r>
    </w:p>
    <w:p w14:paraId="280C5BC1">
      <w:pPr>
        <w:keepNext w:val="0"/>
        <w:keepLines w:val="0"/>
        <w:pageBreakBefore w:val="0"/>
        <w:tabs>
          <w:tab w:val="left" w:pos="5670"/>
          <w:tab w:val="left" w:pos="6663"/>
        </w:tabs>
        <w:kinsoku/>
        <w:wordWrap/>
        <w:overflowPunct/>
        <w:topLinePunct w:val="0"/>
        <w:autoSpaceDE w:val="0"/>
        <w:autoSpaceDN w:val="0"/>
        <w:bidi w:val="0"/>
        <w:adjustRightInd w:val="0"/>
        <w:snapToGrid w:val="0"/>
        <w:spacing w:line="360" w:lineRule="auto"/>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（一）付款</w:t>
      </w:r>
      <w:r>
        <w:rPr>
          <w:rFonts w:hint="eastAsia" w:ascii="仿宋_GB2312" w:hAnsi="仿宋_GB2312" w:eastAsia="仿宋_GB2312" w:cs="仿宋_GB2312"/>
          <w:sz w:val="32"/>
          <w:szCs w:val="32"/>
          <w:lang w:eastAsia="zh-CN"/>
        </w:rPr>
        <w:t>方式：项目服务到期且无任何违约的情形后，达到付款条件起15日内，支付合同总金额的100.00%。</w:t>
      </w:r>
    </w:p>
    <w:p w14:paraId="21EE2CDD">
      <w:pPr>
        <w:keepNext w:val="0"/>
        <w:keepLines w:val="0"/>
        <w:pageBreakBefore w:val="0"/>
        <w:tabs>
          <w:tab w:val="left" w:pos="5670"/>
          <w:tab w:val="left" w:pos="6663"/>
        </w:tabs>
        <w:kinsoku/>
        <w:wordWrap/>
        <w:overflowPunct/>
        <w:topLinePunct w:val="0"/>
        <w:autoSpaceDE w:val="0"/>
        <w:autoSpaceDN w:val="0"/>
        <w:bidi w:val="0"/>
        <w:adjustRightInd w:val="0"/>
        <w:snapToGrid w:val="0"/>
        <w:spacing w:line="360" w:lineRule="auto"/>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（二）结算</w:t>
      </w:r>
      <w:r>
        <w:rPr>
          <w:rFonts w:hint="eastAsia" w:ascii="仿宋_GB2312" w:hAnsi="仿宋_GB2312" w:eastAsia="仿宋_GB2312" w:cs="仿宋_GB2312"/>
          <w:sz w:val="32"/>
          <w:szCs w:val="32"/>
          <w:lang w:eastAsia="zh-CN"/>
        </w:rPr>
        <w:t>方式：</w:t>
      </w:r>
      <w:r>
        <w:rPr>
          <w:rFonts w:hint="eastAsia" w:ascii="仿宋_GB2312" w:hAnsi="仿宋_GB2312" w:eastAsia="仿宋_GB2312" w:cs="仿宋_GB2312"/>
          <w:bCs/>
          <w:sz w:val="32"/>
          <w:szCs w:val="32"/>
        </w:rPr>
        <w:t>银行转账。</w:t>
      </w:r>
    </w:p>
    <w:p w14:paraId="22513051">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三）</w:t>
      </w:r>
      <w:r>
        <w:rPr>
          <w:rFonts w:hint="eastAsia" w:ascii="仿宋_GB2312" w:hAnsi="仿宋_GB2312" w:eastAsia="仿宋_GB2312" w:cs="仿宋_GB2312"/>
          <w:bCs/>
          <w:sz w:val="32"/>
          <w:szCs w:val="32"/>
        </w:rPr>
        <w:t>结算单位：由甲方负责结算，乙方开具合同价款的全额发票给甲方。</w:t>
      </w:r>
    </w:p>
    <w:p w14:paraId="25814C8A">
      <w:pPr>
        <w:keepNext w:val="0"/>
        <w:keepLines w:val="0"/>
        <w:pageBreakBefore w:val="0"/>
        <w:kinsoku/>
        <w:wordWrap/>
        <w:overflowPunct/>
        <w:topLinePunct w:val="0"/>
        <w:autoSpaceDE w:val="0"/>
        <w:autoSpaceDN w:val="0"/>
        <w:bidi w:val="0"/>
        <w:adjustRightInd w:val="0"/>
        <w:snapToGrid w:val="0"/>
        <w:spacing w:line="360" w:lineRule="auto"/>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rPr>
        <w:t>四、服务地点及</w:t>
      </w:r>
      <w:r>
        <w:rPr>
          <w:rFonts w:hint="eastAsia" w:ascii="仿宋_GB2312" w:hAnsi="仿宋_GB2312" w:eastAsia="仿宋_GB2312" w:cs="仿宋_GB2312"/>
          <w:b/>
          <w:bCs/>
          <w:sz w:val="32"/>
          <w:szCs w:val="32"/>
          <w:lang w:eastAsia="zh-CN"/>
        </w:rPr>
        <w:t>服务期限</w:t>
      </w:r>
    </w:p>
    <w:p w14:paraId="7DB5497D">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（一）服务地点：</w:t>
      </w:r>
      <w:r>
        <w:rPr>
          <w:rFonts w:hint="eastAsia" w:ascii="仿宋_GB2312" w:hAnsi="仿宋_GB2312" w:eastAsia="仿宋_GB2312" w:cs="仿宋_GB2312"/>
          <w:bCs/>
          <w:sz w:val="32"/>
          <w:szCs w:val="32"/>
          <w:lang w:val="en-US" w:eastAsia="zh-CN"/>
        </w:rPr>
        <w:t>甲方指定地点、西安国际会议中心麟德厅。</w:t>
      </w:r>
    </w:p>
    <w:p w14:paraId="7E6759A5">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二</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服务期限</w:t>
      </w:r>
      <w:r>
        <w:rPr>
          <w:rFonts w:hint="eastAsia" w:ascii="仿宋_GB2312" w:hAnsi="仿宋_GB2312" w:eastAsia="仿宋_GB2312" w:cs="仿宋_GB2312"/>
          <w:bCs/>
          <w:sz w:val="32"/>
          <w:szCs w:val="32"/>
        </w:rPr>
        <w:t>：合同签订之日起8个月，计划时间2026年5-12月，具体时间以</w:t>
      </w:r>
      <w:r>
        <w:rPr>
          <w:rFonts w:hint="eastAsia" w:ascii="仿宋_GB2312" w:hAnsi="仿宋_GB2312" w:eastAsia="仿宋_GB2312" w:cs="仿宋_GB2312"/>
          <w:bCs/>
          <w:sz w:val="32"/>
          <w:szCs w:val="32"/>
          <w:lang w:val="en-US" w:eastAsia="zh-CN"/>
        </w:rPr>
        <w:t>甲方</w:t>
      </w:r>
      <w:r>
        <w:rPr>
          <w:rFonts w:hint="eastAsia" w:ascii="仿宋_GB2312" w:hAnsi="仿宋_GB2312" w:eastAsia="仿宋_GB2312" w:cs="仿宋_GB2312"/>
          <w:bCs/>
          <w:sz w:val="32"/>
          <w:szCs w:val="32"/>
        </w:rPr>
        <w:t>需求为准。</w:t>
      </w:r>
    </w:p>
    <w:p w14:paraId="7B0841B8">
      <w:pPr>
        <w:keepNext w:val="0"/>
        <w:keepLines w:val="0"/>
        <w:pageBreakBefore w:val="0"/>
        <w:kinsoku/>
        <w:wordWrap/>
        <w:overflowPunct/>
        <w:topLinePunct w:val="0"/>
        <w:autoSpaceDE w:val="0"/>
        <w:autoSpaceDN w:val="0"/>
        <w:bidi w:val="0"/>
        <w:adjustRightInd w:val="0"/>
        <w:snapToGrid w:val="0"/>
        <w:spacing w:line="360" w:lineRule="auto"/>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五、</w:t>
      </w:r>
      <w:r>
        <w:rPr>
          <w:rFonts w:hint="eastAsia" w:ascii="仿宋_GB2312" w:hAnsi="仿宋_GB2312" w:eastAsia="仿宋_GB2312" w:cs="仿宋_GB2312"/>
          <w:b/>
          <w:bCs/>
          <w:sz w:val="32"/>
          <w:szCs w:val="32"/>
        </w:rPr>
        <w:t>服务质量保证</w:t>
      </w:r>
    </w:p>
    <w:p w14:paraId="01462403">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bCs/>
          <w:sz w:val="32"/>
          <w:szCs w:val="32"/>
          <w:highlight w:val="none"/>
        </w:rPr>
        <w:t>（一）乙方需建立高效的管理团队，项目团队组成合理</w:t>
      </w:r>
      <w:r>
        <w:rPr>
          <w:rFonts w:hint="eastAsia" w:ascii="仿宋_GB2312" w:hAnsi="仿宋_GB2312" w:eastAsia="仿宋_GB2312" w:cs="仿宋_GB2312"/>
          <w:bCs/>
          <w:sz w:val="32"/>
          <w:szCs w:val="32"/>
          <w:highlight w:val="none"/>
          <w:lang w:eastAsia="zh-CN"/>
        </w:rPr>
        <w:t>。</w:t>
      </w:r>
    </w:p>
    <w:p w14:paraId="64B0FC16">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lang w:eastAsia="zh-CN"/>
        </w:rPr>
        <w:t>（二）</w:t>
      </w:r>
      <w:r>
        <w:rPr>
          <w:rFonts w:hint="eastAsia" w:ascii="仿宋_GB2312" w:hAnsi="仿宋_GB2312" w:eastAsia="仿宋_GB2312" w:cs="仿宋_GB2312"/>
          <w:bCs/>
          <w:sz w:val="32"/>
          <w:szCs w:val="32"/>
          <w:highlight w:val="none"/>
        </w:rPr>
        <w:t>乙方需派一名项目</w:t>
      </w:r>
      <w:r>
        <w:rPr>
          <w:rFonts w:hint="eastAsia" w:ascii="仿宋_GB2312" w:hAnsi="仿宋_GB2312" w:eastAsia="仿宋_GB2312" w:cs="仿宋_GB2312"/>
          <w:bCs/>
          <w:sz w:val="32"/>
          <w:szCs w:val="32"/>
          <w:highlight w:val="none"/>
          <w:lang w:eastAsia="zh-CN"/>
        </w:rPr>
        <w:t>负责人</w:t>
      </w:r>
      <w:r>
        <w:rPr>
          <w:rFonts w:hint="eastAsia" w:ascii="仿宋_GB2312" w:hAnsi="仿宋_GB2312" w:eastAsia="仿宋_GB2312" w:cs="仿宋_GB2312"/>
          <w:bCs/>
          <w:sz w:val="32"/>
          <w:szCs w:val="32"/>
          <w:highlight w:val="none"/>
        </w:rPr>
        <w:t>，直接与甲方沟通，项目</w:t>
      </w:r>
      <w:r>
        <w:rPr>
          <w:rFonts w:hint="eastAsia" w:ascii="仿宋_GB2312" w:hAnsi="仿宋_GB2312" w:eastAsia="仿宋_GB2312" w:cs="仿宋_GB2312"/>
          <w:bCs/>
          <w:sz w:val="32"/>
          <w:szCs w:val="32"/>
          <w:highlight w:val="none"/>
          <w:lang w:val="en-US" w:eastAsia="zh-CN"/>
        </w:rPr>
        <w:t>负责人</w:t>
      </w:r>
      <w:r>
        <w:rPr>
          <w:rFonts w:hint="eastAsia" w:ascii="仿宋_GB2312" w:hAnsi="仿宋_GB2312" w:eastAsia="仿宋_GB2312" w:cs="仿宋_GB2312"/>
          <w:bCs/>
          <w:sz w:val="32"/>
          <w:szCs w:val="32"/>
          <w:highlight w:val="none"/>
        </w:rPr>
        <w:t>接收甲方提出的问题与要求，并及时反馈给工作组，解决在项目实施过程中遇到的问题。</w:t>
      </w:r>
    </w:p>
    <w:p w14:paraId="66EFDB73">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（三）项目在实施过程中会出现不可预料的需求变更，乙方需积极配合甲方的需求变更，并按照变更后的需求继续实施。</w:t>
      </w:r>
    </w:p>
    <w:p w14:paraId="43E1656D">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（四）乙方需设有详细的技术资料档案和服务档案以便于更好地提供服务。</w:t>
      </w:r>
    </w:p>
    <w:p w14:paraId="36F7B9A9">
      <w:pPr>
        <w:keepNext w:val="0"/>
        <w:keepLines w:val="0"/>
        <w:pageBreakBefore w:val="0"/>
        <w:kinsoku/>
        <w:wordWrap/>
        <w:overflowPunct/>
        <w:topLinePunct w:val="0"/>
        <w:autoSpaceDE w:val="0"/>
        <w:autoSpaceDN w:val="0"/>
        <w:bidi w:val="0"/>
        <w:adjustRightInd w:val="0"/>
        <w:snapToGrid w:val="0"/>
        <w:spacing w:line="360" w:lineRule="auto"/>
        <w:ind w:firstLine="643" w:firstLineChars="200"/>
        <w:textAlignment w:val="auto"/>
        <w:rPr>
          <w:rFonts w:hint="eastAsia" w:ascii="仿宋_GB2312" w:hAnsi="仿宋_GB2312" w:eastAsia="仿宋_GB2312" w:cs="仿宋_GB2312"/>
          <w:b/>
          <w:sz w:val="32"/>
          <w:szCs w:val="32"/>
        </w:rPr>
      </w:pPr>
      <w:bookmarkStart w:id="0" w:name="_Toc25596"/>
      <w:r>
        <w:rPr>
          <w:rFonts w:hint="eastAsia" w:ascii="仿宋_GB2312" w:hAnsi="仿宋_GB2312" w:eastAsia="仿宋_GB2312" w:cs="仿宋_GB2312"/>
          <w:b/>
          <w:sz w:val="32"/>
          <w:szCs w:val="32"/>
          <w:lang w:val="en-US" w:eastAsia="zh-CN"/>
        </w:rPr>
        <w:t>六、</w:t>
      </w:r>
      <w:r>
        <w:rPr>
          <w:rFonts w:hint="eastAsia" w:ascii="仿宋_GB2312" w:hAnsi="仿宋_GB2312" w:eastAsia="仿宋_GB2312" w:cs="仿宋_GB2312"/>
          <w:b/>
          <w:sz w:val="32"/>
          <w:szCs w:val="32"/>
        </w:rPr>
        <w:t>双方的权利和义务</w:t>
      </w:r>
    </w:p>
    <w:p w14:paraId="27230E45">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（一）甲方的权利与义务</w:t>
      </w:r>
    </w:p>
    <w:p w14:paraId="63D4BA78">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1</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bCs/>
          <w:sz w:val="32"/>
          <w:szCs w:val="32"/>
          <w:highlight w:val="none"/>
        </w:rPr>
        <w:t>甲方负责配合本次项目服务工作；</w:t>
      </w:r>
    </w:p>
    <w:p w14:paraId="2CD186AA">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bCs/>
          <w:sz w:val="32"/>
          <w:szCs w:val="32"/>
          <w:highlight w:val="none"/>
        </w:rPr>
        <w:t>甲方应按本合同的约定向乙方支付合同价款；</w:t>
      </w:r>
    </w:p>
    <w:p w14:paraId="2A2FF8D7">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3</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bCs/>
          <w:sz w:val="32"/>
          <w:szCs w:val="32"/>
          <w:highlight w:val="none"/>
        </w:rPr>
        <w:t>甲方根据需要对乙方提供的</w:t>
      </w:r>
      <w:r>
        <w:rPr>
          <w:rFonts w:hint="eastAsia" w:ascii="仿宋_GB2312" w:hAnsi="仿宋_GB2312" w:eastAsia="仿宋_GB2312" w:cs="仿宋_GB2312"/>
          <w:bCs/>
          <w:sz w:val="32"/>
          <w:szCs w:val="32"/>
          <w:highlight w:val="none"/>
          <w:lang w:eastAsia="zh-CN"/>
        </w:rPr>
        <w:t>服务</w:t>
      </w:r>
      <w:r>
        <w:rPr>
          <w:rFonts w:hint="eastAsia" w:ascii="仿宋_GB2312" w:hAnsi="仿宋_GB2312" w:eastAsia="仿宋_GB2312" w:cs="仿宋_GB2312"/>
          <w:bCs/>
          <w:sz w:val="32"/>
          <w:szCs w:val="32"/>
          <w:highlight w:val="none"/>
        </w:rPr>
        <w:t>方案进行审核，提供建议及意见，确定最终实施的服务方案，以便乙方遵照执行；</w:t>
      </w:r>
    </w:p>
    <w:p w14:paraId="534EF12E">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4</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bCs/>
          <w:sz w:val="32"/>
          <w:szCs w:val="32"/>
          <w:highlight w:val="none"/>
        </w:rPr>
        <w:t>甲方有权对乙方的工作进行监督和考核。</w:t>
      </w:r>
    </w:p>
    <w:p w14:paraId="51CC28D9">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（二）乙方的权利与义务</w:t>
      </w:r>
    </w:p>
    <w:p w14:paraId="0DEB9CF5">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1</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bCs/>
          <w:sz w:val="32"/>
          <w:szCs w:val="32"/>
          <w:highlight w:val="none"/>
        </w:rPr>
        <w:t>乙方必须严格遵守甲方的</w:t>
      </w:r>
      <w:r>
        <w:rPr>
          <w:rFonts w:hint="eastAsia" w:ascii="仿宋_GB2312" w:hAnsi="仿宋_GB2312" w:eastAsia="仿宋_GB2312" w:cs="仿宋_GB2312"/>
          <w:bCs/>
          <w:sz w:val="32"/>
          <w:szCs w:val="32"/>
          <w:highlight w:val="none"/>
          <w:lang w:val="en-US" w:eastAsia="zh-CN"/>
        </w:rPr>
        <w:t>安全</w:t>
      </w:r>
      <w:r>
        <w:rPr>
          <w:rFonts w:hint="eastAsia" w:ascii="仿宋_GB2312" w:hAnsi="仿宋_GB2312" w:eastAsia="仿宋_GB2312" w:cs="仿宋_GB2312"/>
          <w:bCs/>
          <w:sz w:val="32"/>
          <w:szCs w:val="32"/>
          <w:highlight w:val="none"/>
        </w:rPr>
        <w:t>规章制度，以良好的形象和积极的工作态度，按甲方要求开展工作；</w:t>
      </w:r>
    </w:p>
    <w:p w14:paraId="003D7BF7">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bCs/>
          <w:sz w:val="32"/>
          <w:szCs w:val="32"/>
          <w:highlight w:val="none"/>
        </w:rPr>
        <w:t>乙方应服从甲方统筹管理并按流程开展工作；</w:t>
      </w:r>
    </w:p>
    <w:p w14:paraId="04809E8A">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3</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bCs/>
          <w:sz w:val="32"/>
          <w:szCs w:val="32"/>
          <w:highlight w:val="none"/>
        </w:rPr>
        <w:t>乙方保证安排的相关人员需按照指定时间到达指定地点进行服务，如有特殊情况，必须事先通知并征得甲方同意；</w:t>
      </w:r>
    </w:p>
    <w:p w14:paraId="681B4E2D">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4</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bCs/>
          <w:sz w:val="32"/>
          <w:szCs w:val="32"/>
          <w:highlight w:val="none"/>
        </w:rPr>
        <w:t>乙方提交的方案等应得到甲方确认再予以实施；</w:t>
      </w:r>
    </w:p>
    <w:p w14:paraId="5DE3164F">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5</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bCs/>
          <w:sz w:val="32"/>
          <w:szCs w:val="32"/>
          <w:highlight w:val="none"/>
        </w:rPr>
        <w:t>乙方在服务期间发布的任何涉及有关甲方的相关信息，需经甲方确认无误后方可发布；</w:t>
      </w:r>
    </w:p>
    <w:p w14:paraId="016274E8">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rPr>
      </w:pPr>
      <w:r>
        <w:rPr>
          <w:rFonts w:hint="eastAsia" w:ascii="仿宋_GB2312" w:hAnsi="仿宋_GB2312" w:eastAsia="仿宋_GB2312" w:cs="仿宋_GB2312"/>
          <w:bCs/>
          <w:sz w:val="32"/>
          <w:szCs w:val="32"/>
        </w:rPr>
        <w:t>6</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bCs/>
          <w:sz w:val="32"/>
          <w:szCs w:val="32"/>
        </w:rPr>
        <w:t>乙方负责解决所需要的工作条件及相应的工作配合。如场地的使用、水电提供、乙方工作人员出入等相关事宜，甲方有义务提供必要的便利条件</w:t>
      </w:r>
      <w:r>
        <w:rPr>
          <w:rFonts w:hint="eastAsia" w:ascii="仿宋_GB2312" w:hAnsi="仿宋_GB2312" w:eastAsia="仿宋_GB2312" w:cs="仿宋_GB2312"/>
          <w:bCs/>
          <w:sz w:val="32"/>
          <w:szCs w:val="32"/>
          <w:lang w:eastAsia="zh-CN"/>
        </w:rPr>
        <w:t>；</w:t>
      </w:r>
    </w:p>
    <w:p w14:paraId="1D39343B">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lang w:val="en-US" w:eastAsia="zh-CN"/>
        </w:rPr>
      </w:pPr>
      <w:r>
        <w:rPr>
          <w:rFonts w:hint="eastAsia" w:ascii="仿宋_GB2312" w:hAnsi="仿宋_GB2312" w:eastAsia="仿宋_GB2312" w:cs="仿宋_GB2312"/>
          <w:b w:val="0"/>
          <w:bCs/>
          <w:sz w:val="32"/>
          <w:szCs w:val="32"/>
          <w:lang w:val="en-US" w:eastAsia="zh-CN"/>
        </w:rPr>
        <w:t>7.乙方人员在提供服务等过程中发生的人身伤害及财产损失，以及给甲方或第三方造成的人身伤害及财产损失均由乙方全部负责，甲方不承担任何责任；</w:t>
      </w:r>
    </w:p>
    <w:p w14:paraId="10D2F98D">
      <w:pPr>
        <w:keepNext w:val="0"/>
        <w:keepLines w:val="0"/>
        <w:pageBreakBefore w:val="0"/>
        <w:widowControl w:val="0"/>
        <w:kinsoku/>
        <w:wordWrap/>
        <w:overflowPunct/>
        <w:topLinePunct w:val="0"/>
        <w:autoSpaceDE w:val="0"/>
        <w:autoSpaceDN w:val="0"/>
        <w:bidi w:val="0"/>
        <w:adjustRightInd w:val="0"/>
        <w:snapToGrid w:val="0"/>
        <w:spacing w:line="360" w:lineRule="auto"/>
        <w:ind w:firstLine="640" w:firstLineChars="200"/>
        <w:textAlignment w:val="auto"/>
        <w:rPr>
          <w:rFonts w:hint="default" w:ascii="仿宋_GB2312" w:hAnsi="仿宋_GB2312" w:eastAsia="仿宋_GB2312" w:cs="仿宋_GB2312"/>
          <w:b/>
          <w:bCs w:val="0"/>
          <w:sz w:val="32"/>
          <w:szCs w:val="32"/>
          <w:lang w:val="en-US" w:eastAsia="zh-CN"/>
        </w:rPr>
      </w:pPr>
      <w:r>
        <w:rPr>
          <w:rFonts w:hint="eastAsia" w:ascii="仿宋_GB2312" w:hAnsi="仿宋_GB2312" w:eastAsia="仿宋_GB2312" w:cs="仿宋_GB2312"/>
          <w:b w:val="0"/>
          <w:bCs/>
          <w:sz w:val="32"/>
          <w:szCs w:val="32"/>
          <w:lang w:val="en-US" w:eastAsia="zh-CN"/>
        </w:rPr>
        <w:t>8.乙方保证在提供服务过程中不受第三方提出侵犯其知识产权或其他财产性权利的起诉。若因乙方服务侵犯第三人合法权益的，乙方应承担全部法律责任，若因此导致甲方产生经济损失的，甲方有权进行追偿。</w:t>
      </w:r>
    </w:p>
    <w:p w14:paraId="12790685">
      <w:pPr>
        <w:keepNext w:val="0"/>
        <w:keepLines w:val="0"/>
        <w:pageBreakBefore w:val="0"/>
        <w:widowControl w:val="0"/>
        <w:kinsoku/>
        <w:wordWrap/>
        <w:overflowPunct/>
        <w:topLinePunct w:val="0"/>
        <w:autoSpaceDE w:val="0"/>
        <w:autoSpaceDN w:val="0"/>
        <w:bidi w:val="0"/>
        <w:adjustRightInd w:val="0"/>
        <w:snapToGrid w:val="0"/>
        <w:spacing w:line="360" w:lineRule="auto"/>
        <w:ind w:firstLine="643" w:firstLineChars="200"/>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lang w:val="en-US" w:eastAsia="zh-CN"/>
        </w:rPr>
        <w:t>七</w:t>
      </w:r>
      <w:r>
        <w:rPr>
          <w:rFonts w:hint="eastAsia" w:ascii="仿宋_GB2312" w:hAnsi="仿宋_GB2312" w:eastAsia="仿宋_GB2312" w:cs="仿宋_GB2312"/>
          <w:b/>
          <w:bCs w:val="0"/>
          <w:sz w:val="32"/>
          <w:szCs w:val="32"/>
        </w:rPr>
        <w:t>、验收</w:t>
      </w:r>
    </w:p>
    <w:p w14:paraId="0B1D0788">
      <w:pPr>
        <w:keepNext w:val="0"/>
        <w:keepLines w:val="0"/>
        <w:pageBreakBefore w:val="0"/>
        <w:widowControl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（一）本项目验收费用，由乙方自行承担。</w:t>
      </w:r>
    </w:p>
    <w:p w14:paraId="7509B3D1">
      <w:pPr>
        <w:keepNext w:val="0"/>
        <w:keepLines w:val="0"/>
        <w:pageBreakBefore w:val="0"/>
        <w:widowControl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（二）服务期满后，由乙方向甲方递交验收通知书，经甲方确认后，组织乙方进行系统验收。验收合格后，填写项目验收单作为对本次服务的最终认可。</w:t>
      </w:r>
    </w:p>
    <w:p w14:paraId="51EAB3B4">
      <w:pPr>
        <w:keepNext w:val="0"/>
        <w:keepLines w:val="0"/>
        <w:pageBreakBefore w:val="0"/>
        <w:widowControl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（三）验收依据：</w:t>
      </w:r>
    </w:p>
    <w:p w14:paraId="069B9164">
      <w:pPr>
        <w:keepNext w:val="0"/>
        <w:keepLines w:val="0"/>
        <w:pageBreakBefore w:val="0"/>
        <w:widowControl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1.本合同及附加文本。</w:t>
      </w:r>
    </w:p>
    <w:p w14:paraId="0F302FAA">
      <w:pPr>
        <w:keepNext w:val="0"/>
        <w:keepLines w:val="0"/>
        <w:pageBreakBefore w:val="0"/>
        <w:widowControl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2.单一来源采购文件、成交供应商的响应文件及澄清（承诺）函。</w:t>
      </w:r>
    </w:p>
    <w:p w14:paraId="6FD1A21E">
      <w:pPr>
        <w:keepNext w:val="0"/>
        <w:keepLines w:val="0"/>
        <w:pageBreakBefore w:val="0"/>
        <w:widowControl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3.国家相应的标准、规范。</w:t>
      </w:r>
    </w:p>
    <w:p w14:paraId="3523C240">
      <w:pPr>
        <w:keepNext w:val="0"/>
        <w:keepLines w:val="0"/>
        <w:pageBreakBefore w:val="0"/>
        <w:widowControl w:val="0"/>
        <w:kinsoku/>
        <w:wordWrap/>
        <w:overflowPunct/>
        <w:topLinePunct w:val="0"/>
        <w:autoSpaceDE w:val="0"/>
        <w:autoSpaceDN w:val="0"/>
        <w:bidi w:val="0"/>
        <w:adjustRightInd w:val="0"/>
        <w:snapToGrid w:val="0"/>
        <w:spacing w:line="360" w:lineRule="auto"/>
        <w:ind w:firstLine="643" w:firstLineChars="200"/>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lang w:val="en-US" w:eastAsia="zh-CN"/>
        </w:rPr>
        <w:t>八</w:t>
      </w:r>
      <w:r>
        <w:rPr>
          <w:rFonts w:hint="eastAsia" w:ascii="仿宋_GB2312" w:hAnsi="仿宋_GB2312" w:eastAsia="仿宋_GB2312" w:cs="仿宋_GB2312"/>
          <w:b/>
          <w:bCs w:val="0"/>
          <w:sz w:val="32"/>
          <w:szCs w:val="32"/>
        </w:rPr>
        <w:t>、知识产权</w:t>
      </w:r>
      <w:bookmarkEnd w:id="0"/>
    </w:p>
    <w:p w14:paraId="3FFF00E3">
      <w:pPr>
        <w:keepNext w:val="0"/>
        <w:keepLines w:val="0"/>
        <w:pageBreakBefore w:val="0"/>
        <w:widowControl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（一）本项目知识产权归甲方所有。</w:t>
      </w:r>
    </w:p>
    <w:p w14:paraId="15A7B18F">
      <w:pPr>
        <w:keepNext w:val="0"/>
        <w:keepLines w:val="0"/>
        <w:pageBreakBefore w:val="0"/>
        <w:widowControl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（二）乙方无论出于任何目的如在其他地方使用该成果，必须经甲方同意方可使用。否则，贵甲方有权要求终止涉及到该中标知识产权的任何使用活动并保留追究卖方相应的法律责任的权利。</w:t>
      </w:r>
    </w:p>
    <w:p w14:paraId="5603382E">
      <w:pPr>
        <w:keepNext w:val="0"/>
        <w:keepLines w:val="0"/>
        <w:pageBreakBefore w:val="0"/>
        <w:widowControl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lang w:val="zh-CN"/>
        </w:rPr>
      </w:pPr>
      <w:r>
        <w:rPr>
          <w:rFonts w:hint="eastAsia" w:ascii="仿宋_GB2312" w:hAnsi="仿宋_GB2312" w:eastAsia="仿宋_GB2312" w:cs="仿宋_GB2312"/>
          <w:bCs/>
          <w:sz w:val="32"/>
          <w:szCs w:val="32"/>
        </w:rPr>
        <w:t>（三）乙方为执行本合同而提供的技术资料使用权归甲方所有。</w:t>
      </w:r>
    </w:p>
    <w:p w14:paraId="512284B4">
      <w:pPr>
        <w:keepNext w:val="0"/>
        <w:keepLines w:val="0"/>
        <w:pageBreakBefore w:val="0"/>
        <w:widowControl w:val="0"/>
        <w:kinsoku/>
        <w:wordWrap/>
        <w:overflowPunct/>
        <w:topLinePunct w:val="0"/>
        <w:autoSpaceDE w:val="0"/>
        <w:autoSpaceDN w:val="0"/>
        <w:bidi w:val="0"/>
        <w:adjustRightInd w:val="0"/>
        <w:snapToGrid w:val="0"/>
        <w:spacing w:line="360" w:lineRule="auto"/>
        <w:ind w:firstLine="643" w:firstLineChars="200"/>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lang w:val="en-US" w:eastAsia="zh-CN"/>
        </w:rPr>
        <w:t>九</w:t>
      </w:r>
      <w:r>
        <w:rPr>
          <w:rFonts w:hint="eastAsia" w:ascii="仿宋_GB2312" w:hAnsi="仿宋_GB2312" w:eastAsia="仿宋_GB2312" w:cs="仿宋_GB2312"/>
          <w:b/>
          <w:bCs w:val="0"/>
          <w:sz w:val="32"/>
          <w:szCs w:val="32"/>
        </w:rPr>
        <w:t>、保密条款</w:t>
      </w:r>
    </w:p>
    <w:p w14:paraId="49B1B863">
      <w:pPr>
        <w:keepNext w:val="0"/>
        <w:keepLines w:val="0"/>
        <w:pageBreakBefore w:val="0"/>
        <w:kinsoku/>
        <w:wordWrap/>
        <w:overflowPunct/>
        <w:topLinePunct w:val="0"/>
        <w:bidi w:val="0"/>
        <w:snapToGrid w:val="0"/>
        <w:spacing w:line="360" w:lineRule="auto"/>
        <w:ind w:firstLine="640" w:firstLineChars="200"/>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sz w:val="32"/>
          <w:szCs w:val="32"/>
        </w:rPr>
        <w:t>甲、乙双方应永久恪守因签署或履行本合同而获知的对方秘密信息及其它秘密资料。任何一方如将获知的对方秘密信息泄露给第三方，应赔偿因泄密而给对方造成的一切损失并承担相应的法律责任（包括</w:t>
      </w:r>
      <w:r>
        <w:rPr>
          <w:rFonts w:hint="eastAsia" w:ascii="仿宋_GB2312" w:hAnsi="仿宋_GB2312" w:eastAsia="仿宋_GB2312" w:cs="仿宋_GB2312"/>
          <w:b w:val="0"/>
          <w:bCs/>
          <w:color w:val="auto"/>
          <w:sz w:val="32"/>
          <w:szCs w:val="32"/>
        </w:rPr>
        <w:t>刑事责任）。</w:t>
      </w:r>
    </w:p>
    <w:p w14:paraId="6259A7BC">
      <w:pPr>
        <w:keepNext w:val="0"/>
        <w:keepLines w:val="0"/>
        <w:pageBreakBefore w:val="0"/>
        <w:kinsoku/>
        <w:wordWrap/>
        <w:overflowPunct/>
        <w:topLinePunct w:val="0"/>
        <w:autoSpaceDE w:val="0"/>
        <w:autoSpaceDN w:val="0"/>
        <w:bidi w:val="0"/>
        <w:adjustRightInd w:val="0"/>
        <w:snapToGrid w:val="0"/>
        <w:spacing w:line="360" w:lineRule="auto"/>
        <w:ind w:firstLine="643" w:firstLineChars="200"/>
        <w:textAlignment w:val="auto"/>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lang w:val="en-US" w:eastAsia="zh-CN"/>
        </w:rPr>
        <w:t>十</w:t>
      </w:r>
      <w:r>
        <w:rPr>
          <w:rFonts w:hint="eastAsia" w:ascii="仿宋_GB2312" w:hAnsi="仿宋_GB2312" w:eastAsia="仿宋_GB2312" w:cs="仿宋_GB2312"/>
          <w:b/>
          <w:bCs w:val="0"/>
          <w:color w:val="auto"/>
          <w:sz w:val="32"/>
          <w:szCs w:val="32"/>
        </w:rPr>
        <w:t>、违约责任</w:t>
      </w:r>
    </w:p>
    <w:p w14:paraId="05FAA155">
      <w:pPr>
        <w:keepNext w:val="0"/>
        <w:keepLines w:val="0"/>
        <w:pageBreakBefore w:val="0"/>
        <w:kinsoku/>
        <w:wordWrap/>
        <w:overflowPunct/>
        <w:topLinePunct w:val="0"/>
        <w:bidi w:val="0"/>
        <w:adjustRightInd w:val="0"/>
        <w:snapToGrid w:val="0"/>
        <w:spacing w:line="360" w:lineRule="auto"/>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（一）在未取得对方书面同意的情况下，任何一方均不能将本合同有关权利义务转让给第三方，否则视为根本违约，守约方可以立即解除合同，并要求违约方承担因此造成的所有实际损失。</w:t>
      </w:r>
    </w:p>
    <w:p w14:paraId="4D4B0AB5">
      <w:pPr>
        <w:keepNext w:val="0"/>
        <w:keepLines w:val="0"/>
        <w:pageBreakBefore w:val="0"/>
        <w:kinsoku/>
        <w:wordWrap/>
        <w:overflowPunct/>
        <w:topLinePunct w:val="0"/>
        <w:bidi w:val="0"/>
        <w:adjustRightInd w:val="0"/>
        <w:snapToGrid w:val="0"/>
        <w:spacing w:line="360" w:lineRule="auto"/>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二）乙方怠于履行本合同义务，因自身原因导致在合同期内未完成服务内容、未达到服务要求、或服务方式不符合合同的约定，乙方应在甲方要求的期限内采取补救、整改措施直至达到合同的要求，乙方应承担由此产生的一切费用。</w:t>
      </w:r>
    </w:p>
    <w:p w14:paraId="5B19A3DB">
      <w:pPr>
        <w:keepNext w:val="0"/>
        <w:keepLines w:val="0"/>
        <w:pageBreakBefore w:val="0"/>
        <w:kinsoku/>
        <w:wordWrap/>
        <w:overflowPunct/>
        <w:topLinePunct w:val="0"/>
        <w:bidi w:val="0"/>
        <w:adjustRightInd w:val="0"/>
        <w:snapToGrid w:val="0"/>
        <w:spacing w:line="360" w:lineRule="auto"/>
        <w:ind w:firstLine="640" w:firstLineChars="200"/>
        <w:textAlignment w:val="auto"/>
        <w:rPr>
          <w:rFonts w:hint="default"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乙方拒不采取补救、整改措施或采取措施后仍不符合要求的，甲方有权解除合同，乙方应向甲方支付合同总金额20%的违约金。</w:t>
      </w:r>
    </w:p>
    <w:p w14:paraId="48982D90">
      <w:pPr>
        <w:keepNext w:val="0"/>
        <w:keepLines w:val="0"/>
        <w:pageBreakBefore w:val="0"/>
        <w:kinsoku/>
        <w:wordWrap/>
        <w:overflowPunct/>
        <w:topLinePunct w:val="0"/>
        <w:bidi w:val="0"/>
        <w:adjustRightInd w:val="0"/>
        <w:snapToGrid w:val="0"/>
        <w:spacing w:line="360" w:lineRule="auto"/>
        <w:ind w:firstLine="640" w:firstLineChars="200"/>
        <w:textAlignment w:val="auto"/>
        <w:rPr>
          <w:rFonts w:hint="eastAsia" w:ascii="仿宋_GB2312" w:hAnsi="仿宋_GB2312" w:eastAsia="仿宋_GB2312" w:cs="仿宋_GB2312"/>
          <w:b w:val="0"/>
          <w:bCs/>
          <w:color w:val="auto"/>
          <w:sz w:val="32"/>
          <w:szCs w:val="32"/>
          <w:lang w:val="zh-CN" w:eastAsia="zh-CN"/>
        </w:rPr>
      </w:pPr>
      <w:r>
        <w:rPr>
          <w:rFonts w:hint="eastAsia" w:ascii="仿宋_GB2312" w:hAnsi="仿宋_GB2312" w:eastAsia="仿宋_GB2312" w:cs="仿宋_GB2312"/>
          <w:b w:val="0"/>
          <w:bCs/>
          <w:color w:val="auto"/>
          <w:sz w:val="32"/>
          <w:szCs w:val="32"/>
          <w:lang w:val="zh-CN" w:eastAsia="zh-CN"/>
        </w:rPr>
        <w:t>（三）乙方违反保密义务的，应向甲方支付合同总金额</w:t>
      </w:r>
      <w:r>
        <w:rPr>
          <w:rFonts w:hint="eastAsia" w:ascii="仿宋_GB2312" w:hAnsi="仿宋_GB2312" w:eastAsia="仿宋_GB2312" w:cs="仿宋_GB2312"/>
          <w:b w:val="0"/>
          <w:bCs/>
          <w:color w:val="auto"/>
          <w:sz w:val="32"/>
          <w:szCs w:val="32"/>
          <w:lang w:val="en-US" w:eastAsia="zh-CN"/>
        </w:rPr>
        <w:t>20</w:t>
      </w:r>
      <w:r>
        <w:rPr>
          <w:rFonts w:hint="eastAsia" w:ascii="仿宋_GB2312" w:hAnsi="仿宋_GB2312" w:eastAsia="仿宋_GB2312" w:cs="仿宋_GB2312"/>
          <w:b w:val="0"/>
          <w:bCs/>
          <w:color w:val="auto"/>
          <w:sz w:val="32"/>
          <w:szCs w:val="32"/>
          <w:lang w:val="zh-CN" w:eastAsia="zh-CN"/>
        </w:rPr>
        <w:t>%的违约金，违约金不足以弥补给甲方造成的损失的，乙方还应赔偿甲方全部损失。</w:t>
      </w:r>
    </w:p>
    <w:p w14:paraId="4BB9249D">
      <w:pPr>
        <w:keepNext w:val="0"/>
        <w:keepLines w:val="0"/>
        <w:pageBreakBefore w:val="0"/>
        <w:kinsoku/>
        <w:wordWrap/>
        <w:overflowPunct/>
        <w:topLinePunct w:val="0"/>
        <w:autoSpaceDE w:val="0"/>
        <w:autoSpaceDN w:val="0"/>
        <w:bidi w:val="0"/>
        <w:adjustRightInd w:val="0"/>
        <w:snapToGrid w:val="0"/>
        <w:spacing w:line="360" w:lineRule="auto"/>
        <w:ind w:firstLine="643" w:firstLineChars="200"/>
        <w:textAlignment w:val="auto"/>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十</w:t>
      </w:r>
      <w:r>
        <w:rPr>
          <w:rFonts w:hint="eastAsia" w:ascii="仿宋_GB2312" w:hAnsi="仿宋_GB2312" w:eastAsia="仿宋_GB2312" w:cs="仿宋_GB2312"/>
          <w:b/>
          <w:bCs w:val="0"/>
          <w:color w:val="auto"/>
          <w:sz w:val="32"/>
          <w:szCs w:val="32"/>
          <w:lang w:val="en-US" w:eastAsia="zh-CN"/>
        </w:rPr>
        <w:t>一</w:t>
      </w:r>
      <w:r>
        <w:rPr>
          <w:rFonts w:hint="eastAsia" w:ascii="仿宋_GB2312" w:hAnsi="仿宋_GB2312" w:eastAsia="仿宋_GB2312" w:cs="仿宋_GB2312"/>
          <w:b/>
          <w:bCs w:val="0"/>
          <w:color w:val="auto"/>
          <w:sz w:val="32"/>
          <w:szCs w:val="32"/>
        </w:rPr>
        <w:t>、不可抗力</w:t>
      </w:r>
    </w:p>
    <w:p w14:paraId="23A79013">
      <w:pPr>
        <w:keepNext w:val="0"/>
        <w:keepLines w:val="0"/>
        <w:pageBreakBefore w:val="0"/>
        <w:kinsoku/>
        <w:wordWrap/>
        <w:overflowPunct/>
        <w:topLinePunct w:val="0"/>
        <w:bidi w:val="0"/>
        <w:adjustRightInd w:val="0"/>
        <w:snapToGrid w:val="0"/>
        <w:spacing w:line="360" w:lineRule="auto"/>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eastAsia="zh-CN"/>
        </w:rPr>
        <w:t>如果本合同的其中一方因受战争、火灾、洪水、台风、地震、国内骚乱或其它灾害影响，而不能履行本合同，则履约时间应被相应地延长，而且对于因延时而造成的损失，任何一方都不承担责任。</w:t>
      </w:r>
    </w:p>
    <w:p w14:paraId="2F74CEFA">
      <w:pPr>
        <w:keepNext w:val="0"/>
        <w:keepLines w:val="0"/>
        <w:pageBreakBefore w:val="0"/>
        <w:widowControl w:val="0"/>
        <w:kinsoku/>
        <w:wordWrap/>
        <w:overflowPunct/>
        <w:topLinePunct w:val="0"/>
        <w:autoSpaceDE w:val="0"/>
        <w:autoSpaceDN w:val="0"/>
        <w:bidi w:val="0"/>
        <w:adjustRightInd w:val="0"/>
        <w:snapToGrid w:val="0"/>
        <w:spacing w:line="360" w:lineRule="auto"/>
        <w:ind w:firstLine="643" w:firstLineChars="200"/>
        <w:textAlignment w:val="auto"/>
        <w:rPr>
          <w:rFonts w:hint="eastAsia" w:ascii="仿宋_GB2312" w:hAnsi="仿宋_GB2312" w:eastAsia="仿宋_GB2312" w:cs="仿宋_GB2312"/>
          <w:bCs/>
          <w:color w:val="auto"/>
          <w:sz w:val="32"/>
          <w:szCs w:val="32"/>
        </w:rPr>
      </w:pPr>
      <w:bookmarkStart w:id="1" w:name="_Toc1025"/>
      <w:r>
        <w:rPr>
          <w:rFonts w:hint="eastAsia" w:ascii="仿宋_GB2312" w:hAnsi="仿宋_GB2312" w:eastAsia="仿宋_GB2312" w:cs="仿宋_GB2312"/>
          <w:b/>
          <w:bCs/>
          <w:color w:val="auto"/>
          <w:sz w:val="32"/>
          <w:szCs w:val="32"/>
          <w:lang w:val="en-US" w:eastAsia="zh-CN"/>
        </w:rPr>
        <w:t>十二</w:t>
      </w:r>
      <w:r>
        <w:rPr>
          <w:rFonts w:hint="eastAsia" w:ascii="仿宋_GB2312" w:hAnsi="仿宋_GB2312" w:eastAsia="仿宋_GB2312" w:cs="仿宋_GB2312"/>
          <w:b/>
          <w:bCs/>
          <w:color w:val="auto"/>
          <w:sz w:val="32"/>
          <w:szCs w:val="32"/>
        </w:rPr>
        <w:t>、合同争议解决的方式</w:t>
      </w:r>
    </w:p>
    <w:p w14:paraId="76C191DE">
      <w:pPr>
        <w:keepNext w:val="0"/>
        <w:keepLines w:val="0"/>
        <w:pageBreakBefore w:val="0"/>
        <w:widowControl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本合同在履行过程中发生的争议，由甲、乙双方当事人协商解决，协商不成的按下列第</w:t>
      </w:r>
      <w:r>
        <w:rPr>
          <w:rFonts w:hint="eastAsia" w:ascii="仿宋_GB2312" w:hAnsi="仿宋_GB2312" w:eastAsia="仿宋_GB2312" w:cs="仿宋_GB2312"/>
          <w:bCs/>
          <w:color w:val="auto"/>
          <w:sz w:val="32"/>
          <w:szCs w:val="32"/>
          <w:u w:val="single"/>
        </w:rPr>
        <w:t xml:space="preserve"> 2 </w:t>
      </w:r>
      <w:r>
        <w:rPr>
          <w:rFonts w:hint="eastAsia" w:ascii="仿宋_GB2312" w:hAnsi="仿宋_GB2312" w:eastAsia="仿宋_GB2312" w:cs="仿宋_GB2312"/>
          <w:bCs/>
          <w:color w:val="auto"/>
          <w:sz w:val="32"/>
          <w:szCs w:val="32"/>
        </w:rPr>
        <w:t>种方式解决：</w:t>
      </w:r>
    </w:p>
    <w:p w14:paraId="621C8B8F">
      <w:pPr>
        <w:keepNext w:val="0"/>
        <w:keepLines w:val="0"/>
        <w:pageBreakBefore w:val="0"/>
        <w:widowControl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（一）提交甲方所在地仲裁委员会仲裁。</w:t>
      </w:r>
    </w:p>
    <w:p w14:paraId="77CA60A2">
      <w:pPr>
        <w:pStyle w:val="5"/>
        <w:keepNext w:val="0"/>
        <w:keepLines w:val="0"/>
        <w:pageBreakBefore w:val="0"/>
        <w:kinsoku/>
        <w:wordWrap/>
        <w:overflowPunct/>
        <w:topLinePunct w:val="0"/>
        <w:bidi w:val="0"/>
        <w:snapToGrid w:val="0"/>
        <w:spacing w:line="360" w:lineRule="auto"/>
        <w:ind w:firstLine="640" w:firstLineChars="200"/>
        <w:textAlignment w:val="auto"/>
        <w:rPr>
          <w:color w:val="auto"/>
        </w:rPr>
      </w:pPr>
      <w:r>
        <w:rPr>
          <w:rFonts w:hint="eastAsia" w:ascii="仿宋_GB2312" w:hAnsi="仿宋_GB2312" w:eastAsia="仿宋_GB2312" w:cs="仿宋_GB2312"/>
          <w:bCs/>
          <w:color w:val="auto"/>
          <w:sz w:val="32"/>
          <w:szCs w:val="32"/>
        </w:rPr>
        <w:t>（二）依法向甲方所在地人民法院起诉。</w:t>
      </w:r>
    </w:p>
    <w:p w14:paraId="7B0890B5">
      <w:pPr>
        <w:keepNext w:val="0"/>
        <w:keepLines w:val="0"/>
        <w:pageBreakBefore w:val="0"/>
        <w:kinsoku/>
        <w:wordWrap/>
        <w:overflowPunct/>
        <w:topLinePunct w:val="0"/>
        <w:autoSpaceDE w:val="0"/>
        <w:autoSpaceDN w:val="0"/>
        <w:bidi w:val="0"/>
        <w:adjustRightInd w:val="0"/>
        <w:snapToGrid w:val="0"/>
        <w:spacing w:line="360" w:lineRule="auto"/>
        <w:ind w:firstLine="643" w:firstLineChars="200"/>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十三、</w:t>
      </w:r>
      <w:bookmarkEnd w:id="1"/>
      <w:r>
        <w:rPr>
          <w:rFonts w:hint="eastAsia" w:ascii="仿宋_GB2312" w:hAnsi="仿宋_GB2312" w:eastAsia="仿宋_GB2312" w:cs="仿宋_GB2312"/>
          <w:b/>
          <w:sz w:val="32"/>
          <w:szCs w:val="32"/>
          <w:lang w:val="en-US" w:eastAsia="zh-CN"/>
        </w:rPr>
        <w:t>合同生效</w:t>
      </w:r>
    </w:p>
    <w:p w14:paraId="0695FC14">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（一）本合同须经甲、乙双方的法定代表人（授权代表）在合同书上签字并加盖本单位公章后正式生效。</w:t>
      </w:r>
    </w:p>
    <w:p w14:paraId="5FA9A433">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二</w:t>
      </w:r>
      <w:r>
        <w:rPr>
          <w:rFonts w:hint="eastAsia" w:ascii="仿宋_GB2312" w:hAnsi="仿宋_GB2312" w:eastAsia="仿宋_GB2312" w:cs="仿宋_GB2312"/>
          <w:bCs/>
          <w:sz w:val="32"/>
          <w:szCs w:val="32"/>
        </w:rPr>
        <w:t>）本合同一式</w:t>
      </w:r>
      <w:r>
        <w:rPr>
          <w:rFonts w:hint="eastAsia" w:ascii="仿宋_GB2312" w:hAnsi="仿宋_GB2312" w:eastAsia="仿宋_GB2312" w:cs="仿宋_GB2312"/>
          <w:bCs/>
          <w:sz w:val="32"/>
          <w:szCs w:val="32"/>
          <w:u w:val="single"/>
        </w:rPr>
        <w:t xml:space="preserve">   </w:t>
      </w:r>
      <w:r>
        <w:rPr>
          <w:rFonts w:hint="eastAsia" w:ascii="仿宋_GB2312" w:hAnsi="仿宋_GB2312" w:eastAsia="仿宋_GB2312" w:cs="仿宋_GB2312"/>
          <w:bCs/>
          <w:sz w:val="32"/>
          <w:szCs w:val="32"/>
        </w:rPr>
        <w:t>份，甲乙双方各执</w:t>
      </w:r>
      <w:r>
        <w:rPr>
          <w:rFonts w:hint="eastAsia" w:ascii="仿宋_GB2312" w:hAnsi="仿宋_GB2312" w:eastAsia="仿宋_GB2312" w:cs="仿宋_GB2312"/>
          <w:bCs/>
          <w:sz w:val="32"/>
          <w:szCs w:val="32"/>
          <w:u w:val="single"/>
        </w:rPr>
        <w:t xml:space="preserve">    </w:t>
      </w:r>
      <w:r>
        <w:rPr>
          <w:rFonts w:hint="eastAsia" w:ascii="仿宋_GB2312" w:hAnsi="仿宋_GB2312" w:eastAsia="仿宋_GB2312" w:cs="仿宋_GB2312"/>
          <w:bCs/>
          <w:sz w:val="32"/>
          <w:szCs w:val="32"/>
        </w:rPr>
        <w:t>份</w:t>
      </w:r>
      <w:r>
        <w:rPr>
          <w:rFonts w:hint="default" w:ascii="仿宋_GB2312" w:hAnsi="仿宋_GB2312" w:eastAsia="仿宋_GB2312" w:cs="仿宋_GB2312"/>
          <w:bCs/>
          <w:sz w:val="32"/>
          <w:szCs w:val="32"/>
          <w:lang w:val="en-US"/>
        </w:rPr>
        <w:t>,</w:t>
      </w:r>
      <w:r>
        <w:rPr>
          <w:rFonts w:hint="eastAsia" w:ascii="仿宋_GB2312" w:hAnsi="仿宋_GB2312" w:eastAsia="仿宋_GB2312" w:cs="仿宋_GB2312"/>
          <w:bCs/>
          <w:sz w:val="32"/>
          <w:szCs w:val="32"/>
          <w:lang w:val="en-US" w:eastAsia="zh-CN"/>
        </w:rPr>
        <w:t>具有同等法律效力</w:t>
      </w:r>
      <w:r>
        <w:rPr>
          <w:rFonts w:hint="eastAsia" w:ascii="仿宋_GB2312" w:hAnsi="仿宋_GB2312" w:eastAsia="仿宋_GB2312" w:cs="仿宋_GB2312"/>
          <w:bCs/>
          <w:sz w:val="32"/>
          <w:szCs w:val="32"/>
        </w:rPr>
        <w:t>。</w:t>
      </w:r>
    </w:p>
    <w:p w14:paraId="512274A3">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三</w:t>
      </w:r>
      <w:r>
        <w:rPr>
          <w:rFonts w:hint="eastAsia" w:ascii="仿宋_GB2312" w:hAnsi="仿宋_GB2312" w:eastAsia="仿宋_GB2312" w:cs="仿宋_GB2312"/>
          <w:bCs/>
          <w:sz w:val="32"/>
          <w:szCs w:val="32"/>
        </w:rPr>
        <w:t>）本合同如有未尽事宜，甲、乙双方协商解决。</w:t>
      </w:r>
    </w:p>
    <w:p w14:paraId="3B8B866A">
      <w:pPr>
        <w:pStyle w:val="6"/>
        <w:keepNext w:val="0"/>
        <w:keepLines w:val="0"/>
        <w:pageBreakBefore w:val="0"/>
        <w:kinsoku/>
        <w:wordWrap/>
        <w:overflowPunct/>
        <w:topLinePunct w:val="0"/>
        <w:bidi w:val="0"/>
        <w:snapToGrid w:val="0"/>
        <w:spacing w:line="360" w:lineRule="auto"/>
        <w:textAlignment w:val="auto"/>
        <w:rPr>
          <w:rFonts w:hint="eastAsia" w:ascii="仿宋_GB2312" w:hAnsi="仿宋_GB2312" w:eastAsia="仿宋_GB2312" w:cs="仿宋_GB2312"/>
          <w:sz w:val="32"/>
          <w:szCs w:val="32"/>
        </w:rPr>
      </w:pPr>
    </w:p>
    <w:tbl>
      <w:tblPr>
        <w:tblStyle w:val="13"/>
        <w:tblW w:w="0" w:type="auto"/>
        <w:jc w:val="center"/>
        <w:tblLayout w:type="fixed"/>
        <w:tblCellMar>
          <w:top w:w="0" w:type="dxa"/>
          <w:left w:w="108" w:type="dxa"/>
          <w:bottom w:w="0" w:type="dxa"/>
          <w:right w:w="108" w:type="dxa"/>
        </w:tblCellMar>
      </w:tblPr>
      <w:tblGrid>
        <w:gridCol w:w="4201"/>
        <w:gridCol w:w="4202"/>
      </w:tblGrid>
      <w:tr w14:paraId="045D8E3C">
        <w:tblPrEx>
          <w:tblCellMar>
            <w:top w:w="0" w:type="dxa"/>
            <w:left w:w="108" w:type="dxa"/>
            <w:bottom w:w="0" w:type="dxa"/>
            <w:right w:w="108" w:type="dxa"/>
          </w:tblCellMar>
        </w:tblPrEx>
        <w:trPr>
          <w:trHeight w:val="567" w:hRule="exact"/>
          <w:jc w:val="center"/>
        </w:trPr>
        <w:tc>
          <w:tcPr>
            <w:tcW w:w="4201" w:type="dxa"/>
            <w:noWrap w:val="0"/>
            <w:vAlign w:val="center"/>
          </w:tcPr>
          <w:p w14:paraId="171AD4EF">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rPr>
              <w:t>甲  方</w:t>
            </w:r>
          </w:p>
        </w:tc>
        <w:tc>
          <w:tcPr>
            <w:tcW w:w="4202" w:type="dxa"/>
            <w:noWrap w:val="0"/>
            <w:vAlign w:val="center"/>
          </w:tcPr>
          <w:p w14:paraId="2B8F046F">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rPr>
              <w:t>乙  方</w:t>
            </w:r>
          </w:p>
        </w:tc>
      </w:tr>
      <w:tr w14:paraId="41FE1E0A">
        <w:tblPrEx>
          <w:tblCellMar>
            <w:top w:w="0" w:type="dxa"/>
            <w:left w:w="108" w:type="dxa"/>
            <w:bottom w:w="0" w:type="dxa"/>
            <w:right w:w="108" w:type="dxa"/>
          </w:tblCellMar>
        </w:tblPrEx>
        <w:trPr>
          <w:trHeight w:val="567" w:hRule="exact"/>
          <w:jc w:val="center"/>
        </w:trPr>
        <w:tc>
          <w:tcPr>
            <w:tcW w:w="4201" w:type="dxa"/>
            <w:noWrap w:val="0"/>
            <w:vAlign w:val="center"/>
          </w:tcPr>
          <w:p w14:paraId="27258E6B">
            <w:pPr>
              <w:keepNext w:val="0"/>
              <w:keepLines w:val="0"/>
              <w:pageBreakBefore w:val="0"/>
              <w:kinsoku/>
              <w:wordWrap/>
              <w:overflowPunct/>
              <w:topLinePunct w:val="0"/>
              <w:autoSpaceDE w:val="0"/>
              <w:autoSpaceDN w:val="0"/>
              <w:bidi w:val="0"/>
              <w:adjustRightInd w:val="0"/>
              <w:snapToGrid w:val="0"/>
              <w:spacing w:line="360" w:lineRule="auto"/>
              <w:ind w:firstLine="980" w:firstLineChars="350"/>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rPr>
              <w:t>（盖章）</w:t>
            </w:r>
          </w:p>
        </w:tc>
        <w:tc>
          <w:tcPr>
            <w:tcW w:w="4202" w:type="dxa"/>
            <w:noWrap w:val="0"/>
            <w:vAlign w:val="center"/>
          </w:tcPr>
          <w:p w14:paraId="21535F19">
            <w:pPr>
              <w:keepNext w:val="0"/>
              <w:keepLines w:val="0"/>
              <w:pageBreakBefore w:val="0"/>
              <w:kinsoku/>
              <w:wordWrap/>
              <w:overflowPunct/>
              <w:topLinePunct w:val="0"/>
              <w:autoSpaceDE w:val="0"/>
              <w:autoSpaceDN w:val="0"/>
              <w:bidi w:val="0"/>
              <w:adjustRightInd w:val="0"/>
              <w:snapToGrid w:val="0"/>
              <w:spacing w:line="360" w:lineRule="auto"/>
              <w:ind w:firstLine="1120" w:firstLineChars="400"/>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rPr>
              <w:t>（盖章）</w:t>
            </w:r>
          </w:p>
        </w:tc>
      </w:tr>
      <w:tr w14:paraId="3E90C382">
        <w:tblPrEx>
          <w:tblCellMar>
            <w:top w:w="0" w:type="dxa"/>
            <w:left w:w="108" w:type="dxa"/>
            <w:bottom w:w="0" w:type="dxa"/>
            <w:right w:w="108" w:type="dxa"/>
          </w:tblCellMar>
        </w:tblPrEx>
        <w:trPr>
          <w:trHeight w:val="567" w:hRule="exact"/>
          <w:jc w:val="center"/>
        </w:trPr>
        <w:tc>
          <w:tcPr>
            <w:tcW w:w="4201" w:type="dxa"/>
            <w:noWrap w:val="0"/>
            <w:vAlign w:val="center"/>
          </w:tcPr>
          <w:p w14:paraId="179CA86F">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rPr>
              <w:t xml:space="preserve">地址： </w:t>
            </w:r>
          </w:p>
        </w:tc>
        <w:tc>
          <w:tcPr>
            <w:tcW w:w="4202" w:type="dxa"/>
            <w:noWrap w:val="0"/>
            <w:vAlign w:val="center"/>
          </w:tcPr>
          <w:p w14:paraId="54CC0E8C">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rPr>
              <w:t>地址：</w:t>
            </w:r>
          </w:p>
        </w:tc>
      </w:tr>
      <w:tr w14:paraId="22B9476C">
        <w:tblPrEx>
          <w:tblCellMar>
            <w:top w:w="0" w:type="dxa"/>
            <w:left w:w="108" w:type="dxa"/>
            <w:bottom w:w="0" w:type="dxa"/>
            <w:right w:w="108" w:type="dxa"/>
          </w:tblCellMar>
        </w:tblPrEx>
        <w:trPr>
          <w:trHeight w:val="567" w:hRule="exact"/>
          <w:jc w:val="center"/>
        </w:trPr>
        <w:tc>
          <w:tcPr>
            <w:tcW w:w="4201" w:type="dxa"/>
            <w:noWrap w:val="0"/>
            <w:vAlign w:val="center"/>
          </w:tcPr>
          <w:p w14:paraId="261BF422">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rPr>
              <w:t>法定代表人</w:t>
            </w:r>
          </w:p>
        </w:tc>
        <w:tc>
          <w:tcPr>
            <w:tcW w:w="4202" w:type="dxa"/>
            <w:noWrap w:val="0"/>
            <w:vAlign w:val="center"/>
          </w:tcPr>
          <w:p w14:paraId="7AED074E">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rPr>
              <w:t>法定代表人</w:t>
            </w:r>
          </w:p>
        </w:tc>
      </w:tr>
      <w:tr w14:paraId="18CC34CD">
        <w:tblPrEx>
          <w:tblCellMar>
            <w:top w:w="0" w:type="dxa"/>
            <w:left w:w="108" w:type="dxa"/>
            <w:bottom w:w="0" w:type="dxa"/>
            <w:right w:w="108" w:type="dxa"/>
          </w:tblCellMar>
        </w:tblPrEx>
        <w:trPr>
          <w:trHeight w:val="567" w:hRule="exact"/>
          <w:jc w:val="center"/>
        </w:trPr>
        <w:tc>
          <w:tcPr>
            <w:tcW w:w="4201" w:type="dxa"/>
            <w:noWrap w:val="0"/>
            <w:vAlign w:val="center"/>
          </w:tcPr>
          <w:p w14:paraId="67DD167F">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lang w:eastAsia="zh-CN"/>
              </w:rPr>
              <w:t>或</w:t>
            </w:r>
            <w:r>
              <w:rPr>
                <w:rFonts w:hint="eastAsia" w:ascii="仿宋_GB2312" w:hAnsi="仿宋_GB2312" w:eastAsia="仿宋_GB2312" w:cs="仿宋_GB2312"/>
                <w:spacing w:val="-20"/>
                <w:kern w:val="0"/>
                <w:sz w:val="32"/>
                <w:szCs w:val="32"/>
              </w:rPr>
              <w:t>授权代表：</w:t>
            </w:r>
          </w:p>
        </w:tc>
        <w:tc>
          <w:tcPr>
            <w:tcW w:w="4202" w:type="dxa"/>
            <w:noWrap w:val="0"/>
            <w:vAlign w:val="center"/>
          </w:tcPr>
          <w:p w14:paraId="44384F4D">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lang w:eastAsia="zh-CN"/>
              </w:rPr>
              <w:t>或</w:t>
            </w:r>
            <w:r>
              <w:rPr>
                <w:rFonts w:hint="eastAsia" w:ascii="仿宋_GB2312" w:hAnsi="仿宋_GB2312" w:eastAsia="仿宋_GB2312" w:cs="仿宋_GB2312"/>
                <w:spacing w:val="-20"/>
                <w:kern w:val="0"/>
                <w:sz w:val="32"/>
                <w:szCs w:val="32"/>
              </w:rPr>
              <w:t>授权代表：</w:t>
            </w:r>
          </w:p>
        </w:tc>
      </w:tr>
      <w:tr w14:paraId="719D6CDF">
        <w:tblPrEx>
          <w:tblCellMar>
            <w:top w:w="0" w:type="dxa"/>
            <w:left w:w="108" w:type="dxa"/>
            <w:bottom w:w="0" w:type="dxa"/>
            <w:right w:w="108" w:type="dxa"/>
          </w:tblCellMar>
        </w:tblPrEx>
        <w:trPr>
          <w:trHeight w:val="567" w:hRule="exact"/>
          <w:jc w:val="center"/>
        </w:trPr>
        <w:tc>
          <w:tcPr>
            <w:tcW w:w="4201" w:type="dxa"/>
            <w:noWrap w:val="0"/>
            <w:vAlign w:val="center"/>
          </w:tcPr>
          <w:p w14:paraId="023212EE">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rPr>
              <w:t>电话：</w:t>
            </w:r>
          </w:p>
        </w:tc>
        <w:tc>
          <w:tcPr>
            <w:tcW w:w="4202" w:type="dxa"/>
            <w:noWrap w:val="0"/>
            <w:vAlign w:val="center"/>
          </w:tcPr>
          <w:p w14:paraId="2CFE2EAA">
            <w:pPr>
              <w:keepNext w:val="0"/>
              <w:keepLines w:val="0"/>
              <w:pageBreakBefore w:val="0"/>
              <w:kinsoku/>
              <w:wordWrap/>
              <w:overflowPunct/>
              <w:topLinePunct w:val="0"/>
              <w:autoSpaceDE w:val="0"/>
              <w:autoSpaceDN w:val="0"/>
              <w:bidi w:val="0"/>
              <w:adjustRightInd w:val="0"/>
              <w:snapToGrid w:val="0"/>
              <w:spacing w:line="360" w:lineRule="auto"/>
              <w:ind w:left="840" w:hanging="840" w:hangingChars="300"/>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rPr>
              <w:t>电话：</w:t>
            </w:r>
          </w:p>
        </w:tc>
      </w:tr>
      <w:tr w14:paraId="7127714F">
        <w:tblPrEx>
          <w:tblCellMar>
            <w:top w:w="0" w:type="dxa"/>
            <w:left w:w="108" w:type="dxa"/>
            <w:bottom w:w="0" w:type="dxa"/>
            <w:right w:w="108" w:type="dxa"/>
          </w:tblCellMar>
        </w:tblPrEx>
        <w:trPr>
          <w:trHeight w:val="567" w:hRule="exact"/>
          <w:jc w:val="center"/>
        </w:trPr>
        <w:tc>
          <w:tcPr>
            <w:tcW w:w="4201" w:type="dxa"/>
            <w:noWrap w:val="0"/>
            <w:vAlign w:val="center"/>
          </w:tcPr>
          <w:p w14:paraId="7E38B9E5">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rPr>
              <w:t>传真：</w:t>
            </w:r>
          </w:p>
        </w:tc>
        <w:tc>
          <w:tcPr>
            <w:tcW w:w="4202" w:type="dxa"/>
            <w:noWrap w:val="0"/>
            <w:vAlign w:val="center"/>
          </w:tcPr>
          <w:p w14:paraId="7DD73F66">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rPr>
              <w:t>传真：</w:t>
            </w:r>
          </w:p>
        </w:tc>
      </w:tr>
      <w:tr w14:paraId="28878667">
        <w:tblPrEx>
          <w:tblCellMar>
            <w:top w:w="0" w:type="dxa"/>
            <w:left w:w="108" w:type="dxa"/>
            <w:bottom w:w="0" w:type="dxa"/>
            <w:right w:w="108" w:type="dxa"/>
          </w:tblCellMar>
        </w:tblPrEx>
        <w:trPr>
          <w:trHeight w:val="567" w:hRule="exact"/>
          <w:jc w:val="center"/>
        </w:trPr>
        <w:tc>
          <w:tcPr>
            <w:tcW w:w="4201" w:type="dxa"/>
            <w:noWrap w:val="0"/>
            <w:vAlign w:val="center"/>
          </w:tcPr>
          <w:p w14:paraId="26BB8F6D">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rPr>
              <w:t>开户银行：</w:t>
            </w:r>
          </w:p>
        </w:tc>
        <w:tc>
          <w:tcPr>
            <w:tcW w:w="4202" w:type="dxa"/>
            <w:noWrap w:val="0"/>
            <w:vAlign w:val="center"/>
          </w:tcPr>
          <w:p w14:paraId="478AA0C2">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rPr>
              <w:t>开户银行：</w:t>
            </w:r>
          </w:p>
        </w:tc>
      </w:tr>
      <w:tr w14:paraId="62CD0BCC">
        <w:tblPrEx>
          <w:tblCellMar>
            <w:top w:w="0" w:type="dxa"/>
            <w:left w:w="108" w:type="dxa"/>
            <w:bottom w:w="0" w:type="dxa"/>
            <w:right w:w="108" w:type="dxa"/>
          </w:tblCellMar>
        </w:tblPrEx>
        <w:trPr>
          <w:trHeight w:val="567" w:hRule="exact"/>
          <w:jc w:val="center"/>
        </w:trPr>
        <w:tc>
          <w:tcPr>
            <w:tcW w:w="4201" w:type="dxa"/>
            <w:noWrap w:val="0"/>
            <w:vAlign w:val="center"/>
          </w:tcPr>
          <w:p w14:paraId="54D4677A">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rPr>
              <w:t>日期：</w:t>
            </w:r>
          </w:p>
        </w:tc>
        <w:tc>
          <w:tcPr>
            <w:tcW w:w="4202" w:type="dxa"/>
            <w:noWrap w:val="0"/>
            <w:vAlign w:val="center"/>
          </w:tcPr>
          <w:p w14:paraId="669928DB">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spacing w:val="-20"/>
                <w:kern w:val="0"/>
                <w:sz w:val="32"/>
                <w:szCs w:val="32"/>
              </w:rPr>
            </w:pPr>
            <w:r>
              <w:rPr>
                <w:rFonts w:hint="eastAsia" w:ascii="仿宋_GB2312" w:hAnsi="仿宋_GB2312" w:eastAsia="仿宋_GB2312" w:cs="仿宋_GB2312"/>
                <w:spacing w:val="-20"/>
                <w:kern w:val="0"/>
                <w:sz w:val="32"/>
                <w:szCs w:val="32"/>
              </w:rPr>
              <w:t>日期：</w:t>
            </w:r>
          </w:p>
        </w:tc>
      </w:tr>
    </w:tbl>
    <w:p w14:paraId="7CACB537">
      <w:pPr>
        <w:pStyle w:val="22"/>
        <w:keepNext w:val="0"/>
        <w:keepLines w:val="0"/>
        <w:pageBreakBefore w:val="0"/>
        <w:kinsoku/>
        <w:wordWrap/>
        <w:overflowPunct/>
        <w:topLinePunct w:val="0"/>
        <w:bidi w:val="0"/>
        <w:snapToGrid w:val="0"/>
        <w:spacing w:line="360" w:lineRule="auto"/>
        <w:textAlignment w:val="auto"/>
        <w:rPr>
          <w:rFonts w:hint="eastAsia"/>
          <w:lang w:val="en-US" w:eastAsia="zh-Hans"/>
        </w:rPr>
      </w:pPr>
    </w:p>
    <w:p w14:paraId="59A14AE9"/>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4438D4B-74D3-442D-BADB-16C6DE87A11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BE072B9C-563F-4BBB-A5BF-69A3A3964F34}"/>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E4F3F71F-750A-4E76-8D01-E1DE4F5FDD0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2"/>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2"/>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3F200A2"/>
    <w:rsid w:val="06044D8E"/>
    <w:rsid w:val="063C3527"/>
    <w:rsid w:val="071938B9"/>
    <w:rsid w:val="0B186D4E"/>
    <w:rsid w:val="0CF24C32"/>
    <w:rsid w:val="0DA008CC"/>
    <w:rsid w:val="0EBB3568"/>
    <w:rsid w:val="0EC60B07"/>
    <w:rsid w:val="10332904"/>
    <w:rsid w:val="10CF4970"/>
    <w:rsid w:val="10F63A27"/>
    <w:rsid w:val="14561BE7"/>
    <w:rsid w:val="15B972A5"/>
    <w:rsid w:val="172B4FA4"/>
    <w:rsid w:val="192A37C4"/>
    <w:rsid w:val="198577DD"/>
    <w:rsid w:val="19966094"/>
    <w:rsid w:val="1CA80820"/>
    <w:rsid w:val="1D6E70FD"/>
    <w:rsid w:val="1E6D5F03"/>
    <w:rsid w:val="21665943"/>
    <w:rsid w:val="244871F4"/>
    <w:rsid w:val="25295AB7"/>
    <w:rsid w:val="274E2D73"/>
    <w:rsid w:val="27EF733B"/>
    <w:rsid w:val="292902AA"/>
    <w:rsid w:val="29BB6BC2"/>
    <w:rsid w:val="2C0F4050"/>
    <w:rsid w:val="2EAE2AA4"/>
    <w:rsid w:val="2EEA293E"/>
    <w:rsid w:val="2F1025C8"/>
    <w:rsid w:val="30104537"/>
    <w:rsid w:val="313868D1"/>
    <w:rsid w:val="325B49C3"/>
    <w:rsid w:val="326A7D77"/>
    <w:rsid w:val="33EF3E56"/>
    <w:rsid w:val="39094D4C"/>
    <w:rsid w:val="3CCE5611"/>
    <w:rsid w:val="3CE71A85"/>
    <w:rsid w:val="412A6A1E"/>
    <w:rsid w:val="414032D5"/>
    <w:rsid w:val="45684654"/>
    <w:rsid w:val="45FB0DB9"/>
    <w:rsid w:val="467E02E4"/>
    <w:rsid w:val="48401E0D"/>
    <w:rsid w:val="4EC118A7"/>
    <w:rsid w:val="4F1C52C5"/>
    <w:rsid w:val="4FDA2485"/>
    <w:rsid w:val="528C1FD1"/>
    <w:rsid w:val="54F63A8A"/>
    <w:rsid w:val="57DF2953"/>
    <w:rsid w:val="5C7E1FD1"/>
    <w:rsid w:val="5D3B49BA"/>
    <w:rsid w:val="60E414E6"/>
    <w:rsid w:val="61E5759F"/>
    <w:rsid w:val="640F6FE0"/>
    <w:rsid w:val="64A137DB"/>
    <w:rsid w:val="64F06EE7"/>
    <w:rsid w:val="67493010"/>
    <w:rsid w:val="696F3399"/>
    <w:rsid w:val="6E8F000A"/>
    <w:rsid w:val="716D3670"/>
    <w:rsid w:val="734E36BE"/>
    <w:rsid w:val="741C09D0"/>
    <w:rsid w:val="74343D24"/>
    <w:rsid w:val="764F97C9"/>
    <w:rsid w:val="78C53AE4"/>
    <w:rsid w:val="7EB51055"/>
    <w:rsid w:val="7F3F399C"/>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autoRedefine/>
    <w:qFormat/>
    <w:uiPriority w:val="0"/>
    <w:pPr>
      <w:tabs>
        <w:tab w:val="center" w:pos="4140"/>
        <w:tab w:val="right" w:pos="8300"/>
      </w:tabs>
      <w:snapToGrid w:val="0"/>
      <w:jc w:val="left"/>
    </w:pPr>
    <w:rPr>
      <w:sz w:val="18"/>
      <w:szCs w:val="18"/>
    </w:rPr>
  </w:style>
  <w:style w:type="paragraph" w:styleId="4">
    <w:name w:val="Normal Indent"/>
    <w:basedOn w:val="1"/>
    <w:autoRedefine/>
    <w:qFormat/>
    <w:uiPriority w:val="0"/>
    <w:pPr>
      <w:ind w:firstLine="420"/>
    </w:pPr>
    <w:rPr>
      <w:szCs w:val="21"/>
    </w:rPr>
  </w:style>
  <w:style w:type="paragraph" w:styleId="5">
    <w:name w:val="annotation text"/>
    <w:basedOn w:val="1"/>
    <w:autoRedefine/>
    <w:qFormat/>
    <w:uiPriority w:val="0"/>
    <w:pPr>
      <w:jc w:val="left"/>
    </w:pPr>
  </w:style>
  <w:style w:type="paragraph" w:styleId="6">
    <w:name w:val="Body Text"/>
    <w:basedOn w:val="1"/>
    <w:next w:val="1"/>
    <w:autoRedefine/>
    <w:qFormat/>
    <w:uiPriority w:val="99"/>
    <w:pPr>
      <w:jc w:val="left"/>
    </w:pPr>
    <w:rPr>
      <w:kern w:val="0"/>
    </w:rPr>
  </w:style>
  <w:style w:type="paragraph" w:styleId="7">
    <w:name w:val="Plain Text"/>
    <w:basedOn w:val="1"/>
    <w:autoRedefine/>
    <w:qFormat/>
    <w:uiPriority w:val="0"/>
    <w:rPr>
      <w:rFonts w:ascii="宋体" w:hAnsi="Courier New"/>
      <w:kern w:val="0"/>
      <w:sz w:val="20"/>
    </w:rPr>
  </w:style>
  <w:style w:type="paragraph" w:styleId="8">
    <w:name w:val="Balloon Text"/>
    <w:basedOn w:val="1"/>
    <w:link w:val="18"/>
    <w:autoRedefine/>
    <w:qFormat/>
    <w:uiPriority w:val="0"/>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6"/>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8"/>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2261</Words>
  <Characters>2304</Characters>
  <Lines>12</Lines>
  <Paragraphs>3</Paragraphs>
  <TotalTime>0</TotalTime>
  <ScaleCrop>false</ScaleCrop>
  <LinksUpToDate>false</LinksUpToDate>
  <CharactersWithSpaces>2963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2026-05-12T10:51:40Z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E79E879024B94D3FB100E7468F0D228F</vt:lpwstr>
  </property>
  <property fmtid="{D5CDD505-2E9C-101B-9397-08002B2CF9AE}" pid="4" name="KSOTemplateDocerSaveRecord">
    <vt:lpwstr>eyJoZGlkIjoiNzlkYjQxZmY4MWQ0ZWY2YTZhOTY1MTMyMDgzMmE0NmEiLCJ1c2VySWQiOiI5MzY1NjA0ODAifQ==</vt:lpwstr>
  </property>
</Properties>
</file>