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版本号：ZHCG-HSJY-202604020120260512002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配水管网维修工程施工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ZHCG-HSJY-2026040201</w:t>
      </w:r>
      <w:r>
        <w:br/>
      </w:r>
      <w:r>
        <w:br/>
      </w:r>
      <w:r>
        <w:br/>
      </w:r>
    </w:p>
    <w:p>
      <w:pPr>
        <w:pStyle w:val="null3"/>
        <w:jc w:val="center"/>
        <w:outlineLvl w:val="2"/>
      </w:pPr>
      <w:r>
        <w:rPr>
          <w:rFonts w:ascii="仿宋_GB2312" w:hAnsi="仿宋_GB2312" w:cs="仿宋_GB2312" w:eastAsia="仿宋_GB2312"/>
          <w:sz w:val="28"/>
          <w:b/>
        </w:rPr>
        <w:t>陕西省华山监狱</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陕西省华山监狱</w:t>
      </w:r>
      <w:r>
        <w:rPr>
          <w:rFonts w:ascii="仿宋_GB2312" w:hAnsi="仿宋_GB2312" w:cs="仿宋_GB2312" w:eastAsia="仿宋_GB2312"/>
        </w:rPr>
        <w:t>委托，拟对</w:t>
      </w:r>
      <w:r>
        <w:rPr>
          <w:rFonts w:ascii="仿宋_GB2312" w:hAnsi="仿宋_GB2312" w:cs="仿宋_GB2312" w:eastAsia="仿宋_GB2312"/>
        </w:rPr>
        <w:t>配水管网维修工程施工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ZHCG-HSJY-2026040201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配水管网维修工程施工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本项目为陕西省华山监狱配水管网维修工程施工，施工内容具体详见工程量清单。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采购包1（配水管网维修工程施工）：属于专门面向中小企业采购。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利润表、现金流），或提交自2025年10月1日以来银行（基本户开户行）出具的资信证明，或信用担保机构出具的投标担保函（以上三种形式的资料提供任何一种即可）；其他组织和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税收缴纳证明：提供响应文件提交截止时间前近六个月内至少一个月的纳税证明或完税证明（增值税，印花税，城市维护建设费，企业所得税等一种或多种税种），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4、社会保障资金缴纳证明：提供响应文件提交截止时间前近六个月内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5、履约能力：提供具有履行本合同所必需的设备和专业技术能力的声明；供应商需在项目电子化交易系统中按要求提供证明资料并进行电子签章；</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法定代表人授权书：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供应商及项目经理信息须在“全国建筑市场监管公共服务平台”上可查询，且无不良记录（处罚期限届满的除外，如相关失信记录已失效，供应商需提供相关证明资料）；供应商需在项目电子化交易系统中按要求提供证明资料并进行电子签章；</w:t>
      </w:r>
    </w:p>
    <w:p>
      <w:pPr>
        <w:pStyle w:val="null3"/>
      </w:pPr>
      <w:r>
        <w:rPr>
          <w:rFonts w:ascii="仿宋_GB2312" w:hAnsi="仿宋_GB2312" w:cs="仿宋_GB2312" w:eastAsia="仿宋_GB2312"/>
        </w:rPr>
        <w:t>9、资质要求：具备建筑工程施工总承包三级及以上资质，并具有建设行政主管部门核发的有效的安全生产许可证；供应商需在项目电子化交易系统中按要求提供证明资料并进行电子签章；</w:t>
      </w:r>
    </w:p>
    <w:p>
      <w:pPr>
        <w:pStyle w:val="null3"/>
      </w:pPr>
      <w:r>
        <w:rPr>
          <w:rFonts w:ascii="仿宋_GB2312" w:hAnsi="仿宋_GB2312" w:cs="仿宋_GB2312" w:eastAsia="仿宋_GB2312"/>
        </w:rPr>
        <w:t>10、项目经理：拟派项目经理具有建筑工程专业二级及以上注册建造师执业资格，并具有合格有效的安全生产考核合格证（B证），且无在建项目；供应商需在项目电子化交易系统中按要求提供证明资料并进行电子签章；</w:t>
      </w:r>
    </w:p>
    <w:p>
      <w:pPr>
        <w:pStyle w:val="null3"/>
      </w:pPr>
      <w:r>
        <w:rPr>
          <w:rFonts w:ascii="仿宋_GB2312" w:hAnsi="仿宋_GB2312" w:cs="仿宋_GB2312" w:eastAsia="仿宋_GB2312"/>
        </w:rPr>
        <w:t>11、关联关系：①单位负责人为同一人或者存在直接控股、管理关系的不同供应商，不得参加同一合同项下的政府采购活动；②采购项目提供整体设计、规范编制或者项目管理、监理、检测等服务的供应商，不得再参加该采购项目的其他采购活动；供应商需在项目电子化交易系统中按要求提供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陕西省华山监狱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陕西省渭南市华州区莲花寺镇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0913-4817202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陕西省西安市雁塔区唐延路35号旺座现代城B座1104室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肖娟、李冲、高兴、亢辉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采购包1：2,164,400.00元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开户名称：正和丽景项目管理有限公司</w:t>
            </w:r>
          </w:p>
          <w:p>
            <w:pPr>
              <w:pStyle w:val="null3"/>
            </w:pPr>
            <w:r>
              <w:rPr>
                <w:rFonts w:ascii="仿宋_GB2312" w:hAnsi="仿宋_GB2312" w:cs="仿宋_GB2312" w:eastAsia="仿宋_GB2312"/>
              </w:rPr>
              <w:t>开户银行：中国农业银行股份有限公司西安唐延路支行</w:t>
            </w:r>
          </w:p>
          <w:p>
            <w:pPr>
              <w:pStyle w:val="null3"/>
            </w:pPr>
            <w:r>
              <w:rPr>
                <w:rFonts w:ascii="仿宋_GB2312" w:hAnsi="仿宋_GB2312" w:cs="仿宋_GB2312" w:eastAsia="仿宋_GB2312"/>
              </w:rPr>
              <w:t>银行账号：26193001040015922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说明：成交供应商按照采购人要求的时间以非现金形式向采购人缴纳，项目竣工验收合格后，此履约保证金转化为质量保证金，缺陷责任期满后采购人无息向成交供应商退还。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施工招标代理费17020元，大写：壹万柒仟零贰拾元整；施工招标代理服务费实际费用依据工程最高限价同比例(施工招标代理费/工程总投资)支付，招标代理业务完成后，受托人按照委托人要求开具增值税发票后，委托人向受托人一次性付清招标代理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陕西省华山监狱</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陕西省华山监狱</w:t>
      </w:r>
      <w:r>
        <w:rPr>
          <w:rFonts w:ascii="仿宋_GB2312" w:hAnsi="仿宋_GB2312" w:cs="仿宋_GB2312" w:eastAsia="仿宋_GB2312"/>
        </w:rPr>
        <w:t>负责解释。除上述磋商文件内容，其他内容由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陕西省华山监狱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正和丽景项目管理有限公司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联系人：肖娟、李冲、高兴、亢辉</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2,164,400.00</w:t>
      </w:r>
    </w:p>
    <w:p>
      <w:pPr>
        <w:pStyle w:val="null3"/>
      </w:pPr>
      <w:r>
        <w:rPr>
          <w:rFonts w:ascii="仿宋_GB2312" w:hAnsi="仿宋_GB2312" w:cs="仿宋_GB2312" w:eastAsia="仿宋_GB2312"/>
        </w:rPr>
        <w:t>采购包最高限价（元）: 2,164,392.81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配水管网维修补助经费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2,164,400.00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标的名称：配水管网维修补助经费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本项目为陕西省华山监狱配水管网维修工程施工，施工内容具体详见工程量清单。</w:t>
            </w:r>
          </w:p>
          <w:p>
            <w:pPr>
              <w:pStyle w:val="null3"/>
            </w:pPr>
            <w:r>
              <w:rPr>
                <w:rFonts w:ascii="仿宋_GB2312" w:hAnsi="仿宋_GB2312" w:cs="仿宋_GB2312" w:eastAsia="仿宋_GB2312"/>
              </w:rPr>
              <w:t>（一）项目名称：配水管网维修工程施工</w:t>
            </w:r>
          </w:p>
          <w:p>
            <w:pPr>
              <w:pStyle w:val="null3"/>
            </w:pPr>
            <w:r>
              <w:rPr>
                <w:rFonts w:ascii="仿宋_GB2312" w:hAnsi="仿宋_GB2312" w:cs="仿宋_GB2312" w:eastAsia="仿宋_GB2312"/>
              </w:rPr>
              <w:t>（二）建设单位：陕西省华山监狱</w:t>
            </w:r>
          </w:p>
          <w:p>
            <w:pPr>
              <w:pStyle w:val="null3"/>
            </w:pPr>
            <w:r>
              <w:rPr>
                <w:rFonts w:ascii="仿宋_GB2312" w:hAnsi="仿宋_GB2312" w:cs="仿宋_GB2312" w:eastAsia="仿宋_GB2312"/>
              </w:rPr>
              <w:t>（三）项目建设地点：陕西省，渭南市、华州区。</w:t>
            </w:r>
          </w:p>
          <w:p>
            <w:pPr>
              <w:pStyle w:val="null3"/>
            </w:pPr>
            <w:r>
              <w:rPr>
                <w:rFonts w:ascii="仿宋_GB2312" w:hAnsi="仿宋_GB2312" w:cs="仿宋_GB2312" w:eastAsia="仿宋_GB2312"/>
              </w:rPr>
              <w:t>（四）项目建设内容：配水管网维修工程施工，施工内容具体详见工程量清单。</w:t>
            </w:r>
          </w:p>
          <w:p>
            <w:pPr>
              <w:pStyle w:val="null3"/>
            </w:pPr>
            <w:r>
              <w:rPr>
                <w:rFonts w:ascii="仿宋_GB2312" w:hAnsi="仿宋_GB2312" w:cs="仿宋_GB2312" w:eastAsia="仿宋_GB2312"/>
              </w:rPr>
              <w:t>（五）项目估算总投资额约216.44万元。</w:t>
            </w:r>
          </w:p>
          <w:p>
            <w:pPr>
              <w:pStyle w:val="null3"/>
            </w:pPr>
            <w:r>
              <w:rPr>
                <w:rFonts w:ascii="仿宋_GB2312" w:hAnsi="仿宋_GB2312" w:cs="仿宋_GB2312" w:eastAsia="仿宋_GB2312"/>
              </w:rPr>
              <w:t>（六）资金来源：财政资金</w:t>
            </w:r>
          </w:p>
          <w:p>
            <w:pPr>
              <w:pStyle w:val="null3"/>
            </w:pPr>
            <w:r>
              <w:rPr>
                <w:rFonts w:ascii="仿宋_GB2312" w:hAnsi="仿宋_GB2312" w:cs="仿宋_GB2312" w:eastAsia="仿宋_GB2312"/>
              </w:rPr>
              <w:t>二、工程技术标准及要求：</w:t>
            </w:r>
          </w:p>
          <w:p>
            <w:pPr>
              <w:pStyle w:val="null3"/>
            </w:pPr>
            <w:r>
              <w:rPr>
                <w:rFonts w:ascii="仿宋_GB2312" w:hAnsi="仿宋_GB2312" w:cs="仿宋_GB2312" w:eastAsia="仿宋_GB2312"/>
              </w:rPr>
              <w:t>1、工期：120日历天。</w:t>
            </w:r>
          </w:p>
          <w:p>
            <w:pPr>
              <w:pStyle w:val="null3"/>
            </w:pPr>
            <w:r>
              <w:rPr>
                <w:rFonts w:ascii="仿宋_GB2312" w:hAnsi="仿宋_GB2312" w:cs="仿宋_GB2312" w:eastAsia="仿宋_GB2312"/>
              </w:rPr>
              <w:t>2、质量要求：符合国家现行有关施工质量验收规范“合格”要求。</w:t>
            </w:r>
          </w:p>
          <w:p>
            <w:pPr>
              <w:pStyle w:val="null3"/>
            </w:pPr>
            <w:r>
              <w:rPr>
                <w:rFonts w:ascii="仿宋_GB2312" w:hAnsi="仿宋_GB2312" w:cs="仿宋_GB2312" w:eastAsia="仿宋_GB2312"/>
              </w:rPr>
              <w:t>3、缺陷责任期：自工程竣工验收合格之日起2年。</w:t>
            </w:r>
          </w:p>
          <w:p>
            <w:pPr>
              <w:pStyle w:val="null3"/>
            </w:pPr>
            <w:r>
              <w:rPr>
                <w:rFonts w:ascii="仿宋_GB2312" w:hAnsi="仿宋_GB2312" w:cs="仿宋_GB2312" w:eastAsia="仿宋_GB2312"/>
              </w:rPr>
              <w:t>三、工程量清单及图纸：</w:t>
            </w:r>
          </w:p>
          <w:p>
            <w:pPr>
              <w:pStyle w:val="null3"/>
            </w:pPr>
            <w:r>
              <w:rPr>
                <w:rFonts w:ascii="仿宋_GB2312" w:hAnsi="仿宋_GB2312" w:cs="仿宋_GB2312" w:eastAsia="仿宋_GB2312"/>
              </w:rPr>
              <w:t>1、工程量清单：详见附件。</w:t>
            </w:r>
          </w:p>
          <w:p>
            <w:pPr>
              <w:pStyle w:val="null3"/>
            </w:pPr>
            <w:r>
              <w:rPr>
                <w:rFonts w:ascii="仿宋_GB2312" w:hAnsi="仿宋_GB2312" w:cs="仿宋_GB2312" w:eastAsia="仿宋_GB2312"/>
              </w:rPr>
              <w:t>2、图纸：详见附件。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承诺书.pdf 供应商应提交的相关资格证明材料 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或提交自2025年10月1日以来银行（基本户开户行）出具的资信证明，或信用担保机构出具的投标担保函（以上三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六个月内至少一个月的纳税证明或完税证明（增值税，印花税，城市维护建设费，企业所得税等一种或多种税种），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近六个月内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供应商及项目经理信息须在“全国建筑市场监管公共服务平台”上可查询，且无不良记录（处罚期限届满的除外，如相关失信记录已失效，供应商需提供相关证明资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具备建筑工程施工总承包三级及以上资质，并具有建设行政主管部门核发的有效的安全生产许可证；供应商需在项目电子化交易系统中按要求提供证明资料并进行电子签章；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拟派项目经理具有建筑工程专业二级及以上注册建造师执业资格，并具有合格有效的安全生产考核合格证（B证），且无在建项目；供应商需在项目电子化交易系统中按要求提供证明资料并进行电子签章；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项目管理机构组成表 供应商应提交的相关资格证明材料 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承诺书.pdf 供应商应提交的相关资格证明材料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响应文件封面 承诺书.pdf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要求全面响应，不能有任何采购人不能接受的重大负偏离或不能接受的附加条件</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应满足磋商文件中要求的商务要求</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施工准备②施工方法③重点难点工程分析及解决措施④影响正常施工外在因素分析及对应预案以上内容专门针对本项目且阐述明晰、全面、合理得12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施工措施，内容包含:①安全文明施工管理制度②安全文明施工措施③安全应急预案④专项安全措施⑤扬尘噪声控制等。以上内容专门针对本项目且阐述明晰、全面、合理得10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供应商针对本项目编制完善的施工进度计划，内容包含:①进度计划安排②施工进度计划横道图或网络图③进度计划保证措施④赶工措施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管理制度②确保质量的技术组织措施③施工质量控制措施④施工检测及工序交验方案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内容至少包括①项目管理机构配备情况②岗位安排及职责③管理制度④相应的协调措施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施工机械设备投入计划②主要施工材料供应计划③劳动力资源配置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编制应急保障措施，内容包含:①组织指挥与快速响应保障②专业抢修队伍保障③临时供水保障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提供2023年4月1日至今类似业绩（以合同签订日期为准），每份合格业绩合同得2分，满分6分。备注：业绩证明材料包括业绩合同完整版、竣工验收报告及合同对应发票。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结合本项目的实际，供应商应依据国家相关规定对工程质量编制保修方案，内容包含:①工程验收方案②维修措施③保修承诺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投标报价为有效响应报价。2.以满足磋商文件要求且磋商价格最低的报价为评标基准价,其价格分为满分,其他供应商的价格分按照下列公式计算:报价得分=(磋商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