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社区分馆运营保障</w:t>
      </w:r>
    </w:p>
    <w:p>
      <w:pPr>
        <w:pStyle w:val="null3"/>
        <w:jc w:val="center"/>
        <w:outlineLvl w:val="2"/>
      </w:pPr>
      <w:r>
        <w:rPr>
          <w:b/>
          <w:sz w:val="28"/>
        </w:rPr>
        <w:t>采购项目编号：</w:t>
      </w:r>
      <w:r>
        <w:rPr>
          <w:b/>
          <w:sz w:val="28"/>
        </w:rPr>
        <w:t>TZZB-2024007C</w:t>
      </w:r>
      <w:r>
        <w:br/>
      </w:r>
      <w:r>
        <w:br/>
      </w:r>
      <w:r>
        <w:br/>
      </w:r>
    </w:p>
    <w:p>
      <w:pPr>
        <w:pStyle w:val="null3"/>
        <w:jc w:val="center"/>
        <w:outlineLvl w:val="2"/>
      </w:pPr>
      <w:r>
        <w:rPr>
          <w:b/>
          <w:sz w:val="28"/>
        </w:rPr>
        <w:t>西安图书馆</w:t>
      </w:r>
    </w:p>
    <w:p>
      <w:pPr>
        <w:pStyle w:val="null3"/>
        <w:jc w:val="center"/>
        <w:outlineLvl w:val="2"/>
      </w:pPr>
      <w:r>
        <w:rPr>
          <w:b/>
          <w:sz w:val="28"/>
        </w:rPr>
        <w:t>同正项目管理有限公司</w:t>
      </w:r>
      <w:r>
        <w:rPr>
          <w:b/>
          <w:sz w:val="28"/>
        </w:rPr>
        <w:t>共同编制</w:t>
      </w:r>
    </w:p>
    <w:p>
      <w:pPr>
        <w:pStyle w:val="null3"/>
        <w:jc w:val="center"/>
        <w:outlineLvl w:val="2"/>
      </w:pPr>
      <w:r>
        <w:rPr>
          <w:b/>
          <w:sz w:val="28"/>
        </w:rPr>
        <w:t>2024年01月12日</w:t>
      </w:r>
    </w:p>
    <w:p>
      <w:pPr>
        <w:pStyle w:val="null3"/>
      </w:pPr>
      <w:r>
        <w:rPr/>
        <w:t xml:space="preserve"> </w:t>
      </w:r>
    </w:p>
    <w:p>
      <w:pPr>
        <w:pStyle w:val="null3"/>
        <w:jc w:val="center"/>
        <w:outlineLvl w:val="1"/>
      </w:pPr>
      <w:r>
        <w:rPr>
          <w:b/>
          <w:sz w:val="36"/>
        </w:rPr>
        <w:t>第一章 竞争性磋商邀请</w:t>
      </w:r>
    </w:p>
    <w:p>
      <w:pPr>
        <w:pStyle w:val="null3"/>
        <w:ind w:firstLine="480"/>
      </w:pPr>
      <w:r>
        <w:rPr/>
        <w:t>同正项目管理有限公司</w:t>
      </w:r>
      <w:r>
        <w:rPr/>
        <w:t>（以下简称“代理机构”）受</w:t>
      </w:r>
      <w:r>
        <w:rPr/>
        <w:t>西安图书馆</w:t>
      </w:r>
      <w:r>
        <w:rPr/>
        <w:t>委托，拟对</w:t>
      </w:r>
      <w:r>
        <w:rPr/>
        <w:t>社区分馆运营保障</w:t>
      </w:r>
      <w:r>
        <w:rPr/>
        <w:t>采用竞争性磋商采购方式进行采购，兹邀请供应商参加本项目的竞争性磋商。</w:t>
      </w:r>
    </w:p>
    <w:p>
      <w:pPr>
        <w:pStyle w:val="null3"/>
        <w:outlineLvl w:val="2"/>
      </w:pPr>
      <w:r>
        <w:rPr>
          <w:b/>
          <w:sz w:val="28"/>
        </w:rPr>
        <w:t>一、项目编号：</w:t>
      </w:r>
      <w:r>
        <w:rPr>
          <w:b/>
          <w:sz w:val="28"/>
        </w:rPr>
        <w:t>TZZB-2024007C</w:t>
      </w:r>
    </w:p>
    <w:p>
      <w:pPr>
        <w:pStyle w:val="null3"/>
        <w:outlineLvl w:val="2"/>
      </w:pPr>
      <w:r>
        <w:rPr>
          <w:b/>
          <w:sz w:val="28"/>
        </w:rPr>
        <w:t>二、项目名称：</w:t>
      </w:r>
      <w:r>
        <w:rPr>
          <w:b/>
          <w:sz w:val="28"/>
        </w:rPr>
        <w:t>社区分馆运营保障</w:t>
      </w:r>
    </w:p>
    <w:p>
      <w:pPr>
        <w:pStyle w:val="null3"/>
        <w:outlineLvl w:val="2"/>
      </w:pPr>
      <w:r>
        <w:rPr>
          <w:b/>
          <w:sz w:val="28"/>
        </w:rPr>
        <w:t>三、磋商项目简介</w:t>
      </w:r>
    </w:p>
    <w:p>
      <w:pPr>
        <w:pStyle w:val="null3"/>
        <w:ind w:firstLine="480"/>
      </w:pPr>
      <w:r>
        <w:rPr/>
        <w:t>2024年西安图书馆24小时社区分馆运行保障及阅读推广。</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采购包1（社区分馆运营保障）：属于专门面向中小企业采购。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1、营业执照：具有独立承担民事责任能力的法人、其他组织或自然人，营业执照、组织机构代码证、税务登记证（三证合一只提供营业执照，事业单位提供事业单位法人证书，自然人应提供身份证）合法有效；</w:t>
      </w:r>
    </w:p>
    <w:p>
      <w:pPr>
        <w:pStyle w:val="null3"/>
      </w:pPr>
      <w:r>
        <w:rPr/>
        <w:t>2、磋商响应单位代表身份：法定代表人参加投标时，提供本人身份证；授权代表参加投标时，提供法定代表人授权书和被授权人身份证；非法人单位参照执行；</w:t>
      </w:r>
    </w:p>
    <w:p>
      <w:pPr>
        <w:pStyle w:val="null3"/>
      </w:pPr>
      <w:r>
        <w:rPr/>
        <w:t>3、税收缴纳证明：提供2023年7月至今已缴纳的至少一个月的纳税证明或完税证明（任意税种），依法免税的单位应提供相关证明材料</w:t>
      </w:r>
    </w:p>
    <w:p>
      <w:pPr>
        <w:pStyle w:val="null3"/>
      </w:pPr>
      <w:r>
        <w:rPr/>
        <w:t>4、社会保障资金缴纳证明：提供2023年7月至今已缴存的至少一个月的社会保障资金缴存单据或社保机构开具的社会保险参保缴费情况证明，依法不需要缴纳社会保障资金的单位应提供相关证明材料</w:t>
      </w:r>
    </w:p>
    <w:p>
      <w:pPr>
        <w:pStyle w:val="null3"/>
      </w:pPr>
      <w:r>
        <w:rPr/>
        <w:t>5、财务状况：提供供应商2022年经审计的财务报告或磋商前三个月内开户银行开具的资信证明</w:t>
      </w:r>
    </w:p>
    <w:p>
      <w:pPr>
        <w:pStyle w:val="null3"/>
      </w:pPr>
      <w:r>
        <w:rPr/>
        <w:t>6、经营活动：参加政府采购活动前三年内，在经营活动中没有重大违法记录的书面声明</w:t>
      </w:r>
    </w:p>
    <w:p>
      <w:pPr>
        <w:pStyle w:val="null3"/>
      </w:pPr>
      <w:r>
        <w:rPr/>
        <w:t>7、控股、管理关系：磋商单位负责人为同一人或者存在控股、管理关系的不同单位不得同时进行投标；</w:t>
      </w:r>
    </w:p>
    <w:p>
      <w:pPr>
        <w:pStyle w:val="null3"/>
      </w:pPr>
      <w:r>
        <w:rPr/>
        <w:t>8、“信用中国”网站和“中国政府采购网”查询截图：响应单位不得为“信用中国”网站（www.creditchina.gov.cn）（中国执行信息公开网）和中国政府采购网（www.ccgp.gov.cn）中被列入失信被执行人、重大税收违法失信主体、政府采购严重违法失信行为记录名单的单位；</w:t>
      </w:r>
    </w:p>
    <w:p>
      <w:pPr>
        <w:pStyle w:val="null3"/>
      </w:pPr>
      <w:r>
        <w:rPr/>
        <w:t>9、具有履行合同所必需的设备和专业技术能力：具有履行合同所必需的设备和专业技术能力的承诺函</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西安图书馆</w:t>
      </w:r>
    </w:p>
    <w:p>
      <w:pPr>
        <w:pStyle w:val="null3"/>
      </w:pPr>
      <w:r>
        <w:rPr/>
        <w:t xml:space="preserve"> 地址： </w:t>
      </w:r>
      <w:r>
        <w:rPr/>
        <w:t>西安市未央路145号</w:t>
      </w:r>
    </w:p>
    <w:p>
      <w:pPr>
        <w:pStyle w:val="null3"/>
      </w:pPr>
      <w:r>
        <w:rPr/>
        <w:t xml:space="preserve"> 邮编： </w:t>
      </w:r>
      <w:r>
        <w:rPr/>
        <w:t>710000</w:t>
      </w:r>
    </w:p>
    <w:p>
      <w:pPr>
        <w:pStyle w:val="null3"/>
      </w:pPr>
      <w:r>
        <w:rPr/>
        <w:t xml:space="preserve"> 联系人： </w:t>
      </w:r>
      <w:r>
        <w:rPr/>
        <w:t>丁老师</w:t>
      </w:r>
    </w:p>
    <w:p>
      <w:pPr>
        <w:pStyle w:val="null3"/>
      </w:pPr>
      <w:r>
        <w:rPr/>
        <w:t xml:space="preserve"> 联系电话： </w:t>
      </w:r>
      <w:r>
        <w:rPr/>
        <w:t>86517652</w:t>
      </w:r>
    </w:p>
    <w:p>
      <w:pPr>
        <w:pStyle w:val="null3"/>
        <w:outlineLvl w:val="3"/>
      </w:pPr>
      <w:r>
        <w:rPr>
          <w:b/>
          <w:sz w:val="24"/>
        </w:rPr>
        <w:t>代理机构：</w:t>
      </w:r>
      <w:r>
        <w:rPr>
          <w:b/>
          <w:sz w:val="24"/>
        </w:rPr>
        <w:t>同正项目管理有限公司</w:t>
      </w:r>
    </w:p>
    <w:p>
      <w:pPr>
        <w:pStyle w:val="null3"/>
      </w:pPr>
      <w:r>
        <w:rPr/>
        <w:t xml:space="preserve"> 地址： </w:t>
      </w:r>
      <w:r>
        <w:rPr/>
        <w:t>陕西省西安市经济技术开发区凤城八路180号长和国际F座22层</w:t>
      </w:r>
    </w:p>
    <w:p>
      <w:pPr>
        <w:pStyle w:val="null3"/>
      </w:pPr>
      <w:r>
        <w:rPr/>
        <w:t xml:space="preserve"> 邮编： </w:t>
      </w:r>
      <w:r>
        <w:rPr/>
        <w:t>710000</w:t>
      </w:r>
    </w:p>
    <w:p>
      <w:pPr>
        <w:pStyle w:val="null3"/>
      </w:pPr>
      <w:r>
        <w:rPr/>
        <w:t xml:space="preserve"> 联系人： </w:t>
      </w:r>
      <w:r>
        <w:rPr/>
        <w:t>任科、陈丹、倪莹</w:t>
      </w:r>
    </w:p>
    <w:p>
      <w:pPr>
        <w:pStyle w:val="null3"/>
      </w:pPr>
      <w:r>
        <w:rPr/>
        <w:t xml:space="preserve"> 联系电话： </w:t>
      </w:r>
      <w:r>
        <w:rPr/>
        <w:t>029-86522030转806</w:t>
      </w:r>
    </w:p>
    <w:p>
      <w:pPr>
        <w:pStyle w:val="null3"/>
        <w:outlineLvl w:val="3"/>
      </w:pPr>
      <w:r>
        <w:rPr>
          <w:b/>
          <w:sz w:val="24"/>
        </w:rPr>
        <w:t>采购监督机构：</w:t>
      </w:r>
      <w:r>
        <w:rPr>
          <w:b/>
          <w:sz w:val="24"/>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代理服务费收费标准：按国家发展计划委员会文件计价格【2002】1980号、发改价格【2011】534号，招标代理费用根据实际成交价格据实结算，由成交单位进行支付。</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西安图书馆</w:t>
      </w:r>
      <w:r>
        <w:rPr/>
        <w:t>和</w:t>
      </w:r>
      <w:r>
        <w:rPr/>
        <w:t>同正项目管理有限公司</w:t>
      </w:r>
      <w:r>
        <w:rPr/>
        <w:t>享有。对磋商文件中供应商参加本次政府采购活动应当具备的条件，磋商项目技术、服务、商务及其他要求，评审细则及标准由</w:t>
      </w:r>
      <w:r>
        <w:rPr/>
        <w:t>西安图书馆</w:t>
      </w:r>
      <w:r>
        <w:rPr/>
        <w:t>负责解释。除上述磋商文件内容，其他内容由</w:t>
      </w:r>
      <w:r>
        <w:rPr/>
        <w:t>同正项目管理有限公司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西安图书馆</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同正项目管理有限公司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同正项目管理有限公司</w:t>
      </w:r>
      <w:r>
        <w:rPr/>
        <w:t xml:space="preserve"> 负责答复；供应商对除采购需求外的采购文件的询问、质疑由</w:t>
      </w:r>
      <w:r>
        <w:rPr/>
        <w:t>同正项目管理有限公司</w:t>
      </w:r>
      <w:r>
        <w:rPr/>
        <w:t xml:space="preserve"> 负责答复；供应商对采购过程、采购结果的询问、质疑由 </w:t>
      </w:r>
      <w:r>
        <w:rPr/>
        <w:t>同正项目管理有限公司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联系人：任科、陈丹、倪莹</w:t>
      </w:r>
    </w:p>
    <w:p>
      <w:pPr>
        <w:pStyle w:val="null3"/>
      </w:pPr>
      <w:r>
        <w:rPr/>
        <w:t>联系电话：029-86522030转806</w:t>
      </w:r>
    </w:p>
    <w:p>
      <w:pPr>
        <w:pStyle w:val="null3"/>
      </w:pPr>
      <w:r>
        <w:rPr/>
        <w:t>地址：陕西省西安市经济技术开发区凤城八路180号长和国际F座22层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2024年西安图书馆24小时社区分馆运行保障及阅读推广。（详见附件“采购内容及要求”）</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800,000.00</w:t>
      </w:r>
    </w:p>
    <w:p>
      <w:pPr>
        <w:pStyle w:val="null3"/>
      </w:pPr>
      <w:r>
        <w:rPr/>
        <w:t>采购包最高限价（元）: 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图书馆和档案馆服务</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标的名称：图书馆和档案馆服务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t>服务期限：</w:t>
            </w:r>
            <w:r>
              <w:rPr>
                <w:rFonts w:ascii="&quot;times new roman&quot;" w:hAnsi="&quot;times new roman&quot;" w:cs="&quot;times new roman&quot;" w:eastAsia="&quot;times new roman&quot;"/>
                <w:sz w:val="21"/>
              </w:rPr>
              <w:t>2024年度</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服务质量：合格</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b/>
                <w:sz w:val="24"/>
              </w:rPr>
              <w:t>社区自助图书馆</w:t>
            </w:r>
            <w:r>
              <w:rPr>
                <w:rFonts w:ascii="宋体" w:hAnsi="宋体" w:cs="宋体" w:eastAsia="宋体"/>
                <w:b/>
                <w:sz w:val="24"/>
              </w:rPr>
              <w:t>分布</w:t>
            </w:r>
            <w:r>
              <w:rPr>
                <w:rFonts w:ascii="宋体" w:hAnsi="宋体" w:cs="宋体" w:eastAsia="宋体"/>
                <w:b/>
                <w:sz w:val="24"/>
              </w:rPr>
              <w:t>信息：</w:t>
            </w:r>
          </w:p>
          <w:tbl>
            <w:tblPr>
              <w:tblInd w:type="dxa" w:w="135"/>
              <w:tblBorders>
                <w:top w:val="none" w:color="000000" w:sz="4"/>
                <w:left w:val="none" w:color="000000" w:sz="4"/>
                <w:bottom w:val="none" w:color="000000" w:sz="4"/>
                <w:right w:val="none" w:color="000000" w:sz="4"/>
                <w:insideH w:val="none"/>
                <w:insideV w:val="none"/>
              </w:tblBorders>
            </w:tblPr>
            <w:tblGrid>
              <w:gridCol w:w="203"/>
              <w:gridCol w:w="335"/>
              <w:gridCol w:w="807"/>
              <w:gridCol w:w="873"/>
              <w:gridCol w:w="199"/>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序号</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分馆编号</w:t>
                  </w:r>
                </w:p>
              </w:tc>
              <w:tc>
                <w:tcPr>
                  <w:tcW w:type="dxa" w:w="8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标牌名称</w:t>
                  </w:r>
                </w:p>
              </w:tc>
              <w:tc>
                <w:tcPr>
                  <w:tcW w:type="dxa" w:w="8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地址</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备注</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NO.032</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西安图书馆白桦林居分馆</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凤城九路与明光路十字东南</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NO.033</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西安图书馆文景西区分馆</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凤城九路与明光路十字</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NO.034</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西安图书馆文景东区分馆</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未央区苑城路</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NO.035</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西安图书馆高山流水分馆</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未央区渭路南段</w:t>
                  </w:r>
                  <w:r>
                    <w:rPr>
                      <w:rFonts w:ascii="宋体" w:hAnsi="宋体" w:cs="宋体" w:eastAsia="宋体"/>
                      <w:sz w:val="24"/>
                    </w:rPr>
                    <w:t>320号</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NO.036</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西安图书馆浐灞半岛分馆</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金茂一路浐灞半岛</w:t>
                  </w:r>
                  <w:r>
                    <w:rPr>
                      <w:rFonts w:ascii="宋体" w:hAnsi="宋体" w:cs="宋体" w:eastAsia="宋体"/>
                      <w:sz w:val="24"/>
                    </w:rPr>
                    <w:t>A13区</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NO.037</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西安图书馆大唐分馆</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雁塔区雁塔西路</w:t>
                  </w:r>
                  <w:r>
                    <w:rPr>
                      <w:rFonts w:ascii="宋体" w:hAnsi="宋体" w:cs="宋体" w:eastAsia="宋体"/>
                      <w:sz w:val="24"/>
                    </w:rPr>
                    <w:t>12号</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NO.038</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西安图书馆长安家园分馆</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长安区西京路</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NO.039</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西安图书馆翠竹园分馆</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雁塔区曲江池南路</w:t>
                  </w:r>
                  <w:r>
                    <w:rPr>
                      <w:rFonts w:ascii="宋体" w:hAnsi="宋体" w:cs="宋体" w:eastAsia="宋体"/>
                      <w:sz w:val="24"/>
                    </w:rPr>
                    <w:t>276号</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NO.040</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西安图书馆亮丽家园分馆</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秦园西路</w:t>
                  </w:r>
                  <w:r>
                    <w:rPr>
                      <w:rFonts w:ascii="宋体" w:hAnsi="宋体" w:cs="宋体" w:eastAsia="宋体"/>
                      <w:sz w:val="24"/>
                    </w:rPr>
                    <w:t>239号</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NO.041</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西安图书馆木塔南苑分馆</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木塔南街永阳一巷</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NO.042</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西安图书馆海关分馆</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唐延路</w:t>
                  </w:r>
                  <w:r>
                    <w:rPr>
                      <w:rFonts w:ascii="宋体" w:hAnsi="宋体" w:cs="宋体" w:eastAsia="宋体"/>
                      <w:sz w:val="24"/>
                    </w:rPr>
                    <w:t>21号</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NO.043</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西安图书馆丰盛园分馆</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莲湖区枣园西路</w:t>
                  </w:r>
                  <w:r>
                    <w:rPr>
                      <w:rFonts w:ascii="宋体" w:hAnsi="宋体" w:cs="宋体" w:eastAsia="宋体"/>
                      <w:sz w:val="24"/>
                    </w:rPr>
                    <w:t>128号</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宋体" w:hAnsi="宋体" w:cs="宋体" w:eastAsia="宋体"/>
                <w:b/>
                <w:sz w:val="24"/>
              </w:rPr>
              <w:t>采购内容：</w:t>
            </w:r>
          </w:p>
          <w:tbl>
            <w:tblPr>
              <w:tblBorders>
                <w:top w:val="none" w:color="000000" w:sz="4"/>
                <w:left w:val="none" w:color="000000" w:sz="4"/>
                <w:bottom w:val="none" w:color="000000" w:sz="4"/>
                <w:right w:val="none" w:color="000000" w:sz="4"/>
                <w:insideH w:val="none"/>
                <w:insideV w:val="none"/>
              </w:tblBorders>
            </w:tblPr>
            <w:tblGrid>
              <w:gridCol w:w="140"/>
              <w:gridCol w:w="356"/>
              <w:gridCol w:w="1647"/>
              <w:gridCol w:w="178"/>
              <w:gridCol w:w="165"/>
            </w:tblGrid>
            <w:tr>
              <w:tc>
                <w:tcPr>
                  <w:tcW w:type="dxa" w:w="14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b/>
                      <w:sz w:val="24"/>
                    </w:rPr>
                    <w:t>序号</w:t>
                  </w:r>
                </w:p>
              </w:tc>
              <w:tc>
                <w:tcPr>
                  <w:tcW w:type="dxa" w:w="35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b/>
                      <w:sz w:val="24"/>
                    </w:rPr>
                    <w:t>服务管理项目</w:t>
                  </w:r>
                </w:p>
              </w:tc>
              <w:tc>
                <w:tcPr>
                  <w:tcW w:type="dxa" w:w="164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b/>
                      <w:sz w:val="24"/>
                    </w:rPr>
                    <w:t>服务要求</w:t>
                  </w:r>
                </w:p>
              </w:tc>
              <w:tc>
                <w:tcPr>
                  <w:tcW w:type="dxa" w:w="17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b/>
                      <w:sz w:val="24"/>
                    </w:rPr>
                    <w:t>单位</w:t>
                  </w:r>
                </w:p>
              </w:tc>
              <w:tc>
                <w:tcPr>
                  <w:tcW w:type="dxa" w:w="16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b/>
                      <w:sz w:val="24"/>
                    </w:rPr>
                    <w:t>数量</w:t>
                  </w:r>
                </w:p>
              </w:tc>
            </w:tr>
            <w:tr>
              <w:tc>
                <w:tcPr>
                  <w:tcW w:type="dxa" w:w="1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1</w:t>
                  </w:r>
                </w:p>
              </w:tc>
              <w:tc>
                <w:tcPr>
                  <w:tcW w:type="dxa" w:w="3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开放形式、</w:t>
                  </w:r>
                </w:p>
                <w:p>
                  <w:pPr>
                    <w:pStyle w:val="null3"/>
                    <w:jc w:val="center"/>
                  </w:pPr>
                  <w:r>
                    <w:rPr>
                      <w:rFonts w:ascii="宋体" w:hAnsi="宋体" w:cs="宋体" w:eastAsia="宋体"/>
                      <w:sz w:val="24"/>
                    </w:rPr>
                    <w:t>时间</w:t>
                  </w: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根据社区分馆周边人员、环境及辖区管理部门要求等实施免费开放。周开放时间不低于</w:t>
                  </w:r>
                  <w:r>
                    <w:rPr>
                      <w:rFonts w:ascii="宋体" w:hAnsi="宋体" w:cs="宋体" w:eastAsia="宋体"/>
                      <w:sz w:val="24"/>
                    </w:rPr>
                    <w:t>80小时。</w:t>
                  </w:r>
                </w:p>
              </w:tc>
              <w:tc>
                <w:tcPr>
                  <w:tcW w:type="dxa" w:w="178"/>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年度</w:t>
                  </w:r>
                </w:p>
              </w:tc>
              <w:tc>
                <w:tcPr>
                  <w:tcW w:type="dxa" w:w="165"/>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1年</w:t>
                  </w:r>
                </w:p>
              </w:tc>
            </w:tr>
            <w:tr>
              <w:tc>
                <w:tcPr>
                  <w:tcW w:type="dxa" w:w="14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2</w:t>
                  </w:r>
                </w:p>
              </w:tc>
              <w:tc>
                <w:tcPr>
                  <w:tcW w:type="dxa" w:w="35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互联网保障及安全运行</w:t>
                  </w: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1、在无外部因素（除区域性停电、停网）的情况下，保障社区分馆的业务操作系统网络畅通。</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tcBorders>
                    <w:top w:val="none" w:color="000000" w:sz="4"/>
                    <w:left w:val="singl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2、保障社区分馆的网络畅通，协调维护网络设施的正常使用。</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tcBorders>
                    <w:top w:val="none" w:color="000000" w:sz="4"/>
                    <w:left w:val="singl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3、保障图书馆业务数据传输稳定、无波动、无延迟、无中断。</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3</w:t>
                  </w:r>
                </w:p>
              </w:tc>
              <w:tc>
                <w:tcPr>
                  <w:tcW w:type="dxa" w:w="35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电力保障及</w:t>
                  </w:r>
                </w:p>
                <w:p>
                  <w:pPr>
                    <w:pStyle w:val="null3"/>
                    <w:jc w:val="center"/>
                  </w:pPr>
                  <w:r>
                    <w:rPr>
                      <w:rFonts w:ascii="宋体" w:hAnsi="宋体" w:cs="宋体" w:eastAsia="宋体"/>
                      <w:sz w:val="24"/>
                    </w:rPr>
                    <w:t>安全运行</w:t>
                  </w: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1、定期预缴电费，保障自助图书馆内各系统设备有充足的电力供应。</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tcBorders>
                    <w:top w:val="none" w:color="000000" w:sz="4"/>
                    <w:left w:val="singl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2、在无外部因素（除区域性停电）的情况下，保障用电系统正常运行。</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tcBorders>
                    <w:top w:val="none" w:color="000000" w:sz="4"/>
                    <w:left w:val="singl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3、建立用电安全保障机制，定期对馆舍内部电路、电路保护设备进行安全检查，及时排除用电安全隐患，建立用电系统检查与维护日志，保障自助图书馆用电系统正常运行。</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4</w:t>
                  </w:r>
                </w:p>
              </w:tc>
              <w:tc>
                <w:tcPr>
                  <w:tcW w:type="dxa" w:w="35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图书馆</w:t>
                  </w:r>
                </w:p>
                <w:p>
                  <w:pPr>
                    <w:pStyle w:val="null3"/>
                    <w:jc w:val="center"/>
                  </w:pPr>
                  <w:r>
                    <w:rPr>
                      <w:rFonts w:ascii="宋体" w:hAnsi="宋体" w:cs="宋体" w:eastAsia="宋体"/>
                      <w:sz w:val="24"/>
                    </w:rPr>
                    <w:t>业务</w:t>
                  </w:r>
                </w:p>
                <w:p>
                  <w:pPr>
                    <w:pStyle w:val="null3"/>
                    <w:jc w:val="center"/>
                  </w:pPr>
                  <w:r>
                    <w:rPr>
                      <w:rFonts w:ascii="宋体" w:hAnsi="宋体" w:cs="宋体" w:eastAsia="宋体"/>
                      <w:sz w:val="24"/>
                    </w:rPr>
                    <w:t>运行</w:t>
                  </w: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1、及时完成图书上架、下架、排架、整架等，对工作人员不定期进行专业培训。</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tcBorders>
                    <w:top w:val="none" w:color="000000" w:sz="4"/>
                    <w:left w:val="singl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2、完成市图书馆与社区分馆图书的更换等,每个分馆每月图书更新率应当达到20%以上。</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tcBorders>
                    <w:top w:val="none" w:color="000000" w:sz="4"/>
                    <w:left w:val="singl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3、根据读者个人阅读喜好、通过大数据挑选其所需图书调配至相应的分馆</w:t>
                  </w:r>
                  <w:r>
                    <w:rPr>
                      <w:rFonts w:ascii="宋体" w:hAnsi="宋体" w:cs="宋体" w:eastAsia="宋体"/>
                      <w:sz w:val="24"/>
                    </w:rPr>
                    <w:t>。</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tcBorders>
                    <w:top w:val="none" w:color="000000" w:sz="4"/>
                    <w:left w:val="singl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4、对破损图书及时进行保质修复或报送总馆处理</w:t>
                  </w:r>
                  <w:r>
                    <w:rPr>
                      <w:rFonts w:ascii="宋体" w:hAnsi="宋体" w:cs="宋体" w:eastAsia="宋体"/>
                      <w:sz w:val="24"/>
                    </w:rPr>
                    <w:t>。</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5</w:t>
                  </w:r>
                </w:p>
              </w:tc>
              <w:tc>
                <w:tcPr>
                  <w:tcW w:type="dxa" w:w="35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公共安全及</w:t>
                  </w:r>
                </w:p>
                <w:p>
                  <w:pPr>
                    <w:pStyle w:val="null3"/>
                    <w:jc w:val="center"/>
                  </w:pPr>
                  <w:r>
                    <w:rPr>
                      <w:rFonts w:ascii="宋体" w:hAnsi="宋体" w:cs="宋体" w:eastAsia="宋体"/>
                      <w:sz w:val="24"/>
                    </w:rPr>
                    <w:t>保障</w:t>
                  </w: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1、安全及秩序管理：建立分馆安全保障机制，加强后台远程实时监控，及时妥善处理突发事件，保障分馆财产设备安全，维持馆内正常借阅秩序。</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tcBorders>
                    <w:top w:val="none" w:color="000000" w:sz="4"/>
                    <w:left w:val="singl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2、文明开放，强化管理，保证读者进出馆舍秩序井然，无占座、插队、吵闹喧哗现象。</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tcBorders>
                    <w:top w:val="none" w:color="000000" w:sz="4"/>
                    <w:left w:val="singl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3、加强联系群众，做好群防群治。在分馆内外硬件及房体遭到自然或人为破坏时，可立即报备市图书馆和当地公安机关，并在现场张贴闭馆通知和设置围挡以确保安全，积极协助公安机关调查，协助辖区管理部门追究肇事者责任。</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tcBorders>
                    <w:top w:val="none" w:color="000000" w:sz="4"/>
                    <w:left w:val="singl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647"/>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4、消防设施设备摆放位置醒目，设施配备齐全、完好无损，可随时起用，组织开展消防法规及消防知识的宣传教育，明确各分馆消防安全责任人；保证消防疏散通道畅通；无火灾安全隐患。</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6</w:t>
                  </w:r>
                </w:p>
              </w:tc>
              <w:tc>
                <w:tcPr>
                  <w:tcW w:type="dxa" w:w="35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公共服务设施日常管理维护</w:t>
                  </w:r>
                </w:p>
              </w:tc>
              <w:tc>
                <w:tcPr>
                  <w:tcW w:type="dxa" w:w="164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1、保证各类照明灯具，包括馆舍外部灯箱、亮化灯、内部照明灯、应急灯正常运行，外观无破损，无安全隐患</w:t>
                  </w:r>
                  <w:r>
                    <w:rPr>
                      <w:rFonts w:ascii="宋体" w:hAnsi="宋体" w:cs="宋体" w:eastAsia="宋体"/>
                      <w:sz w:val="24"/>
                    </w:rPr>
                    <w:t>。</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tcBorders>
                    <w:top w:val="none" w:color="000000" w:sz="4"/>
                    <w:left w:val="singl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2、馆舍内外各类提示语、标牌、宣传标识完整，内容合规，无破损、褪色现象。</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tcBorders>
                    <w:top w:val="none" w:color="000000" w:sz="4"/>
                    <w:left w:val="singl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3、房体外观完好、整洁，无乱贴、乱涂、乱画现象。</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tcBorders>
                    <w:top w:val="none" w:color="000000" w:sz="4"/>
                    <w:left w:val="singl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4、书架、阅览桌椅等各类设施设备正常使用且外观无破损现象。</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tcBorders>
                    <w:top w:val="none" w:color="000000" w:sz="4"/>
                    <w:left w:val="singl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5、及时对馆舍内外公共服务设施进行维修、清洗、保障灯具、标识标牌、锁具、空调、消防设备及供电系统、弱电网络系统等各项公共服务设施设备正常使用运行。</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7</w:t>
                  </w:r>
                </w:p>
              </w:tc>
              <w:tc>
                <w:tcPr>
                  <w:tcW w:type="dxa" w:w="35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环境卫生管理</w:t>
                  </w: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1、配备日常所需的保洁设备及消毒用品。</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tcBorders>
                    <w:top w:val="none" w:color="000000" w:sz="4"/>
                    <w:left w:val="singl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2、室内垃圾日产日清，每日进行卫生消毒灭杀。</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tcBorders>
                    <w:top w:val="none" w:color="000000" w:sz="4"/>
                    <w:left w:val="singl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3、馆舍外部房体及内部保持清洁，书架、阅览桌椅、各种设备整洁无灰尘、无乱贴、乱画现象，室内无纸屑、烟头等废弃物。</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tcBorders>
                    <w:top w:val="none" w:color="000000" w:sz="4"/>
                    <w:left w:val="singl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4、做好环卫、禁烟宣传工作，提高卫生清洁意识。</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tcBorders>
                    <w:top w:val="none" w:color="000000" w:sz="4"/>
                    <w:left w:val="singl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5、建全公共卫生安全保障机制，建立卫生保洁、消毒制度及灭“四害”工作日志。</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8</w:t>
                  </w:r>
                </w:p>
              </w:tc>
              <w:tc>
                <w:tcPr>
                  <w:tcW w:type="dxa" w:w="35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智能管理系统设施设备维护管理</w:t>
                  </w: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1、定期开展包括卫生检查、图书整理、设备隐患检查、治安巡查在内的自我巡查整改工作，并做好日常巡检和处理隐患的工作日志。</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tcBorders>
                    <w:top w:val="none" w:color="000000" w:sz="4"/>
                    <w:left w:val="singl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2、每天查看馆舍内外的设施、RFID 智能设备的安全及各系统设备运行情况。如分馆内公共服务设施设备或智能化管理控制系统设施设备出现故障，立刻指派技术人员或联系设备供应商进行维修，并跟踪推进维修进度，一般故障确保在 2 小时内解除，确保馆内 RFID 设备的正常运行；若出现重大故障、事故须闭馆维修时应立即报备市图书馆并现场张贴闭馆通知和设置围挡确保安全。</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tcBorders>
                    <w:top w:val="none" w:color="000000" w:sz="4"/>
                    <w:left w:val="singl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3、突发事件处理。遇到突发事情需及时电话对接处理，必要时 1.5小时内到达现场进行处理，并及时给予读者答复。</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tcBorders>
                    <w:top w:val="none" w:color="000000" w:sz="4"/>
                    <w:left w:val="singl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4、及时预存各项费用。确保馆内不断电、手机不停机、SOS 能够正常使用、网络正常运转。</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tcBorders>
                    <w:top w:val="none" w:color="000000" w:sz="4"/>
                    <w:left w:val="singl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 xml:space="preserve">5、定期维护馆内大数据监控中心的数据端口，保证数据端口的正常对接并确保馆内智能设备收集数据的准确性。  </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9</w:t>
                  </w:r>
                </w:p>
              </w:tc>
              <w:tc>
                <w:tcPr>
                  <w:tcW w:type="dxa" w:w="35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管理维护</w:t>
                  </w: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1、组建日常维护管理团队。负责分馆环境卫生、业务管理、读者管理、阅读推广活动等常态化服务管理，掌握智能调节分馆开馆、闭馆、通断电等技术。</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tcBorders>
                    <w:top w:val="none" w:color="000000" w:sz="4"/>
                    <w:left w:val="singl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2、组建设备管理维护巡检团队。对各分馆设备运行情况进行巡检，及时处理设备故障，保障自助图书馆智能设备及软硬件系统正常运行。</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tcBorders>
                    <w:top w:val="none" w:color="000000" w:sz="4"/>
                    <w:left w:val="singl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3、组建后台控制及综合指挥调度团队。对自助图书馆进行后台管理控制，包括视频监控系统、语音广播呼叫系统、大数据监控系统等；监测自助图书馆运行状态，及时发现问题并进行调度处理；综合协调处理其他自助图书馆运行过程中的其他工作和问题。</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10</w:t>
                  </w:r>
                </w:p>
              </w:tc>
              <w:tc>
                <w:tcPr>
                  <w:tcW w:type="dxa" w:w="35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档案及日志管理</w:t>
                  </w: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1、建立日常管理及设备设施运行维护档案，保证各项工作日志齐全、准确。</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vMerge/>
                  <w:tcBorders>
                    <w:top w:val="none" w:color="000000" w:sz="4"/>
                    <w:left w:val="singl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2、定期统计、及时上报各类业务数据。</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11</w:t>
                  </w:r>
                </w:p>
              </w:tc>
              <w:tc>
                <w:tcPr>
                  <w:tcW w:type="dxa" w:w="3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视频监控影像资料</w:t>
                  </w: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运营期间提供监控记录用于危机凭证处理：</w:t>
                  </w:r>
                  <w:r>
                    <w:br/>
                  </w:r>
                  <w:r>
                    <w:rPr>
                      <w:rFonts w:ascii="宋体" w:hAnsi="宋体" w:cs="宋体" w:eastAsia="宋体"/>
                      <w:sz w:val="24"/>
                    </w:rPr>
                    <w:t>1、提供不低于30个日历日、12个社区分馆视频监控影音资料；</w:t>
                  </w:r>
                  <w:r>
                    <w:br/>
                  </w:r>
                  <w:r>
                    <w:rPr>
                      <w:rFonts w:ascii="宋体" w:hAnsi="宋体" w:cs="宋体" w:eastAsia="宋体"/>
                      <w:sz w:val="24"/>
                    </w:rPr>
                    <w:t>2、每处社区分馆不低于4路监控线路的监控视频留存；</w:t>
                  </w:r>
                </w:p>
                <w:p>
                  <w:pPr>
                    <w:pStyle w:val="null3"/>
                  </w:pPr>
                  <w:r>
                    <w:rPr>
                      <w:rFonts w:ascii="宋体" w:hAnsi="宋体" w:cs="宋体" w:eastAsia="宋体"/>
                      <w:sz w:val="24"/>
                    </w:rPr>
                    <w:t>3、监控记录要求进行本地或者云存储，并能随时回放、调取；</w:t>
                  </w:r>
                </w:p>
                <w:p>
                  <w:pPr>
                    <w:pStyle w:val="null3"/>
                  </w:pPr>
                  <w:r>
                    <w:rPr>
                      <w:rFonts w:ascii="宋体" w:hAnsi="宋体" w:cs="宋体" w:eastAsia="宋体"/>
                      <w:sz w:val="24"/>
                    </w:rPr>
                    <w:t>4、要求不低于64路网络高清硬盘录像机、视频存储，硬盘不低于20T，不低于4块46寸高清拼接大屏用于展示</w:t>
                  </w:r>
                  <w:r>
                    <w:rPr>
                      <w:rFonts w:ascii="宋体" w:hAnsi="宋体" w:cs="宋体" w:eastAsia="宋体"/>
                      <w:sz w:val="24"/>
                    </w:rPr>
                    <w:t>。</w:t>
                  </w:r>
                </w:p>
              </w:tc>
              <w:tc>
                <w:tcPr>
                  <w:tcW w:type="dxa" w:w="178"/>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12</w:t>
                  </w:r>
                </w:p>
              </w:tc>
              <w:tc>
                <w:tcPr>
                  <w:tcW w:type="dxa" w:w="3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阅读听书墙更新</w:t>
                  </w: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4"/>
                    </w:rPr>
                    <w:t>阅读听书墙每季更换听书内容，总计不少于</w:t>
                  </w:r>
                  <w:r>
                    <w:rPr>
                      <w:rFonts w:ascii="宋体" w:hAnsi="宋体" w:cs="宋体" w:eastAsia="宋体"/>
                      <w:sz w:val="24"/>
                    </w:rPr>
                    <w:t>60册；</w:t>
                  </w:r>
                </w:p>
                <w:p>
                  <w:pPr>
                    <w:pStyle w:val="null3"/>
                    <w:jc w:val="both"/>
                  </w:pPr>
                  <w:r>
                    <w:rPr>
                      <w:rFonts w:ascii="宋体" w:hAnsi="宋体" w:cs="宋体" w:eastAsia="宋体"/>
                      <w:sz w:val="24"/>
                    </w:rPr>
                    <w:t>一、听书操作方式：扫描二维码即可在微信端打开听书内容页进行听书；</w:t>
                  </w:r>
                </w:p>
                <w:p>
                  <w:pPr>
                    <w:pStyle w:val="null3"/>
                    <w:jc w:val="both"/>
                  </w:pPr>
                  <w:r>
                    <w:rPr>
                      <w:rFonts w:ascii="宋体" w:hAnsi="宋体" w:cs="宋体" w:eastAsia="宋体"/>
                      <w:sz w:val="24"/>
                    </w:rPr>
                    <w:t>二、听书内容要求：</w:t>
                  </w:r>
                </w:p>
                <w:p>
                  <w:pPr>
                    <w:pStyle w:val="null3"/>
                    <w:ind w:firstLine="480"/>
                    <w:jc w:val="left"/>
                  </w:pPr>
                  <w:r>
                    <w:rPr>
                      <w:rFonts w:ascii="宋体" w:hAnsi="宋体" w:cs="宋体" w:eastAsia="宋体"/>
                      <w:sz w:val="24"/>
                    </w:rPr>
                    <w:t xml:space="preserve">1. </w:t>
                  </w:r>
                  <w:r>
                    <w:rPr>
                      <w:rFonts w:ascii="宋体" w:hAnsi="宋体" w:cs="宋体" w:eastAsia="宋体"/>
                      <w:sz w:val="24"/>
                    </w:rPr>
                    <w:t>提供不少于</w:t>
                  </w:r>
                  <w:r>
                    <w:rPr>
                      <w:rFonts w:ascii="宋体" w:hAnsi="宋体" w:cs="宋体" w:eastAsia="宋体"/>
                      <w:sz w:val="24"/>
                    </w:rPr>
                    <w:t>20000本正版有声书籍（提供证明材料），内容主要涉及党政、财经、文学、人文、历史、成功、有声小说、精品课、相声评书、曲艺戏曲、儿童、健康、生活等门类，</w:t>
                  </w:r>
                  <w:r>
                    <w:rPr>
                      <w:rFonts w:ascii="宋体" w:hAnsi="宋体" w:cs="宋体" w:eastAsia="宋体"/>
                      <w:sz w:val="24"/>
                    </w:rPr>
                    <w:t>且听书资源持续更新上线</w:t>
                  </w:r>
                  <w:r>
                    <w:rPr>
                      <w:rFonts w:ascii="宋体" w:hAnsi="宋体" w:cs="宋体" w:eastAsia="宋体"/>
                      <w:sz w:val="24"/>
                    </w:rPr>
                    <w:t>。</w:t>
                  </w:r>
                </w:p>
                <w:p>
                  <w:pPr>
                    <w:pStyle w:val="null3"/>
                    <w:ind w:firstLine="480"/>
                    <w:jc w:val="left"/>
                  </w:pPr>
                  <w:r>
                    <w:rPr>
                      <w:rFonts w:ascii="宋体" w:hAnsi="宋体" w:cs="宋体" w:eastAsia="宋体"/>
                      <w:sz w:val="24"/>
                    </w:rPr>
                    <w:t>2、提供听书图书要求是浙江大学出版社有限责任公司、华中科技大学出版社有限责任公司、北京闻章天成图书有限公司、北京南文博雅文化传媒有限公司、北京华夏盛轩图书有限公司等众多权威出版机构，提供以上合作出版社版权协议合作承诺函。</w:t>
                  </w:r>
                </w:p>
                <w:p>
                  <w:pPr>
                    <w:pStyle w:val="null3"/>
                    <w:ind w:firstLine="480"/>
                    <w:jc w:val="left"/>
                  </w:pPr>
                  <w:r>
                    <w:rPr>
                      <w:rFonts w:ascii="宋体" w:hAnsi="宋体" w:cs="宋体" w:eastAsia="宋体"/>
                      <w:sz w:val="24"/>
                    </w:rPr>
                    <w:t>3、资源分类至少包含如下：</w:t>
                  </w:r>
                </w:p>
                <w:p>
                  <w:pPr>
                    <w:pStyle w:val="null3"/>
                    <w:ind w:firstLine="480"/>
                    <w:jc w:val="left"/>
                  </w:pPr>
                  <w:r>
                    <w:rPr>
                      <w:rFonts w:ascii="宋体" w:hAnsi="宋体" w:cs="宋体" w:eastAsia="宋体"/>
                      <w:sz w:val="24"/>
                    </w:rPr>
                    <w:t>党政类：新思想、党政学习等；</w:t>
                  </w:r>
                </w:p>
                <w:p>
                  <w:pPr>
                    <w:pStyle w:val="null3"/>
                    <w:ind w:firstLine="480"/>
                    <w:jc w:val="left"/>
                  </w:pPr>
                  <w:r>
                    <w:rPr>
                      <w:rFonts w:ascii="宋体" w:hAnsi="宋体" w:cs="宋体" w:eastAsia="宋体"/>
                      <w:sz w:val="24"/>
                    </w:rPr>
                    <w:t>财经类：商业智慧、股市、投资理财、创业、管理营销等；</w:t>
                  </w:r>
                </w:p>
                <w:p>
                  <w:pPr>
                    <w:pStyle w:val="null3"/>
                    <w:ind w:firstLine="480"/>
                    <w:jc w:val="left"/>
                  </w:pPr>
                  <w:r>
                    <w:rPr>
                      <w:rFonts w:ascii="宋体" w:hAnsi="宋体" w:cs="宋体" w:eastAsia="宋体"/>
                      <w:sz w:val="24"/>
                    </w:rPr>
                    <w:t>文学类：科幻小说、探险小说、推理小说、军旅文学、古典文学、影视文学、青春文学、散文诗歌、外国文学、通俗文学、名家名著等；</w:t>
                  </w:r>
                </w:p>
                <w:p>
                  <w:pPr>
                    <w:pStyle w:val="null3"/>
                    <w:ind w:firstLine="480"/>
                    <w:jc w:val="left"/>
                  </w:pPr>
                  <w:r>
                    <w:rPr>
                      <w:rFonts w:ascii="宋体" w:hAnsi="宋体" w:cs="宋体" w:eastAsia="宋体"/>
                      <w:sz w:val="24"/>
                    </w:rPr>
                    <w:t>人文类：农林渔牧、心理百科、文艺文化、时政热点、纪实传奇、科学科普等；</w:t>
                  </w:r>
                </w:p>
                <w:p>
                  <w:pPr>
                    <w:pStyle w:val="null3"/>
                    <w:ind w:firstLine="480"/>
                    <w:jc w:val="left"/>
                  </w:pPr>
                  <w:r>
                    <w:rPr>
                      <w:rFonts w:ascii="宋体" w:hAnsi="宋体" w:cs="宋体" w:eastAsia="宋体"/>
                      <w:sz w:val="24"/>
                    </w:rPr>
                    <w:t>历史类：世界史、红色足迹、历史小说、中国古代史、中国近代史等；</w:t>
                  </w:r>
                </w:p>
                <w:p>
                  <w:pPr>
                    <w:pStyle w:val="null3"/>
                    <w:ind w:firstLine="480"/>
                    <w:jc w:val="left"/>
                  </w:pPr>
                  <w:r>
                    <w:rPr>
                      <w:rFonts w:ascii="宋体" w:hAnsi="宋体" w:cs="宋体" w:eastAsia="宋体"/>
                      <w:sz w:val="24"/>
                    </w:rPr>
                    <w:t>成功类：心灵素养、职场进阶、就业指导、演讲口才、专业考试等；</w:t>
                  </w:r>
                </w:p>
                <w:p>
                  <w:pPr>
                    <w:pStyle w:val="null3"/>
                    <w:ind w:firstLine="480"/>
                    <w:jc w:val="left"/>
                  </w:pPr>
                  <w:r>
                    <w:rPr>
                      <w:rFonts w:ascii="宋体" w:hAnsi="宋体" w:cs="宋体" w:eastAsia="宋体"/>
                      <w:sz w:val="24"/>
                    </w:rPr>
                    <w:t>有声小说类：热血军事、穿越架空、悬疑推理、青春校园、科幻世界等；</w:t>
                  </w:r>
                </w:p>
                <w:p>
                  <w:pPr>
                    <w:pStyle w:val="null3"/>
                    <w:ind w:firstLine="480"/>
                    <w:jc w:val="left"/>
                  </w:pPr>
                  <w:r>
                    <w:rPr>
                      <w:rFonts w:ascii="宋体" w:hAnsi="宋体" w:cs="宋体" w:eastAsia="宋体"/>
                      <w:sz w:val="24"/>
                    </w:rPr>
                    <w:t>精品课：商业财经、哲学思想、时尚生活、文化艺术、名著精读等；</w:t>
                  </w:r>
                </w:p>
              </w:tc>
              <w:tc>
                <w:tcPr>
                  <w:tcW w:type="dxa" w:w="1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12套</w:t>
                  </w: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4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13</w:t>
                  </w:r>
                </w:p>
              </w:tc>
              <w:tc>
                <w:tcPr>
                  <w:tcW w:type="dxa" w:w="35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读者服务</w:t>
                  </w: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80"/>
                    <w:jc w:val="left"/>
                  </w:pPr>
                  <w:r>
                    <w:rPr>
                      <w:rFonts w:ascii="宋体" w:hAnsi="宋体" w:cs="宋体" w:eastAsia="宋体"/>
                      <w:sz w:val="24"/>
                    </w:rPr>
                    <w:t>1、读者服务。分馆正常开放期间认真接听读者电话咨询并及时对接各执行部门，尽快处理解决读者问题。</w:t>
                  </w:r>
                </w:p>
              </w:tc>
              <w:tc>
                <w:tcPr>
                  <w:tcW w:type="dxa" w:w="1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40"/>
                  <w:vMerge/>
                  <w:tcBorders>
                    <w:top w:val="none" w:color="000000" w:sz="4"/>
                    <w:left w:val="singl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2、及时收集整理读者意见并回复读者留言，加强与读者交流，提升分馆美誉度。</w:t>
                  </w:r>
                </w:p>
              </w:tc>
              <w:tc>
                <w:tcPr>
                  <w:tcW w:type="dxa" w:w="1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40"/>
                  <w:vMerge/>
                  <w:tcBorders>
                    <w:top w:val="none" w:color="000000" w:sz="4"/>
                    <w:left w:val="singl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3、活动策划：根据周边读者群等信息策划积极开展文化活动，以活动为载体，拓宽分馆宣传渠道。</w:t>
                  </w:r>
                </w:p>
              </w:tc>
              <w:tc>
                <w:tcPr>
                  <w:tcW w:type="dxa" w:w="1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40"/>
                  <w:vMerge/>
                  <w:tcBorders>
                    <w:top w:val="none" w:color="000000" w:sz="4"/>
                    <w:left w:val="singl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4、配合市图书馆将西安图书馆微信公众号打造成为读者互动平台，分享交流平台，通过线上线下的互动，多形式服务读者，推动全民阅读活动的开展；</w:t>
                  </w:r>
                </w:p>
              </w:tc>
              <w:tc>
                <w:tcPr>
                  <w:tcW w:type="dxa" w:w="1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40"/>
                  <w:vMerge/>
                  <w:tcBorders>
                    <w:top w:val="none" w:color="000000" w:sz="4"/>
                    <w:left w:val="singl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5、制定统一的管理服务标准。根据西安图书馆要求，制定专业化、标准化的服务细则，提供统一的标准化管理服务，确保各项服务功能设施设备和阅读服务让市民满意。</w:t>
                  </w:r>
                </w:p>
              </w:tc>
              <w:tc>
                <w:tcPr>
                  <w:tcW w:type="dxa" w:w="1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40"/>
                  <w:vMerge/>
                  <w:tcBorders>
                    <w:top w:val="none" w:color="000000" w:sz="4"/>
                    <w:left w:val="singl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6、在社区分馆馆舍内显著位置向读者公示服务范围、服务内容、开放时间、服务公约、服务承诺以及读者须知、办证方法、借阅规则等信息。因故必须闭馆时，须及时向读者公告。</w:t>
                  </w:r>
                </w:p>
              </w:tc>
              <w:tc>
                <w:tcPr>
                  <w:tcW w:type="dxa" w:w="1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40"/>
                  <w:vMerge/>
                  <w:tcBorders>
                    <w:top w:val="none" w:color="000000" w:sz="4"/>
                    <w:left w:val="singl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宋体" w:hAnsi="宋体" w:cs="宋体" w:eastAsia="宋体"/>
                      <w:sz w:val="24"/>
                    </w:rPr>
                    <w:t>7、做好各分馆志愿者服务管理与维护。建立长期有效的志愿者服务工作机制，负责分馆志愿者队伍的管理，扩大宣传，吸引更多的公益机构和社会人员加入维护分馆正常运行的志愿者队伍。</w:t>
                  </w:r>
                </w:p>
              </w:tc>
              <w:tc>
                <w:tcPr>
                  <w:tcW w:type="dxa" w:w="1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4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14</w:t>
                  </w:r>
                </w:p>
              </w:tc>
              <w:tc>
                <w:tcPr>
                  <w:tcW w:type="dxa" w:w="3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4"/>
                    </w:rPr>
                    <w:t>阅读推广</w:t>
                  </w:r>
                </w:p>
              </w:tc>
              <w:tc>
                <w:tcPr>
                  <w:tcW w:type="dxa" w:w="16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80"/>
                    <w:jc w:val="left"/>
                  </w:pPr>
                  <w:r>
                    <w:rPr>
                      <w:rFonts w:ascii="宋体" w:hAnsi="宋体" w:cs="宋体" w:eastAsia="宋体"/>
                      <w:sz w:val="24"/>
                    </w:rPr>
                    <w:t>配合市图书馆开展阅读推广工作，根据社区分馆的读者需求开展阅读宣传活动，全年活动不低于</w:t>
                  </w:r>
                  <w:r>
                    <w:rPr>
                      <w:rFonts w:ascii="宋体" w:hAnsi="宋体" w:cs="宋体" w:eastAsia="宋体"/>
                      <w:sz w:val="24"/>
                    </w:rPr>
                    <w:t>60场次(国家法定节假日</w:t>
                  </w:r>
                  <w:r>
                    <w:rPr>
                      <w:rFonts w:ascii="宋体" w:hAnsi="宋体" w:cs="宋体" w:eastAsia="宋体"/>
                      <w:sz w:val="24"/>
                    </w:rPr>
                    <w:t>应不少于</w:t>
                  </w:r>
                  <w:r>
                    <w:rPr>
                      <w:rFonts w:ascii="宋体" w:hAnsi="宋体" w:cs="宋体" w:eastAsia="宋体"/>
                      <w:sz w:val="24"/>
                    </w:rPr>
                    <w:t>2场次</w:t>
                  </w:r>
                  <w:r>
                    <w:rPr>
                      <w:rFonts w:ascii="宋体" w:hAnsi="宋体" w:cs="宋体" w:eastAsia="宋体"/>
                      <w:sz w:val="24"/>
                    </w:rPr>
                    <w:t>)。</w:t>
                  </w:r>
                </w:p>
              </w:tc>
              <w:tc>
                <w:tcPr>
                  <w:tcW w:type="dxa" w:w="1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bl>
          <w:p>
            <w:pPr>
              <w:pStyle w:val="null3"/>
              <w:jc w:val="both"/>
            </w:pPr>
            <w:r>
              <w:rPr>
                <w:rFonts w:ascii="宋体" w:hAnsi="宋体" w:cs="宋体" w:eastAsia="宋体"/>
                <w:sz w:val="24"/>
              </w:rPr>
              <w:t>判定质量合格的标准：</w:t>
            </w:r>
            <w:r>
              <w:rPr>
                <w:rFonts w:ascii="宋体" w:hAnsi="宋体" w:cs="宋体" w:eastAsia="宋体"/>
                <w:sz w:val="24"/>
              </w:rPr>
              <w:t>1、活动参与人数应达到预定数量；2、读者对活动的满意度应≥95%；3、活动效果良好，活动应为读者提供有用的知识或技能；4、活动能够持续开展，形成图书馆品牌效应，吸引更多读者参与，为西安图书馆带来更多社会效益。</w:t>
            </w:r>
          </w:p>
        </w:tc>
      </w:tr>
    </w:tbl>
    <w:p>
      <w:pPr>
        <w:pStyle w:val="null3"/>
        <w:outlineLvl w:val="2"/>
      </w:pPr>
      <w:r>
        <w:rPr>
          <w:b/>
          <w:sz w:val="28"/>
        </w:rPr>
        <w:t>3.2.3人员配置要求</w:t>
      </w:r>
    </w:p>
    <w:p>
      <w:pPr>
        <w:pStyle w:val="null3"/>
      </w:pPr>
      <w:r>
        <w:rPr/>
        <w:t>采购包1：</w:t>
      </w:r>
    </w:p>
    <w:p>
      <w:pPr>
        <w:pStyle w:val="null3"/>
      </w:pPr>
      <w:r>
        <w:rPr/>
        <w:t>/</w:t>
      </w:r>
    </w:p>
    <w:p>
      <w:pPr>
        <w:pStyle w:val="null3"/>
        <w:outlineLvl w:val="2"/>
      </w:pPr>
      <w:r>
        <w:rPr>
          <w:b/>
          <w:sz w:val="28"/>
        </w:rPr>
        <w:t>3.2.4设施设备要求</w:t>
      </w:r>
    </w:p>
    <w:p>
      <w:pPr>
        <w:pStyle w:val="null3"/>
      </w:pPr>
      <w:r>
        <w:rPr/>
        <w:t>采购包1：</w:t>
      </w:r>
    </w:p>
    <w:p>
      <w:pPr>
        <w:pStyle w:val="null3"/>
      </w:pPr>
      <w:r>
        <w:rPr/>
        <w:t>/</w:t>
      </w:r>
    </w:p>
    <w:p>
      <w:pPr>
        <w:pStyle w:val="null3"/>
        <w:outlineLvl w:val="2"/>
      </w:pPr>
      <w:r>
        <w:rPr>
          <w:b/>
          <w:sz w:val="28"/>
        </w:rPr>
        <w:t>3.2.5其他要求</w:t>
      </w:r>
    </w:p>
    <w:p>
      <w:pPr>
        <w:pStyle w:val="null3"/>
      </w:pPr>
      <w:r>
        <w:rPr/>
        <w:t>采购包1：</w:t>
      </w:r>
    </w:p>
    <w:p>
      <w:pPr>
        <w:pStyle w:val="null3"/>
      </w:pPr>
      <w:r>
        <w:rPr/>
        <w:t>/</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一年</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合格</w:t>
      </w:r>
    </w:p>
    <w:p>
      <w:pPr>
        <w:pStyle w:val="null3"/>
        <w:outlineLvl w:val="3"/>
      </w:pPr>
      <w:r>
        <w:rPr>
          <w:b/>
          <w:sz w:val="24"/>
        </w:rPr>
        <w:t>3.3.4支付方式</w:t>
      </w:r>
    </w:p>
    <w:p>
      <w:pPr>
        <w:pStyle w:val="null3"/>
      </w:pPr>
      <w:r>
        <w:rPr/>
        <w:t>采购包1：</w:t>
      </w:r>
    </w:p>
    <w:p>
      <w:pPr>
        <w:pStyle w:val="null3"/>
      </w:pPr>
      <w:r>
        <w:rPr/>
        <w:t>一次付清</w:t>
      </w:r>
    </w:p>
    <w:p>
      <w:pPr>
        <w:pStyle w:val="null3"/>
        <w:outlineLvl w:val="3"/>
      </w:pPr>
      <w:r>
        <w:rPr>
          <w:b/>
          <w:sz w:val="24"/>
        </w:rPr>
        <w:t>3.3.5支付约定</w:t>
      </w:r>
    </w:p>
    <w:p>
      <w:pPr>
        <w:pStyle w:val="null3"/>
      </w:pPr>
      <w:r>
        <w:rPr/>
        <w:t>采购包1：</w:t>
      </w:r>
      <w:r>
        <w:rPr/>
        <w:t xml:space="preserve"> 付款条件说明： </w:t>
      </w:r>
      <w:r>
        <w:rPr/>
        <w:t>经验收合格后一次性付款。</w:t>
      </w:r>
      <w:r>
        <w:rPr/>
        <w:t xml:space="preserve"> ，达到付款条件起 </w:t>
      </w:r>
      <w:r>
        <w:rPr/>
        <w:t>30</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w:t>
      </w:r>
    </w:p>
    <w:p>
      <w:pPr>
        <w:pStyle w:val="null3"/>
        <w:outlineLvl w:val="2"/>
      </w:pPr>
      <w:r>
        <w:rPr>
          <w:b/>
          <w:sz w:val="28"/>
        </w:rPr>
        <w:t>3.4其他要求</w:t>
      </w:r>
    </w:p>
    <w:p>
      <w:pPr>
        <w:pStyle w:val="null3"/>
      </w:pPr>
      <w:r>
        <w:rPr/>
        <w:t>/</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供应商证明文件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响应文件封面 中小企业声明函 残疾人福利性单位声明函 拒绝政府采购领域商业贿赂承诺书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具有独立承担民事责任能力的法人、其他组织或自然人，营业执照、组织机构代码证、税务登记证（三证合一只提供营业执照，事业单位提供事业单位法人证书，自然人应提供身份证）合法有效；</w:t>
            </w:r>
          </w:p>
        </w:tc>
        <w:tc>
          <w:tcPr>
            <w:tcW w:type="dxa" w:w="1661"/>
          </w:tcPr>
          <w:p>
            <w:pPr>
              <w:pStyle w:val="null3"/>
            </w:pPr>
            <w:r>
              <w:rPr/>
              <w:t>供应商证明文件</w:t>
            </w:r>
          </w:p>
        </w:tc>
      </w:tr>
      <w:tr>
        <w:tc>
          <w:tcPr>
            <w:tcW w:type="dxa" w:w="831"/>
          </w:tcPr>
          <w:p>
            <w:pPr>
              <w:pStyle w:val="null3"/>
            </w:pPr>
            <w:r>
              <w:rPr/>
              <w:t>2</w:t>
            </w:r>
          </w:p>
        </w:tc>
        <w:tc>
          <w:tcPr>
            <w:tcW w:type="dxa" w:w="2492"/>
          </w:tcPr>
          <w:p>
            <w:pPr>
              <w:pStyle w:val="null3"/>
            </w:pPr>
            <w:r>
              <w:rPr/>
              <w:t>磋商响应单位代表身份</w:t>
            </w:r>
          </w:p>
        </w:tc>
        <w:tc>
          <w:tcPr>
            <w:tcW w:type="dxa" w:w="3322"/>
          </w:tcPr>
          <w:p>
            <w:pPr>
              <w:pStyle w:val="null3"/>
            </w:pPr>
            <w:r>
              <w:rPr/>
              <w:t>法定代表人参加投标时，提供本人身份证；授权代表参加投标时，提供法定代表人授权书和被授权人身份证；非法人单位参照执行；</w:t>
            </w:r>
          </w:p>
        </w:tc>
        <w:tc>
          <w:tcPr>
            <w:tcW w:type="dxa" w:w="1661"/>
          </w:tcPr>
          <w:p>
            <w:pPr>
              <w:pStyle w:val="null3"/>
            </w:pPr>
            <w:r>
              <w:rPr/>
              <w:t>供应商证明文件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提供2023年7月至今已缴纳的至少一个月的纳税证明或完税证明（任意税种），依法免税的单位应提供相关证明材料</w:t>
            </w:r>
          </w:p>
        </w:tc>
        <w:tc>
          <w:tcPr>
            <w:tcW w:type="dxa" w:w="1661"/>
          </w:tcPr>
          <w:p>
            <w:pPr>
              <w:pStyle w:val="null3"/>
            </w:pPr>
            <w:r>
              <w:rPr/>
              <w:t>供应商证明文件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供应商证明文件</w:t>
            </w:r>
          </w:p>
        </w:tc>
      </w:tr>
      <w:tr>
        <w:tc>
          <w:tcPr>
            <w:tcW w:type="dxa" w:w="831"/>
          </w:tcPr>
          <w:p>
            <w:pPr>
              <w:pStyle w:val="null3"/>
            </w:pPr>
            <w:r>
              <w:rPr/>
              <w:t>5</w:t>
            </w:r>
          </w:p>
        </w:tc>
        <w:tc>
          <w:tcPr>
            <w:tcW w:type="dxa" w:w="2492"/>
          </w:tcPr>
          <w:p>
            <w:pPr>
              <w:pStyle w:val="null3"/>
            </w:pPr>
            <w:r>
              <w:rPr/>
              <w:t>财务状况</w:t>
            </w:r>
          </w:p>
        </w:tc>
        <w:tc>
          <w:tcPr>
            <w:tcW w:type="dxa" w:w="3322"/>
          </w:tcPr>
          <w:p>
            <w:pPr>
              <w:pStyle w:val="null3"/>
            </w:pPr>
            <w:r>
              <w:rPr/>
              <w:t>提供供应商2022年经审计的财务报告或磋商前三个月内开户银行开具的资信证明</w:t>
            </w:r>
          </w:p>
        </w:tc>
        <w:tc>
          <w:tcPr>
            <w:tcW w:type="dxa" w:w="1661"/>
          </w:tcPr>
          <w:p>
            <w:pPr>
              <w:pStyle w:val="null3"/>
            </w:pPr>
            <w:r>
              <w:rPr/>
              <w:t>供应商证明文件</w:t>
            </w:r>
          </w:p>
        </w:tc>
      </w:tr>
      <w:tr>
        <w:tc>
          <w:tcPr>
            <w:tcW w:type="dxa" w:w="831"/>
          </w:tcPr>
          <w:p>
            <w:pPr>
              <w:pStyle w:val="null3"/>
            </w:pPr>
            <w:r>
              <w:rPr/>
              <w:t>6</w:t>
            </w:r>
          </w:p>
        </w:tc>
        <w:tc>
          <w:tcPr>
            <w:tcW w:type="dxa" w:w="2492"/>
          </w:tcPr>
          <w:p>
            <w:pPr>
              <w:pStyle w:val="null3"/>
            </w:pPr>
            <w:r>
              <w:rPr/>
              <w:t>经营活动</w:t>
            </w:r>
          </w:p>
        </w:tc>
        <w:tc>
          <w:tcPr>
            <w:tcW w:type="dxa" w:w="3322"/>
          </w:tcPr>
          <w:p>
            <w:pPr>
              <w:pStyle w:val="null3"/>
            </w:pPr>
            <w:r>
              <w:rPr/>
              <w:t>参加政府采购活动前三年内，在经营活动中没有重大违法记录的书面声明</w:t>
            </w:r>
          </w:p>
        </w:tc>
        <w:tc>
          <w:tcPr>
            <w:tcW w:type="dxa" w:w="1661"/>
          </w:tcPr>
          <w:p>
            <w:pPr>
              <w:pStyle w:val="null3"/>
            </w:pPr>
            <w:r>
              <w:rPr/>
              <w:t>供应商证明文件</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磋商单位负责人为同一人或者存在控股、管理关系的不同单位不得同时进行投标；</w:t>
            </w:r>
          </w:p>
        </w:tc>
        <w:tc>
          <w:tcPr>
            <w:tcW w:type="dxa" w:w="1661"/>
          </w:tcPr>
          <w:p>
            <w:pPr>
              <w:pStyle w:val="null3"/>
            </w:pPr>
            <w:r>
              <w:rPr/>
              <w:t>供应商证明文件</w:t>
            </w:r>
          </w:p>
        </w:tc>
      </w:tr>
      <w:tr>
        <w:tc>
          <w:tcPr>
            <w:tcW w:type="dxa" w:w="831"/>
          </w:tcPr>
          <w:p>
            <w:pPr>
              <w:pStyle w:val="null3"/>
            </w:pPr>
            <w:r>
              <w:rPr/>
              <w:t>8</w:t>
            </w:r>
          </w:p>
        </w:tc>
        <w:tc>
          <w:tcPr>
            <w:tcW w:type="dxa" w:w="2492"/>
          </w:tcPr>
          <w:p>
            <w:pPr>
              <w:pStyle w:val="null3"/>
            </w:pPr>
            <w:r>
              <w:rPr/>
              <w:t>“信用中国”网站和“中国政府采购网”查询截图</w:t>
            </w:r>
          </w:p>
        </w:tc>
        <w:tc>
          <w:tcPr>
            <w:tcW w:type="dxa" w:w="3322"/>
          </w:tcPr>
          <w:p>
            <w:pPr>
              <w:pStyle w:val="null3"/>
            </w:pPr>
            <w:r>
              <w:rPr/>
              <w:t>响应单位不得为“信用中国”网站（www.creditchina.gov.cn）（中国执行信息公开网）和中国政府采购网（www.ccgp.gov.cn）中被列入失信被执行人、重大税收违法失信主体、政府采购严重违法失信行为记录名单的单位；</w:t>
            </w:r>
          </w:p>
        </w:tc>
        <w:tc>
          <w:tcPr>
            <w:tcW w:type="dxa" w:w="1661"/>
          </w:tcPr>
          <w:p>
            <w:pPr>
              <w:pStyle w:val="null3"/>
            </w:pPr>
            <w:r>
              <w:rPr/>
              <w:t>供应商证明文件</w:t>
            </w:r>
          </w:p>
        </w:tc>
      </w:tr>
      <w:tr>
        <w:tc>
          <w:tcPr>
            <w:tcW w:type="dxa" w:w="831"/>
          </w:tcPr>
          <w:p>
            <w:pPr>
              <w:pStyle w:val="null3"/>
            </w:pPr>
            <w:r>
              <w:rPr/>
              <w:t>9</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具有履行合同所必需的设备和专业技术能力的承诺函</w:t>
            </w:r>
          </w:p>
        </w:tc>
        <w:tc>
          <w:tcPr>
            <w:tcW w:type="dxa" w:w="1661"/>
          </w:tcPr>
          <w:p>
            <w:pPr>
              <w:pStyle w:val="null3"/>
            </w:pPr>
            <w:r>
              <w:rPr/>
              <w:t>供应商证明文件</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磋商报价</w:t>
            </w:r>
          </w:p>
        </w:tc>
        <w:tc>
          <w:tcPr>
            <w:tcW w:type="dxa" w:w="3322"/>
          </w:tcPr>
          <w:p>
            <w:pPr>
              <w:pStyle w:val="null3"/>
            </w:pPr>
            <w:r>
              <w:rPr/>
              <w:t>未超过磋商最高限价</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服务期</w:t>
            </w:r>
          </w:p>
        </w:tc>
        <w:tc>
          <w:tcPr>
            <w:tcW w:type="dxa" w:w="3322"/>
          </w:tcPr>
          <w:p>
            <w:pPr>
              <w:pStyle w:val="null3"/>
            </w:pPr>
            <w:r>
              <w:rPr/>
              <w:t>满足竞争性磋商文件要求</w:t>
            </w:r>
          </w:p>
        </w:tc>
        <w:tc>
          <w:tcPr>
            <w:tcW w:type="dxa" w:w="1661"/>
          </w:tcPr>
          <w:p>
            <w:pPr>
              <w:pStyle w:val="null3"/>
            </w:pPr>
            <w:r>
              <w:rPr/>
              <w:t>标的清单</w:t>
            </w:r>
          </w:p>
        </w:tc>
      </w:tr>
      <w:tr>
        <w:tc>
          <w:tcPr>
            <w:tcW w:type="dxa" w:w="831"/>
          </w:tcPr>
          <w:p>
            <w:pPr>
              <w:pStyle w:val="null3"/>
            </w:pPr>
            <w:r>
              <w:rPr/>
              <w:t>4</w:t>
            </w:r>
          </w:p>
        </w:tc>
        <w:tc>
          <w:tcPr>
            <w:tcW w:type="dxa" w:w="2492"/>
          </w:tcPr>
          <w:p>
            <w:pPr>
              <w:pStyle w:val="null3"/>
            </w:pPr>
            <w:r>
              <w:rPr/>
              <w:t>服务质量及要求</w:t>
            </w:r>
          </w:p>
        </w:tc>
        <w:tc>
          <w:tcPr>
            <w:tcW w:type="dxa" w:w="3322"/>
          </w:tcPr>
          <w:p>
            <w:pPr>
              <w:pStyle w:val="null3"/>
            </w:pPr>
            <w:r>
              <w:rPr/>
              <w:t>满足竞争性磋商文件要求</w:t>
            </w:r>
          </w:p>
        </w:tc>
        <w:tc>
          <w:tcPr>
            <w:tcW w:type="dxa" w:w="1661"/>
          </w:tcPr>
          <w:p>
            <w:pPr>
              <w:pStyle w:val="null3"/>
            </w:pPr>
            <w:r>
              <w:rPr/>
              <w:t>服务方案 标的清单</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业绩</w:t>
            </w:r>
          </w:p>
        </w:tc>
        <w:tc>
          <w:tcPr>
            <w:tcW w:type="dxa" w:w="2492"/>
          </w:tcPr>
          <w:p>
            <w:pPr>
              <w:pStyle w:val="null3"/>
            </w:pPr>
            <w:r>
              <w:rPr/>
              <w:t>供应商提供2021年1月1日至今类似业绩，每个计3分，最高计15分。（以磋商响应文件中的合同复印件加盖公章为准）。</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实施方案</w:t>
            </w:r>
          </w:p>
        </w:tc>
        <w:tc>
          <w:tcPr>
            <w:tcW w:type="dxa" w:w="2492"/>
          </w:tcPr>
          <w:p>
            <w:pPr>
              <w:pStyle w:val="null3"/>
            </w:pPr>
            <w:r>
              <w:rPr/>
              <w:t>内容齐全、准确、合理，（验收体系的全面性、完整性、验收方法的针对性、科学性和可操作性），并针对本项目特点做出合理计划，能保障系统的顺利运行得10-15分；内容较为齐全、较为准确、比较合理，针对本项目特点做出的计划较为合理，系统能正常运行得5-10分，内容不齐全、模糊、对本项目特点做出的计划混乱，很难保障系统的运行得0-5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系统功能</w:t>
            </w:r>
          </w:p>
        </w:tc>
        <w:tc>
          <w:tcPr>
            <w:tcW w:type="dxa" w:w="2492"/>
          </w:tcPr>
          <w:p>
            <w:pPr>
              <w:pStyle w:val="null3"/>
            </w:pPr>
            <w:r>
              <w:rPr/>
              <w:t>运营设计流程、设计功能描述详细，层次清楚、结构合理、工作性强、功能直观。联动性、可靠性、合理性好，设计方案达到实用、先进、稳定、安全、节能和扩展性的要求得7-10分；运营设计流程、设计功能描述较为详细，层次较为清楚，结构较为合理，设计方案系统功能一般得3-7分；运营设计流程、设计功能描述不详尽，层次模糊、结构不合理各部分功能很难满足采购需求得0-3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人员配置方案</w:t>
            </w:r>
          </w:p>
        </w:tc>
        <w:tc>
          <w:tcPr>
            <w:tcW w:type="dxa" w:w="2492"/>
          </w:tcPr>
          <w:p>
            <w:pPr>
              <w:pStyle w:val="null3"/>
            </w:pPr>
            <w:r>
              <w:rPr/>
              <w:t>所有相关服务能提供本企业相关专业人员简历及从事相关需求工作每提供一人得1分，最高得5分，不提供不得分。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阅读推广及社会效应提升</w:t>
            </w:r>
          </w:p>
        </w:tc>
        <w:tc>
          <w:tcPr>
            <w:tcW w:type="dxa" w:w="2492"/>
          </w:tcPr>
          <w:p>
            <w:pPr>
              <w:pStyle w:val="null3"/>
            </w:pPr>
            <w:r>
              <w:rPr/>
              <w:t>能提供阅读推广优质服务方案，根据提供的方案带来社会效应大的得10-15分；根据提供的方案带来社会效应一般的得5-10分；根据提供的方案带来社会效应小的的1-5分；不提供不得分。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根据已经建成的社区24小时自助图书馆提出合理建议，建议合理、全面、详细得7-10分，较为合理、比较全面得3-7分，建议不详细、不合理得0-3分。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管理制度</w:t>
            </w:r>
          </w:p>
        </w:tc>
        <w:tc>
          <w:tcPr>
            <w:tcW w:type="dxa" w:w="2492"/>
          </w:tcPr>
          <w:p>
            <w:pPr>
              <w:pStyle w:val="null3"/>
            </w:pPr>
            <w:r>
              <w:rPr/>
              <w:t>根据供应商针对本项目的安全管理制度（用电安全、网络安全、消防安全等）进行赋分。 管理制度详细、严谨赋10-15分； 管理制度较为详细、比较严谨赋5-10分； 管理制度粗略、不严谨赋1-5分； 无管理制度不赋分。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应急预案处理措施</w:t>
            </w:r>
          </w:p>
        </w:tc>
        <w:tc>
          <w:tcPr>
            <w:tcW w:type="dxa" w:w="2492"/>
          </w:tcPr>
          <w:p>
            <w:pPr>
              <w:pStyle w:val="null3"/>
            </w:pPr>
            <w:r>
              <w:rPr/>
              <w:t>根据各供应商的应急预案是否全面、完整、可行、有可实施性。 应急保障措施合法可行、全面、有效、合理，可实施性强赋4-5分；应急保障措施有效、合理，具有一定可实施性赋2-4分；应急保障措施简单不规范赋1-2分；不提供不得分。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满足磋商文件要求且二次响应报价价格最低的报价为评审基准价,其价格分为满分,其他供应商的价格分统一按照下列公式计算:报价得分=（评审基准价／二次报价）×10。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详见附件：拒绝政府采购领域商业贿赂承诺书</w:t>
      </w:r>
    </w:p>
    <w:p>
      <w:pPr>
        <w:pStyle w:val="null3"/>
        <w:ind w:firstLine="960"/>
      </w:pPr>
      <w:r>
        <w:rPr/>
        <w:t>详见附件：供应商证明文件</w:t>
      </w:r>
    </w:p>
    <w:p>
      <w:pPr>
        <w:pStyle w:val="null3"/>
      </w:pPr>
      <w:r>
        <w:rPr/>
        <w:t xml:space="preserve"> </w:t>
      </w:r>
    </w:p>
    <w:p>
      <w:pPr>
        <w:pStyle w:val="null3"/>
        <w:jc w:val="center"/>
        <w:outlineLvl w:val="1"/>
      </w:pPr>
      <w:r>
        <w:rPr>
          <w:b/>
          <w:sz w:val="36"/>
        </w:rPr>
        <w:t>第八章 拟签订采购合同文本</w:t>
      </w:r>
    </w:p>
    <w:p>
      <w:pPr>
        <w:pStyle w:val="null3"/>
      </w:pPr>
      <w:r>
        <w:rPr/>
        <w:t>详见附件：合同条款.docx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