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0B649">
      <w:pPr>
        <w:jc w:val="center"/>
        <w:rPr>
          <w:rFonts w:ascii="黑体" w:eastAsia="黑体"/>
          <w:sz w:val="52"/>
          <w:szCs w:val="52"/>
        </w:rPr>
      </w:pPr>
      <w:r>
        <w:rPr>
          <w:sz w:val="52"/>
        </w:rPr>
        <mc:AlternateContent>
          <mc:Choice Requires="wps">
            <w:drawing>
              <wp:anchor distT="0" distB="0" distL="114300" distR="114300" simplePos="0" relativeHeight="251659264" behindDoc="0" locked="0" layoutInCell="1" allowOverlap="1">
                <wp:simplePos x="0" y="0"/>
                <wp:positionH relativeFrom="column">
                  <wp:posOffset>4330700</wp:posOffset>
                </wp:positionH>
                <wp:positionV relativeFrom="paragraph">
                  <wp:posOffset>57150</wp:posOffset>
                </wp:positionV>
                <wp:extent cx="1058545" cy="353060"/>
                <wp:effectExtent l="4445" t="4445" r="22860" b="23495"/>
                <wp:wrapNone/>
                <wp:docPr id="2" name="文本框 2"/>
                <wp:cNvGraphicFramePr/>
                <a:graphic xmlns:a="http://schemas.openxmlformats.org/drawingml/2006/main">
                  <a:graphicData uri="http://schemas.microsoft.com/office/word/2010/wordprocessingShape">
                    <wps:wsp>
                      <wps:cNvSpPr txBox="1"/>
                      <wps:spPr>
                        <a:xfrm>
                          <a:off x="0" y="0"/>
                          <a:ext cx="1058545" cy="3530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BC941A6">
                            <w:pPr>
                              <w:ind w:firstLine="221" w:firstLineChars="100"/>
                              <w:rPr>
                                <w:b/>
                                <w:bCs/>
                                <w:sz w:val="22"/>
                                <w:szCs w:val="28"/>
                              </w:rPr>
                            </w:pPr>
                            <w:r>
                              <w:rPr>
                                <w:rFonts w:hint="eastAsia"/>
                                <w:b/>
                                <w:bCs/>
                                <w:sz w:val="22"/>
                                <w:szCs w:val="28"/>
                              </w:rPr>
                              <w:t>服务项目</w:t>
                            </w:r>
                          </w:p>
                        </w:txbxContent>
                      </wps:txbx>
                      <wps:bodyPr upright="1"/>
                    </wps:wsp>
                  </a:graphicData>
                </a:graphic>
              </wp:anchor>
            </w:drawing>
          </mc:Choice>
          <mc:Fallback>
            <w:pict>
              <v:shape id="_x0000_s1026" o:spid="_x0000_s1026" o:spt="202" type="#_x0000_t202" style="position:absolute;left:0pt;margin-left:341pt;margin-top:4.5pt;height:27.8pt;width:83.35pt;z-index:251659264;mso-width-relative:page;mso-height-relative:page;" fillcolor="#FFFFFF" filled="t" stroked="t" coordsize="21600,21600" o:gfxdata="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JPiLj7XAAAACAEAAA8AAAAAAAAAAQAgAAAA&#10;IgAAAGRycy9kb3ducmV2LnhtbFBLAQIUABQAAAAIAIdO4kAC86C9DAIAADYEAAAOAAAAAAAAAAEA&#10;IAAAACYBAABkcnMvZTJvRG9jLnhtbFBLBQYAAAAABgAGAFkBAACkBQAAAAA=&#10;">
                <v:fill on="t" focussize="0,0"/>
                <v:stroke color="#000000" joinstyle="miter"/>
                <v:imagedata o:title=""/>
                <o:lock v:ext="edit" aspectratio="f"/>
                <v:textbox>
                  <w:txbxContent>
                    <w:p w14:paraId="0BC941A6">
                      <w:pPr>
                        <w:ind w:firstLine="221" w:firstLineChars="100"/>
                        <w:rPr>
                          <w:b/>
                          <w:bCs/>
                          <w:sz w:val="22"/>
                          <w:szCs w:val="28"/>
                        </w:rPr>
                      </w:pPr>
                      <w:r>
                        <w:rPr>
                          <w:rFonts w:hint="eastAsia"/>
                          <w:b/>
                          <w:bCs/>
                          <w:sz w:val="22"/>
                          <w:szCs w:val="28"/>
                        </w:rPr>
                        <w:t>服务项目</w:t>
                      </w:r>
                    </w:p>
                  </w:txbxContent>
                </v:textbox>
              </v:shape>
            </w:pict>
          </mc:Fallback>
        </mc:AlternateContent>
      </w:r>
    </w:p>
    <w:p w14:paraId="721C7CEB">
      <w:pPr>
        <w:jc w:val="center"/>
        <w:rPr>
          <w:rFonts w:ascii="黑体" w:hAnsi="宋体" w:eastAsia="黑体"/>
          <w:b/>
          <w:spacing w:val="4"/>
          <w:sz w:val="52"/>
          <w:szCs w:val="48"/>
        </w:rPr>
      </w:pPr>
      <w:r>
        <w:rPr>
          <w:rFonts w:hint="eastAsia" w:ascii="黑体" w:hAnsi="宋体" w:eastAsia="黑体"/>
          <w:b/>
          <w:spacing w:val="4"/>
          <w:sz w:val="52"/>
          <w:szCs w:val="48"/>
        </w:rPr>
        <w:t>西安市中心医院服务类</w:t>
      </w:r>
    </w:p>
    <w:p w14:paraId="0162A0D1">
      <w:pPr>
        <w:ind w:firstLine="2168" w:firstLineChars="900"/>
        <w:rPr>
          <w:rFonts w:eastAsia="黑体"/>
          <w:b/>
          <w:spacing w:val="-20"/>
          <w:sz w:val="96"/>
          <w:szCs w:val="58"/>
        </w:rPr>
      </w:pPr>
      <w:r>
        <w:rPr>
          <w:rFonts w:hint="eastAsia" w:ascii="宋体" w:hAnsi="宋体" w:cs="宋体"/>
          <w:b/>
          <w:bCs/>
          <w:color w:val="000000"/>
          <w:kern w:val="0"/>
          <w:sz w:val="24"/>
        </w:rPr>
        <w:t>【合同仅供参考，具体以签订为准】</w:t>
      </w:r>
    </w:p>
    <w:p w14:paraId="25AC1163">
      <w:pPr>
        <w:jc w:val="center"/>
        <w:rPr>
          <w:rFonts w:ascii="黑体" w:eastAsia="黑体"/>
          <w:b/>
          <w:sz w:val="72"/>
          <w:szCs w:val="72"/>
        </w:rPr>
      </w:pPr>
    </w:p>
    <w:p w14:paraId="0AF7E48D">
      <w:pPr>
        <w:jc w:val="center"/>
        <w:rPr>
          <w:rFonts w:ascii="黑体" w:eastAsia="黑体"/>
          <w:b/>
          <w:sz w:val="72"/>
          <w:szCs w:val="72"/>
        </w:rPr>
      </w:pPr>
    </w:p>
    <w:p w14:paraId="6FC2C25B">
      <w:pPr>
        <w:jc w:val="center"/>
        <w:rPr>
          <w:rFonts w:ascii="黑体" w:eastAsia="黑体"/>
          <w:b/>
          <w:sz w:val="72"/>
          <w:szCs w:val="72"/>
        </w:rPr>
      </w:pPr>
      <w:r>
        <w:rPr>
          <w:rFonts w:hint="eastAsia" w:ascii="黑体" w:eastAsia="黑体"/>
          <w:b/>
          <w:sz w:val="72"/>
          <w:szCs w:val="72"/>
        </w:rPr>
        <w:t>合 同</w:t>
      </w:r>
    </w:p>
    <w:p w14:paraId="300D00DB">
      <w:pPr>
        <w:jc w:val="center"/>
        <w:rPr>
          <w:rFonts w:ascii="黑体" w:eastAsia="黑体"/>
          <w:b/>
          <w:sz w:val="72"/>
          <w:szCs w:val="72"/>
        </w:rPr>
      </w:pPr>
    </w:p>
    <w:p w14:paraId="56AB3884">
      <w:pPr>
        <w:ind w:firstLine="1960" w:firstLineChars="700"/>
        <w:rPr>
          <w:rFonts w:ascii="黑体" w:eastAsia="黑体"/>
          <w:sz w:val="28"/>
          <w:szCs w:val="30"/>
          <w:u w:val="single"/>
        </w:rPr>
      </w:pPr>
      <w:r>
        <w:rPr>
          <w:rFonts w:hint="eastAsia" w:ascii="黑体" w:eastAsia="黑体"/>
          <w:sz w:val="28"/>
          <w:szCs w:val="30"/>
        </w:rPr>
        <w:t>项目名称：</w:t>
      </w:r>
      <w:r>
        <w:rPr>
          <w:rFonts w:hint="eastAsia" w:ascii="黑体" w:eastAsia="黑体"/>
          <w:sz w:val="28"/>
          <w:szCs w:val="30"/>
          <w:u w:val="single"/>
        </w:rPr>
        <w:t xml:space="preserve">            </w:t>
      </w:r>
    </w:p>
    <w:p w14:paraId="5F316064">
      <w:pPr>
        <w:ind w:firstLine="1960" w:firstLineChars="700"/>
        <w:rPr>
          <w:rFonts w:ascii="黑体" w:eastAsia="黑体"/>
          <w:sz w:val="28"/>
          <w:szCs w:val="30"/>
          <w:u w:val="single"/>
        </w:rPr>
      </w:pPr>
      <w:r>
        <w:rPr>
          <w:rFonts w:hint="eastAsia" w:ascii="黑体" w:eastAsia="黑体"/>
          <w:sz w:val="28"/>
          <w:szCs w:val="30"/>
        </w:rPr>
        <w:t>项目编号：</w:t>
      </w:r>
      <w:r>
        <w:rPr>
          <w:rFonts w:hint="eastAsia" w:ascii="黑体" w:eastAsia="黑体"/>
          <w:sz w:val="28"/>
          <w:szCs w:val="30"/>
          <w:u w:val="single"/>
        </w:rPr>
        <w:t xml:space="preserve">            </w:t>
      </w:r>
    </w:p>
    <w:p w14:paraId="16821BC5">
      <w:pPr>
        <w:jc w:val="center"/>
        <w:rPr>
          <w:rFonts w:ascii="黑体" w:eastAsia="黑体"/>
          <w:sz w:val="28"/>
          <w:szCs w:val="30"/>
        </w:rPr>
      </w:pPr>
    </w:p>
    <w:p w14:paraId="741E4ED6">
      <w:pPr>
        <w:jc w:val="center"/>
        <w:rPr>
          <w:rFonts w:ascii="黑体" w:eastAsia="黑体"/>
          <w:sz w:val="28"/>
          <w:szCs w:val="30"/>
        </w:rPr>
      </w:pPr>
    </w:p>
    <w:p w14:paraId="7605F2A5">
      <w:pPr>
        <w:jc w:val="both"/>
        <w:rPr>
          <w:rFonts w:ascii="黑体" w:eastAsia="黑体"/>
          <w:sz w:val="28"/>
          <w:szCs w:val="30"/>
        </w:rPr>
      </w:pPr>
    </w:p>
    <w:p w14:paraId="12F86D6F">
      <w:pPr>
        <w:ind w:firstLine="2700" w:firstLineChars="900"/>
        <w:jc w:val="left"/>
        <w:rPr>
          <w:rFonts w:ascii="黑体" w:eastAsia="黑体"/>
          <w:sz w:val="30"/>
          <w:szCs w:val="30"/>
        </w:rPr>
      </w:pPr>
      <w:r>
        <w:rPr>
          <w:rFonts w:hint="eastAsia" w:ascii="黑体" w:eastAsia="黑体"/>
          <w:sz w:val="30"/>
          <w:szCs w:val="30"/>
        </w:rPr>
        <w:t>甲  方：</w:t>
      </w:r>
      <w:r>
        <w:rPr>
          <w:rFonts w:hint="eastAsia" w:ascii="黑体" w:hAnsi="宋体" w:eastAsia="黑体"/>
          <w:sz w:val="30"/>
          <w:szCs w:val="30"/>
        </w:rPr>
        <w:t>西安市中心医院</w:t>
      </w:r>
    </w:p>
    <w:p w14:paraId="0F921AFC">
      <w:pPr>
        <w:ind w:firstLine="2700" w:firstLineChars="900"/>
        <w:jc w:val="left"/>
        <w:rPr>
          <w:rFonts w:ascii="黑体" w:eastAsia="黑体"/>
          <w:sz w:val="30"/>
          <w:szCs w:val="30"/>
        </w:rPr>
      </w:pPr>
      <w:r>
        <w:rPr>
          <w:rFonts w:hint="eastAsia" w:ascii="黑体" w:eastAsia="黑体"/>
          <w:sz w:val="30"/>
          <w:szCs w:val="30"/>
        </w:rPr>
        <w:t>乙  方：</w:t>
      </w:r>
    </w:p>
    <w:p w14:paraId="0147A6E3">
      <w:pPr>
        <w:ind w:firstLine="2700" w:firstLineChars="900"/>
        <w:jc w:val="left"/>
        <w:rPr>
          <w:rFonts w:ascii="黑体" w:eastAsia="黑体"/>
          <w:sz w:val="30"/>
          <w:szCs w:val="30"/>
        </w:rPr>
      </w:pPr>
    </w:p>
    <w:p w14:paraId="5A740C13">
      <w:pPr>
        <w:ind w:firstLine="2700" w:firstLineChars="900"/>
        <w:jc w:val="left"/>
        <w:rPr>
          <w:rFonts w:ascii="黑体" w:eastAsia="黑体"/>
          <w:sz w:val="30"/>
          <w:szCs w:val="30"/>
        </w:rPr>
      </w:pPr>
    </w:p>
    <w:p w14:paraId="21F45461">
      <w:pPr>
        <w:ind w:firstLine="2700" w:firstLineChars="900"/>
        <w:jc w:val="left"/>
        <w:rPr>
          <w:rFonts w:ascii="黑体" w:eastAsia="黑体"/>
          <w:sz w:val="30"/>
          <w:szCs w:val="30"/>
        </w:rPr>
      </w:pPr>
    </w:p>
    <w:p w14:paraId="7DE5CDAE">
      <w:pPr>
        <w:ind w:firstLine="2700" w:firstLineChars="900"/>
        <w:jc w:val="left"/>
        <w:rPr>
          <w:rFonts w:ascii="黑体" w:eastAsia="黑体"/>
          <w:sz w:val="30"/>
          <w:szCs w:val="30"/>
        </w:rPr>
      </w:pPr>
    </w:p>
    <w:p w14:paraId="1A27FA64">
      <w:pPr>
        <w:rPr>
          <w:rFonts w:ascii="黑体" w:eastAsia="黑体"/>
          <w:sz w:val="28"/>
          <w:szCs w:val="30"/>
        </w:rPr>
      </w:pPr>
      <w:r>
        <w:rPr>
          <w:rFonts w:hint="eastAsia" w:ascii="黑体" w:eastAsia="黑体"/>
          <w:sz w:val="32"/>
          <w:szCs w:val="32"/>
        </w:rPr>
        <w:t xml:space="preserve">            </w:t>
      </w:r>
    </w:p>
    <w:p w14:paraId="047AFDAD">
      <w:pPr>
        <w:ind w:firstLine="2880" w:firstLineChars="900"/>
        <w:rPr>
          <w:rFonts w:ascii="黑体" w:hAnsi="宋体" w:eastAsia="黑体"/>
          <w:sz w:val="32"/>
          <w:szCs w:val="32"/>
        </w:rPr>
      </w:pPr>
      <w:r>
        <w:rPr>
          <w:rFonts w:hint="eastAsia" w:ascii="黑体" w:hAnsi="宋体" w:eastAsia="黑体"/>
          <w:sz w:val="32"/>
          <w:szCs w:val="32"/>
        </w:rPr>
        <w:t xml:space="preserve">二O二  </w:t>
      </w:r>
      <w:r>
        <w:rPr>
          <w:rFonts w:ascii="黑体" w:hAnsi="宋体" w:eastAsia="黑体"/>
          <w:sz w:val="32"/>
          <w:szCs w:val="32"/>
        </w:rPr>
        <w:t xml:space="preserve"> </w:t>
      </w:r>
      <w:r>
        <w:rPr>
          <w:rFonts w:hint="eastAsia" w:ascii="黑体" w:hAnsi="宋体" w:eastAsia="黑体"/>
          <w:sz w:val="32"/>
          <w:szCs w:val="32"/>
        </w:rPr>
        <w:t>年  月</w:t>
      </w:r>
    </w:p>
    <w:p w14:paraId="6C94652C">
      <w:pPr>
        <w:adjustRightInd w:val="0"/>
        <w:snapToGrid w:val="0"/>
        <w:spacing w:line="384" w:lineRule="auto"/>
        <w:jc w:val="center"/>
        <w:rPr>
          <w:rFonts w:hint="eastAsia"/>
          <w:sz w:val="44"/>
          <w:szCs w:val="44"/>
        </w:rPr>
      </w:pPr>
      <w:r>
        <w:rPr>
          <w:rFonts w:hint="eastAsia"/>
          <w:sz w:val="44"/>
          <w:szCs w:val="44"/>
        </w:rPr>
        <w:t>西安市中心医院</w:t>
      </w:r>
    </w:p>
    <w:p w14:paraId="15B85464">
      <w:pPr>
        <w:adjustRightInd w:val="0"/>
        <w:snapToGrid w:val="0"/>
        <w:spacing w:line="384" w:lineRule="auto"/>
        <w:jc w:val="center"/>
        <w:rPr>
          <w:sz w:val="44"/>
          <w:szCs w:val="44"/>
        </w:rPr>
      </w:pPr>
      <w:r>
        <w:rPr>
          <w:rFonts w:hint="eastAsia"/>
          <w:sz w:val="44"/>
          <w:szCs w:val="44"/>
        </w:rPr>
        <w:t>锅炉房运维业务外包项目</w:t>
      </w:r>
    </w:p>
    <w:p w14:paraId="62C27941">
      <w:pPr>
        <w:adjustRightInd w:val="0"/>
        <w:snapToGrid w:val="0"/>
        <w:spacing w:line="384" w:lineRule="auto"/>
        <w:jc w:val="center"/>
        <w:rPr>
          <w:sz w:val="18"/>
          <w:szCs w:val="18"/>
        </w:rPr>
      </w:pPr>
    </w:p>
    <w:p w14:paraId="33F21742">
      <w:pPr>
        <w:adjustRightInd w:val="0"/>
        <w:snapToGrid w:val="0"/>
        <w:spacing w:line="360" w:lineRule="auto"/>
        <w:rPr>
          <w:rFonts w:ascii="宋体" w:hAnsi="宋体" w:cs="宋体"/>
          <w:color w:val="000000"/>
          <w:sz w:val="24"/>
        </w:rPr>
      </w:pPr>
      <w:r>
        <w:rPr>
          <w:rFonts w:hint="eastAsia" w:ascii="宋体" w:hAnsi="宋体" w:cs="宋体"/>
          <w:color w:val="000000"/>
          <w:sz w:val="24"/>
        </w:rPr>
        <w:t>甲方：</w:t>
      </w:r>
    </w:p>
    <w:p w14:paraId="1D211430">
      <w:pPr>
        <w:adjustRightInd w:val="0"/>
        <w:snapToGrid w:val="0"/>
        <w:spacing w:line="360" w:lineRule="auto"/>
        <w:rPr>
          <w:rFonts w:ascii="宋体" w:hAnsi="宋体" w:cs="宋体"/>
          <w:color w:val="000000"/>
          <w:sz w:val="24"/>
        </w:rPr>
      </w:pPr>
      <w:r>
        <w:rPr>
          <w:rFonts w:hint="eastAsia" w:ascii="宋体" w:hAnsi="宋体" w:cs="宋体"/>
          <w:color w:val="000000"/>
          <w:sz w:val="24"/>
        </w:rPr>
        <w:t>乙方：</w:t>
      </w:r>
    </w:p>
    <w:p w14:paraId="32D4A06C">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按照《中华人民共和国民法典》、《中华人民共和国建筑法》及其他有关法律、行政法规，遵循平等、自愿、公平和诚实信用的原则，双方就外包事项协商一致，签订本合同。</w:t>
      </w:r>
    </w:p>
    <w:p w14:paraId="0EABEFDD">
      <w:pPr>
        <w:adjustRightInd w:val="0"/>
        <w:snapToGrid w:val="0"/>
        <w:spacing w:line="360" w:lineRule="auto"/>
        <w:rPr>
          <w:rFonts w:hint="eastAsia" w:ascii="宋体" w:hAnsi="宋体" w:cs="宋体"/>
          <w:color w:val="000000"/>
          <w:sz w:val="24"/>
        </w:rPr>
      </w:pPr>
      <w:r>
        <w:rPr>
          <w:rFonts w:hint="eastAsia" w:ascii="宋体" w:hAnsi="宋体" w:cs="宋体"/>
          <w:color w:val="000000"/>
          <w:sz w:val="24"/>
        </w:rPr>
        <w:t>一、合同概况（具体以《招标文件》及《投标文件为准》）</w:t>
      </w:r>
    </w:p>
    <w:p w14:paraId="0C89D9E0">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项目名称：西安市中心医院锅炉业务运维外包</w:t>
      </w:r>
    </w:p>
    <w:p w14:paraId="704A4BD9">
      <w:pPr>
        <w:adjustRightInd w:val="0"/>
        <w:snapToGrid w:val="0"/>
        <w:spacing w:line="360" w:lineRule="auto"/>
        <w:ind w:firstLine="480" w:firstLineChars="200"/>
        <w:rPr>
          <w:rFonts w:ascii="宋体" w:hAnsi="宋体" w:cs="宋体"/>
          <w:color w:val="000000"/>
          <w:sz w:val="24"/>
        </w:rPr>
      </w:pPr>
      <w:r>
        <w:rPr>
          <w:rFonts w:hint="eastAsia" w:ascii="宋体" w:hAnsi="宋体" w:cs="宋体"/>
          <w:color w:val="000000"/>
          <w:sz w:val="24"/>
        </w:rPr>
        <w:t>项目地点：西安市中心医院北院</w:t>
      </w:r>
    </w:p>
    <w:p w14:paraId="47AEF7F7">
      <w:pPr>
        <w:adjustRightInd w:val="0"/>
        <w:snapToGrid w:val="0"/>
        <w:spacing w:line="360" w:lineRule="auto"/>
        <w:ind w:left="1574" w:leftChars="228" w:hanging="936" w:hangingChars="390"/>
        <w:rPr>
          <w:rFonts w:hint="eastAsia" w:ascii="宋体" w:hAnsi="宋体" w:cs="宋体"/>
          <w:color w:val="000000"/>
          <w:sz w:val="24"/>
        </w:rPr>
      </w:pPr>
      <w:r>
        <w:rPr>
          <w:rFonts w:hint="eastAsia" w:ascii="宋体" w:hAnsi="宋体" w:cs="宋体"/>
          <w:color w:val="000000"/>
          <w:sz w:val="24"/>
        </w:rPr>
        <w:t>项目内容：西安市中心医院锅炉房相关服务外包。</w:t>
      </w:r>
    </w:p>
    <w:p w14:paraId="570B5502">
      <w:pPr>
        <w:adjustRightInd w:val="0"/>
        <w:snapToGrid w:val="0"/>
        <w:spacing w:line="360" w:lineRule="auto"/>
        <w:ind w:left="1838" w:leftChars="228" w:hanging="1200" w:hangingChars="500"/>
        <w:rPr>
          <w:rFonts w:ascii="宋体" w:hAnsi="宋体" w:cs="宋体"/>
          <w:color w:val="FF0000"/>
          <w:sz w:val="24"/>
        </w:rPr>
      </w:pPr>
      <w:r>
        <w:rPr>
          <w:rFonts w:hint="eastAsia" w:ascii="宋体" w:hAnsi="宋体" w:cs="宋体"/>
          <w:color w:val="000000"/>
          <w:sz w:val="24"/>
        </w:rPr>
        <w:t>承包形式：本项目承包形式为包工包料。</w:t>
      </w:r>
      <w:r>
        <w:rPr>
          <w:rFonts w:ascii="宋体" w:hAnsi="宋体" w:cs="宋体"/>
          <w:color w:val="000000"/>
          <w:sz w:val="24"/>
        </w:rPr>
        <w:fldChar w:fldCharType="begin"/>
      </w:r>
      <w:r>
        <w:rPr>
          <w:rFonts w:ascii="宋体" w:hAnsi="宋体" w:cs="宋体"/>
          <w:color w:val="000000"/>
          <w:sz w:val="24"/>
        </w:rPr>
        <w:instrText xml:space="preserve"> </w:instrText>
      </w:r>
      <w:r>
        <w:rPr>
          <w:rFonts w:hint="eastAsia" w:ascii="宋体" w:hAnsi="宋体" w:cs="宋体"/>
          <w:color w:val="000000"/>
          <w:sz w:val="24"/>
        </w:rPr>
        <w:instrText xml:space="preserve">= 1 \* GB3</w:instrText>
      </w:r>
      <w:r>
        <w:rPr>
          <w:rFonts w:ascii="宋体" w:hAnsi="宋体" w:cs="宋体"/>
          <w:color w:val="000000"/>
          <w:sz w:val="24"/>
        </w:rPr>
        <w:instrText xml:space="preserve"> </w:instrText>
      </w:r>
      <w:r>
        <w:rPr>
          <w:rFonts w:ascii="宋体" w:hAnsi="宋体" w:cs="宋体"/>
          <w:color w:val="000000"/>
          <w:sz w:val="24"/>
        </w:rPr>
        <w:fldChar w:fldCharType="separate"/>
      </w:r>
      <w:r>
        <w:rPr>
          <w:rFonts w:hint="eastAsia" w:ascii="宋体" w:hAnsi="宋体" w:cs="宋体"/>
          <w:color w:val="000000"/>
          <w:sz w:val="24"/>
        </w:rPr>
        <w:t>①</w:t>
      </w:r>
      <w:r>
        <w:rPr>
          <w:rFonts w:ascii="宋体" w:hAnsi="宋体" w:cs="宋体"/>
          <w:color w:val="000000"/>
          <w:sz w:val="24"/>
        </w:rPr>
        <w:fldChar w:fldCharType="end"/>
      </w:r>
      <w:r>
        <w:rPr>
          <w:rFonts w:hint="eastAsia" w:ascii="宋体" w:hAnsi="宋体" w:cs="宋体"/>
          <w:color w:val="000000"/>
          <w:sz w:val="24"/>
        </w:rPr>
        <w:t>.</w:t>
      </w:r>
      <w:r>
        <w:rPr>
          <w:rFonts w:hint="eastAsia" w:ascii="宋体" w:hAnsi="宋体" w:cs="宋体"/>
          <w:sz w:val="24"/>
        </w:rPr>
        <w:t xml:space="preserve"> 单次单项维修保养材料费在5000.00元以内（包含5000.00元）时全部由乙方负责，超出5000.00元时则由甲方承担超出部分的费用，5000.00元的基数仍由乙方负责并自当月应付款项里扣除。但如因乙方维护不利、操作或管理不当而造成的设备设施损坏，则由乙方承担所有损失及费用。</w:t>
      </w:r>
      <w:r>
        <w:rPr>
          <w:rFonts w:ascii="宋体" w:hAnsi="宋体" w:cs="宋体"/>
          <w:color w:val="000000"/>
          <w:sz w:val="24"/>
        </w:rPr>
        <w:fldChar w:fldCharType="begin"/>
      </w:r>
      <w:r>
        <w:rPr>
          <w:rFonts w:ascii="宋体" w:hAnsi="宋体" w:cs="宋体"/>
          <w:color w:val="000000"/>
          <w:sz w:val="24"/>
        </w:rPr>
        <w:instrText xml:space="preserve"> </w:instrText>
      </w:r>
      <w:r>
        <w:rPr>
          <w:rFonts w:hint="eastAsia" w:ascii="宋体" w:hAnsi="宋体" w:cs="宋体"/>
          <w:color w:val="000000"/>
          <w:sz w:val="24"/>
        </w:rPr>
        <w:instrText xml:space="preserve">= 2 \* GB3</w:instrText>
      </w:r>
      <w:r>
        <w:rPr>
          <w:rFonts w:ascii="宋体" w:hAnsi="宋体" w:cs="宋体"/>
          <w:color w:val="000000"/>
          <w:sz w:val="24"/>
        </w:rPr>
        <w:instrText xml:space="preserve"> </w:instrText>
      </w:r>
      <w:r>
        <w:rPr>
          <w:rFonts w:ascii="宋体" w:hAnsi="宋体" w:cs="宋体"/>
          <w:color w:val="000000"/>
          <w:sz w:val="24"/>
        </w:rPr>
        <w:fldChar w:fldCharType="separate"/>
      </w:r>
      <w:r>
        <w:rPr>
          <w:rFonts w:hint="eastAsia" w:ascii="宋体" w:hAnsi="宋体" w:cs="宋体"/>
          <w:color w:val="000000"/>
          <w:sz w:val="24"/>
        </w:rPr>
        <w:t>②</w:t>
      </w:r>
      <w:r>
        <w:rPr>
          <w:rFonts w:ascii="宋体" w:hAnsi="宋体" w:cs="宋体"/>
          <w:color w:val="000000"/>
          <w:sz w:val="24"/>
        </w:rPr>
        <w:fldChar w:fldCharType="end"/>
      </w:r>
      <w:r>
        <w:rPr>
          <w:rFonts w:hint="eastAsia" w:ascii="宋体" w:hAnsi="宋体" w:cs="宋体"/>
          <w:color w:val="000000"/>
          <w:sz w:val="24"/>
        </w:rPr>
        <w:t>.不含单次单项维修费用超出1万元的大中型维修项目(因乙方维护管理不当而造成的设备维修除外)。</w:t>
      </w:r>
    </w:p>
    <w:p w14:paraId="7A06890A">
      <w:pPr>
        <w:adjustRightInd w:val="0"/>
        <w:snapToGrid w:val="0"/>
        <w:spacing w:line="360" w:lineRule="auto"/>
        <w:rPr>
          <w:rFonts w:ascii="宋体" w:hAnsi="宋体"/>
          <w:sz w:val="24"/>
          <w:u w:val="single"/>
        </w:rPr>
      </w:pPr>
      <w:r>
        <w:rPr>
          <w:rFonts w:hint="eastAsia" w:ascii="宋体" w:hAnsi="宋体"/>
          <w:sz w:val="24"/>
        </w:rPr>
        <w:t>二、服务期：壹年</w:t>
      </w:r>
    </w:p>
    <w:p w14:paraId="51053AA5">
      <w:pPr>
        <w:adjustRightInd w:val="0"/>
        <w:snapToGrid w:val="0"/>
        <w:spacing w:line="360" w:lineRule="auto"/>
        <w:rPr>
          <w:rFonts w:ascii="宋体" w:hAnsi="宋体"/>
          <w:sz w:val="24"/>
        </w:rPr>
      </w:pPr>
      <w:r>
        <w:rPr>
          <w:rFonts w:hint="eastAsia" w:ascii="宋体" w:hAnsi="宋体"/>
          <w:sz w:val="24"/>
        </w:rPr>
        <w:t>三、服务质量及技术标准</w:t>
      </w:r>
    </w:p>
    <w:p w14:paraId="4498BE89">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1、乙方服务期间维修、维保所用的器材及材料质量必须符合国家特种设备相关质量规定要求，同时要提供材料检验合格证、出厂合格证及相关证明文件。</w:t>
      </w:r>
    </w:p>
    <w:p w14:paraId="6410A9ED">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2、乙方</w:t>
      </w:r>
      <w:r>
        <w:rPr>
          <w:rFonts w:ascii="宋体" w:hAnsi="宋体"/>
          <w:sz w:val="24"/>
        </w:rPr>
        <w:t>负责锅炉房</w:t>
      </w:r>
      <w:r>
        <w:rPr>
          <w:rFonts w:hint="eastAsia" w:ascii="宋体" w:hAnsi="宋体"/>
          <w:sz w:val="24"/>
        </w:rPr>
        <w:t>及换热站</w:t>
      </w:r>
      <w:r>
        <w:rPr>
          <w:rFonts w:ascii="宋体" w:hAnsi="宋体"/>
          <w:sz w:val="24"/>
        </w:rPr>
        <w:t>设备、附属设施的运行、</w:t>
      </w:r>
      <w:r>
        <w:rPr>
          <w:rFonts w:hint="eastAsia" w:ascii="宋体" w:hAnsi="宋体"/>
          <w:sz w:val="24"/>
        </w:rPr>
        <w:t>管理、</w:t>
      </w:r>
      <w:r>
        <w:rPr>
          <w:rFonts w:ascii="宋体" w:hAnsi="宋体"/>
          <w:sz w:val="24"/>
        </w:rPr>
        <w:t>维护、</w:t>
      </w:r>
      <w:r>
        <w:rPr>
          <w:rFonts w:hint="eastAsia" w:ascii="宋体" w:hAnsi="宋体"/>
          <w:sz w:val="24"/>
        </w:rPr>
        <w:t>维修、</w:t>
      </w:r>
      <w:r>
        <w:rPr>
          <w:rFonts w:ascii="宋体" w:hAnsi="宋体"/>
          <w:sz w:val="24"/>
        </w:rPr>
        <w:t>保养。</w:t>
      </w:r>
    </w:p>
    <w:p w14:paraId="29FF510F">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3、乙方</w:t>
      </w:r>
      <w:r>
        <w:rPr>
          <w:rFonts w:ascii="宋体" w:hAnsi="宋体"/>
          <w:sz w:val="24"/>
        </w:rPr>
        <w:t>负责锅炉房</w:t>
      </w:r>
      <w:r>
        <w:rPr>
          <w:rFonts w:hint="eastAsia" w:ascii="宋体" w:hAnsi="宋体"/>
          <w:sz w:val="24"/>
        </w:rPr>
        <w:t>和换热站</w:t>
      </w:r>
      <w:r>
        <w:rPr>
          <w:rFonts w:ascii="宋体" w:hAnsi="宋体"/>
          <w:sz w:val="24"/>
        </w:rPr>
        <w:t>的设备安全管理，锅炉年检，</w:t>
      </w:r>
      <w:r>
        <w:rPr>
          <w:rFonts w:hint="eastAsia" w:ascii="宋体" w:hAnsi="宋体"/>
          <w:sz w:val="24"/>
        </w:rPr>
        <w:t>审验、</w:t>
      </w:r>
      <w:r>
        <w:rPr>
          <w:rFonts w:ascii="宋体" w:hAnsi="宋体"/>
          <w:sz w:val="24"/>
        </w:rPr>
        <w:t>仪器仪表效验、水质化验、档案管理工作</w:t>
      </w:r>
      <w:r>
        <w:rPr>
          <w:rFonts w:hint="eastAsia" w:ascii="宋体" w:hAnsi="宋体"/>
          <w:sz w:val="24"/>
        </w:rPr>
        <w:t>。</w:t>
      </w:r>
    </w:p>
    <w:p w14:paraId="6524CE3E">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4、设备设施的年检、审验工作由乙方负责，应缴纳的费用由甲方承担。</w:t>
      </w:r>
    </w:p>
    <w:p w14:paraId="4D847C9A">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5、乙方需要建立健全各项管理制度、操作规范，计划性的按照有关规定要求组织检修、保养、年检审验、应急演练等工作。</w:t>
      </w:r>
    </w:p>
    <w:p w14:paraId="3552EEE8">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6、乙方负责</w:t>
      </w:r>
      <w:r>
        <w:rPr>
          <w:rFonts w:ascii="宋体" w:hAnsi="宋体"/>
          <w:sz w:val="24"/>
        </w:rPr>
        <w:t>协调与政府相关职能部门之间的关系，完成锅炉年检等工作</w:t>
      </w:r>
      <w:r>
        <w:rPr>
          <w:rFonts w:hint="eastAsia" w:ascii="宋体" w:hAnsi="宋体"/>
          <w:sz w:val="24"/>
        </w:rPr>
        <w:t>，缴纳的各项费用由甲方支付。</w:t>
      </w:r>
    </w:p>
    <w:p w14:paraId="04580DF5">
      <w:pPr>
        <w:tabs>
          <w:tab w:val="left" w:pos="709"/>
          <w:tab w:val="clear" w:pos="480"/>
        </w:tabs>
        <w:adjustRightInd w:val="0"/>
        <w:snapToGrid w:val="0"/>
        <w:spacing w:line="360" w:lineRule="auto"/>
        <w:ind w:firstLine="480" w:firstLineChars="200"/>
        <w:rPr>
          <w:rFonts w:ascii="宋体" w:hAnsi="宋体"/>
          <w:sz w:val="24"/>
        </w:rPr>
      </w:pPr>
      <w:r>
        <w:rPr>
          <w:rFonts w:hint="eastAsia" w:ascii="宋体" w:hAnsi="宋体"/>
          <w:sz w:val="24"/>
        </w:rPr>
        <w:t>7、人员配置要求：</w:t>
      </w:r>
    </w:p>
    <w:p w14:paraId="5BC7E70A">
      <w:pPr>
        <w:tabs>
          <w:tab w:val="left" w:pos="709"/>
          <w:tab w:val="clear" w:pos="480"/>
        </w:tabs>
        <w:adjustRightInd w:val="0"/>
        <w:snapToGrid w:val="0"/>
        <w:spacing w:line="360" w:lineRule="auto"/>
        <w:ind w:left="284"/>
        <w:rPr>
          <w:rFonts w:ascii="宋体" w:hAnsi="宋体"/>
          <w:sz w:val="24"/>
        </w:rPr>
      </w:pPr>
      <w:r>
        <w:rPr>
          <w:rFonts w:hint="eastAsia" w:ascii="宋体" w:hAnsi="宋体"/>
          <w:sz w:val="24"/>
        </w:rPr>
        <w:t>　（1）采暖季不少于8人，具体要求如下</w:t>
      </w:r>
    </w:p>
    <w:tbl>
      <w:tblPr>
        <w:tblStyle w:val="13"/>
        <w:tblW w:w="9060" w:type="dxa"/>
        <w:tblInd w:w="-3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5"/>
        <w:gridCol w:w="1035"/>
        <w:gridCol w:w="4725"/>
        <w:gridCol w:w="1455"/>
      </w:tblGrid>
      <w:tr w14:paraId="15AAB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tcPr>
          <w:p w14:paraId="10914B45">
            <w:pPr>
              <w:adjustRightInd w:val="0"/>
              <w:snapToGrid w:val="0"/>
              <w:spacing w:line="360" w:lineRule="auto"/>
              <w:ind w:firstLine="360" w:firstLineChars="150"/>
              <w:rPr>
                <w:rFonts w:ascii="宋体" w:hAnsi="宋体" w:cs="宋体"/>
                <w:sz w:val="24"/>
              </w:rPr>
            </w:pPr>
            <w:r>
              <w:rPr>
                <w:rFonts w:hint="eastAsia" w:ascii="宋体" w:hAnsi="宋体"/>
                <w:sz w:val="24"/>
              </w:rPr>
              <w:t>岗位名称</w:t>
            </w:r>
          </w:p>
        </w:tc>
        <w:tc>
          <w:tcPr>
            <w:tcW w:w="1035" w:type="dxa"/>
          </w:tcPr>
          <w:p w14:paraId="02FBED85">
            <w:pPr>
              <w:adjustRightInd w:val="0"/>
              <w:snapToGrid w:val="0"/>
              <w:spacing w:line="360" w:lineRule="auto"/>
              <w:jc w:val="center"/>
              <w:rPr>
                <w:rFonts w:ascii="宋体" w:hAnsi="宋体" w:cs="宋体"/>
                <w:sz w:val="24"/>
              </w:rPr>
            </w:pPr>
            <w:r>
              <w:rPr>
                <w:rFonts w:hint="eastAsia" w:ascii="宋体" w:hAnsi="宋体"/>
                <w:sz w:val="24"/>
              </w:rPr>
              <w:t>人数</w:t>
            </w:r>
          </w:p>
        </w:tc>
        <w:tc>
          <w:tcPr>
            <w:tcW w:w="4725" w:type="dxa"/>
          </w:tcPr>
          <w:p w14:paraId="3F1FE4F7">
            <w:pPr>
              <w:adjustRightInd w:val="0"/>
              <w:snapToGrid w:val="0"/>
              <w:spacing w:line="360" w:lineRule="auto"/>
              <w:jc w:val="center"/>
              <w:rPr>
                <w:rFonts w:ascii="宋体" w:hAnsi="宋体" w:cs="宋体"/>
                <w:sz w:val="24"/>
              </w:rPr>
            </w:pPr>
            <w:r>
              <w:rPr>
                <w:rFonts w:hint="eastAsia" w:ascii="宋体" w:hAnsi="宋体"/>
                <w:sz w:val="24"/>
              </w:rPr>
              <w:t>资格要求</w:t>
            </w:r>
          </w:p>
        </w:tc>
        <w:tc>
          <w:tcPr>
            <w:tcW w:w="1455" w:type="dxa"/>
          </w:tcPr>
          <w:p w14:paraId="3C64EFE4">
            <w:pPr>
              <w:adjustRightInd w:val="0"/>
              <w:snapToGrid w:val="0"/>
              <w:spacing w:line="360" w:lineRule="auto"/>
              <w:jc w:val="center"/>
              <w:rPr>
                <w:rFonts w:ascii="宋体" w:hAnsi="宋体" w:cs="宋体"/>
                <w:sz w:val="24"/>
              </w:rPr>
            </w:pPr>
            <w:r>
              <w:rPr>
                <w:rFonts w:hint="eastAsia" w:ascii="宋体" w:hAnsi="宋体"/>
                <w:sz w:val="24"/>
              </w:rPr>
              <w:t>备注</w:t>
            </w:r>
          </w:p>
        </w:tc>
      </w:tr>
      <w:tr w14:paraId="44659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tcPr>
          <w:p w14:paraId="295C0DE6">
            <w:pPr>
              <w:adjustRightInd w:val="0"/>
              <w:snapToGrid w:val="0"/>
              <w:spacing w:line="360" w:lineRule="auto"/>
              <w:jc w:val="center"/>
              <w:rPr>
                <w:rFonts w:ascii="宋体" w:hAnsi="宋体"/>
                <w:sz w:val="24"/>
              </w:rPr>
            </w:pPr>
          </w:p>
          <w:p w14:paraId="35E6AA03">
            <w:pPr>
              <w:adjustRightInd w:val="0"/>
              <w:snapToGrid w:val="0"/>
              <w:spacing w:line="360" w:lineRule="auto"/>
              <w:jc w:val="center"/>
              <w:rPr>
                <w:rFonts w:ascii="宋体" w:hAnsi="宋体" w:cs="宋体"/>
                <w:sz w:val="24"/>
              </w:rPr>
            </w:pPr>
            <w:r>
              <w:rPr>
                <w:rFonts w:hint="eastAsia" w:ascii="宋体" w:hAnsi="宋体"/>
                <w:sz w:val="24"/>
              </w:rPr>
              <w:t>现场负责人</w:t>
            </w:r>
          </w:p>
        </w:tc>
        <w:tc>
          <w:tcPr>
            <w:tcW w:w="1035" w:type="dxa"/>
          </w:tcPr>
          <w:p w14:paraId="257C376E">
            <w:pPr>
              <w:adjustRightInd w:val="0"/>
              <w:snapToGrid w:val="0"/>
              <w:spacing w:line="360" w:lineRule="auto"/>
              <w:jc w:val="center"/>
              <w:rPr>
                <w:rFonts w:ascii="宋体" w:hAnsi="宋体"/>
                <w:sz w:val="24"/>
              </w:rPr>
            </w:pPr>
          </w:p>
          <w:p w14:paraId="343CA582">
            <w:pPr>
              <w:adjustRightInd w:val="0"/>
              <w:snapToGrid w:val="0"/>
              <w:spacing w:line="360" w:lineRule="auto"/>
              <w:jc w:val="center"/>
              <w:rPr>
                <w:rFonts w:ascii="宋体" w:hAnsi="宋体" w:cs="宋体"/>
                <w:sz w:val="24"/>
              </w:rPr>
            </w:pPr>
            <w:r>
              <w:rPr>
                <w:rFonts w:hint="eastAsia" w:ascii="宋体" w:hAnsi="宋体"/>
                <w:sz w:val="24"/>
              </w:rPr>
              <w:t>1名</w:t>
            </w:r>
          </w:p>
        </w:tc>
        <w:tc>
          <w:tcPr>
            <w:tcW w:w="4725" w:type="dxa"/>
          </w:tcPr>
          <w:p w14:paraId="2761E794">
            <w:pPr>
              <w:pStyle w:val="20"/>
              <w:adjustRightInd w:val="0"/>
              <w:snapToGrid w:val="0"/>
              <w:spacing w:line="360" w:lineRule="auto"/>
              <w:ind w:firstLine="0" w:firstLineChars="0"/>
              <w:rPr>
                <w:rFonts w:ascii="宋体" w:hAnsi="宋体" w:cs="宋体"/>
                <w:color w:val="000000"/>
                <w:sz w:val="24"/>
              </w:rPr>
            </w:pPr>
            <w:r>
              <w:rPr>
                <w:rFonts w:hint="eastAsia" w:ascii="宋体" w:hAnsi="宋体"/>
                <w:color w:val="000000"/>
                <w:sz w:val="24"/>
              </w:rPr>
              <w:t>具有有效的《特种设备作业人员证》作业项目代号：G1和A两证。</w:t>
            </w:r>
          </w:p>
        </w:tc>
        <w:tc>
          <w:tcPr>
            <w:tcW w:w="1455" w:type="dxa"/>
          </w:tcPr>
          <w:p w14:paraId="2BE1036B">
            <w:pPr>
              <w:adjustRightInd w:val="0"/>
              <w:snapToGrid w:val="0"/>
              <w:spacing w:line="360" w:lineRule="auto"/>
              <w:rPr>
                <w:rFonts w:ascii="宋体" w:hAnsi="宋体" w:cs="宋体"/>
                <w:sz w:val="24"/>
              </w:rPr>
            </w:pPr>
          </w:p>
        </w:tc>
      </w:tr>
      <w:tr w14:paraId="114F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tcPr>
          <w:p w14:paraId="571B52D5">
            <w:pPr>
              <w:adjustRightInd w:val="0"/>
              <w:snapToGrid w:val="0"/>
              <w:spacing w:line="360" w:lineRule="auto"/>
              <w:jc w:val="center"/>
              <w:rPr>
                <w:rFonts w:ascii="宋体" w:hAnsi="宋体"/>
                <w:sz w:val="24"/>
              </w:rPr>
            </w:pPr>
          </w:p>
          <w:p w14:paraId="3F817CB9">
            <w:pPr>
              <w:adjustRightInd w:val="0"/>
              <w:snapToGrid w:val="0"/>
              <w:spacing w:line="360" w:lineRule="auto"/>
              <w:jc w:val="center"/>
              <w:rPr>
                <w:rFonts w:ascii="宋体" w:hAnsi="宋体" w:cs="宋体"/>
                <w:sz w:val="24"/>
              </w:rPr>
            </w:pPr>
            <w:r>
              <w:rPr>
                <w:rFonts w:hint="eastAsia" w:ascii="宋体" w:hAnsi="宋体"/>
                <w:sz w:val="24"/>
              </w:rPr>
              <w:t>化验员</w:t>
            </w:r>
          </w:p>
        </w:tc>
        <w:tc>
          <w:tcPr>
            <w:tcW w:w="1035" w:type="dxa"/>
          </w:tcPr>
          <w:p w14:paraId="0251DA7C">
            <w:pPr>
              <w:adjustRightInd w:val="0"/>
              <w:snapToGrid w:val="0"/>
              <w:spacing w:line="360" w:lineRule="auto"/>
              <w:jc w:val="center"/>
              <w:rPr>
                <w:rFonts w:ascii="宋体" w:hAnsi="宋体"/>
                <w:sz w:val="24"/>
              </w:rPr>
            </w:pPr>
          </w:p>
          <w:p w14:paraId="3FBD00D3">
            <w:pPr>
              <w:adjustRightInd w:val="0"/>
              <w:snapToGrid w:val="0"/>
              <w:spacing w:line="360" w:lineRule="auto"/>
              <w:jc w:val="center"/>
              <w:rPr>
                <w:rFonts w:ascii="宋体" w:hAnsi="宋体" w:cs="宋体"/>
                <w:sz w:val="24"/>
              </w:rPr>
            </w:pPr>
            <w:r>
              <w:rPr>
                <w:rFonts w:hint="eastAsia" w:ascii="宋体" w:hAnsi="宋体"/>
                <w:sz w:val="24"/>
              </w:rPr>
              <w:t>1名</w:t>
            </w:r>
          </w:p>
        </w:tc>
        <w:tc>
          <w:tcPr>
            <w:tcW w:w="4725" w:type="dxa"/>
          </w:tcPr>
          <w:p w14:paraId="3C8A76DE">
            <w:pPr>
              <w:adjustRightInd w:val="0"/>
              <w:snapToGrid w:val="0"/>
              <w:spacing w:line="360" w:lineRule="auto"/>
              <w:rPr>
                <w:rFonts w:ascii="宋体" w:hAnsi="宋体" w:cs="宋体"/>
                <w:color w:val="000000"/>
                <w:sz w:val="24"/>
              </w:rPr>
            </w:pPr>
            <w:r>
              <w:rPr>
                <w:rFonts w:hint="eastAsia" w:ascii="宋体" w:hAnsi="宋体"/>
                <w:color w:val="000000"/>
                <w:sz w:val="24"/>
              </w:rPr>
              <w:t>具有有效的《特种设备作业人员证》作业项目代号：G3</w:t>
            </w:r>
          </w:p>
        </w:tc>
        <w:tc>
          <w:tcPr>
            <w:tcW w:w="1455" w:type="dxa"/>
          </w:tcPr>
          <w:p w14:paraId="736010D2">
            <w:pPr>
              <w:adjustRightInd w:val="0"/>
              <w:snapToGrid w:val="0"/>
              <w:spacing w:line="360" w:lineRule="auto"/>
              <w:rPr>
                <w:rFonts w:ascii="宋体" w:hAnsi="宋体" w:cs="宋体"/>
                <w:sz w:val="24"/>
              </w:rPr>
            </w:pPr>
          </w:p>
        </w:tc>
      </w:tr>
      <w:tr w14:paraId="638E5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tcPr>
          <w:p w14:paraId="08693A0E">
            <w:pPr>
              <w:adjustRightInd w:val="0"/>
              <w:snapToGrid w:val="0"/>
              <w:spacing w:line="360" w:lineRule="auto"/>
              <w:jc w:val="center"/>
              <w:rPr>
                <w:rFonts w:ascii="宋体" w:hAnsi="宋体"/>
                <w:sz w:val="24"/>
              </w:rPr>
            </w:pPr>
          </w:p>
          <w:p w14:paraId="76D88C62">
            <w:pPr>
              <w:adjustRightInd w:val="0"/>
              <w:snapToGrid w:val="0"/>
              <w:spacing w:line="360" w:lineRule="auto"/>
              <w:jc w:val="center"/>
              <w:rPr>
                <w:rFonts w:ascii="宋体" w:hAnsi="宋体" w:cs="宋体"/>
                <w:sz w:val="24"/>
              </w:rPr>
            </w:pPr>
            <w:r>
              <w:rPr>
                <w:rFonts w:hint="eastAsia" w:ascii="宋体" w:hAnsi="宋体"/>
                <w:sz w:val="24"/>
              </w:rPr>
              <w:t>锅炉工</w:t>
            </w:r>
          </w:p>
        </w:tc>
        <w:tc>
          <w:tcPr>
            <w:tcW w:w="1035" w:type="dxa"/>
          </w:tcPr>
          <w:p w14:paraId="3B2DF272">
            <w:pPr>
              <w:adjustRightInd w:val="0"/>
              <w:snapToGrid w:val="0"/>
              <w:spacing w:line="360" w:lineRule="auto"/>
              <w:jc w:val="center"/>
              <w:rPr>
                <w:rFonts w:ascii="宋体" w:hAnsi="宋体"/>
                <w:sz w:val="24"/>
              </w:rPr>
            </w:pPr>
          </w:p>
          <w:p w14:paraId="4673AB03">
            <w:pPr>
              <w:adjustRightInd w:val="0"/>
              <w:snapToGrid w:val="0"/>
              <w:spacing w:line="360" w:lineRule="auto"/>
              <w:jc w:val="center"/>
              <w:rPr>
                <w:rFonts w:ascii="宋体" w:hAnsi="宋体" w:cs="宋体"/>
                <w:sz w:val="24"/>
              </w:rPr>
            </w:pPr>
            <w:r>
              <w:rPr>
                <w:rFonts w:hint="eastAsia" w:ascii="宋体" w:hAnsi="宋体"/>
                <w:sz w:val="24"/>
              </w:rPr>
              <w:t>4名</w:t>
            </w:r>
          </w:p>
        </w:tc>
        <w:tc>
          <w:tcPr>
            <w:tcW w:w="4725" w:type="dxa"/>
          </w:tcPr>
          <w:p w14:paraId="0996C74F">
            <w:pPr>
              <w:adjustRightInd w:val="0"/>
              <w:snapToGrid w:val="0"/>
              <w:spacing w:line="360" w:lineRule="auto"/>
              <w:rPr>
                <w:rFonts w:ascii="宋体" w:hAnsi="宋体" w:cs="宋体"/>
                <w:color w:val="000000"/>
                <w:sz w:val="24"/>
              </w:rPr>
            </w:pPr>
            <w:r>
              <w:rPr>
                <w:rFonts w:hint="eastAsia" w:ascii="宋体" w:hAnsi="宋体"/>
                <w:color w:val="000000"/>
                <w:sz w:val="24"/>
              </w:rPr>
              <w:t>具有有效的</w:t>
            </w:r>
            <w:bookmarkStart w:id="0" w:name="_GoBack"/>
            <w:bookmarkEnd w:id="0"/>
            <w:r>
              <w:rPr>
                <w:rFonts w:hint="eastAsia" w:ascii="宋体" w:hAnsi="宋体"/>
                <w:color w:val="000000"/>
                <w:sz w:val="24"/>
              </w:rPr>
              <w:t>《特种设备作业人员证》作业项目代号：G1</w:t>
            </w:r>
          </w:p>
        </w:tc>
        <w:tc>
          <w:tcPr>
            <w:tcW w:w="1455" w:type="dxa"/>
          </w:tcPr>
          <w:p w14:paraId="5452B324">
            <w:pPr>
              <w:adjustRightInd w:val="0"/>
              <w:snapToGrid w:val="0"/>
              <w:spacing w:line="360" w:lineRule="auto"/>
              <w:rPr>
                <w:rFonts w:ascii="宋体" w:hAnsi="宋体" w:cs="宋体"/>
                <w:sz w:val="24"/>
              </w:rPr>
            </w:pPr>
          </w:p>
        </w:tc>
      </w:tr>
      <w:tr w14:paraId="381B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5" w:type="dxa"/>
          </w:tcPr>
          <w:p w14:paraId="1E5FFE0E">
            <w:pPr>
              <w:adjustRightInd w:val="0"/>
              <w:snapToGrid w:val="0"/>
              <w:spacing w:line="360" w:lineRule="auto"/>
              <w:jc w:val="center"/>
              <w:rPr>
                <w:rFonts w:ascii="宋体" w:hAnsi="宋体"/>
                <w:sz w:val="24"/>
              </w:rPr>
            </w:pPr>
            <w:r>
              <w:rPr>
                <w:rFonts w:hint="eastAsia" w:ascii="宋体" w:hAnsi="宋体"/>
                <w:sz w:val="24"/>
              </w:rPr>
              <w:t>换热站操作工</w:t>
            </w:r>
          </w:p>
        </w:tc>
        <w:tc>
          <w:tcPr>
            <w:tcW w:w="1035" w:type="dxa"/>
          </w:tcPr>
          <w:p w14:paraId="12C4A720">
            <w:pPr>
              <w:adjustRightInd w:val="0"/>
              <w:snapToGrid w:val="0"/>
              <w:spacing w:line="360" w:lineRule="auto"/>
              <w:jc w:val="center"/>
              <w:rPr>
                <w:rFonts w:ascii="宋体" w:hAnsi="宋体"/>
                <w:sz w:val="24"/>
              </w:rPr>
            </w:pPr>
            <w:r>
              <w:rPr>
                <w:rFonts w:hint="eastAsia" w:ascii="宋体" w:hAnsi="宋体"/>
                <w:sz w:val="24"/>
              </w:rPr>
              <w:t>2名</w:t>
            </w:r>
          </w:p>
        </w:tc>
        <w:tc>
          <w:tcPr>
            <w:tcW w:w="4725" w:type="dxa"/>
          </w:tcPr>
          <w:p w14:paraId="1ED3060C">
            <w:pPr>
              <w:adjustRightInd w:val="0"/>
              <w:snapToGrid w:val="0"/>
              <w:spacing w:line="360" w:lineRule="auto"/>
              <w:rPr>
                <w:rFonts w:ascii="宋体" w:hAnsi="宋体" w:cs="宋体"/>
                <w:sz w:val="24"/>
              </w:rPr>
            </w:pPr>
            <w:r>
              <w:rPr>
                <w:rFonts w:hint="eastAsia" w:ascii="宋体" w:hAnsi="宋体"/>
                <w:sz w:val="24"/>
              </w:rPr>
              <w:t>有两年以上机电设备操作的从业经验</w:t>
            </w:r>
          </w:p>
        </w:tc>
        <w:tc>
          <w:tcPr>
            <w:tcW w:w="1455" w:type="dxa"/>
          </w:tcPr>
          <w:p w14:paraId="7D167A98">
            <w:pPr>
              <w:adjustRightInd w:val="0"/>
              <w:snapToGrid w:val="0"/>
              <w:spacing w:line="360" w:lineRule="auto"/>
              <w:rPr>
                <w:rFonts w:ascii="宋体" w:hAnsi="宋体" w:cs="宋体"/>
                <w:sz w:val="24"/>
              </w:rPr>
            </w:pPr>
          </w:p>
        </w:tc>
      </w:tr>
    </w:tbl>
    <w:p w14:paraId="37BEFA84">
      <w:pPr>
        <w:tabs>
          <w:tab w:val="left" w:pos="709"/>
          <w:tab w:val="clear" w:pos="480"/>
        </w:tabs>
        <w:adjustRightInd w:val="0"/>
        <w:snapToGrid w:val="0"/>
        <w:spacing w:line="360" w:lineRule="auto"/>
        <w:ind w:left="284"/>
        <w:rPr>
          <w:rFonts w:ascii="宋体" w:hAnsi="宋体"/>
          <w:sz w:val="24"/>
        </w:rPr>
      </w:pPr>
      <w:r>
        <w:rPr>
          <w:rFonts w:hint="eastAsia" w:ascii="宋体" w:hAnsi="宋体"/>
          <w:sz w:val="24"/>
        </w:rPr>
        <w:t>　（2）非采暖季至少1名管理人员留守。</w:t>
      </w:r>
    </w:p>
    <w:p w14:paraId="6ED59618">
      <w:pPr>
        <w:tabs>
          <w:tab w:val="left" w:pos="709"/>
          <w:tab w:val="clear" w:pos="480"/>
        </w:tabs>
        <w:adjustRightInd w:val="0"/>
        <w:snapToGrid w:val="0"/>
        <w:spacing w:line="360" w:lineRule="auto"/>
        <w:ind w:left="709"/>
        <w:rPr>
          <w:rFonts w:ascii="宋体" w:hAnsi="宋体"/>
          <w:sz w:val="24"/>
        </w:rPr>
      </w:pPr>
      <w:r>
        <w:rPr>
          <w:rFonts w:hint="eastAsia" w:ascii="宋体" w:hAnsi="宋体"/>
          <w:sz w:val="24"/>
        </w:rPr>
        <w:t>8、对锅炉本体等国家有特殊维修资质要求的设备设施，乙方需与具备相关资质的单位签订维保协议，由此产生的费用及责任由乙方全部承担。</w:t>
      </w:r>
    </w:p>
    <w:p w14:paraId="7E9E296D">
      <w:pPr>
        <w:tabs>
          <w:tab w:val="left" w:pos="709"/>
          <w:tab w:val="clear" w:pos="480"/>
        </w:tabs>
        <w:adjustRightInd w:val="0"/>
        <w:snapToGrid w:val="0"/>
        <w:spacing w:line="360" w:lineRule="auto"/>
        <w:ind w:firstLine="600" w:firstLineChars="250"/>
        <w:rPr>
          <w:rFonts w:ascii="宋体" w:hAnsi="宋体"/>
          <w:sz w:val="24"/>
        </w:rPr>
      </w:pPr>
      <w:r>
        <w:rPr>
          <w:rFonts w:hint="eastAsia" w:ascii="宋体" w:hAnsi="宋体"/>
          <w:sz w:val="24"/>
        </w:rPr>
        <w:t>9、</w:t>
      </w:r>
      <w:r>
        <w:rPr>
          <w:rFonts w:ascii="宋体" w:hAnsi="宋体"/>
          <w:sz w:val="24"/>
        </w:rPr>
        <w:t>自合同签订之日起，乙方负责锅炉房及</w:t>
      </w:r>
      <w:r>
        <w:rPr>
          <w:rFonts w:hint="eastAsia" w:ascii="宋体" w:hAnsi="宋体"/>
          <w:sz w:val="24"/>
        </w:rPr>
        <w:t>换热站</w:t>
      </w:r>
      <w:r>
        <w:rPr>
          <w:rFonts w:ascii="宋体" w:hAnsi="宋体"/>
          <w:sz w:val="24"/>
        </w:rPr>
        <w:t>内一切设备、设施、人员及热力系统的安全运行，合同期间造成一切安全事故，人员</w:t>
      </w:r>
      <w:r>
        <w:rPr>
          <w:rFonts w:hint="eastAsia" w:ascii="宋体" w:hAnsi="宋体"/>
          <w:sz w:val="24"/>
        </w:rPr>
        <w:t>伤亡、</w:t>
      </w:r>
      <w:r>
        <w:rPr>
          <w:rFonts w:ascii="宋体" w:hAnsi="宋体"/>
          <w:sz w:val="24"/>
        </w:rPr>
        <w:t>财产</w:t>
      </w:r>
      <w:r>
        <w:rPr>
          <w:rFonts w:hint="eastAsia" w:ascii="宋体" w:hAnsi="宋体"/>
          <w:sz w:val="24"/>
        </w:rPr>
        <w:t>损坏等</w:t>
      </w:r>
      <w:r>
        <w:rPr>
          <w:rFonts w:ascii="宋体" w:hAnsi="宋体"/>
          <w:sz w:val="24"/>
        </w:rPr>
        <w:t>所有损失</w:t>
      </w:r>
      <w:r>
        <w:rPr>
          <w:rFonts w:hint="eastAsia" w:ascii="宋体" w:hAnsi="宋体"/>
          <w:sz w:val="24"/>
        </w:rPr>
        <w:t>全</w:t>
      </w:r>
      <w:r>
        <w:rPr>
          <w:rFonts w:ascii="宋体" w:hAnsi="宋体"/>
          <w:sz w:val="24"/>
        </w:rPr>
        <w:t>由乙方</w:t>
      </w:r>
      <w:r>
        <w:rPr>
          <w:rFonts w:hint="eastAsia" w:ascii="宋体" w:hAnsi="宋体"/>
          <w:sz w:val="24"/>
        </w:rPr>
        <w:t>独自承担</w:t>
      </w:r>
      <w:r>
        <w:rPr>
          <w:rFonts w:ascii="宋体" w:hAnsi="宋体"/>
          <w:sz w:val="24"/>
        </w:rPr>
        <w:t>。</w:t>
      </w:r>
    </w:p>
    <w:p w14:paraId="4DF698E2">
      <w:pPr>
        <w:adjustRightInd w:val="0"/>
        <w:snapToGrid w:val="0"/>
        <w:spacing w:line="360" w:lineRule="auto"/>
        <w:rPr>
          <w:rFonts w:ascii="宋体" w:hAnsi="宋体"/>
          <w:sz w:val="24"/>
        </w:rPr>
      </w:pPr>
      <w:r>
        <w:rPr>
          <w:rFonts w:hint="eastAsia" w:ascii="宋体" w:hAnsi="宋体"/>
          <w:sz w:val="24"/>
        </w:rPr>
        <w:t>四、合同价款、支付条件和支付进度</w:t>
      </w:r>
    </w:p>
    <w:p w14:paraId="205FBECF">
      <w:pPr>
        <w:adjustRightInd w:val="0"/>
        <w:snapToGrid w:val="0"/>
        <w:spacing w:line="360" w:lineRule="auto"/>
        <w:ind w:firstLine="480" w:firstLineChars="200"/>
        <w:rPr>
          <w:rFonts w:ascii="宋体" w:hAnsi="宋体"/>
          <w:sz w:val="24"/>
          <w:u w:val="single"/>
        </w:rPr>
      </w:pPr>
      <w:r>
        <w:rPr>
          <w:rFonts w:hint="eastAsia" w:ascii="宋体" w:hAnsi="宋体"/>
          <w:sz w:val="24"/>
        </w:rPr>
        <w:t>1、本合同总造价为人民币</w:t>
      </w:r>
      <w:r>
        <w:rPr>
          <w:rFonts w:hint="eastAsia" w:ascii="宋体" w:hAnsi="宋体"/>
          <w:sz w:val="24"/>
          <w:u w:val="single"/>
        </w:rPr>
        <w:t>¥     元</w:t>
      </w:r>
      <w:r>
        <w:rPr>
          <w:rFonts w:hint="eastAsia" w:ascii="宋体" w:hAnsi="宋体"/>
          <w:sz w:val="24"/>
        </w:rPr>
        <w:t xml:space="preserve">（含税）（大写）：     </w:t>
      </w:r>
    </w:p>
    <w:p w14:paraId="3DEFED26">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2、每三个月支付一次，每次调试验收合格后，付合同总价款22.5%</w:t>
      </w:r>
      <w:r>
        <w:rPr>
          <w:rFonts w:hint="eastAsia" w:ascii="宋体" w:hAnsi="宋体"/>
          <w:color w:val="000000"/>
          <w:sz w:val="24"/>
          <w:u w:val="single"/>
        </w:rPr>
        <w:t xml:space="preserve">¥     </w:t>
      </w:r>
      <w:r>
        <w:rPr>
          <w:rFonts w:hint="eastAsia" w:ascii="宋体" w:hAnsi="宋体"/>
          <w:sz w:val="24"/>
          <w:u w:val="single"/>
        </w:rPr>
        <w:t>元</w:t>
      </w:r>
      <w:r>
        <w:rPr>
          <w:rFonts w:hint="eastAsia" w:ascii="宋体" w:hAnsi="宋体"/>
          <w:sz w:val="24"/>
        </w:rPr>
        <w:t xml:space="preserve">（含税）（大写）：    </w:t>
      </w:r>
      <w:r>
        <w:rPr>
          <w:rFonts w:hint="eastAsia" w:ascii="宋体" w:hAnsi="宋体"/>
          <w:color w:val="000000"/>
          <w:sz w:val="24"/>
        </w:rPr>
        <w:t>。服务期满</w:t>
      </w:r>
      <w:r>
        <w:rPr>
          <w:rFonts w:hint="eastAsia" w:ascii="宋体" w:hAnsi="宋体"/>
          <w:color w:val="000000"/>
          <w:sz w:val="24"/>
          <w:u w:val="single"/>
        </w:rPr>
        <w:t>壹年</w:t>
      </w:r>
      <w:r>
        <w:rPr>
          <w:rFonts w:hint="eastAsia" w:ascii="宋体" w:hAnsi="宋体"/>
          <w:color w:val="000000"/>
          <w:sz w:val="24"/>
        </w:rPr>
        <w:t>共支付即人民币</w:t>
      </w:r>
      <w:r>
        <w:rPr>
          <w:rFonts w:hint="eastAsia" w:ascii="宋体" w:hAnsi="宋体"/>
          <w:color w:val="000000"/>
          <w:sz w:val="24"/>
          <w:u w:val="single"/>
        </w:rPr>
        <w:t>¥      元</w:t>
      </w:r>
      <w:r>
        <w:rPr>
          <w:rFonts w:hint="eastAsia" w:ascii="宋体" w:hAnsi="宋体"/>
          <w:sz w:val="24"/>
        </w:rPr>
        <w:t>（含税）</w:t>
      </w:r>
      <w:r>
        <w:rPr>
          <w:rFonts w:hint="eastAsia" w:ascii="宋体" w:hAnsi="宋体"/>
          <w:color w:val="000000"/>
          <w:sz w:val="24"/>
        </w:rPr>
        <w:t>（大写） 。</w:t>
      </w:r>
    </w:p>
    <w:p w14:paraId="0937EC8A">
      <w:pPr>
        <w:adjustRightInd w:val="0"/>
        <w:snapToGrid w:val="0"/>
        <w:spacing w:line="360" w:lineRule="auto"/>
        <w:ind w:firstLine="480" w:firstLineChars="200"/>
        <w:rPr>
          <w:rFonts w:ascii="宋体" w:hAnsi="宋体"/>
          <w:color w:val="000000"/>
          <w:sz w:val="24"/>
        </w:rPr>
      </w:pPr>
      <w:r>
        <w:rPr>
          <w:rFonts w:hint="eastAsia" w:ascii="宋体" w:hAnsi="宋体"/>
          <w:color w:val="000000"/>
          <w:sz w:val="24"/>
        </w:rPr>
        <w:t>3、合同到期所有设施设备无质量问题且完成移交后运行正常使用，一次性付清余款，即人民币</w:t>
      </w:r>
      <w:r>
        <w:rPr>
          <w:rFonts w:hint="eastAsia" w:ascii="宋体" w:hAnsi="宋体"/>
          <w:color w:val="000000"/>
          <w:sz w:val="24"/>
          <w:u w:val="single"/>
        </w:rPr>
        <w:t>¥     元</w:t>
      </w:r>
      <w:r>
        <w:rPr>
          <w:rFonts w:hint="eastAsia" w:ascii="宋体" w:hAnsi="宋体"/>
          <w:sz w:val="24"/>
        </w:rPr>
        <w:t>（含税）</w:t>
      </w:r>
      <w:r>
        <w:rPr>
          <w:rFonts w:hint="eastAsia" w:ascii="宋体" w:hAnsi="宋体"/>
          <w:color w:val="000000"/>
          <w:sz w:val="24"/>
        </w:rPr>
        <w:t>（大写）       。</w:t>
      </w:r>
    </w:p>
    <w:p w14:paraId="54D5F0A1">
      <w:pPr>
        <w:adjustRightInd w:val="0"/>
        <w:snapToGrid w:val="0"/>
        <w:spacing w:line="360" w:lineRule="auto"/>
        <w:ind w:firstLine="480" w:firstLineChars="200"/>
        <w:rPr>
          <w:rFonts w:ascii="宋体" w:hAnsi="宋体"/>
          <w:sz w:val="24"/>
        </w:rPr>
      </w:pPr>
      <w:r>
        <w:rPr>
          <w:rFonts w:hint="eastAsia" w:ascii="宋体" w:hAnsi="宋体"/>
          <w:sz w:val="24"/>
        </w:rPr>
        <w:t>4、支付方式：银行转帐。乙方于每三个月前开具与当次应支付服务费等额的发票，甲方于收到发票后一个月内支付到位，支付方式为银行转帐。</w:t>
      </w:r>
      <w:r>
        <w:rPr>
          <w:rFonts w:hint="eastAsia" w:ascii="宋体" w:hAnsi="宋体"/>
          <w:sz w:val="24"/>
          <w:lang w:eastAsia="zh-Hans"/>
        </w:rPr>
        <w:t>如乙方迟延提供发票或提供的发票不符合甲方要求的，则甲方有权拒绝付款且不承担任何违约责任。</w:t>
      </w:r>
    </w:p>
    <w:p w14:paraId="654DE3AC">
      <w:pPr>
        <w:adjustRightInd w:val="0"/>
        <w:snapToGrid w:val="0"/>
        <w:spacing w:line="360" w:lineRule="auto"/>
        <w:ind w:firstLine="480" w:firstLineChars="200"/>
        <w:rPr>
          <w:rFonts w:ascii="宋体" w:hAnsi="宋体"/>
          <w:sz w:val="24"/>
        </w:rPr>
      </w:pPr>
      <w:r>
        <w:rPr>
          <w:rFonts w:hint="eastAsia" w:ascii="宋体" w:hAnsi="宋体"/>
          <w:sz w:val="24"/>
        </w:rPr>
        <w:t>5、结算方式：乙方持验收合格单、全额合规发票（按合同总价值开甲方）、中标通知书、供货合同，与甲方结算。若乙方未在甲方付款前提供全额合规发票的，甲方有权拒付合同款项，且不承担任何责任，乙方亦不得以此为由拒绝履行任意合同义务。</w:t>
      </w:r>
    </w:p>
    <w:p w14:paraId="47F3DAA9">
      <w:pPr>
        <w:adjustRightInd w:val="0"/>
        <w:snapToGrid w:val="0"/>
        <w:spacing w:line="360" w:lineRule="auto"/>
        <w:rPr>
          <w:rFonts w:ascii="宋体" w:hAnsi="宋体"/>
          <w:sz w:val="24"/>
        </w:rPr>
      </w:pPr>
      <w:r>
        <w:rPr>
          <w:rFonts w:hint="eastAsia" w:ascii="宋体" w:hAnsi="宋体"/>
          <w:sz w:val="24"/>
        </w:rPr>
        <w:t>五、现场指令和授权代表</w:t>
      </w:r>
    </w:p>
    <w:p w14:paraId="7AAEA990">
      <w:pPr>
        <w:adjustRightInd w:val="0"/>
        <w:snapToGrid w:val="0"/>
        <w:spacing w:line="360" w:lineRule="auto"/>
        <w:ind w:left="160" w:leftChars="57" w:firstLine="360" w:firstLineChars="150"/>
        <w:rPr>
          <w:rFonts w:ascii="宋体" w:hAnsi="宋体"/>
          <w:sz w:val="24"/>
        </w:rPr>
      </w:pPr>
      <w:r>
        <w:rPr>
          <w:rFonts w:hint="eastAsia" w:ascii="宋体" w:hAnsi="宋体"/>
          <w:sz w:val="24"/>
        </w:rPr>
        <w:t>甲方的指令通知由其授权代表</w:t>
      </w:r>
      <w:r>
        <w:rPr>
          <w:rFonts w:hint="eastAsia" w:ascii="宋体" w:hAnsi="宋体"/>
          <w:sz w:val="24"/>
          <w:u w:val="single"/>
        </w:rPr>
        <w:t xml:space="preserve">　    </w:t>
      </w:r>
      <w:r>
        <w:rPr>
          <w:rFonts w:hint="eastAsia" w:ascii="宋体" w:hAnsi="宋体"/>
          <w:sz w:val="24"/>
        </w:rPr>
        <w:t>签字后，以书面形式交给乙方代表，乙方代表</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在回执上签署姓名和收到时间后生效。</w:t>
      </w:r>
    </w:p>
    <w:p w14:paraId="244E9564">
      <w:pPr>
        <w:adjustRightInd w:val="0"/>
        <w:snapToGrid w:val="0"/>
        <w:spacing w:line="360" w:lineRule="auto"/>
        <w:ind w:left="160" w:leftChars="57" w:firstLine="360" w:firstLineChars="150"/>
        <w:rPr>
          <w:rFonts w:ascii="宋体" w:hAnsi="宋体"/>
          <w:sz w:val="24"/>
        </w:rPr>
      </w:pPr>
      <w:r>
        <w:rPr>
          <w:rFonts w:hint="eastAsia" w:ascii="宋体" w:hAnsi="宋体"/>
          <w:sz w:val="24"/>
        </w:rPr>
        <w:t>乙方认为甲方指令不合理，应在收到指令后24小时内向甲方作出修改指令的书面报告，若乙方在收到指令后24小时内未答复的，视为同意执行甲方指令，其后应严格按照甲方指令予以执行。</w:t>
      </w:r>
    </w:p>
    <w:p w14:paraId="4AFDE70E">
      <w:pPr>
        <w:adjustRightInd w:val="0"/>
        <w:snapToGrid w:val="0"/>
        <w:spacing w:line="360" w:lineRule="auto"/>
        <w:rPr>
          <w:rFonts w:ascii="宋体" w:hAnsi="宋体"/>
          <w:sz w:val="24"/>
        </w:rPr>
      </w:pPr>
      <w:r>
        <w:rPr>
          <w:rFonts w:hint="eastAsia" w:ascii="宋体" w:hAnsi="宋体"/>
          <w:sz w:val="24"/>
        </w:rPr>
        <w:t>六、甲方的工作</w:t>
      </w:r>
    </w:p>
    <w:p w14:paraId="3AAB5EEE">
      <w:pPr>
        <w:adjustRightInd w:val="0"/>
        <w:snapToGrid w:val="0"/>
        <w:spacing w:line="360" w:lineRule="auto"/>
        <w:ind w:firstLine="480" w:firstLineChars="200"/>
        <w:rPr>
          <w:rFonts w:ascii="宋体" w:hAnsi="宋体"/>
          <w:sz w:val="24"/>
        </w:rPr>
      </w:pPr>
      <w:r>
        <w:rPr>
          <w:rFonts w:ascii="宋体" w:hAnsi="宋体"/>
          <w:sz w:val="24"/>
        </w:rPr>
        <w:t>1、因工作需要，甲方负责向乙方提供锅炉房内各种设备图纸、说明书、电控系统图。</w:t>
      </w:r>
    </w:p>
    <w:p w14:paraId="2309D7E2">
      <w:pPr>
        <w:adjustRightInd w:val="0"/>
        <w:snapToGrid w:val="0"/>
        <w:spacing w:line="360" w:lineRule="auto"/>
        <w:ind w:firstLine="480" w:firstLineChars="200"/>
        <w:rPr>
          <w:rFonts w:ascii="宋体" w:hAnsi="宋体"/>
          <w:sz w:val="24"/>
        </w:rPr>
      </w:pPr>
      <w:r>
        <w:rPr>
          <w:rFonts w:hint="eastAsia" w:ascii="宋体" w:hAnsi="宋体"/>
          <w:sz w:val="24"/>
        </w:rPr>
        <w:t>2、</w:t>
      </w:r>
      <w:r>
        <w:rPr>
          <w:rFonts w:ascii="宋体" w:hAnsi="宋体"/>
          <w:sz w:val="24"/>
        </w:rPr>
        <w:t>乙方派驻甲方的工作人员必须</w:t>
      </w:r>
      <w:r>
        <w:rPr>
          <w:rFonts w:hint="eastAsia" w:ascii="宋体" w:hAnsi="宋体"/>
          <w:sz w:val="24"/>
        </w:rPr>
        <w:t>在本合同签订之日起【5】日内</w:t>
      </w:r>
      <w:r>
        <w:rPr>
          <w:rFonts w:ascii="宋体" w:hAnsi="宋体"/>
          <w:sz w:val="24"/>
        </w:rPr>
        <w:t>向甲方</w:t>
      </w:r>
      <w:r>
        <w:rPr>
          <w:rFonts w:hint="eastAsia" w:ascii="宋体" w:hAnsi="宋体"/>
          <w:sz w:val="24"/>
        </w:rPr>
        <w:t>书面</w:t>
      </w:r>
      <w:r>
        <w:rPr>
          <w:rFonts w:ascii="宋体" w:hAnsi="宋体"/>
          <w:sz w:val="24"/>
        </w:rPr>
        <w:t>提供相关的资格证书和有效文件，</w:t>
      </w:r>
      <w:r>
        <w:rPr>
          <w:rFonts w:hint="eastAsia" w:ascii="宋体" w:hAnsi="宋体"/>
          <w:sz w:val="24"/>
        </w:rPr>
        <w:t>并将人员信息（姓名、年龄、住址、身份证号、联系方式、是否具备相关工作经验等）登记备案交予甲方保管。</w:t>
      </w:r>
      <w:r>
        <w:rPr>
          <w:rFonts w:ascii="宋体" w:hAnsi="宋体"/>
          <w:sz w:val="24"/>
        </w:rPr>
        <w:t>甲方有权要求乙方调换派驻甲方现场的不称职工作人员，甲方有权对乙方的日常工作进行监督检查。</w:t>
      </w:r>
    </w:p>
    <w:p w14:paraId="7425A191">
      <w:pPr>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在</w:t>
      </w:r>
      <w:r>
        <w:rPr>
          <w:rFonts w:hint="eastAsia" w:ascii="宋体" w:hAnsi="宋体"/>
          <w:sz w:val="24"/>
        </w:rPr>
        <w:t>服务期</w:t>
      </w:r>
      <w:r>
        <w:rPr>
          <w:rFonts w:ascii="宋体" w:hAnsi="宋体"/>
          <w:sz w:val="24"/>
        </w:rPr>
        <w:t>内，甲方负责</w:t>
      </w:r>
      <w:r>
        <w:rPr>
          <w:rFonts w:hint="eastAsia" w:ascii="宋体" w:hAnsi="宋体"/>
          <w:sz w:val="24"/>
        </w:rPr>
        <w:t>配合乙方</w:t>
      </w:r>
      <w:r>
        <w:rPr>
          <w:rFonts w:ascii="宋体" w:hAnsi="宋体"/>
          <w:sz w:val="24"/>
        </w:rPr>
        <w:t>做好有关方面的沟通、协调、联系工作。</w:t>
      </w:r>
    </w:p>
    <w:p w14:paraId="6B3F21D4">
      <w:pPr>
        <w:adjustRightInd w:val="0"/>
        <w:snapToGrid w:val="0"/>
        <w:spacing w:line="360" w:lineRule="auto"/>
        <w:ind w:firstLine="480" w:firstLineChars="200"/>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水、电、天然气等能耗费用及工业用盐、化验试剂等耗材费用由甲方承担。</w:t>
      </w:r>
    </w:p>
    <w:p w14:paraId="73DAC776">
      <w:pPr>
        <w:adjustRightInd w:val="0"/>
        <w:snapToGrid w:val="0"/>
        <w:spacing w:line="360" w:lineRule="auto"/>
        <w:ind w:firstLine="480" w:firstLineChars="200"/>
        <w:rPr>
          <w:rFonts w:ascii="宋体" w:hAnsi="宋体"/>
          <w:sz w:val="24"/>
        </w:rPr>
      </w:pPr>
      <w:r>
        <w:rPr>
          <w:rFonts w:hint="eastAsia" w:ascii="宋体" w:hAnsi="宋体"/>
          <w:sz w:val="24"/>
        </w:rPr>
        <w:t>5</w:t>
      </w:r>
      <w:r>
        <w:rPr>
          <w:rFonts w:ascii="宋体" w:hAnsi="宋体"/>
          <w:sz w:val="24"/>
        </w:rPr>
        <w:t>、</w:t>
      </w:r>
      <w:r>
        <w:rPr>
          <w:rFonts w:hint="eastAsia" w:ascii="宋体" w:hAnsi="宋体"/>
          <w:sz w:val="24"/>
        </w:rPr>
        <w:t>设备设施的年检、审验工作中缴纳的各项费用由甲方承担。</w:t>
      </w:r>
    </w:p>
    <w:p w14:paraId="7FB50910">
      <w:pPr>
        <w:adjustRightInd w:val="0"/>
        <w:snapToGrid w:val="0"/>
        <w:spacing w:line="360" w:lineRule="auto"/>
        <w:ind w:firstLine="480" w:firstLineChars="200"/>
        <w:rPr>
          <w:rFonts w:ascii="宋体" w:hAnsi="宋体"/>
          <w:sz w:val="24"/>
        </w:rPr>
      </w:pPr>
      <w:r>
        <w:rPr>
          <w:rFonts w:hint="eastAsia" w:ascii="宋体" w:hAnsi="宋体"/>
          <w:sz w:val="24"/>
        </w:rPr>
        <w:t>6、</w:t>
      </w:r>
      <w:r>
        <w:rPr>
          <w:rFonts w:hint="eastAsia" w:ascii="宋体" w:hAnsi="宋体" w:cs="宋体"/>
          <w:color w:val="000000"/>
          <w:sz w:val="24"/>
        </w:rPr>
        <w:t>单次单项维修保养材料费在5000.00元以内（包含5000.00元）时全部由承包方负责，超出5000.00元时则由发包人承担超出部分的费用，5000.00元的基数仍由承包人负责并自当月应付款项里扣除。但如因承包方维护不利、操作或管理不当而造成的设备设施损坏，则由承包方承担所有损失及费用。</w:t>
      </w:r>
    </w:p>
    <w:p w14:paraId="234E28D1">
      <w:pPr>
        <w:adjustRightInd w:val="0"/>
        <w:snapToGrid w:val="0"/>
        <w:spacing w:line="360" w:lineRule="auto"/>
        <w:ind w:firstLine="480" w:firstLineChars="200"/>
        <w:rPr>
          <w:rFonts w:ascii="宋体" w:hAnsi="宋体" w:cs="宋体"/>
          <w:color w:val="FF0000"/>
          <w:sz w:val="24"/>
        </w:rPr>
      </w:pPr>
      <w:r>
        <w:rPr>
          <w:rFonts w:hint="eastAsia" w:ascii="宋体" w:hAnsi="宋体" w:cs="宋体"/>
          <w:color w:val="000000"/>
          <w:sz w:val="24"/>
        </w:rPr>
        <w:t>7、不含单次单项维修费用超出1万元的大中型维修项目(因乙方维护管理不当而造成的设备维修除外)。</w:t>
      </w:r>
    </w:p>
    <w:p w14:paraId="6B54AF49">
      <w:pPr>
        <w:adjustRightInd w:val="0"/>
        <w:snapToGrid w:val="0"/>
        <w:spacing w:line="360" w:lineRule="auto"/>
        <w:rPr>
          <w:rFonts w:ascii="宋体" w:hAnsi="宋体"/>
          <w:sz w:val="24"/>
        </w:rPr>
      </w:pPr>
      <w:r>
        <w:rPr>
          <w:rFonts w:hint="eastAsia" w:ascii="宋体" w:hAnsi="宋体"/>
          <w:sz w:val="24"/>
        </w:rPr>
        <w:t>七、乙方义务</w:t>
      </w:r>
    </w:p>
    <w:p w14:paraId="3811BBD0">
      <w:pPr>
        <w:adjustRightInd w:val="0"/>
        <w:snapToGrid w:val="0"/>
        <w:spacing w:line="360" w:lineRule="auto"/>
        <w:ind w:firstLine="480" w:firstLineChars="200"/>
        <w:rPr>
          <w:rFonts w:ascii="宋体" w:hAnsi="宋体"/>
          <w:sz w:val="24"/>
        </w:rPr>
      </w:pPr>
      <w:r>
        <w:rPr>
          <w:rFonts w:ascii="宋体" w:hAnsi="宋体"/>
          <w:sz w:val="24"/>
        </w:rPr>
        <w:t>1、</w:t>
      </w:r>
      <w:r>
        <w:rPr>
          <w:rFonts w:hint="eastAsia" w:ascii="宋体" w:hAnsi="宋体"/>
          <w:sz w:val="24"/>
        </w:rPr>
        <w:t>西安市中心医院三台6T蒸汽锅炉及其辅机设备设施的操作、运行、管理、保养、维护、维修、年检、审验等服务。</w:t>
      </w:r>
    </w:p>
    <w:p w14:paraId="6F050FB1">
      <w:pPr>
        <w:adjustRightInd w:val="0"/>
        <w:snapToGrid w:val="0"/>
        <w:spacing w:line="360" w:lineRule="auto"/>
        <w:ind w:left="842" w:leftChars="192" w:hanging="304" w:hangingChars="127"/>
        <w:rPr>
          <w:rFonts w:ascii="宋体" w:hAnsi="宋体"/>
          <w:sz w:val="24"/>
        </w:rPr>
      </w:pPr>
      <w:r>
        <w:rPr>
          <w:rFonts w:hint="eastAsia" w:ascii="宋体" w:hAnsi="宋体"/>
          <w:sz w:val="24"/>
        </w:rPr>
        <w:t>2、北院家属区换热站设备设施的运行、操作、维修、维护、保养等工作。</w:t>
      </w:r>
    </w:p>
    <w:p w14:paraId="6D16A259">
      <w:pPr>
        <w:adjustRightInd w:val="0"/>
        <w:snapToGrid w:val="0"/>
        <w:spacing w:line="360" w:lineRule="auto"/>
        <w:ind w:left="842" w:leftChars="192" w:hanging="304" w:hangingChars="127"/>
        <w:rPr>
          <w:rFonts w:ascii="宋体" w:hAnsi="宋体"/>
          <w:sz w:val="24"/>
        </w:rPr>
      </w:pPr>
      <w:r>
        <w:rPr>
          <w:rFonts w:hint="eastAsia" w:ascii="宋体" w:hAnsi="宋体"/>
          <w:sz w:val="24"/>
        </w:rPr>
        <w:t>3、</w:t>
      </w:r>
      <w:r>
        <w:rPr>
          <w:rFonts w:ascii="宋体" w:hAnsi="宋体"/>
          <w:sz w:val="24"/>
        </w:rPr>
        <w:t>乙方</w:t>
      </w:r>
      <w:r>
        <w:rPr>
          <w:rFonts w:hint="eastAsia" w:ascii="宋体" w:hAnsi="宋体"/>
          <w:sz w:val="24"/>
        </w:rPr>
        <w:t>需</w:t>
      </w:r>
      <w:r>
        <w:rPr>
          <w:rFonts w:ascii="宋体" w:hAnsi="宋体"/>
          <w:sz w:val="24"/>
        </w:rPr>
        <w:t>派</w:t>
      </w:r>
      <w:r>
        <w:rPr>
          <w:rFonts w:hint="eastAsia" w:ascii="宋体" w:hAnsi="宋体"/>
          <w:sz w:val="24"/>
        </w:rPr>
        <w:t>驻</w:t>
      </w:r>
      <w:r>
        <w:rPr>
          <w:rFonts w:ascii="宋体" w:hAnsi="宋体"/>
          <w:sz w:val="24"/>
        </w:rPr>
        <w:t>专业人员对锅炉房</w:t>
      </w:r>
      <w:r>
        <w:rPr>
          <w:rFonts w:hint="eastAsia" w:ascii="宋体" w:hAnsi="宋体"/>
          <w:sz w:val="24"/>
        </w:rPr>
        <w:t>及换热站</w:t>
      </w:r>
      <w:r>
        <w:rPr>
          <w:rFonts w:ascii="宋体" w:hAnsi="宋体"/>
          <w:sz w:val="24"/>
        </w:rPr>
        <w:t>进行管理</w:t>
      </w:r>
      <w:r>
        <w:rPr>
          <w:rFonts w:hint="eastAsia" w:ascii="宋体" w:hAnsi="宋体"/>
          <w:sz w:val="24"/>
        </w:rPr>
        <w:t>。</w:t>
      </w:r>
    </w:p>
    <w:p w14:paraId="6ECCF1A3">
      <w:pPr>
        <w:adjustRightInd w:val="0"/>
        <w:snapToGrid w:val="0"/>
        <w:spacing w:line="360" w:lineRule="auto"/>
        <w:ind w:left="148" w:leftChars="53" w:firstLine="480" w:firstLineChars="200"/>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乙方</w:t>
      </w:r>
      <w:r>
        <w:rPr>
          <w:rFonts w:ascii="宋体" w:hAnsi="宋体"/>
          <w:sz w:val="24"/>
        </w:rPr>
        <w:t>员工</w:t>
      </w:r>
      <w:r>
        <w:rPr>
          <w:rFonts w:hint="eastAsia" w:ascii="宋体" w:hAnsi="宋体"/>
          <w:sz w:val="24"/>
        </w:rPr>
        <w:t>必须</w:t>
      </w:r>
      <w:r>
        <w:rPr>
          <w:rFonts w:ascii="宋体" w:hAnsi="宋体"/>
          <w:sz w:val="24"/>
        </w:rPr>
        <w:t>具备各相关工作实际操作经验，持有相关的资格证书和有效证件，必须</w:t>
      </w:r>
      <w:r>
        <w:rPr>
          <w:rFonts w:hint="eastAsia" w:ascii="宋体" w:hAnsi="宋体"/>
          <w:sz w:val="24"/>
        </w:rPr>
        <w:t>严格</w:t>
      </w:r>
      <w:r>
        <w:rPr>
          <w:rFonts w:ascii="宋体" w:hAnsi="宋体"/>
          <w:sz w:val="24"/>
        </w:rPr>
        <w:t>按照有关操作规程进行操作。</w:t>
      </w:r>
      <w:r>
        <w:rPr>
          <w:rFonts w:hint="eastAsia" w:ascii="宋体" w:hAnsi="宋体"/>
          <w:sz w:val="24"/>
        </w:rPr>
        <w:t>未经甲方书面同意，乙方不得擅自更换员工，否则甲方有权要求乙方调整并有权要求乙方支付</w:t>
      </w:r>
      <w:r>
        <w:rPr>
          <w:rFonts w:ascii="宋体" w:hAnsi="宋体" w:cs="Arial"/>
          <w:sz w:val="24"/>
        </w:rPr>
        <w:t>¥</w:t>
      </w:r>
      <w:r>
        <w:rPr>
          <w:rFonts w:hint="eastAsia" w:ascii="宋体" w:hAnsi="宋体"/>
          <w:sz w:val="24"/>
        </w:rPr>
        <w:t>1000.00元的违约金，如甲方同意更换的，乙方应将更换后的人员信息以及相关的资格证书和有效文件书面提交甲方。</w:t>
      </w:r>
    </w:p>
    <w:p w14:paraId="66A0E7D5">
      <w:pPr>
        <w:adjustRightInd w:val="0"/>
        <w:snapToGrid w:val="0"/>
        <w:spacing w:line="360" w:lineRule="auto"/>
        <w:ind w:left="148" w:leftChars="53" w:firstLine="480" w:firstLineChars="200"/>
        <w:rPr>
          <w:rFonts w:ascii="宋体" w:hAnsi="宋体"/>
          <w:sz w:val="24"/>
        </w:rPr>
      </w:pPr>
      <w:r>
        <w:rPr>
          <w:rFonts w:hint="eastAsia" w:ascii="宋体" w:hAnsi="宋体"/>
          <w:sz w:val="24"/>
        </w:rPr>
        <w:t>5</w:t>
      </w:r>
      <w:r>
        <w:rPr>
          <w:rFonts w:ascii="宋体" w:hAnsi="宋体"/>
          <w:sz w:val="24"/>
        </w:rPr>
        <w:t>、认真履行各项相应岗位职责，遵守劳动纪律，认真遵守甲乙双方指定的各种规章制度</w:t>
      </w:r>
      <w:r>
        <w:rPr>
          <w:rFonts w:hint="eastAsia" w:ascii="宋体" w:hAnsi="宋体"/>
          <w:sz w:val="24"/>
        </w:rPr>
        <w:t>，无条件接受甲方的检查、监督、考核</w:t>
      </w:r>
      <w:r>
        <w:rPr>
          <w:rFonts w:ascii="宋体" w:hAnsi="宋体"/>
          <w:sz w:val="24"/>
        </w:rPr>
        <w:t>。</w:t>
      </w:r>
    </w:p>
    <w:p w14:paraId="2017A459">
      <w:pPr>
        <w:adjustRightInd w:val="0"/>
        <w:snapToGrid w:val="0"/>
        <w:spacing w:line="360" w:lineRule="auto"/>
        <w:ind w:firstLine="600" w:firstLineChars="250"/>
        <w:rPr>
          <w:rFonts w:ascii="宋体" w:hAnsi="宋体"/>
          <w:sz w:val="24"/>
        </w:rPr>
      </w:pPr>
      <w:r>
        <w:rPr>
          <w:rFonts w:hint="eastAsia" w:ascii="宋体" w:hAnsi="宋体"/>
          <w:sz w:val="24"/>
        </w:rPr>
        <w:t>6</w:t>
      </w:r>
      <w:r>
        <w:rPr>
          <w:rFonts w:ascii="宋体" w:hAnsi="宋体"/>
          <w:sz w:val="24"/>
        </w:rPr>
        <w:t>、负责对锅炉房</w:t>
      </w:r>
      <w:r>
        <w:rPr>
          <w:rFonts w:hint="eastAsia" w:ascii="宋体" w:hAnsi="宋体"/>
          <w:sz w:val="24"/>
        </w:rPr>
        <w:t>及换热站</w:t>
      </w:r>
      <w:r>
        <w:rPr>
          <w:rFonts w:ascii="宋体" w:hAnsi="宋体"/>
          <w:sz w:val="24"/>
        </w:rPr>
        <w:t>设备的维修工作，做到锅炉房内系统无跑、冒、滴、漏等现象和设备不带病运行</w:t>
      </w:r>
      <w:r>
        <w:rPr>
          <w:rFonts w:hint="eastAsia" w:ascii="宋体" w:hAnsi="宋体"/>
          <w:sz w:val="24"/>
        </w:rPr>
        <w:t>，乙方应至少留守一人负责突发情况的处理。乙方报修电话：</w:t>
      </w:r>
      <w:r>
        <w:rPr>
          <w:rFonts w:hint="eastAsia" w:ascii="宋体" w:hAnsi="宋体"/>
          <w:sz w:val="24"/>
          <w:u w:val="single"/>
        </w:rPr>
        <w:t xml:space="preserve">      </w:t>
      </w:r>
      <w:r>
        <w:rPr>
          <w:rFonts w:hint="eastAsia" w:ascii="宋体" w:hAnsi="宋体"/>
          <w:sz w:val="24"/>
        </w:rPr>
        <w:t>，乙方应在接到报修通知后2小时内响应，并于24小时内排除故障</w:t>
      </w:r>
      <w:r>
        <w:rPr>
          <w:rFonts w:ascii="宋体" w:hAnsi="宋体"/>
          <w:sz w:val="24"/>
        </w:rPr>
        <w:t>。</w:t>
      </w:r>
    </w:p>
    <w:p w14:paraId="168FEE6D">
      <w:pPr>
        <w:adjustRightInd w:val="0"/>
        <w:snapToGrid w:val="0"/>
        <w:spacing w:line="360" w:lineRule="auto"/>
        <w:ind w:left="148" w:leftChars="53" w:firstLine="480" w:firstLineChars="200"/>
        <w:rPr>
          <w:rFonts w:ascii="宋体" w:hAnsi="宋体"/>
          <w:sz w:val="24"/>
        </w:rPr>
      </w:pPr>
      <w:r>
        <w:rPr>
          <w:rFonts w:hint="eastAsia" w:ascii="宋体" w:hAnsi="宋体"/>
          <w:sz w:val="24"/>
        </w:rPr>
        <w:t>7、</w:t>
      </w:r>
      <w:r>
        <w:rPr>
          <w:rFonts w:ascii="宋体" w:hAnsi="宋体"/>
          <w:sz w:val="24"/>
        </w:rPr>
        <w:t xml:space="preserve"> 若因乙方未按甲方供暖标准和要求供热或乙方工作人员运行、维护保养、操作不当而发生安全事故，乙方将承担全部经济损失</w:t>
      </w:r>
      <w:r>
        <w:rPr>
          <w:rFonts w:hint="eastAsia" w:ascii="宋体" w:hAnsi="宋体"/>
          <w:sz w:val="24"/>
        </w:rPr>
        <w:t>及相关责任</w:t>
      </w:r>
      <w:r>
        <w:rPr>
          <w:rFonts w:ascii="宋体" w:hAnsi="宋体"/>
          <w:sz w:val="24"/>
        </w:rPr>
        <w:t>。</w:t>
      </w:r>
    </w:p>
    <w:p w14:paraId="5FD3EDD7">
      <w:pPr>
        <w:adjustRightInd w:val="0"/>
        <w:snapToGrid w:val="0"/>
        <w:spacing w:line="360" w:lineRule="auto"/>
        <w:ind w:left="148" w:leftChars="53" w:firstLine="480" w:firstLineChars="200"/>
        <w:rPr>
          <w:rFonts w:ascii="宋体" w:hAnsi="宋体"/>
          <w:sz w:val="24"/>
        </w:rPr>
      </w:pPr>
      <w:r>
        <w:rPr>
          <w:rFonts w:hint="eastAsia" w:ascii="宋体" w:hAnsi="宋体"/>
          <w:sz w:val="24"/>
        </w:rPr>
        <w:t>8、</w:t>
      </w:r>
      <w:r>
        <w:rPr>
          <w:rFonts w:ascii="宋体" w:hAnsi="宋体"/>
          <w:sz w:val="24"/>
        </w:rPr>
        <w:t>供暖停炉一个月后，乙方负责协助进行做好锅炉</w:t>
      </w:r>
      <w:r>
        <w:rPr>
          <w:rFonts w:hint="eastAsia" w:ascii="宋体" w:hAnsi="宋体"/>
          <w:sz w:val="24"/>
        </w:rPr>
        <w:t>房和换热站设备</w:t>
      </w:r>
      <w:r>
        <w:rPr>
          <w:rFonts w:ascii="宋体" w:hAnsi="宋体"/>
          <w:sz w:val="24"/>
        </w:rPr>
        <w:t>的检修保养工作，按照每年</w:t>
      </w:r>
      <w:r>
        <w:rPr>
          <w:rFonts w:hint="eastAsia" w:ascii="宋体" w:hAnsi="宋体"/>
          <w:sz w:val="24"/>
        </w:rPr>
        <w:t>西安市</w:t>
      </w:r>
      <w:r>
        <w:rPr>
          <w:rFonts w:ascii="宋体" w:hAnsi="宋体"/>
          <w:sz w:val="24"/>
        </w:rPr>
        <w:t>技术监督局（或当地技术监督管理部门）特种设备检查所规定的检查时间，协助进行锅炉年检和</w:t>
      </w:r>
      <w:r>
        <w:rPr>
          <w:rFonts w:hint="eastAsia" w:ascii="宋体" w:hAnsi="宋体"/>
          <w:sz w:val="24"/>
        </w:rPr>
        <w:t>审验</w:t>
      </w:r>
      <w:r>
        <w:rPr>
          <w:rFonts w:ascii="宋体" w:hAnsi="宋体"/>
          <w:sz w:val="24"/>
        </w:rPr>
        <w:t>。</w:t>
      </w:r>
      <w:r>
        <w:rPr>
          <w:rFonts w:hint="eastAsia" w:ascii="宋体" w:hAnsi="宋体"/>
          <w:sz w:val="24"/>
        </w:rPr>
        <w:t>乙方应在年检和审验结束后【7】日内向甲方提供年检及审验的书面报告。</w:t>
      </w:r>
    </w:p>
    <w:p w14:paraId="31B93170">
      <w:pPr>
        <w:adjustRightInd w:val="0"/>
        <w:snapToGrid w:val="0"/>
        <w:spacing w:line="360" w:lineRule="auto"/>
        <w:ind w:left="148" w:leftChars="53" w:firstLine="480" w:firstLineChars="200"/>
        <w:rPr>
          <w:rFonts w:ascii="宋体" w:hAnsi="宋体" w:cs="宋体"/>
          <w:color w:val="000000"/>
          <w:sz w:val="24"/>
        </w:rPr>
      </w:pPr>
      <w:r>
        <w:rPr>
          <w:rFonts w:hint="eastAsia" w:ascii="宋体" w:hAnsi="宋体"/>
          <w:sz w:val="24"/>
        </w:rPr>
        <w:t>9</w:t>
      </w:r>
      <w:r>
        <w:rPr>
          <w:rFonts w:ascii="宋体" w:hAnsi="宋体"/>
          <w:sz w:val="24"/>
        </w:rPr>
        <w:t>、</w:t>
      </w:r>
      <w:r>
        <w:rPr>
          <w:rFonts w:hint="eastAsia" w:ascii="宋体" w:hAnsi="宋体" w:cs="宋体"/>
          <w:color w:val="000000"/>
          <w:sz w:val="24"/>
        </w:rPr>
        <w:t>单次单项维修保养材料费在5000.00元以内（包含5000.00元）时全部由承包方负责，超出5000.00元时则由发包人承担超出部分的费用，5000.00元的基数仍由承包人负责并自当月应付款项里扣除。但如因承包方维护不利、操作或管理不当而造成的设备设施损坏，则由承包方承担所有损失及费用。</w:t>
      </w:r>
    </w:p>
    <w:p w14:paraId="5E445140">
      <w:pPr>
        <w:adjustRightInd w:val="0"/>
        <w:snapToGrid w:val="0"/>
        <w:spacing w:line="360" w:lineRule="auto"/>
        <w:ind w:left="148" w:leftChars="53" w:firstLine="480" w:firstLineChars="200"/>
        <w:rPr>
          <w:rFonts w:ascii="宋体" w:hAnsi="宋体"/>
          <w:sz w:val="24"/>
        </w:rPr>
      </w:pPr>
      <w:r>
        <w:rPr>
          <w:rFonts w:hint="eastAsia" w:ascii="宋体" w:hAnsi="宋体" w:cs="宋体"/>
          <w:color w:val="000000"/>
          <w:sz w:val="24"/>
        </w:rPr>
        <w:t>10、不含单次单项维修费用超出1万元的大中型维修项目(因乙方维护管理不当而造成的设备维修除外)。</w:t>
      </w:r>
    </w:p>
    <w:p w14:paraId="280D68F6">
      <w:pPr>
        <w:adjustRightInd w:val="0"/>
        <w:snapToGrid w:val="0"/>
        <w:spacing w:line="360" w:lineRule="auto"/>
        <w:ind w:left="148" w:leftChars="53" w:firstLine="480" w:firstLineChars="200"/>
        <w:rPr>
          <w:rFonts w:ascii="宋体" w:hAnsi="宋体"/>
          <w:sz w:val="24"/>
        </w:rPr>
      </w:pPr>
      <w:r>
        <w:rPr>
          <w:rFonts w:hint="eastAsia" w:ascii="宋体" w:hAnsi="宋体"/>
          <w:sz w:val="24"/>
        </w:rPr>
        <w:t>11</w:t>
      </w:r>
      <w:r>
        <w:rPr>
          <w:rFonts w:ascii="宋体" w:hAnsi="宋体"/>
          <w:sz w:val="24"/>
        </w:rPr>
        <w:t>、乙方负责锅炉房</w:t>
      </w:r>
      <w:r>
        <w:rPr>
          <w:rFonts w:hint="eastAsia" w:ascii="宋体" w:hAnsi="宋体"/>
          <w:sz w:val="24"/>
        </w:rPr>
        <w:t>及换热站</w:t>
      </w:r>
      <w:r>
        <w:rPr>
          <w:rFonts w:ascii="宋体" w:hAnsi="宋体"/>
          <w:sz w:val="24"/>
        </w:rPr>
        <w:t>日常管理、并负责乙方管理人员、技术人员、司炉人员、化验员等的工资、奖金、</w:t>
      </w:r>
      <w:r>
        <w:rPr>
          <w:rFonts w:hint="eastAsia" w:ascii="宋体" w:hAnsi="宋体"/>
          <w:sz w:val="24"/>
        </w:rPr>
        <w:t>社保、</w:t>
      </w:r>
      <w:r>
        <w:rPr>
          <w:rFonts w:ascii="宋体" w:hAnsi="宋体"/>
          <w:sz w:val="24"/>
        </w:rPr>
        <w:t>福利及劳保等</w:t>
      </w:r>
      <w:r>
        <w:rPr>
          <w:rFonts w:hint="eastAsia" w:ascii="宋体" w:hAnsi="宋体"/>
          <w:sz w:val="24"/>
        </w:rPr>
        <w:t>，因用工问题产生的全部劳动争议或人事争议等均由乙方负责处理，由此产生的相关法律责任均由乙方承担，与甲方无关</w:t>
      </w:r>
      <w:r>
        <w:rPr>
          <w:rFonts w:ascii="宋体" w:hAnsi="宋体"/>
          <w:sz w:val="24"/>
        </w:rPr>
        <w:t>。</w:t>
      </w:r>
    </w:p>
    <w:p w14:paraId="1985F34E">
      <w:pPr>
        <w:adjustRightInd w:val="0"/>
        <w:snapToGrid w:val="0"/>
        <w:spacing w:line="360" w:lineRule="auto"/>
        <w:ind w:firstLine="480" w:firstLineChars="200"/>
        <w:rPr>
          <w:rFonts w:ascii="宋体" w:hAnsi="宋体"/>
          <w:sz w:val="24"/>
        </w:rPr>
      </w:pPr>
      <w:r>
        <w:rPr>
          <w:rFonts w:hint="eastAsia" w:ascii="宋体" w:hAnsi="宋体"/>
          <w:sz w:val="24"/>
        </w:rPr>
        <w:t>12、除上述约定外，乙方的其他合同义务以竞争性磋商文件/招标文件及乙方响应文件为准。</w:t>
      </w:r>
    </w:p>
    <w:p w14:paraId="70EFBCF5">
      <w:pPr>
        <w:adjustRightInd w:val="0"/>
        <w:snapToGrid w:val="0"/>
        <w:spacing w:line="360" w:lineRule="auto"/>
        <w:rPr>
          <w:rFonts w:ascii="宋体" w:hAnsi="宋体"/>
          <w:sz w:val="24"/>
        </w:rPr>
      </w:pPr>
      <w:r>
        <w:rPr>
          <w:rFonts w:hint="eastAsia" w:ascii="宋体" w:hAnsi="宋体"/>
          <w:b/>
          <w:sz w:val="24"/>
        </w:rPr>
        <w:t>八、</w:t>
      </w:r>
      <w:r>
        <w:rPr>
          <w:rFonts w:hint="eastAsia" w:ascii="宋体" w:hAnsi="宋体"/>
          <w:sz w:val="24"/>
        </w:rPr>
        <w:t>安全保障</w:t>
      </w:r>
    </w:p>
    <w:p w14:paraId="7E45864D">
      <w:pPr>
        <w:adjustRightInd w:val="0"/>
        <w:snapToGrid w:val="0"/>
        <w:spacing w:line="360" w:lineRule="auto"/>
        <w:ind w:left="375" w:leftChars="134"/>
        <w:rPr>
          <w:rFonts w:ascii="宋体" w:hAnsi="宋体"/>
          <w:sz w:val="24"/>
        </w:rPr>
      </w:pPr>
      <w:r>
        <w:rPr>
          <w:rFonts w:hint="eastAsia" w:ascii="宋体" w:hAnsi="宋体"/>
          <w:sz w:val="24"/>
        </w:rPr>
        <w:t>1、乙方应严格按安全标准进行操作，并随时接受甲方和行业安全检查人员的监督检查。</w:t>
      </w:r>
    </w:p>
    <w:p w14:paraId="6706F04F">
      <w:pPr>
        <w:adjustRightInd w:val="0"/>
        <w:snapToGrid w:val="0"/>
        <w:spacing w:line="360" w:lineRule="auto"/>
        <w:ind w:left="375" w:leftChars="134"/>
        <w:rPr>
          <w:rFonts w:ascii="宋体" w:hAnsi="宋体"/>
          <w:sz w:val="24"/>
        </w:rPr>
      </w:pPr>
      <w:r>
        <w:rPr>
          <w:rFonts w:hint="eastAsia" w:ascii="宋体" w:hAnsi="宋体"/>
          <w:sz w:val="24"/>
        </w:rPr>
        <w:t>2、若因履行本合同而对甲方、甲乙双方工作人员及其他任何第三人造成的人身损害及财产损失均由乙方承担，与甲方无关，甲方若因此遭受损失的，乙方应予赔偿。</w:t>
      </w:r>
    </w:p>
    <w:p w14:paraId="4E26D675">
      <w:pPr>
        <w:adjustRightInd w:val="0"/>
        <w:snapToGrid w:val="0"/>
        <w:spacing w:line="360" w:lineRule="auto"/>
        <w:ind w:left="378" w:leftChars="135" w:firstLine="480" w:firstLineChars="200"/>
        <w:rPr>
          <w:rFonts w:ascii="宋体" w:hAnsi="宋体"/>
          <w:sz w:val="24"/>
        </w:rPr>
      </w:pPr>
      <w:r>
        <w:rPr>
          <w:rFonts w:hint="eastAsia" w:ascii="宋体" w:hAnsi="宋体"/>
          <w:sz w:val="24"/>
        </w:rPr>
        <w:t>3、乙方按有关规定采取严格的安全防护措施，承担由于乙方安全措施不力造成人员伤亡事故的责任和因此发生的费用。</w:t>
      </w:r>
    </w:p>
    <w:p w14:paraId="2C1FBE1B">
      <w:pPr>
        <w:adjustRightInd w:val="0"/>
        <w:snapToGrid w:val="0"/>
        <w:spacing w:line="360" w:lineRule="auto"/>
        <w:rPr>
          <w:rFonts w:ascii="宋体" w:hAnsi="宋体"/>
          <w:sz w:val="24"/>
        </w:rPr>
      </w:pPr>
      <w:r>
        <w:rPr>
          <w:rFonts w:hint="eastAsia" w:ascii="宋体" w:hAnsi="宋体"/>
          <w:b/>
          <w:sz w:val="24"/>
        </w:rPr>
        <w:t>九、</w:t>
      </w:r>
      <w:r>
        <w:rPr>
          <w:rFonts w:hint="eastAsia" w:ascii="宋体" w:hAnsi="宋体"/>
          <w:sz w:val="24"/>
        </w:rPr>
        <w:t>不可抗力</w:t>
      </w:r>
    </w:p>
    <w:p w14:paraId="4002EDC3">
      <w:pPr>
        <w:adjustRightInd w:val="0"/>
        <w:snapToGrid w:val="0"/>
        <w:spacing w:line="360" w:lineRule="auto"/>
        <w:ind w:left="378" w:leftChars="135" w:firstLine="120" w:firstLineChars="50"/>
        <w:rPr>
          <w:rFonts w:ascii="宋体" w:hAnsi="宋体"/>
          <w:sz w:val="24"/>
        </w:rPr>
      </w:pPr>
      <w:r>
        <w:rPr>
          <w:rFonts w:hint="eastAsia" w:ascii="宋体" w:hAnsi="宋体"/>
          <w:sz w:val="24"/>
        </w:rPr>
        <w:t>1、若出现不可抗力事件，乙方应在力所能及的条件下迅速采取措施，尽力减少损失。</w:t>
      </w:r>
    </w:p>
    <w:p w14:paraId="7DA2995E">
      <w:pPr>
        <w:adjustRightInd w:val="0"/>
        <w:snapToGrid w:val="0"/>
        <w:spacing w:line="360" w:lineRule="auto"/>
        <w:ind w:left="378" w:leftChars="135" w:firstLine="120" w:firstLineChars="50"/>
        <w:rPr>
          <w:rFonts w:ascii="宋体" w:hAnsi="宋体"/>
          <w:sz w:val="24"/>
        </w:rPr>
      </w:pPr>
      <w:r>
        <w:rPr>
          <w:rFonts w:hint="eastAsia" w:ascii="宋体" w:hAnsi="宋体"/>
          <w:sz w:val="24"/>
        </w:rPr>
        <w:t>2、因不可抗力事件导致的费用及延误工期由双方按以下方法分别承担：</w:t>
      </w:r>
    </w:p>
    <w:p w14:paraId="4063851E">
      <w:pPr>
        <w:adjustRightInd w:val="0"/>
        <w:snapToGrid w:val="0"/>
        <w:spacing w:line="360" w:lineRule="auto"/>
        <w:ind w:left="378" w:leftChars="135"/>
        <w:rPr>
          <w:rFonts w:ascii="宋体" w:hAnsi="宋体"/>
          <w:sz w:val="24"/>
        </w:rPr>
      </w:pPr>
      <w:r>
        <w:rPr>
          <w:rFonts w:hint="eastAsia" w:ascii="宋体" w:hAnsi="宋体"/>
          <w:sz w:val="24"/>
        </w:rPr>
        <w:t>（1）人员伤亡由各自单位负责，并各自承担相应费用。</w:t>
      </w:r>
    </w:p>
    <w:p w14:paraId="1CCB038A">
      <w:pPr>
        <w:adjustRightInd w:val="0"/>
        <w:snapToGrid w:val="0"/>
        <w:spacing w:line="360" w:lineRule="auto"/>
        <w:ind w:left="378" w:leftChars="135"/>
        <w:rPr>
          <w:rFonts w:ascii="宋体" w:hAnsi="宋体"/>
          <w:sz w:val="24"/>
        </w:rPr>
      </w:pPr>
      <w:r>
        <w:rPr>
          <w:rFonts w:hint="eastAsia" w:ascii="宋体" w:hAnsi="宋体"/>
          <w:sz w:val="24"/>
        </w:rPr>
        <w:t>（2）机械设备损坏及停工损失，由乙方负责。</w:t>
      </w:r>
    </w:p>
    <w:p w14:paraId="468BBF8B">
      <w:pPr>
        <w:adjustRightInd w:val="0"/>
        <w:snapToGrid w:val="0"/>
        <w:spacing w:line="360" w:lineRule="auto"/>
        <w:ind w:left="378" w:leftChars="135"/>
        <w:rPr>
          <w:rFonts w:ascii="宋体" w:hAnsi="宋体"/>
          <w:sz w:val="24"/>
        </w:rPr>
      </w:pPr>
      <w:r>
        <w:rPr>
          <w:rFonts w:hint="eastAsia" w:ascii="宋体" w:hAnsi="宋体"/>
          <w:sz w:val="24"/>
        </w:rPr>
        <w:t>（3）所需清理、修复费用，由乙方负责。</w:t>
      </w:r>
    </w:p>
    <w:p w14:paraId="213C86A3">
      <w:pPr>
        <w:numPr>
          <w:ilvl w:val="0"/>
          <w:numId w:val="2"/>
        </w:numPr>
        <w:adjustRightInd w:val="0"/>
        <w:snapToGrid w:val="0"/>
        <w:spacing w:line="360" w:lineRule="auto"/>
        <w:rPr>
          <w:rFonts w:ascii="宋体" w:hAnsi="宋体"/>
          <w:sz w:val="24"/>
        </w:rPr>
      </w:pPr>
      <w:r>
        <w:rPr>
          <w:rFonts w:hint="eastAsia" w:ascii="宋体" w:hAnsi="宋体"/>
          <w:sz w:val="24"/>
        </w:rPr>
        <w:t>延误工期相应顺延。</w:t>
      </w:r>
    </w:p>
    <w:p w14:paraId="048D37CE">
      <w:pPr>
        <w:adjustRightInd w:val="0"/>
        <w:snapToGrid w:val="0"/>
        <w:spacing w:line="360" w:lineRule="auto"/>
        <w:rPr>
          <w:rFonts w:ascii="宋体" w:hAnsi="宋体"/>
          <w:sz w:val="24"/>
        </w:rPr>
      </w:pPr>
      <w:r>
        <w:rPr>
          <w:rFonts w:hint="eastAsia" w:ascii="宋体" w:hAnsi="宋体"/>
          <w:b/>
          <w:sz w:val="24"/>
        </w:rPr>
        <w:t>十、</w:t>
      </w:r>
      <w:r>
        <w:rPr>
          <w:rFonts w:hint="eastAsia" w:ascii="宋体" w:hAnsi="宋体"/>
          <w:sz w:val="24"/>
        </w:rPr>
        <w:t>争议</w:t>
      </w:r>
    </w:p>
    <w:p w14:paraId="70EA89B8">
      <w:pPr>
        <w:adjustRightInd w:val="0"/>
        <w:snapToGrid w:val="0"/>
        <w:spacing w:line="360" w:lineRule="auto"/>
        <w:ind w:firstLine="480" w:firstLineChars="200"/>
        <w:rPr>
          <w:rFonts w:ascii="宋体" w:hAnsi="宋体"/>
          <w:sz w:val="24"/>
        </w:rPr>
      </w:pPr>
      <w:r>
        <w:rPr>
          <w:rFonts w:hint="eastAsia" w:ascii="宋体" w:hAnsi="宋体"/>
          <w:sz w:val="24"/>
        </w:rPr>
        <w:t>1、甲乙双方在履行合同时发生争议，双方应友好协商，协商不一致时，双方可向甲方所在地人民法院起诉。</w:t>
      </w:r>
    </w:p>
    <w:p w14:paraId="55A61120">
      <w:pPr>
        <w:adjustRightInd w:val="0"/>
        <w:snapToGrid w:val="0"/>
        <w:spacing w:line="360" w:lineRule="auto"/>
        <w:ind w:firstLine="480" w:firstLineChars="200"/>
        <w:rPr>
          <w:rFonts w:ascii="宋体" w:hAnsi="宋体"/>
          <w:sz w:val="24"/>
        </w:rPr>
      </w:pPr>
      <w:r>
        <w:rPr>
          <w:rFonts w:hint="eastAsia" w:ascii="宋体" w:hAnsi="宋体"/>
          <w:sz w:val="24"/>
        </w:rPr>
        <w:t>2、无争议的部分，双方都应继续履行合同，保持施工连续。</w:t>
      </w:r>
    </w:p>
    <w:p w14:paraId="5277F89C">
      <w:pPr>
        <w:adjustRightInd w:val="0"/>
        <w:snapToGrid w:val="0"/>
        <w:spacing w:line="360" w:lineRule="auto"/>
        <w:rPr>
          <w:rFonts w:ascii="宋体" w:hAnsi="宋体"/>
          <w:sz w:val="24"/>
        </w:rPr>
      </w:pPr>
      <w:r>
        <w:rPr>
          <w:rFonts w:hint="eastAsia" w:ascii="宋体" w:hAnsi="宋体"/>
          <w:b/>
          <w:sz w:val="24"/>
        </w:rPr>
        <w:t>十一、</w:t>
      </w:r>
      <w:r>
        <w:rPr>
          <w:rFonts w:hint="eastAsia" w:ascii="宋体" w:hAnsi="宋体"/>
          <w:sz w:val="24"/>
        </w:rPr>
        <w:t>违约责任</w:t>
      </w:r>
    </w:p>
    <w:p w14:paraId="64C7117E">
      <w:pPr>
        <w:numPr>
          <w:ilvl w:val="0"/>
          <w:numId w:val="3"/>
        </w:numPr>
        <w:tabs>
          <w:tab w:val="left" w:pos="851"/>
          <w:tab w:val="clear" w:pos="480"/>
        </w:tabs>
        <w:adjustRightInd w:val="0"/>
        <w:snapToGrid w:val="0"/>
        <w:spacing w:line="360" w:lineRule="auto"/>
        <w:rPr>
          <w:rFonts w:ascii="宋体" w:hAnsi="宋体"/>
          <w:sz w:val="24"/>
        </w:rPr>
      </w:pPr>
      <w:r>
        <w:rPr>
          <w:rFonts w:hint="eastAsia" w:ascii="宋体" w:hAnsi="宋体"/>
          <w:sz w:val="24"/>
        </w:rPr>
        <w:t>按《政府采购法》、《民法典》中的相关条款执行。</w:t>
      </w:r>
    </w:p>
    <w:p w14:paraId="0ADBCA88">
      <w:pPr>
        <w:tabs>
          <w:tab w:val="left" w:pos="851"/>
          <w:tab w:val="clear" w:pos="480"/>
        </w:tabs>
        <w:adjustRightInd w:val="0"/>
        <w:snapToGrid w:val="0"/>
        <w:spacing w:line="360" w:lineRule="auto"/>
        <w:ind w:firstLine="480" w:firstLineChars="200"/>
        <w:rPr>
          <w:rFonts w:ascii="宋体" w:hAnsi="宋体"/>
          <w:sz w:val="24"/>
        </w:rPr>
      </w:pPr>
      <w:r>
        <w:rPr>
          <w:rFonts w:hint="eastAsia" w:ascii="宋体" w:hAnsi="宋体"/>
          <w:sz w:val="24"/>
        </w:rPr>
        <w:t>2、若乙方未按甲方要求及合同约定供暖的，每出现一次应按合同总价的1‰向甲方支付违约金，累计超过3次/月或5次/年的，甲方有权单方解除合同，并要求乙方按本合同第十一条第3款承担根本违约责任。</w:t>
      </w:r>
    </w:p>
    <w:p w14:paraId="6074ED50">
      <w:pPr>
        <w:adjustRightInd w:val="0"/>
        <w:snapToGrid w:val="0"/>
        <w:spacing w:line="360" w:lineRule="auto"/>
        <w:rPr>
          <w:rFonts w:ascii="宋体" w:hAnsi="宋体"/>
          <w:sz w:val="24"/>
        </w:rPr>
      </w:pPr>
      <w:r>
        <w:rPr>
          <w:rFonts w:hint="eastAsia" w:ascii="宋体" w:hAnsi="宋体"/>
          <w:sz w:val="24"/>
        </w:rPr>
        <w:t xml:space="preserve">    3、若乙方未按合同要求提供服务或提供服务质量不能满足本合同或甲方竞争性磋商文件及乙方响应文件约定的，乙方必须无条件更换，提高技术，完善质量，否则，甲方有权单方解除合同，解除合同书面通知书送达乙方之日视为合同已解除，并按以下两种方式追究乙方的违约责任：</w:t>
      </w:r>
    </w:p>
    <w:p w14:paraId="37C36871">
      <w:pPr>
        <w:adjustRightInd w:val="0"/>
        <w:snapToGrid w:val="0"/>
        <w:spacing w:line="360" w:lineRule="auto"/>
        <w:rPr>
          <w:rFonts w:ascii="宋体" w:hAnsi="宋体"/>
          <w:sz w:val="24"/>
        </w:rPr>
      </w:pPr>
      <w:r>
        <w:rPr>
          <w:rFonts w:hint="eastAsia" w:ascii="宋体" w:hAnsi="宋体"/>
          <w:sz w:val="24"/>
        </w:rPr>
        <w:t xml:space="preserve">   （1）乙方赔偿甲方解除合同的全部损失（包括但不限于重新采购产生的费用以及其它由此造成的甲方对第三方的违约损失等）；</w:t>
      </w:r>
    </w:p>
    <w:p w14:paraId="7E4BC7D8">
      <w:pPr>
        <w:tabs>
          <w:tab w:val="left" w:pos="420"/>
          <w:tab w:val="left" w:pos="630"/>
          <w:tab w:val="clear" w:pos="480"/>
        </w:tabs>
        <w:adjustRightInd w:val="0"/>
        <w:snapToGrid w:val="0"/>
        <w:spacing w:line="420" w:lineRule="auto"/>
        <w:ind w:firstLine="360" w:firstLineChars="150"/>
        <w:rPr>
          <w:rFonts w:ascii="宋体" w:hAnsi="宋体"/>
          <w:sz w:val="24"/>
        </w:rPr>
      </w:pPr>
      <w:r>
        <w:rPr>
          <w:rFonts w:hint="eastAsia" w:ascii="宋体" w:hAnsi="宋体"/>
          <w:sz w:val="24"/>
        </w:rPr>
        <w:t>（2）乙方支付甲方违约金，违约金计算方法：以合同总价为基数，支付甲方合同总价的30%为违约金。同时，对乙方的违约行为报监管机构进行相应的处罚。</w:t>
      </w:r>
      <w:r>
        <w:rPr>
          <w:rFonts w:ascii="宋体" w:hAnsi="宋体"/>
          <w:sz w:val="24"/>
        </w:rPr>
        <w:tab/>
      </w:r>
    </w:p>
    <w:p w14:paraId="2FF0F3C4">
      <w:pPr>
        <w:adjustRightInd w:val="0"/>
        <w:snapToGrid w:val="0"/>
        <w:spacing w:line="420" w:lineRule="auto"/>
        <w:ind w:firstLine="480" w:firstLineChars="200"/>
        <w:rPr>
          <w:rFonts w:ascii="宋体" w:hAnsi="宋体" w:cs="宋体"/>
          <w:sz w:val="24"/>
        </w:rPr>
      </w:pPr>
      <w:r>
        <w:rPr>
          <w:rFonts w:hint="eastAsia" w:ascii="宋体" w:hAnsi="宋体" w:cs="宋体"/>
          <w:sz w:val="24"/>
        </w:rPr>
        <w:t>4、若乙方未按照本合同第七条第6款约定的时间响应并排除故障的，每超过一天，扣除乙方合同总价款的5 ‰作为违约金，单次逾期累计超过【2】日或合同履行期内前述情形累计达到【 】次的，视为乙方根本违约，甲方有权单方解除合同，解除合同书面通知书到达乙方之日视为合同已解除，并要求乙方按本条第3款之约定承担根本违约责任。</w:t>
      </w:r>
    </w:p>
    <w:p w14:paraId="1106BE91">
      <w:pPr>
        <w:adjustRightInd w:val="0"/>
        <w:snapToGrid w:val="0"/>
        <w:spacing w:line="420" w:lineRule="auto"/>
        <w:ind w:firstLine="480" w:firstLineChars="200"/>
        <w:rPr>
          <w:rFonts w:ascii="宋体" w:hAnsi="宋体"/>
          <w:sz w:val="24"/>
        </w:rPr>
      </w:pPr>
      <w:r>
        <w:rPr>
          <w:rFonts w:hint="eastAsia" w:ascii="宋体" w:hAnsi="宋体" w:cs="宋体"/>
          <w:sz w:val="24"/>
        </w:rPr>
        <w:t>5、</w:t>
      </w:r>
      <w:r>
        <w:rPr>
          <w:rFonts w:hint="eastAsia" w:ascii="宋体" w:hAnsi="宋体"/>
          <w:sz w:val="24"/>
        </w:rPr>
        <w:t>由于乙方技术或其他原因造成甲方设备原有故障之外的其他故障或配件损坏，乙方负责免费修复或更换配件，无法修复的，乙方应赔偿由此给甲方造成的全部损失。乙方服务期间维修、维保所用的器材及材料不符合相关质量标准的，乙方必须在【2】日内无条件免费更换，规定期限内拒绝更换或更换</w:t>
      </w:r>
      <w:r>
        <w:rPr>
          <w:rFonts w:ascii="宋体" w:hAnsi="宋体"/>
          <w:sz w:val="24"/>
        </w:rPr>
        <w:t>2</w:t>
      </w:r>
      <w:r>
        <w:rPr>
          <w:rFonts w:hint="eastAsia" w:ascii="宋体" w:hAnsi="宋体"/>
          <w:sz w:val="24"/>
        </w:rPr>
        <w:t>次后仍不符合质量要求的，甲方有权单方解除本合同并有权要求乙方按照本条第3款的规定承担根本违约责任。</w:t>
      </w:r>
    </w:p>
    <w:p w14:paraId="51AB580A">
      <w:pPr>
        <w:adjustRightInd w:val="0"/>
        <w:snapToGrid w:val="0"/>
        <w:spacing w:line="420" w:lineRule="auto"/>
        <w:ind w:firstLine="480" w:firstLineChars="200"/>
        <w:rPr>
          <w:rFonts w:ascii="宋体" w:hAnsi="宋体"/>
          <w:sz w:val="24"/>
        </w:rPr>
      </w:pPr>
      <w:r>
        <w:rPr>
          <w:rFonts w:hint="eastAsia" w:ascii="宋体" w:hAnsi="宋体"/>
          <w:sz w:val="24"/>
        </w:rPr>
        <w:t>6、在合同期限内，乙方不得擅自转包、分包本合同项下的合同义务，否则甲方有权单方解除本合同并有权要求乙方按照本条第3款的规定承担根本违约责任。</w:t>
      </w:r>
    </w:p>
    <w:p w14:paraId="7277EE0B">
      <w:pPr>
        <w:pStyle w:val="2"/>
        <w:adjustRightInd w:val="0"/>
        <w:snapToGrid w:val="0"/>
        <w:spacing w:line="420" w:lineRule="auto"/>
        <w:ind w:left="0" w:leftChars="0" w:firstLine="540" w:firstLineChars="225"/>
        <w:rPr>
          <w:rFonts w:ascii="宋体" w:hAnsi="宋体"/>
          <w:sz w:val="24"/>
        </w:rPr>
      </w:pPr>
      <w:r>
        <w:rPr>
          <w:rFonts w:hint="eastAsia" w:ascii="宋体" w:hAnsi="宋体"/>
          <w:sz w:val="24"/>
        </w:rPr>
        <w:t>7、对于本合同项下约定的需乙方支付的任何费用及合同违约金，甲方均有权利从应支付合同款项中直接扣除。</w:t>
      </w:r>
    </w:p>
    <w:p w14:paraId="6F95CDEF">
      <w:pPr>
        <w:adjustRightInd w:val="0"/>
        <w:snapToGrid w:val="0"/>
        <w:spacing w:line="420" w:lineRule="auto"/>
        <w:rPr>
          <w:rFonts w:ascii="宋体" w:hAnsi="宋体"/>
          <w:sz w:val="24"/>
        </w:rPr>
      </w:pPr>
      <w:r>
        <w:rPr>
          <w:rFonts w:hint="eastAsia" w:ascii="宋体" w:hAnsi="宋体"/>
          <w:b/>
          <w:sz w:val="24"/>
        </w:rPr>
        <w:t>十二、</w:t>
      </w:r>
      <w:r>
        <w:rPr>
          <w:rFonts w:hint="eastAsia" w:ascii="宋体" w:hAnsi="宋体"/>
          <w:sz w:val="24"/>
        </w:rPr>
        <w:t>双方特别做出以下确认</w:t>
      </w:r>
    </w:p>
    <w:p w14:paraId="2560D872">
      <w:pPr>
        <w:adjustRightInd w:val="0"/>
        <w:snapToGrid w:val="0"/>
        <w:spacing w:line="420" w:lineRule="auto"/>
        <w:ind w:left="375" w:leftChars="134" w:firstLine="240" w:firstLineChars="100"/>
        <w:rPr>
          <w:rFonts w:ascii="宋体" w:hAnsi="宋体"/>
          <w:sz w:val="24"/>
        </w:rPr>
      </w:pPr>
      <w:r>
        <w:rPr>
          <w:rFonts w:hint="eastAsia" w:ascii="宋体" w:hAnsi="宋体"/>
          <w:sz w:val="24"/>
        </w:rPr>
        <w:t>1、双方已经仔细审阅本合同的内容，并完全了解本合同条款的法律含义。</w:t>
      </w:r>
    </w:p>
    <w:p w14:paraId="2CD6AA5D">
      <w:pPr>
        <w:adjustRightInd w:val="0"/>
        <w:snapToGrid w:val="0"/>
        <w:spacing w:line="420" w:lineRule="auto"/>
        <w:ind w:firstLine="480" w:firstLineChars="200"/>
        <w:rPr>
          <w:rFonts w:ascii="宋体" w:hAnsi="宋体"/>
          <w:sz w:val="24"/>
        </w:rPr>
      </w:pPr>
      <w:r>
        <w:rPr>
          <w:rFonts w:hint="eastAsia" w:ascii="宋体" w:hAnsi="宋体"/>
          <w:sz w:val="24"/>
        </w:rPr>
        <w:t>2、双方确认，本合同是双方在自愿、平等、互利、公平、公正，协商一致的基础上达成的共识，双方对本合同中的所有条款均无任何异议。</w:t>
      </w:r>
    </w:p>
    <w:p w14:paraId="5158F3EF">
      <w:pPr>
        <w:adjustRightInd w:val="0"/>
        <w:snapToGrid w:val="0"/>
        <w:spacing w:line="420" w:lineRule="auto"/>
        <w:ind w:left="375" w:leftChars="134" w:firstLine="240" w:firstLineChars="100"/>
        <w:rPr>
          <w:rFonts w:ascii="宋体" w:hAnsi="宋体"/>
          <w:sz w:val="24"/>
        </w:rPr>
      </w:pPr>
      <w:r>
        <w:rPr>
          <w:rFonts w:hint="eastAsia" w:ascii="宋体" w:hAnsi="宋体"/>
          <w:sz w:val="24"/>
        </w:rPr>
        <w:t>3、本合同自双方盖章签字之日生效。</w:t>
      </w:r>
    </w:p>
    <w:p w14:paraId="5FBCD856">
      <w:pPr>
        <w:adjustRightInd w:val="0"/>
        <w:snapToGrid w:val="0"/>
        <w:spacing w:line="420" w:lineRule="auto"/>
        <w:ind w:firstLine="480" w:firstLineChars="200"/>
        <w:rPr>
          <w:rFonts w:ascii="宋体" w:hAnsi="宋体"/>
          <w:sz w:val="24"/>
        </w:rPr>
      </w:pPr>
      <w:r>
        <w:rPr>
          <w:rFonts w:hint="eastAsia" w:ascii="宋体" w:hAnsi="宋体"/>
          <w:sz w:val="24"/>
        </w:rPr>
        <w:t>4、竞争性磋商文件、响应文件、澄清表（函）、中标通知书均成为合同不可分割的部分，与本合同具有同等法律效力。</w:t>
      </w:r>
    </w:p>
    <w:p w14:paraId="150F978F">
      <w:pPr>
        <w:adjustRightInd w:val="0"/>
        <w:snapToGrid w:val="0"/>
        <w:spacing w:line="420" w:lineRule="auto"/>
        <w:ind w:firstLine="480" w:firstLineChars="200"/>
        <w:rPr>
          <w:rFonts w:ascii="宋体" w:hAnsi="宋体"/>
          <w:sz w:val="24"/>
        </w:rPr>
      </w:pPr>
      <w:r>
        <w:rPr>
          <w:rFonts w:hint="eastAsia" w:ascii="宋体" w:hAnsi="宋体"/>
          <w:sz w:val="24"/>
        </w:rPr>
        <w:t>5、合同未尽事宜，由甲、乙双方协商，经见证方确认后，签订补充协议，与原合同具有同等法律效力。</w:t>
      </w:r>
    </w:p>
    <w:p w14:paraId="1482A6D2">
      <w:pPr>
        <w:adjustRightInd w:val="0"/>
        <w:snapToGrid w:val="0"/>
        <w:spacing w:line="420" w:lineRule="auto"/>
        <w:ind w:firstLine="480" w:firstLineChars="200"/>
        <w:rPr>
          <w:rFonts w:ascii="宋体" w:hAnsi="宋体"/>
          <w:sz w:val="24"/>
        </w:rPr>
      </w:pPr>
      <w:r>
        <w:rPr>
          <w:rFonts w:hint="eastAsia" w:ascii="宋体" w:hAnsi="宋体"/>
          <w:sz w:val="24"/>
        </w:rPr>
        <w:t>6、</w:t>
      </w:r>
      <w:r>
        <w:rPr>
          <w:rFonts w:hint="eastAsia" w:ascii="宋体" w:hAnsi="宋体" w:cs="宋体"/>
          <w:sz w:val="24"/>
        </w:rPr>
        <w:t>本合同一式陆份，甲方执叁份，乙方执叁份，</w:t>
      </w:r>
      <w:r>
        <w:rPr>
          <w:rFonts w:hint="eastAsia" w:ascii="宋体" w:hAnsi="宋体"/>
          <w:sz w:val="24"/>
        </w:rPr>
        <w:t>各份具有同等法律效力。</w:t>
      </w:r>
    </w:p>
    <w:p w14:paraId="06AC27DA">
      <w:pPr>
        <w:adjustRightInd w:val="0"/>
        <w:snapToGrid w:val="0"/>
        <w:spacing w:line="420" w:lineRule="auto"/>
        <w:ind w:firstLine="360" w:firstLineChars="150"/>
        <w:rPr>
          <w:rFonts w:ascii="宋体" w:hAnsi="宋体"/>
          <w:sz w:val="24"/>
        </w:rPr>
      </w:pPr>
      <w:r>
        <w:rPr>
          <w:rFonts w:hint="eastAsia" w:ascii="宋体" w:hAnsi="宋体"/>
          <w:sz w:val="24"/>
        </w:rPr>
        <w:t>7、供应商规模：</w:t>
      </w:r>
      <w:r>
        <w:rPr>
          <w:rFonts w:hint="eastAsia" w:ascii="宋体" w:hAnsi="宋体"/>
          <w:sz w:val="24"/>
          <w:u w:val="single"/>
        </w:rPr>
        <w:t xml:space="preserve">         </w:t>
      </w:r>
    </w:p>
    <w:p w14:paraId="724ED1D7">
      <w:pPr>
        <w:adjustRightInd w:val="0"/>
        <w:snapToGrid w:val="0"/>
        <w:spacing w:line="360" w:lineRule="auto"/>
        <w:ind w:firstLine="360" w:firstLineChars="150"/>
        <w:rPr>
          <w:rFonts w:ascii="宋体" w:hAnsi="宋体"/>
          <w:sz w:val="24"/>
          <w:u w:val="single"/>
        </w:rPr>
      </w:pPr>
      <w:r>
        <w:rPr>
          <w:rFonts w:hint="eastAsia" w:ascii="宋体" w:hAnsi="宋体"/>
          <w:sz w:val="24"/>
        </w:rPr>
        <w:t>8、甲方联系人：</w:t>
      </w:r>
      <w:r>
        <w:rPr>
          <w:rFonts w:hint="eastAsia" w:ascii="宋体" w:hAnsi="宋体"/>
          <w:sz w:val="24"/>
          <w:u w:val="single"/>
        </w:rPr>
        <w:t xml:space="preserve">    </w:t>
      </w:r>
      <w:r>
        <w:rPr>
          <w:rFonts w:hint="eastAsia" w:ascii="宋体" w:hAnsi="宋体"/>
          <w:sz w:val="24"/>
        </w:rPr>
        <w:t>；联系电话：</w:t>
      </w:r>
      <w:r>
        <w:rPr>
          <w:rFonts w:hint="eastAsia" w:ascii="宋体" w:hAnsi="宋体"/>
          <w:sz w:val="24"/>
          <w:u w:val="single"/>
        </w:rPr>
        <w:t xml:space="preserve">      </w:t>
      </w:r>
    </w:p>
    <w:p w14:paraId="05095346">
      <w:pPr>
        <w:adjustRightInd w:val="0"/>
        <w:snapToGrid w:val="0"/>
        <w:spacing w:line="360" w:lineRule="auto"/>
        <w:ind w:firstLine="720" w:firstLineChars="300"/>
        <w:rPr>
          <w:rFonts w:ascii="宋体" w:hAnsi="宋体"/>
          <w:sz w:val="24"/>
        </w:rPr>
      </w:pPr>
      <w:r>
        <w:rPr>
          <w:rFonts w:hint="eastAsia" w:ascii="宋体" w:hAnsi="宋体"/>
          <w:sz w:val="24"/>
        </w:rPr>
        <w:t>乙方联系人：</w:t>
      </w:r>
      <w:r>
        <w:rPr>
          <w:rFonts w:hint="eastAsia" w:ascii="宋体" w:hAnsi="宋体"/>
          <w:sz w:val="24"/>
          <w:u w:val="single"/>
        </w:rPr>
        <w:t xml:space="preserve">    </w:t>
      </w:r>
      <w:r>
        <w:rPr>
          <w:rFonts w:hint="eastAsia" w:ascii="宋体" w:hAnsi="宋体"/>
          <w:sz w:val="24"/>
        </w:rPr>
        <w:t>；联系电话：</w:t>
      </w:r>
      <w:r>
        <w:rPr>
          <w:rFonts w:hint="eastAsia" w:ascii="宋体" w:hAnsi="宋体"/>
          <w:sz w:val="24"/>
          <w:u w:val="single"/>
        </w:rPr>
        <w:t xml:space="preserve">       </w:t>
      </w:r>
    </w:p>
    <w:p w14:paraId="2EA1EE48">
      <w:pPr>
        <w:adjustRightInd w:val="0"/>
        <w:snapToGrid w:val="0"/>
        <w:spacing w:line="360" w:lineRule="auto"/>
        <w:rPr>
          <w:rFonts w:ascii="宋体" w:hAnsi="宋体"/>
          <w:sz w:val="24"/>
        </w:rPr>
      </w:pPr>
    </w:p>
    <w:p w14:paraId="30979B44">
      <w:pPr>
        <w:adjustRightInd w:val="0"/>
        <w:snapToGrid w:val="0"/>
        <w:spacing w:line="360" w:lineRule="auto"/>
        <w:ind w:left="420"/>
        <w:rPr>
          <w:rFonts w:ascii="宋体" w:hAnsi="宋体"/>
          <w:sz w:val="24"/>
        </w:rPr>
      </w:pPr>
      <w:r>
        <w:rPr>
          <w:rFonts w:hint="eastAsia" w:ascii="宋体" w:hAnsi="宋体"/>
          <w:sz w:val="24"/>
        </w:rPr>
        <w:t>（以下无正文）</w:t>
      </w:r>
    </w:p>
    <w:p w14:paraId="0A328638">
      <w:pPr>
        <w:adjustRightInd w:val="0"/>
        <w:snapToGrid w:val="0"/>
        <w:spacing w:line="360" w:lineRule="auto"/>
        <w:ind w:left="420"/>
        <w:rPr>
          <w:rFonts w:ascii="宋体" w:hAnsi="宋体"/>
          <w:sz w:val="24"/>
        </w:rPr>
      </w:pPr>
    </w:p>
    <w:p w14:paraId="2F766691">
      <w:pPr>
        <w:adjustRightInd w:val="0"/>
        <w:snapToGrid w:val="0"/>
        <w:spacing w:line="360" w:lineRule="auto"/>
        <w:ind w:firstLine="360" w:firstLineChars="150"/>
        <w:rPr>
          <w:rFonts w:ascii="宋体" w:hAnsi="宋体"/>
          <w:sz w:val="24"/>
        </w:rPr>
      </w:pPr>
      <w:r>
        <w:rPr>
          <w:rFonts w:hint="eastAsia" w:ascii="宋体" w:hAnsi="宋体"/>
          <w:sz w:val="24"/>
        </w:rPr>
        <w:t>甲方：（公章）                  　 　   乙方（公章）：</w:t>
      </w:r>
    </w:p>
    <w:p w14:paraId="14A96041">
      <w:pPr>
        <w:adjustRightInd w:val="0"/>
        <w:snapToGrid w:val="0"/>
        <w:spacing w:line="360" w:lineRule="auto"/>
        <w:ind w:left="420"/>
        <w:rPr>
          <w:rFonts w:ascii="宋体" w:hAnsi="宋体"/>
          <w:sz w:val="24"/>
        </w:rPr>
      </w:pPr>
    </w:p>
    <w:p w14:paraId="0CD3D58F">
      <w:pPr>
        <w:adjustRightInd w:val="0"/>
        <w:snapToGrid w:val="0"/>
        <w:spacing w:line="360" w:lineRule="auto"/>
        <w:ind w:left="420"/>
        <w:rPr>
          <w:rFonts w:ascii="宋体" w:hAnsi="宋体"/>
          <w:sz w:val="24"/>
        </w:rPr>
      </w:pPr>
      <w:r>
        <w:rPr>
          <w:rFonts w:hint="eastAsia" w:ascii="宋体" w:hAnsi="宋体"/>
          <w:sz w:val="24"/>
        </w:rPr>
        <w:t>法定代表人：（签字）                  　法定代表人：（签字）</w:t>
      </w:r>
    </w:p>
    <w:p w14:paraId="1A0EEA73">
      <w:pPr>
        <w:adjustRightInd w:val="0"/>
        <w:snapToGrid w:val="0"/>
        <w:spacing w:line="360" w:lineRule="auto"/>
        <w:ind w:left="420"/>
        <w:rPr>
          <w:rFonts w:ascii="宋体" w:hAnsi="宋体"/>
          <w:sz w:val="24"/>
        </w:rPr>
      </w:pPr>
    </w:p>
    <w:p w14:paraId="4D12BA48">
      <w:pPr>
        <w:adjustRightInd w:val="0"/>
        <w:snapToGrid w:val="0"/>
        <w:spacing w:line="360" w:lineRule="auto"/>
        <w:ind w:left="420"/>
        <w:rPr>
          <w:rFonts w:ascii="宋体" w:hAnsi="宋体"/>
          <w:sz w:val="24"/>
        </w:rPr>
      </w:pPr>
      <w:r>
        <w:rPr>
          <w:rFonts w:hint="eastAsia" w:ascii="宋体" w:hAnsi="宋体"/>
          <w:sz w:val="24"/>
        </w:rPr>
        <w:t>授权委托人：                    　     授权委托人：</w:t>
      </w:r>
    </w:p>
    <w:p w14:paraId="7E40A0C6">
      <w:pPr>
        <w:adjustRightInd w:val="0"/>
        <w:snapToGrid w:val="0"/>
        <w:spacing w:line="360" w:lineRule="auto"/>
        <w:ind w:firstLine="1320" w:firstLineChars="550"/>
        <w:rPr>
          <w:rFonts w:ascii="宋体" w:hAnsi="宋体"/>
          <w:sz w:val="24"/>
        </w:rPr>
      </w:pPr>
      <w:r>
        <w:rPr>
          <w:rFonts w:hint="eastAsia" w:ascii="宋体" w:hAnsi="宋体"/>
          <w:sz w:val="24"/>
        </w:rPr>
        <w:t xml:space="preserve">                       　       开户行： </w:t>
      </w:r>
    </w:p>
    <w:p w14:paraId="3208D486">
      <w:pPr>
        <w:adjustRightInd w:val="0"/>
        <w:snapToGrid w:val="0"/>
        <w:spacing w:line="360" w:lineRule="auto"/>
        <w:ind w:firstLine="360" w:firstLineChars="150"/>
        <w:rPr>
          <w:rFonts w:ascii="宋体" w:hAnsi="宋体"/>
          <w:sz w:val="24"/>
        </w:rPr>
      </w:pPr>
      <w:r>
        <w:rPr>
          <w:rFonts w:hint="eastAsia" w:ascii="宋体" w:hAnsi="宋体"/>
          <w:sz w:val="24"/>
        </w:rPr>
        <w:t>地  址： 西五路161＃　        　       账  号：</w:t>
      </w:r>
    </w:p>
    <w:p w14:paraId="6174D74C">
      <w:pPr>
        <w:adjustRightInd w:val="0"/>
        <w:snapToGrid w:val="0"/>
        <w:spacing w:line="360" w:lineRule="auto"/>
        <w:ind w:firstLine="360" w:firstLineChars="150"/>
        <w:rPr>
          <w:rFonts w:ascii="宋体" w:hAnsi="宋体"/>
          <w:sz w:val="24"/>
        </w:rPr>
      </w:pPr>
      <w:r>
        <w:rPr>
          <w:rFonts w:hint="eastAsia" w:ascii="宋体" w:hAnsi="宋体"/>
          <w:sz w:val="24"/>
        </w:rPr>
        <w:t xml:space="preserve">                                  　    地  址：</w:t>
      </w:r>
    </w:p>
    <w:p w14:paraId="4C6109FD">
      <w:pPr>
        <w:adjustRightInd w:val="0"/>
        <w:snapToGrid w:val="0"/>
        <w:spacing w:line="360" w:lineRule="auto"/>
        <w:ind w:left="420"/>
        <w:rPr>
          <w:rFonts w:ascii="宋体" w:hAnsi="宋体"/>
          <w:sz w:val="24"/>
        </w:rPr>
      </w:pPr>
      <w:r>
        <w:rPr>
          <w:rFonts w:hint="eastAsia" w:ascii="宋体" w:hAnsi="宋体"/>
          <w:sz w:val="24"/>
        </w:rPr>
        <w:t>联系电话：62812878             　      联系电话：</w:t>
      </w:r>
    </w:p>
    <w:p w14:paraId="376E0383">
      <w:pPr>
        <w:tabs>
          <w:tab w:val="left" w:pos="4962"/>
          <w:tab w:val="clear" w:pos="480"/>
        </w:tabs>
        <w:adjustRightInd w:val="0"/>
        <w:snapToGrid w:val="0"/>
        <w:spacing w:line="360" w:lineRule="auto"/>
        <w:ind w:firstLine="1080" w:firstLineChars="450"/>
        <w:rPr>
          <w:rFonts w:ascii="宋体" w:hAnsi="宋体" w:cs="宋体"/>
          <w:sz w:val="24"/>
        </w:rPr>
      </w:pPr>
      <w:r>
        <w:rPr>
          <w:rFonts w:hint="eastAsia" w:ascii="宋体" w:hAnsi="宋体"/>
          <w:sz w:val="24"/>
        </w:rPr>
        <w:t>年   月   日                   　   年   月   日</w:t>
      </w:r>
    </w:p>
    <w:p w14:paraId="24800929">
      <w:pPr>
        <w:pStyle w:val="17"/>
        <w:rPr>
          <w:rFonts w:hint="default"/>
        </w:rPr>
      </w:pPr>
    </w:p>
    <w:p w14:paraId="11553E64">
      <w:pPr>
        <w:rPr>
          <w:rFonts w:hint="eastAsia"/>
        </w:rPr>
      </w:pPr>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5FC33">
    <w:pPr>
      <w:pStyle w:val="8"/>
      <w:pBdr>
        <w:bottom w:val="single" w:color="auto" w:sz="6" w:space="2"/>
      </w:pBdr>
      <w:jc w:val="left"/>
      <w:rPr>
        <w:rFonts w:hint="eastAsia"/>
        <w:color w:val="FF0000"/>
      </w:rPr>
    </w:pP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2A9F2F"/>
    <w:multiLevelType w:val="multilevel"/>
    <w:tmpl w:val="A22A9F2F"/>
    <w:lvl w:ilvl="0" w:tentative="0">
      <w:start w:val="1"/>
      <w:numFmt w:val="chineseCounting"/>
      <w:pStyle w:val="3"/>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05802D6D"/>
    <w:multiLevelType w:val="multilevel"/>
    <w:tmpl w:val="05802D6D"/>
    <w:lvl w:ilvl="0" w:tentative="0">
      <w:start w:val="4"/>
      <w:numFmt w:val="decimal"/>
      <w:lvlText w:val="（%1）"/>
      <w:lvlJc w:val="left"/>
      <w:pPr>
        <w:ind w:left="1003" w:hanging="720"/>
      </w:pPr>
      <w:rPr>
        <w:rFonts w:hint="default"/>
      </w:rPr>
    </w:lvl>
    <w:lvl w:ilvl="1" w:tentative="0">
      <w:start w:val="1"/>
      <w:numFmt w:val="lowerLetter"/>
      <w:lvlText w:val="%2)"/>
      <w:lvlJc w:val="left"/>
      <w:pPr>
        <w:ind w:left="1123" w:hanging="420"/>
      </w:pPr>
    </w:lvl>
    <w:lvl w:ilvl="2" w:tentative="0">
      <w:start w:val="1"/>
      <w:numFmt w:val="lowerRoman"/>
      <w:lvlText w:val="%3."/>
      <w:lvlJc w:val="right"/>
      <w:pPr>
        <w:ind w:left="1543" w:hanging="420"/>
      </w:pPr>
    </w:lvl>
    <w:lvl w:ilvl="3" w:tentative="0">
      <w:start w:val="1"/>
      <w:numFmt w:val="decimal"/>
      <w:lvlText w:val="%4."/>
      <w:lvlJc w:val="left"/>
      <w:pPr>
        <w:ind w:left="1963" w:hanging="420"/>
      </w:pPr>
    </w:lvl>
    <w:lvl w:ilvl="4" w:tentative="0">
      <w:start w:val="1"/>
      <w:numFmt w:val="lowerLetter"/>
      <w:lvlText w:val="%5)"/>
      <w:lvlJc w:val="left"/>
      <w:pPr>
        <w:ind w:left="2383" w:hanging="420"/>
      </w:pPr>
    </w:lvl>
    <w:lvl w:ilvl="5" w:tentative="0">
      <w:start w:val="1"/>
      <w:numFmt w:val="lowerRoman"/>
      <w:lvlText w:val="%6."/>
      <w:lvlJc w:val="right"/>
      <w:pPr>
        <w:ind w:left="2803" w:hanging="420"/>
      </w:pPr>
    </w:lvl>
    <w:lvl w:ilvl="6" w:tentative="0">
      <w:start w:val="1"/>
      <w:numFmt w:val="decimal"/>
      <w:lvlText w:val="%7."/>
      <w:lvlJc w:val="left"/>
      <w:pPr>
        <w:ind w:left="3223" w:hanging="420"/>
      </w:pPr>
    </w:lvl>
    <w:lvl w:ilvl="7" w:tentative="0">
      <w:start w:val="1"/>
      <w:numFmt w:val="lowerLetter"/>
      <w:lvlText w:val="%8)"/>
      <w:lvlJc w:val="left"/>
      <w:pPr>
        <w:ind w:left="3643" w:hanging="420"/>
      </w:pPr>
    </w:lvl>
    <w:lvl w:ilvl="8" w:tentative="0">
      <w:start w:val="1"/>
      <w:numFmt w:val="lowerRoman"/>
      <w:lvlText w:val="%9."/>
      <w:lvlJc w:val="right"/>
      <w:pPr>
        <w:ind w:left="4063" w:hanging="420"/>
      </w:pPr>
    </w:lvl>
  </w:abstractNum>
  <w:abstractNum w:abstractNumId="2">
    <w:nsid w:val="07A038BA"/>
    <w:multiLevelType w:val="multilevel"/>
    <w:tmpl w:val="07A038BA"/>
    <w:lvl w:ilvl="0" w:tentative="0">
      <w:start w:val="1"/>
      <w:numFmt w:val="decimal"/>
      <w:lvlText w:val="%1、"/>
      <w:lvlJc w:val="left"/>
      <w:pPr>
        <w:ind w:left="840" w:hanging="360"/>
      </w:pPr>
      <w:rPr>
        <w:rFonts w:hint="eastAsia"/>
      </w:r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NiMDRmYmMyODNkZDYxYTVkYzBhNmJhMzMwZjhlYWUifQ=="/>
  </w:docVars>
  <w:rsids>
    <w:rsidRoot w:val="00000000"/>
    <w:rsid w:val="043546EB"/>
    <w:rsid w:val="0C833AFC"/>
    <w:rsid w:val="0D644DF8"/>
    <w:rsid w:val="0EC35F79"/>
    <w:rsid w:val="108C1CB0"/>
    <w:rsid w:val="24FB07BE"/>
    <w:rsid w:val="278C3C43"/>
    <w:rsid w:val="30406FD1"/>
    <w:rsid w:val="333E3AE4"/>
    <w:rsid w:val="3626024B"/>
    <w:rsid w:val="57081D47"/>
    <w:rsid w:val="68A55E8B"/>
    <w:rsid w:val="6AD56389"/>
    <w:rsid w:val="70FF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tabs>
        <w:tab w:val="left" w:pos="480"/>
      </w:tabs>
      <w:spacing w:line="360" w:lineRule="auto"/>
    </w:pPr>
    <w:rPr>
      <w:rFonts w:ascii="Calibri" w:hAnsi="Calibri" w:eastAsia="仿宋_GB2312" w:cs="Times New Roman"/>
      <w:sz w:val="28"/>
      <w:szCs w:val="24"/>
      <w:lang w:val="en-US" w:eastAsia="en-US" w:bidi="en-US"/>
    </w:rPr>
  </w:style>
  <w:style w:type="paragraph" w:styleId="3">
    <w:name w:val="heading 1"/>
    <w:basedOn w:val="1"/>
    <w:next w:val="1"/>
    <w:link w:val="16"/>
    <w:qFormat/>
    <w:uiPriority w:val="9"/>
    <w:pPr>
      <w:keepNext/>
      <w:numPr>
        <w:ilvl w:val="0"/>
        <w:numId w:val="1"/>
      </w:numPr>
      <w:spacing w:before="240" w:after="60"/>
      <w:ind w:left="432" w:hanging="432"/>
      <w:outlineLvl w:val="0"/>
    </w:pPr>
    <w:rPr>
      <w:rFonts w:ascii="Cambria" w:hAnsi="Cambria" w:eastAsia="宋体"/>
      <w:b/>
      <w:bCs/>
      <w:kern w:val="32"/>
      <w:sz w:val="32"/>
      <w:szCs w:val="32"/>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4">
    <w:name w:val="Body Text"/>
    <w:basedOn w:val="1"/>
    <w:next w:val="1"/>
    <w:qFormat/>
    <w:uiPriority w:val="99"/>
    <w:rPr>
      <w:rFonts w:ascii="Calibri" w:hAnsi="Calibri"/>
      <w:kern w:val="0"/>
      <w:sz w:val="20"/>
      <w:szCs w:val="20"/>
    </w:rPr>
  </w:style>
  <w:style w:type="paragraph" w:styleId="5">
    <w:name w:val="Body Text Indent"/>
    <w:basedOn w:val="1"/>
    <w:semiHidden/>
    <w:unhideWhenUsed/>
    <w:qFormat/>
    <w:uiPriority w:val="99"/>
    <w:pPr>
      <w:spacing w:after="120"/>
      <w:ind w:left="420" w:leftChars="200"/>
    </w:pPr>
  </w:style>
  <w:style w:type="paragraph" w:styleId="6">
    <w:name w:val="Plain Text"/>
    <w:basedOn w:val="1"/>
    <w:qFormat/>
    <w:uiPriority w:val="99"/>
    <w:rPr>
      <w:rFonts w:ascii="宋体" w:hAnsi="Courier New"/>
      <w:szCs w:val="21"/>
    </w:rPr>
  </w:style>
  <w:style w:type="paragraph" w:styleId="7">
    <w:name w:val="footer"/>
    <w:basedOn w:val="1"/>
    <w:uiPriority w:val="0"/>
    <w:pPr>
      <w:tabs>
        <w:tab w:val="center" w:pos="4153"/>
        <w:tab w:val="right" w:pos="8306"/>
        <w:tab w:val="clear" w:pos="480"/>
      </w:tabs>
      <w:snapToGrid w:val="0"/>
      <w:jc w:val="left"/>
    </w:pPr>
    <w:rPr>
      <w:sz w:val="18"/>
    </w:rPr>
  </w:style>
  <w:style w:type="paragraph" w:styleId="8">
    <w:name w:val="header"/>
    <w:basedOn w:val="1"/>
    <w:qFormat/>
    <w:uiPriority w:val="99"/>
    <w:pPr>
      <w:pBdr>
        <w:bottom w:val="single" w:color="auto" w:sz="6" w:space="1"/>
      </w:pBdr>
      <w:tabs>
        <w:tab w:val="center" w:pos="4153"/>
        <w:tab w:val="right" w:pos="8306"/>
        <w:tab w:val="clear" w:pos="480"/>
      </w:tabs>
      <w:snapToGrid w:val="0"/>
      <w:spacing w:line="240" w:lineRule="auto"/>
      <w:jc w:val="center"/>
    </w:pPr>
    <w:rPr>
      <w:sz w:val="18"/>
      <w:szCs w:val="18"/>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Title"/>
    <w:basedOn w:val="1"/>
    <w:next w:val="1"/>
    <w:qFormat/>
    <w:uiPriority w:val="10"/>
    <w:pPr>
      <w:spacing w:before="400" w:after="200" w:line="360" w:lineRule="auto"/>
      <w:ind w:firstLine="200" w:firstLineChars="200"/>
      <w:jc w:val="center"/>
      <w:outlineLvl w:val="0"/>
    </w:pPr>
    <w:rPr>
      <w:rFonts w:ascii="Arial" w:hAnsi="Arial" w:eastAsia="宋体" w:cs="Times New Roman"/>
      <w:b/>
      <w:bCs/>
      <w:sz w:val="36"/>
      <w:szCs w:val="32"/>
    </w:rPr>
  </w:style>
  <w:style w:type="paragraph" w:styleId="11">
    <w:name w:val="Body Text First Indent"/>
    <w:basedOn w:val="4"/>
    <w:qFormat/>
    <w:uiPriority w:val="0"/>
    <w:pPr>
      <w:spacing w:beforeLines="50" w:afterLines="50" w:line="360" w:lineRule="auto"/>
      <w:ind w:firstLine="200" w:firstLineChars="200"/>
    </w:pPr>
    <w:rPr>
      <w:rFonts w:asciiTheme="minorHAnsi" w:hAnsiTheme="minorHAnsi" w:eastAsiaTheme="minorEastAsia" w:cstheme="minorBidi"/>
      <w:kern w:val="0"/>
      <w:sz w:val="30"/>
      <w:szCs w:val="20"/>
    </w:rPr>
  </w:style>
  <w:style w:type="paragraph" w:styleId="12">
    <w:name w:val="Body Text First Indent 2"/>
    <w:basedOn w:val="5"/>
    <w:unhideWhenUsed/>
    <w:qFormat/>
    <w:uiPriority w:val="99"/>
    <w:pPr>
      <w:spacing w:after="0" w:line="640" w:lineRule="exact"/>
      <w:ind w:left="0" w:leftChars="0"/>
    </w:pPr>
    <w:rPr>
      <w:rFonts w:ascii="楷体_GB2312" w:eastAsia="楷体_GB2312" w:cs="Times New Roman" w:hAnsiTheme="minorHAnsi"/>
      <w:sz w:val="32"/>
      <w:szCs w:val="24"/>
    </w:rPr>
  </w:style>
  <w:style w:type="table" w:styleId="14">
    <w:name w:val="Table Grid"/>
    <w:basedOn w:val="13"/>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Char"/>
    <w:link w:val="3"/>
    <w:qFormat/>
    <w:uiPriority w:val="0"/>
    <w:rPr>
      <w:rFonts w:ascii="Cambria" w:hAnsi="Cambria" w:eastAsia="宋体"/>
      <w:b/>
      <w:bCs/>
      <w:kern w:val="32"/>
      <w:sz w:val="32"/>
      <w:szCs w:val="32"/>
    </w:rPr>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 w:type="paragraph" w:customStyle="1" w:styleId="18">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9">
    <w:name w:val="列出段落2"/>
    <w:basedOn w:val="1"/>
    <w:qFormat/>
    <w:uiPriority w:val="0"/>
    <w:pPr>
      <w:spacing w:line="240" w:lineRule="auto"/>
      <w:ind w:firstLine="420" w:firstLineChars="200"/>
    </w:pPr>
  </w:style>
  <w:style w:type="paragraph" w:styleId="20">
    <w:name w:val="List Paragraph"/>
    <w:basedOn w:val="1"/>
    <w:next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4579</Words>
  <Characters>4693</Characters>
  <Lines>0</Lines>
  <Paragraphs>0</Paragraphs>
  <TotalTime>0</TotalTime>
  <ScaleCrop>false</ScaleCrop>
  <LinksUpToDate>false</LinksUpToDate>
  <CharactersWithSpaces>5058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2024-07-16T04:49:00Z</dcterms:created>
  <dc:creator>Administrator</dc:creator>
  <cp:lastModifiedBy>Administrator</cp:lastModifiedBy>
  <dcterms:modified xsi:type="dcterms:W3CDTF">2024-10-21T03:30:25Z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F9B1276888CF4F4BA18508B347BC323F_13</vt:lpwstr>
  </property>
</Properties>
</file>