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pPr w:leftFromText="180" w:rightFromText="180" w:vertAnchor="page" w:horzAnchor="page" w:tblpX="7904" w:tblpY="17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5"/>
      </w:tblGrid>
      <w:tr w14:paraId="5947B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2295" w:type="dxa"/>
            <w:noWrap/>
            <w:vAlign w:val="top"/>
          </w:tcPr>
          <w:p w14:paraId="7071A24A">
            <w:pPr>
              <w:jc w:val="center"/>
              <w:rPr>
                <w:sz w:val="30"/>
                <w:szCs w:val="30"/>
              </w:rPr>
            </w:pPr>
            <w:r>
              <w:rPr>
                <w:rFonts w:hint="eastAsia"/>
                <w:sz w:val="30"/>
                <w:szCs w:val="30"/>
              </w:rPr>
              <w:t>竞争性谈判</w:t>
            </w:r>
          </w:p>
        </w:tc>
      </w:tr>
    </w:tbl>
    <w:p w14:paraId="1FFD00EA">
      <w:pPr>
        <w:wordWrap w:val="0"/>
        <w:jc w:val="right"/>
        <w:rPr>
          <w:sz w:val="30"/>
          <w:szCs w:val="30"/>
        </w:rPr>
      </w:pPr>
    </w:p>
    <w:p w14:paraId="27789332">
      <w:pPr>
        <w:ind w:right="-483" w:rightChars="-230"/>
        <w:rPr>
          <w:sz w:val="30"/>
          <w:szCs w:val="30"/>
        </w:rPr>
      </w:pPr>
      <w:r>
        <w:rPr>
          <w:rFonts w:hint="eastAsia"/>
          <w:sz w:val="30"/>
          <w:szCs w:val="30"/>
        </w:rPr>
        <w:t>政府采购项目</w:t>
      </w:r>
    </w:p>
    <w:p w14:paraId="39E40BC8">
      <w:pPr>
        <w:ind w:firstLine="1650" w:firstLineChars="550"/>
        <w:rPr>
          <w:sz w:val="30"/>
          <w:szCs w:val="30"/>
        </w:rPr>
      </w:pPr>
    </w:p>
    <w:p w14:paraId="7E4A8167">
      <w:pPr>
        <w:rPr>
          <w:sz w:val="48"/>
          <w:szCs w:val="48"/>
        </w:rPr>
      </w:pPr>
    </w:p>
    <w:p w14:paraId="64E71DDC">
      <w:pPr>
        <w:ind w:firstLine="1440" w:firstLineChars="300"/>
        <w:jc w:val="left"/>
        <w:rPr>
          <w:sz w:val="48"/>
          <w:szCs w:val="48"/>
        </w:rPr>
      </w:pPr>
    </w:p>
    <w:p w14:paraId="781FF68E">
      <w:pPr>
        <w:spacing w:line="276" w:lineRule="auto"/>
        <w:jc w:val="center"/>
        <w:rPr>
          <w:rFonts w:hint="eastAsia"/>
          <w:sz w:val="48"/>
          <w:szCs w:val="48"/>
        </w:rPr>
      </w:pPr>
      <w:r>
        <w:rPr>
          <w:rFonts w:hint="eastAsia"/>
          <w:sz w:val="48"/>
          <w:szCs w:val="48"/>
        </w:rPr>
        <w:t>西安市儿童医院</w:t>
      </w:r>
    </w:p>
    <w:p w14:paraId="0E0209E5">
      <w:pPr>
        <w:spacing w:line="276" w:lineRule="auto"/>
        <w:jc w:val="center"/>
        <w:rPr>
          <w:rFonts w:ascii="宋体" w:hAnsi="宋体" w:cs="宋体"/>
          <w:b/>
          <w:sz w:val="48"/>
          <w:szCs w:val="48"/>
        </w:rPr>
      </w:pPr>
      <w:r>
        <w:rPr>
          <w:rFonts w:hint="eastAsia" w:ascii="宋体" w:hAnsi="宋体" w:cs="宋体"/>
          <w:b/>
          <w:sz w:val="48"/>
          <w:szCs w:val="48"/>
        </w:rPr>
        <w:t>信息耗材采购项目</w:t>
      </w:r>
    </w:p>
    <w:p w14:paraId="25327646">
      <w:pPr>
        <w:spacing w:line="276" w:lineRule="auto"/>
        <w:jc w:val="center"/>
        <w:rPr>
          <w:rFonts w:ascii="宋体" w:hAnsi="宋体" w:cs="宋体"/>
          <w:sz w:val="30"/>
          <w:szCs w:val="30"/>
        </w:rPr>
      </w:pPr>
      <w:r>
        <w:rPr>
          <w:rFonts w:hint="eastAsia" w:ascii="宋体" w:hAnsi="宋体" w:cs="宋体"/>
          <w:b/>
          <w:sz w:val="48"/>
          <w:szCs w:val="48"/>
        </w:rPr>
        <w:t>货 物 合</w:t>
      </w:r>
      <w:r>
        <w:rPr>
          <w:rFonts w:hint="eastAsia" w:ascii="宋体" w:hAnsi="宋体" w:cs="宋体"/>
          <w:b/>
          <w:sz w:val="48"/>
          <w:szCs w:val="48"/>
          <w:lang w:val="en-US" w:eastAsia="zh-CN"/>
        </w:rPr>
        <w:t xml:space="preserve"> </w:t>
      </w:r>
      <w:r>
        <w:rPr>
          <w:rFonts w:hint="eastAsia" w:ascii="宋体" w:hAnsi="宋体" w:cs="宋体"/>
          <w:b/>
          <w:sz w:val="48"/>
          <w:szCs w:val="48"/>
        </w:rPr>
        <w:t>同</w:t>
      </w:r>
    </w:p>
    <w:p w14:paraId="30242223">
      <w:pPr>
        <w:ind w:firstLine="1440" w:firstLineChars="300"/>
        <w:jc w:val="left"/>
        <w:rPr>
          <w:sz w:val="48"/>
          <w:szCs w:val="48"/>
        </w:rPr>
      </w:pPr>
    </w:p>
    <w:p w14:paraId="1E8C34B7">
      <w:pPr>
        <w:ind w:firstLine="3150" w:firstLineChars="1050"/>
        <w:rPr>
          <w:sz w:val="30"/>
          <w:szCs w:val="30"/>
        </w:rPr>
      </w:pPr>
    </w:p>
    <w:p w14:paraId="552DD4A2">
      <w:pPr>
        <w:ind w:firstLine="3150" w:firstLineChars="1050"/>
        <w:rPr>
          <w:sz w:val="30"/>
          <w:szCs w:val="30"/>
        </w:rPr>
      </w:pPr>
    </w:p>
    <w:p w14:paraId="419158B3">
      <w:pPr>
        <w:ind w:firstLine="3150" w:firstLineChars="1050"/>
        <w:rPr>
          <w:sz w:val="30"/>
          <w:szCs w:val="30"/>
        </w:rPr>
      </w:pPr>
    </w:p>
    <w:p w14:paraId="626564D5">
      <w:pPr>
        <w:ind w:firstLine="3150" w:firstLineChars="1050"/>
        <w:rPr>
          <w:sz w:val="30"/>
          <w:szCs w:val="30"/>
        </w:rPr>
      </w:pPr>
    </w:p>
    <w:p w14:paraId="4232E809">
      <w:pPr>
        <w:rPr>
          <w:color w:val="000000"/>
          <w:sz w:val="30"/>
          <w:szCs w:val="30"/>
        </w:rPr>
      </w:pPr>
    </w:p>
    <w:p w14:paraId="3DFE8839">
      <w:pPr>
        <w:rPr>
          <w:sz w:val="30"/>
          <w:szCs w:val="30"/>
        </w:rPr>
      </w:pPr>
    </w:p>
    <w:p w14:paraId="698974C5">
      <w:pPr>
        <w:spacing w:line="276" w:lineRule="auto"/>
        <w:ind w:firstLine="600" w:firstLineChars="200"/>
        <w:rPr>
          <w:rFonts w:ascii="宋体" w:hAnsi="宋体" w:cs="宋体"/>
          <w:sz w:val="30"/>
          <w:szCs w:val="30"/>
        </w:rPr>
      </w:pPr>
      <w:r>
        <w:rPr>
          <w:rFonts w:hint="eastAsia" w:ascii="宋体" w:hAnsi="宋体" w:cs="宋体"/>
          <w:sz w:val="30"/>
          <w:szCs w:val="30"/>
        </w:rPr>
        <w:t>甲 方:西安市儿童医院</w:t>
      </w:r>
    </w:p>
    <w:p w14:paraId="590FC99D">
      <w:pPr>
        <w:spacing w:line="276" w:lineRule="auto"/>
        <w:ind w:firstLine="600" w:firstLineChars="200"/>
        <w:rPr>
          <w:rFonts w:ascii="宋体" w:hAnsi="宋体" w:cs="宋体"/>
          <w:sz w:val="30"/>
          <w:szCs w:val="30"/>
        </w:rPr>
      </w:pPr>
      <w:r>
        <w:rPr>
          <w:rFonts w:hint="eastAsia" w:ascii="宋体" w:hAnsi="宋体" w:cs="宋体"/>
          <w:sz w:val="30"/>
          <w:szCs w:val="30"/>
        </w:rPr>
        <w:t>乙 方:</w:t>
      </w:r>
    </w:p>
    <w:p w14:paraId="6CB43660">
      <w:pPr>
        <w:autoSpaceDE w:val="0"/>
        <w:autoSpaceDN w:val="0"/>
        <w:adjustRightInd w:val="0"/>
        <w:spacing w:line="276" w:lineRule="auto"/>
        <w:ind w:firstLine="600" w:firstLineChars="200"/>
        <w:jc w:val="left"/>
        <w:rPr>
          <w:rFonts w:ascii="宋体" w:hAnsi="宋体" w:cs="宋体"/>
          <w:sz w:val="30"/>
          <w:szCs w:val="30"/>
        </w:rPr>
      </w:pPr>
      <w:r>
        <w:rPr>
          <w:rFonts w:hint="eastAsia" w:ascii="宋体" w:hAnsi="宋体" w:cs="宋体"/>
          <w:sz w:val="30"/>
          <w:szCs w:val="30"/>
        </w:rPr>
        <w:t>鉴证方：</w:t>
      </w:r>
    </w:p>
    <w:p w14:paraId="16BCA8BD">
      <w:pPr>
        <w:spacing w:line="276" w:lineRule="auto"/>
        <w:ind w:firstLine="600" w:firstLineChars="200"/>
        <w:rPr>
          <w:rFonts w:ascii="宋体" w:hAnsi="宋体" w:cs="宋体"/>
          <w:sz w:val="30"/>
          <w:szCs w:val="30"/>
        </w:rPr>
      </w:pPr>
      <w:r>
        <w:rPr>
          <w:rFonts w:hint="eastAsia" w:ascii="宋体" w:hAnsi="宋体" w:cs="宋体"/>
          <w:sz w:val="30"/>
          <w:szCs w:val="30"/>
        </w:rPr>
        <w:t>签订地点：西安市儿童医院</w:t>
      </w:r>
    </w:p>
    <w:p w14:paraId="053F1CE0">
      <w:pPr>
        <w:spacing w:line="276" w:lineRule="auto"/>
        <w:ind w:firstLine="600" w:firstLineChars="200"/>
        <w:rPr>
          <w:rFonts w:ascii="宋体" w:hAnsi="宋体" w:cs="宋体"/>
          <w:b/>
          <w:sz w:val="30"/>
          <w:szCs w:val="30"/>
        </w:rPr>
      </w:pPr>
      <w:r>
        <w:rPr>
          <w:rFonts w:hint="eastAsia" w:ascii="宋体" w:hAnsi="宋体" w:cs="宋体"/>
          <w:sz w:val="30"/>
          <w:szCs w:val="30"/>
        </w:rPr>
        <w:t>签订时间：202</w:t>
      </w:r>
      <w:r>
        <w:rPr>
          <w:rFonts w:hint="eastAsia" w:ascii="宋体" w:hAnsi="宋体" w:cs="宋体"/>
          <w:sz w:val="30"/>
          <w:szCs w:val="30"/>
          <w:lang w:val="en-US" w:eastAsia="zh-CN"/>
        </w:rPr>
        <w:t>5</w:t>
      </w:r>
      <w:r>
        <w:rPr>
          <w:rFonts w:hint="eastAsia" w:ascii="宋体" w:hAnsi="宋体" w:cs="宋体"/>
          <w:sz w:val="30"/>
          <w:szCs w:val="30"/>
        </w:rPr>
        <w:t>年</w:t>
      </w:r>
      <w:r>
        <w:rPr>
          <w:rFonts w:hint="eastAsia" w:ascii="宋体" w:hAnsi="宋体" w:cs="宋体"/>
          <w:sz w:val="30"/>
          <w:szCs w:val="30"/>
          <w:lang w:val="en-US" w:eastAsia="zh-CN"/>
        </w:rPr>
        <w:t xml:space="preserve">  </w:t>
      </w:r>
      <w:r>
        <w:rPr>
          <w:rFonts w:hint="eastAsia" w:ascii="宋体" w:hAnsi="宋体" w:cs="宋体"/>
          <w:sz w:val="30"/>
          <w:szCs w:val="30"/>
        </w:rPr>
        <w:t xml:space="preserve">月 </w:t>
      </w:r>
    </w:p>
    <w:p w14:paraId="7C07AB7D">
      <w:pPr>
        <w:spacing w:line="276" w:lineRule="auto"/>
        <w:jc w:val="center"/>
        <w:rPr>
          <w:rFonts w:ascii="仿宋" w:hAnsi="仿宋" w:eastAsia="仿宋" w:cs="仿宋"/>
          <w:sz w:val="52"/>
          <w:szCs w:val="52"/>
        </w:rPr>
      </w:pPr>
    </w:p>
    <w:p w14:paraId="255FC8FE">
      <w:pPr>
        <w:spacing w:line="276" w:lineRule="auto"/>
        <w:jc w:val="center"/>
        <w:rPr>
          <w:rFonts w:ascii="仿宋" w:hAnsi="仿宋" w:eastAsia="仿宋" w:cs="仿宋"/>
          <w:b/>
          <w:sz w:val="36"/>
          <w:szCs w:val="36"/>
        </w:rPr>
      </w:pPr>
    </w:p>
    <w:p w14:paraId="34F720E2">
      <w:pPr>
        <w:spacing w:line="276" w:lineRule="auto"/>
        <w:jc w:val="center"/>
        <w:rPr>
          <w:rFonts w:ascii="仿宋" w:hAnsi="仿宋" w:eastAsia="仿宋" w:cs="仿宋"/>
          <w:b/>
          <w:sz w:val="36"/>
          <w:szCs w:val="36"/>
        </w:rPr>
      </w:pPr>
      <w:r>
        <w:rPr>
          <w:rFonts w:hint="eastAsia" w:ascii="仿宋" w:hAnsi="仿宋" w:eastAsia="仿宋" w:cs="仿宋"/>
          <w:b/>
          <w:sz w:val="36"/>
          <w:szCs w:val="36"/>
        </w:rPr>
        <w:t>货 物 合 同</w:t>
      </w:r>
    </w:p>
    <w:p w14:paraId="5A0580C4">
      <w:pPr>
        <w:spacing w:line="276" w:lineRule="auto"/>
        <w:ind w:firstLine="560" w:firstLineChars="200"/>
        <w:rPr>
          <w:rFonts w:ascii="仿宋" w:hAnsi="仿宋" w:eastAsia="仿宋" w:cs="仿宋"/>
          <w:sz w:val="28"/>
        </w:rPr>
      </w:pPr>
      <w:r>
        <w:rPr>
          <w:rFonts w:hint="eastAsia" w:ascii="仿宋" w:hAnsi="仿宋" w:eastAsia="仿宋" w:cs="仿宋"/>
          <w:sz w:val="28"/>
        </w:rPr>
        <w:t>甲方：</w:t>
      </w:r>
      <w:r>
        <w:rPr>
          <w:rFonts w:hint="eastAsia" w:ascii="仿宋" w:hAnsi="仿宋" w:eastAsia="仿宋" w:cs="仿宋"/>
          <w:sz w:val="28"/>
          <w:u w:val="single"/>
        </w:rPr>
        <w:t>西安市儿童医院</w:t>
      </w:r>
    </w:p>
    <w:p w14:paraId="3F80D9AA">
      <w:pPr>
        <w:spacing w:line="276" w:lineRule="auto"/>
        <w:ind w:firstLine="560" w:firstLineChars="200"/>
        <w:rPr>
          <w:rFonts w:hint="eastAsia" w:ascii="仿宋" w:hAnsi="仿宋" w:eastAsia="仿宋" w:cs="仿宋"/>
          <w:sz w:val="28"/>
        </w:rPr>
      </w:pPr>
      <w:r>
        <w:rPr>
          <w:rFonts w:hint="eastAsia" w:ascii="仿宋" w:hAnsi="仿宋" w:eastAsia="仿宋" w:cs="仿宋"/>
          <w:sz w:val="28"/>
        </w:rPr>
        <w:t>乙方：</w:t>
      </w:r>
    </w:p>
    <w:p w14:paraId="54A0ED36">
      <w:pPr>
        <w:spacing w:line="276" w:lineRule="auto"/>
        <w:ind w:firstLine="560" w:firstLineChars="200"/>
        <w:rPr>
          <w:rFonts w:hint="eastAsia" w:ascii="仿宋" w:hAnsi="仿宋" w:eastAsia="仿宋" w:cs="仿宋"/>
          <w:sz w:val="28"/>
        </w:rPr>
      </w:pPr>
      <w:r>
        <w:rPr>
          <w:rFonts w:hint="eastAsia" w:ascii="仿宋" w:hAnsi="仿宋" w:eastAsia="仿宋" w:cs="仿宋"/>
          <w:sz w:val="28"/>
        </w:rPr>
        <w:t>鉴证方：</w:t>
      </w:r>
    </w:p>
    <w:p w14:paraId="3B6F01D0">
      <w:pPr>
        <w:spacing w:line="276" w:lineRule="auto"/>
        <w:ind w:firstLine="560" w:firstLineChars="200"/>
        <w:rPr>
          <w:rFonts w:hint="eastAsia" w:ascii="仿宋" w:hAnsi="仿宋" w:eastAsia="仿宋" w:cs="仿宋"/>
          <w:sz w:val="28"/>
        </w:rPr>
      </w:pPr>
    </w:p>
    <w:p w14:paraId="28BCD4F3">
      <w:pPr>
        <w:spacing w:line="276" w:lineRule="auto"/>
        <w:ind w:firstLine="560" w:firstLineChars="200"/>
        <w:rPr>
          <w:rFonts w:ascii="仿宋" w:hAnsi="仿宋" w:eastAsia="仿宋" w:cs="仿宋"/>
          <w:sz w:val="28"/>
        </w:rPr>
      </w:pPr>
      <w:r>
        <w:rPr>
          <w:rFonts w:hint="eastAsia" w:ascii="仿宋" w:hAnsi="仿宋" w:eastAsia="仿宋" w:cs="仿宋"/>
          <w:sz w:val="28"/>
        </w:rPr>
        <w:t>依据《中华人民共和国政府采购法》、《中华人民共和国民法典》，西安市儿童医院信息耗材采购项目(项目编号：ZSJC-2024-TP-1018，在西安市财政局政府采购管理处的监督管理下，由中盛精诚工程项目管理有限公司组织竞争性谈判。西安市儿童医院(以下简称“甲方”)确定</w:t>
      </w:r>
      <w:r>
        <w:rPr>
          <w:rFonts w:hint="eastAsia" w:ascii="仿宋" w:hAnsi="仿宋" w:eastAsia="仿宋" w:cs="仿宋"/>
          <w:sz w:val="28"/>
          <w:u w:val="single"/>
          <w:lang w:val="en-US" w:eastAsia="zh-CN"/>
        </w:rPr>
        <w:t xml:space="preserve">       </w:t>
      </w:r>
      <w:r>
        <w:rPr>
          <w:rFonts w:hint="eastAsia" w:ascii="仿宋" w:hAnsi="仿宋" w:eastAsia="仿宋" w:cs="仿宋"/>
          <w:sz w:val="28"/>
        </w:rPr>
        <w:t>（以下简称“乙方”）为成交供应商。经鉴证方确认，甲、乙双方同意按照下面条款和条件，签署本合同。</w:t>
      </w:r>
    </w:p>
    <w:p w14:paraId="77DFCACF">
      <w:pPr>
        <w:numPr>
          <w:ilvl w:val="0"/>
          <w:numId w:val="1"/>
        </w:numPr>
        <w:tabs>
          <w:tab w:val="left" w:pos="480"/>
        </w:tabs>
        <w:spacing w:line="276" w:lineRule="auto"/>
        <w:ind w:firstLine="482" w:firstLineChars="200"/>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合同标的物内容及数量</w:t>
      </w:r>
    </w:p>
    <w:p w14:paraId="4D8111C6">
      <w:pPr>
        <w:pStyle w:val="6"/>
        <w:widowControl/>
        <w:spacing w:line="276" w:lineRule="auto"/>
        <w:ind w:left="0" w:leftChars="0" w:firstLine="560" w:firstLineChars="200"/>
        <w:rPr>
          <w:rFonts w:ascii="仿宋" w:hAnsi="仿宋" w:eastAsia="仿宋" w:cs="仿宋"/>
          <w:sz w:val="28"/>
        </w:rPr>
      </w:pPr>
      <w:r>
        <w:rPr>
          <w:rFonts w:hint="eastAsia" w:ascii="仿宋" w:hAnsi="仿宋" w:eastAsia="仿宋" w:cs="仿宋"/>
          <w:sz w:val="28"/>
        </w:rPr>
        <w:t>根据谈判文件要求，乙方向甲方提供以下货物，具体服务内容详见下表:</w:t>
      </w:r>
    </w:p>
    <w:p w14:paraId="6FB5F396">
      <w:pPr>
        <w:spacing w:line="276" w:lineRule="auto"/>
        <w:ind w:firstLine="562" w:firstLineChars="200"/>
        <w:jc w:val="right"/>
        <w:rPr>
          <w:rFonts w:ascii="仿宋" w:hAnsi="仿宋" w:eastAsia="仿宋" w:cs="仿宋"/>
          <w:b/>
          <w:sz w:val="28"/>
          <w:szCs w:val="28"/>
        </w:rPr>
      </w:pPr>
      <w:r>
        <w:rPr>
          <w:rFonts w:hint="eastAsia" w:ascii="仿宋" w:hAnsi="仿宋" w:eastAsia="仿宋" w:cs="仿宋"/>
          <w:b/>
          <w:sz w:val="28"/>
          <w:szCs w:val="28"/>
        </w:rPr>
        <w:t>货币及单位:人民币/元</w:t>
      </w:r>
    </w:p>
    <w:tbl>
      <w:tblPr>
        <w:tblStyle w:val="14"/>
        <w:tblW w:w="4996" w:type="pct"/>
        <w:tblInd w:w="0" w:type="dxa"/>
        <w:tblLayout w:type="fixed"/>
        <w:tblCellMar>
          <w:top w:w="0" w:type="dxa"/>
          <w:left w:w="108" w:type="dxa"/>
          <w:bottom w:w="0" w:type="dxa"/>
          <w:right w:w="108" w:type="dxa"/>
        </w:tblCellMar>
      </w:tblPr>
      <w:tblGrid>
        <w:gridCol w:w="664"/>
        <w:gridCol w:w="940"/>
        <w:gridCol w:w="3936"/>
        <w:gridCol w:w="1512"/>
        <w:gridCol w:w="744"/>
        <w:gridCol w:w="1483"/>
      </w:tblGrid>
      <w:tr w14:paraId="58E8E45E">
        <w:tblPrEx>
          <w:tblCellMar>
            <w:top w:w="0" w:type="dxa"/>
            <w:left w:w="108" w:type="dxa"/>
            <w:bottom w:w="0" w:type="dxa"/>
            <w:right w:w="108" w:type="dxa"/>
          </w:tblCellMar>
        </w:tblPrEx>
        <w:trPr>
          <w:trHeight w:val="570" w:hRule="atLeast"/>
        </w:trPr>
        <w:tc>
          <w:tcPr>
            <w:tcW w:w="357" w:type="pct"/>
            <w:tcBorders>
              <w:top w:val="single" w:color="000000" w:sz="4" w:space="0"/>
              <w:left w:val="single" w:color="000000" w:sz="4" w:space="0"/>
              <w:bottom w:val="single" w:color="000000" w:sz="4" w:space="0"/>
              <w:right w:val="single" w:color="000000" w:sz="4" w:space="0"/>
            </w:tcBorders>
            <w:noWrap w:val="0"/>
            <w:vAlign w:val="center"/>
          </w:tcPr>
          <w:p w14:paraId="67FB3AD2">
            <w:pPr>
              <w:spacing w:line="360" w:lineRule="auto"/>
              <w:jc w:val="center"/>
              <w:rPr>
                <w:rFonts w:ascii="仿宋" w:hAnsi="仿宋" w:eastAsia="仿宋" w:cs="仿宋"/>
                <w:sz w:val="28"/>
                <w:szCs w:val="28"/>
              </w:rPr>
            </w:pPr>
            <w:r>
              <w:rPr>
                <w:rFonts w:hint="eastAsia" w:ascii="仿宋" w:hAnsi="仿宋" w:eastAsia="仿宋" w:cs="仿宋"/>
                <w:sz w:val="28"/>
                <w:szCs w:val="28"/>
              </w:rPr>
              <w:t>序号</w:t>
            </w:r>
          </w:p>
        </w:tc>
        <w:tc>
          <w:tcPr>
            <w:tcW w:w="506" w:type="pct"/>
            <w:tcBorders>
              <w:top w:val="single" w:color="000000" w:sz="4" w:space="0"/>
              <w:left w:val="single" w:color="000000" w:sz="4" w:space="0"/>
              <w:bottom w:val="single" w:color="000000" w:sz="4" w:space="0"/>
              <w:right w:val="single" w:color="000000" w:sz="4" w:space="0"/>
            </w:tcBorders>
            <w:noWrap w:val="0"/>
            <w:vAlign w:val="center"/>
          </w:tcPr>
          <w:p w14:paraId="2E6ABF76">
            <w:pPr>
              <w:spacing w:line="360" w:lineRule="auto"/>
              <w:jc w:val="center"/>
              <w:rPr>
                <w:rFonts w:ascii="仿宋" w:hAnsi="仿宋" w:eastAsia="仿宋" w:cs="仿宋"/>
                <w:sz w:val="28"/>
                <w:szCs w:val="28"/>
              </w:rPr>
            </w:pPr>
            <w:r>
              <w:rPr>
                <w:rFonts w:hint="eastAsia" w:ascii="仿宋" w:hAnsi="仿宋" w:eastAsia="仿宋" w:cs="仿宋"/>
                <w:sz w:val="28"/>
                <w:szCs w:val="28"/>
              </w:rPr>
              <w:t>货物名称</w:t>
            </w:r>
          </w:p>
        </w:tc>
        <w:tc>
          <w:tcPr>
            <w:tcW w:w="2120" w:type="pct"/>
            <w:tcBorders>
              <w:top w:val="single" w:color="000000" w:sz="4" w:space="0"/>
              <w:left w:val="single" w:color="000000" w:sz="4" w:space="0"/>
              <w:bottom w:val="single" w:color="000000" w:sz="4" w:space="0"/>
              <w:right w:val="single" w:color="000000" w:sz="4" w:space="0"/>
            </w:tcBorders>
            <w:noWrap w:val="0"/>
            <w:vAlign w:val="center"/>
          </w:tcPr>
          <w:p w14:paraId="532A9EF6">
            <w:pPr>
              <w:spacing w:line="360" w:lineRule="auto"/>
              <w:jc w:val="center"/>
              <w:rPr>
                <w:rFonts w:ascii="仿宋" w:hAnsi="仿宋" w:eastAsia="仿宋" w:cs="仿宋"/>
                <w:sz w:val="28"/>
                <w:szCs w:val="28"/>
              </w:rPr>
            </w:pPr>
            <w:r>
              <w:rPr>
                <w:rFonts w:hint="eastAsia" w:ascii="仿宋" w:hAnsi="仿宋" w:eastAsia="仿宋" w:cs="仿宋"/>
                <w:sz w:val="28"/>
                <w:szCs w:val="28"/>
              </w:rPr>
              <w:t>规格型号</w:t>
            </w:r>
          </w:p>
        </w:tc>
        <w:tc>
          <w:tcPr>
            <w:tcW w:w="815" w:type="pct"/>
            <w:tcBorders>
              <w:top w:val="single" w:color="000000" w:sz="4" w:space="0"/>
              <w:left w:val="single" w:color="000000" w:sz="4" w:space="0"/>
              <w:bottom w:val="single" w:color="000000" w:sz="4" w:space="0"/>
              <w:right w:val="single" w:color="000000" w:sz="4" w:space="0"/>
            </w:tcBorders>
            <w:noWrap w:val="0"/>
            <w:vAlign w:val="center"/>
          </w:tcPr>
          <w:p w14:paraId="3E48CCFF">
            <w:pPr>
              <w:spacing w:line="360" w:lineRule="auto"/>
              <w:jc w:val="center"/>
              <w:rPr>
                <w:rFonts w:ascii="仿宋" w:hAnsi="仿宋" w:eastAsia="仿宋" w:cs="仿宋"/>
                <w:sz w:val="28"/>
                <w:szCs w:val="28"/>
              </w:rPr>
            </w:pPr>
            <w:r>
              <w:rPr>
                <w:rFonts w:hint="eastAsia" w:ascii="仿宋" w:hAnsi="仿宋" w:eastAsia="仿宋" w:cs="仿宋"/>
                <w:sz w:val="28"/>
                <w:szCs w:val="28"/>
              </w:rPr>
              <w:t>单价</w:t>
            </w: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161C55D7">
            <w:pPr>
              <w:spacing w:line="360" w:lineRule="auto"/>
              <w:jc w:val="center"/>
              <w:rPr>
                <w:rFonts w:ascii="仿宋" w:hAnsi="仿宋" w:eastAsia="仿宋" w:cs="仿宋"/>
                <w:sz w:val="28"/>
                <w:szCs w:val="28"/>
              </w:rPr>
            </w:pPr>
            <w:r>
              <w:rPr>
                <w:rFonts w:hint="eastAsia" w:ascii="仿宋" w:hAnsi="仿宋" w:eastAsia="仿宋" w:cs="仿宋"/>
                <w:sz w:val="28"/>
                <w:szCs w:val="28"/>
              </w:rPr>
              <w:t>数量</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14:paraId="11427421">
            <w:pPr>
              <w:spacing w:line="360" w:lineRule="auto"/>
              <w:jc w:val="center"/>
              <w:rPr>
                <w:rFonts w:ascii="仿宋" w:hAnsi="仿宋" w:eastAsia="仿宋" w:cs="仿宋"/>
                <w:sz w:val="28"/>
                <w:szCs w:val="28"/>
              </w:rPr>
            </w:pPr>
            <w:r>
              <w:rPr>
                <w:rFonts w:hint="eastAsia" w:ascii="仿宋" w:hAnsi="仿宋" w:eastAsia="仿宋" w:cs="仿宋"/>
                <w:sz w:val="28"/>
                <w:szCs w:val="28"/>
              </w:rPr>
              <w:t>总价</w:t>
            </w:r>
          </w:p>
        </w:tc>
      </w:tr>
      <w:tr w14:paraId="099D7F89">
        <w:tblPrEx>
          <w:tblCellMar>
            <w:top w:w="0" w:type="dxa"/>
            <w:left w:w="108" w:type="dxa"/>
            <w:bottom w:w="0" w:type="dxa"/>
            <w:right w:w="108" w:type="dxa"/>
          </w:tblCellMar>
        </w:tblPrEx>
        <w:trPr>
          <w:trHeight w:val="647" w:hRule="atLeast"/>
        </w:trPr>
        <w:tc>
          <w:tcPr>
            <w:tcW w:w="357" w:type="pct"/>
            <w:tcBorders>
              <w:top w:val="single" w:color="000000" w:sz="4" w:space="0"/>
              <w:left w:val="single" w:color="000000" w:sz="4" w:space="0"/>
              <w:bottom w:val="single" w:color="000000" w:sz="4" w:space="0"/>
              <w:right w:val="single" w:color="000000" w:sz="4" w:space="0"/>
            </w:tcBorders>
            <w:noWrap w:val="0"/>
            <w:vAlign w:val="center"/>
          </w:tcPr>
          <w:p w14:paraId="2034C10B">
            <w:pPr>
              <w:widowControl/>
              <w:spacing w:line="360" w:lineRule="auto"/>
              <w:jc w:val="center"/>
              <w:textAlignment w:val="center"/>
              <w:rPr>
                <w:rFonts w:ascii="仿宋" w:hAnsi="仿宋" w:eastAsia="仿宋" w:cs="仿宋"/>
                <w:color w:val="000000"/>
                <w:sz w:val="28"/>
                <w:szCs w:val="28"/>
              </w:rPr>
            </w:pPr>
            <w:r>
              <w:rPr>
                <w:rFonts w:hint="eastAsia" w:ascii="仿宋" w:hAnsi="仿宋" w:eastAsia="仿宋" w:cs="仿宋"/>
                <w:color w:val="000000"/>
                <w:kern w:val="0"/>
                <w:sz w:val="28"/>
                <w:szCs w:val="28"/>
              </w:rPr>
              <w:t>1</w:t>
            </w:r>
          </w:p>
        </w:tc>
        <w:tc>
          <w:tcPr>
            <w:tcW w:w="506" w:type="pct"/>
            <w:tcBorders>
              <w:top w:val="single" w:color="000000" w:sz="4" w:space="0"/>
              <w:left w:val="single" w:color="000000" w:sz="4" w:space="0"/>
              <w:bottom w:val="single" w:color="000000" w:sz="4" w:space="0"/>
              <w:right w:val="single" w:color="000000" w:sz="4" w:space="0"/>
            </w:tcBorders>
            <w:noWrap w:val="0"/>
            <w:vAlign w:val="center"/>
          </w:tcPr>
          <w:p w14:paraId="43AFF1E0">
            <w:pPr>
              <w:widowControl/>
              <w:spacing w:line="360" w:lineRule="auto"/>
              <w:jc w:val="center"/>
              <w:textAlignment w:val="center"/>
              <w:rPr>
                <w:rFonts w:ascii="仿宋" w:hAnsi="仿宋" w:eastAsia="仿宋" w:cs="仿宋"/>
                <w:color w:val="000000"/>
                <w:sz w:val="28"/>
                <w:szCs w:val="28"/>
              </w:rPr>
            </w:pPr>
          </w:p>
        </w:tc>
        <w:tc>
          <w:tcPr>
            <w:tcW w:w="2120" w:type="pct"/>
            <w:tcBorders>
              <w:top w:val="single" w:color="000000" w:sz="4" w:space="0"/>
              <w:left w:val="single" w:color="000000" w:sz="4" w:space="0"/>
              <w:bottom w:val="single" w:color="000000" w:sz="4" w:space="0"/>
              <w:right w:val="single" w:color="000000" w:sz="4" w:space="0"/>
            </w:tcBorders>
            <w:noWrap w:val="0"/>
            <w:vAlign w:val="center"/>
          </w:tcPr>
          <w:p w14:paraId="0A62F8D5">
            <w:pPr>
              <w:widowControl/>
              <w:numPr>
                <w:ilvl w:val="-1"/>
                <w:numId w:val="0"/>
              </w:numPr>
              <w:spacing w:line="360" w:lineRule="auto"/>
              <w:jc w:val="left"/>
              <w:textAlignment w:val="center"/>
              <w:rPr>
                <w:rStyle w:val="22"/>
                <w:rFonts w:hint="default" w:ascii="仿宋" w:hAnsi="仿宋" w:eastAsia="仿宋" w:cs="仿宋"/>
                <w:sz w:val="28"/>
                <w:szCs w:val="28"/>
              </w:rPr>
            </w:pPr>
          </w:p>
        </w:tc>
        <w:tc>
          <w:tcPr>
            <w:tcW w:w="815" w:type="pct"/>
            <w:tcBorders>
              <w:top w:val="single" w:color="000000" w:sz="4" w:space="0"/>
              <w:left w:val="single" w:color="000000" w:sz="4" w:space="0"/>
              <w:bottom w:val="single" w:color="000000" w:sz="4" w:space="0"/>
              <w:right w:val="single" w:color="000000" w:sz="4" w:space="0"/>
            </w:tcBorders>
            <w:noWrap w:val="0"/>
            <w:vAlign w:val="center"/>
          </w:tcPr>
          <w:p w14:paraId="3F26CBCE">
            <w:pPr>
              <w:widowControl/>
              <w:spacing w:line="360" w:lineRule="auto"/>
              <w:jc w:val="center"/>
              <w:textAlignment w:val="center"/>
              <w:rPr>
                <w:rFonts w:ascii="仿宋" w:hAnsi="仿宋" w:eastAsia="仿宋" w:cs="仿宋"/>
                <w:color w:val="000000"/>
                <w:sz w:val="28"/>
                <w:szCs w:val="28"/>
              </w:rPr>
            </w:pPr>
          </w:p>
        </w:tc>
        <w:tc>
          <w:tcPr>
            <w:tcW w:w="400" w:type="pct"/>
            <w:tcBorders>
              <w:top w:val="single" w:color="000000" w:sz="4" w:space="0"/>
              <w:left w:val="single" w:color="000000" w:sz="4" w:space="0"/>
              <w:bottom w:val="single" w:color="000000" w:sz="4" w:space="0"/>
              <w:right w:val="single" w:color="000000" w:sz="4" w:space="0"/>
            </w:tcBorders>
            <w:noWrap w:val="0"/>
            <w:vAlign w:val="center"/>
          </w:tcPr>
          <w:p w14:paraId="059E7FDB">
            <w:pPr>
              <w:widowControl/>
              <w:spacing w:line="360" w:lineRule="auto"/>
              <w:jc w:val="center"/>
              <w:textAlignment w:val="center"/>
              <w:rPr>
                <w:rFonts w:ascii="仿宋" w:hAnsi="仿宋" w:eastAsia="仿宋" w:cs="仿宋"/>
                <w:color w:val="000000"/>
                <w:sz w:val="28"/>
                <w:szCs w:val="28"/>
              </w:rPr>
            </w:pPr>
          </w:p>
        </w:tc>
        <w:tc>
          <w:tcPr>
            <w:tcW w:w="799" w:type="pct"/>
            <w:tcBorders>
              <w:top w:val="single" w:color="000000" w:sz="4" w:space="0"/>
              <w:left w:val="single" w:color="000000" w:sz="4" w:space="0"/>
              <w:bottom w:val="single" w:color="000000" w:sz="4" w:space="0"/>
              <w:right w:val="single" w:color="000000" w:sz="4" w:space="0"/>
            </w:tcBorders>
            <w:noWrap w:val="0"/>
            <w:vAlign w:val="center"/>
          </w:tcPr>
          <w:p w14:paraId="50160C8D">
            <w:pPr>
              <w:widowControl/>
              <w:spacing w:line="360" w:lineRule="auto"/>
              <w:jc w:val="center"/>
              <w:textAlignment w:val="center"/>
              <w:rPr>
                <w:rFonts w:ascii="仿宋" w:hAnsi="仿宋" w:eastAsia="仿宋" w:cs="仿宋"/>
                <w:color w:val="000000"/>
                <w:sz w:val="28"/>
                <w:szCs w:val="28"/>
              </w:rPr>
            </w:pPr>
          </w:p>
        </w:tc>
      </w:tr>
      <w:tr w14:paraId="162475F8">
        <w:tblPrEx>
          <w:tblCellMar>
            <w:top w:w="0" w:type="dxa"/>
            <w:left w:w="108" w:type="dxa"/>
            <w:bottom w:w="0" w:type="dxa"/>
            <w:right w:w="108" w:type="dxa"/>
          </w:tblCellMar>
        </w:tblPrEx>
        <w:trPr>
          <w:trHeight w:val="647" w:hRule="atLeast"/>
        </w:trPr>
        <w:tc>
          <w:tcPr>
            <w:tcW w:w="357" w:type="pct"/>
            <w:tcBorders>
              <w:top w:val="single" w:color="000000" w:sz="4" w:space="0"/>
              <w:left w:val="single" w:color="000000" w:sz="4" w:space="0"/>
              <w:bottom w:val="single" w:color="000000" w:sz="4" w:space="0"/>
              <w:right w:val="single" w:color="000000" w:sz="4" w:space="0"/>
            </w:tcBorders>
            <w:noWrap w:val="0"/>
            <w:vAlign w:val="center"/>
          </w:tcPr>
          <w:p w14:paraId="56C76E0F">
            <w:pPr>
              <w:widowControl/>
              <w:spacing w:line="360" w:lineRule="auto"/>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2</w:t>
            </w:r>
          </w:p>
        </w:tc>
        <w:tc>
          <w:tcPr>
            <w:tcW w:w="506" w:type="pct"/>
            <w:tcBorders>
              <w:top w:val="single" w:color="000000" w:sz="4" w:space="0"/>
              <w:left w:val="single" w:color="000000" w:sz="4" w:space="0"/>
              <w:bottom w:val="single" w:color="000000" w:sz="4" w:space="0"/>
              <w:right w:val="single" w:color="000000" w:sz="4" w:space="0"/>
            </w:tcBorders>
            <w:noWrap w:val="0"/>
            <w:vAlign w:val="center"/>
          </w:tcPr>
          <w:p w14:paraId="1FCB2293">
            <w:pPr>
              <w:widowControl/>
              <w:spacing w:line="360" w:lineRule="auto"/>
              <w:jc w:val="center"/>
              <w:textAlignment w:val="center"/>
              <w:rPr>
                <w:rFonts w:ascii="仿宋" w:hAnsi="仿宋" w:eastAsia="仿宋" w:cs="仿宋"/>
                <w:color w:val="000000"/>
                <w:kern w:val="0"/>
                <w:sz w:val="28"/>
                <w:szCs w:val="28"/>
              </w:rPr>
            </w:pPr>
            <w:r>
              <w:rPr>
                <w:rFonts w:hint="eastAsia" w:ascii="仿宋" w:hAnsi="仿宋" w:eastAsia="仿宋" w:cs="仿宋"/>
                <w:color w:val="000000"/>
                <w:kern w:val="0"/>
                <w:sz w:val="28"/>
                <w:szCs w:val="28"/>
              </w:rPr>
              <w:t>合计</w:t>
            </w:r>
          </w:p>
        </w:tc>
        <w:tc>
          <w:tcPr>
            <w:tcW w:w="3336" w:type="pct"/>
            <w:gridSpan w:val="3"/>
            <w:tcBorders>
              <w:top w:val="single" w:color="000000" w:sz="4" w:space="0"/>
              <w:left w:val="single" w:color="000000" w:sz="4" w:space="0"/>
              <w:bottom w:val="single" w:color="000000" w:sz="4" w:space="0"/>
              <w:right w:val="single" w:color="000000" w:sz="4" w:space="0"/>
            </w:tcBorders>
            <w:noWrap w:val="0"/>
            <w:vAlign w:val="center"/>
          </w:tcPr>
          <w:p w14:paraId="75BE6225">
            <w:pPr>
              <w:widowControl/>
              <w:spacing w:line="360" w:lineRule="auto"/>
              <w:jc w:val="center"/>
              <w:textAlignment w:val="center"/>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大写：</w:t>
            </w:r>
            <w:r>
              <w:rPr>
                <w:rFonts w:hint="eastAsia" w:ascii="仿宋" w:hAnsi="仿宋" w:eastAsia="仿宋" w:cs="仿宋"/>
                <w:color w:val="000000"/>
                <w:kern w:val="0"/>
                <w:sz w:val="28"/>
                <w:szCs w:val="28"/>
                <w:lang w:val="en-US" w:eastAsia="zh-CN"/>
              </w:rPr>
              <w:t>XXX(</w:t>
            </w:r>
            <w:r>
              <w:rPr>
                <w:rFonts w:hint="eastAsia" w:ascii="仿宋" w:hAnsi="仿宋" w:eastAsia="仿宋" w:cs="仿宋"/>
                <w:sz w:val="28"/>
              </w:rPr>
              <w:t>含税</w:t>
            </w:r>
            <w:r>
              <w:rPr>
                <w:rFonts w:hint="eastAsia" w:ascii="仿宋" w:hAnsi="仿宋" w:eastAsia="仿宋" w:cs="仿宋"/>
                <w:sz w:val="28"/>
                <w:lang w:val="en-US" w:eastAsia="zh-CN"/>
              </w:rPr>
              <w:t>价)</w:t>
            </w:r>
          </w:p>
        </w:tc>
        <w:tc>
          <w:tcPr>
            <w:tcW w:w="799" w:type="pct"/>
            <w:tcBorders>
              <w:top w:val="single" w:color="000000" w:sz="4" w:space="0"/>
              <w:left w:val="single" w:color="000000" w:sz="4" w:space="0"/>
              <w:bottom w:val="single" w:color="000000" w:sz="4" w:space="0"/>
              <w:right w:val="single" w:color="000000" w:sz="4" w:space="0"/>
            </w:tcBorders>
            <w:noWrap w:val="0"/>
            <w:vAlign w:val="center"/>
          </w:tcPr>
          <w:p w14:paraId="2C79D239">
            <w:pPr>
              <w:widowControl/>
              <w:spacing w:line="360" w:lineRule="auto"/>
              <w:jc w:val="center"/>
              <w:textAlignment w:val="center"/>
              <w:rPr>
                <w:rFonts w:ascii="仿宋" w:hAnsi="仿宋" w:eastAsia="仿宋" w:cs="仿宋"/>
                <w:color w:val="000000"/>
                <w:kern w:val="0"/>
                <w:sz w:val="28"/>
                <w:szCs w:val="28"/>
              </w:rPr>
            </w:pPr>
          </w:p>
        </w:tc>
      </w:tr>
    </w:tbl>
    <w:p w14:paraId="29BED0E2">
      <w:pPr>
        <w:spacing w:line="276" w:lineRule="auto"/>
        <w:ind w:firstLine="560" w:firstLineChars="200"/>
        <w:rPr>
          <w:rFonts w:ascii="仿宋" w:hAnsi="仿宋" w:eastAsia="仿宋" w:cs="仿宋"/>
          <w:sz w:val="28"/>
        </w:rPr>
      </w:pPr>
      <w:r>
        <w:rPr>
          <w:rFonts w:hint="eastAsia" w:ascii="仿宋" w:hAnsi="仿宋" w:eastAsia="仿宋" w:cs="仿宋"/>
          <w:sz w:val="28"/>
        </w:rPr>
        <w:t>产品技术参数：详见附件一。</w:t>
      </w:r>
    </w:p>
    <w:p w14:paraId="4D97FF79">
      <w:pPr>
        <w:tabs>
          <w:tab w:val="left" w:pos="480"/>
        </w:tabs>
        <w:spacing w:line="276" w:lineRule="auto"/>
        <w:ind w:firstLine="473" w:firstLineChars="196"/>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二、服务条件：</w:t>
      </w:r>
    </w:p>
    <w:p w14:paraId="68854545">
      <w:pPr>
        <w:spacing w:line="276" w:lineRule="auto"/>
        <w:ind w:firstLine="560" w:firstLineChars="200"/>
        <w:rPr>
          <w:rFonts w:ascii="仿宋" w:hAnsi="仿宋" w:eastAsia="仿宋" w:cs="仿宋"/>
          <w:sz w:val="28"/>
        </w:rPr>
      </w:pPr>
      <w:r>
        <w:rPr>
          <w:rFonts w:hint="eastAsia" w:ascii="仿宋" w:hAnsi="仿宋" w:eastAsia="仿宋" w:cs="仿宋"/>
          <w:sz w:val="28"/>
        </w:rPr>
        <w:t>（一）服务地点：甲方指定地点。</w:t>
      </w:r>
    </w:p>
    <w:p w14:paraId="60FC705A">
      <w:pPr>
        <w:spacing w:line="276" w:lineRule="auto"/>
        <w:ind w:firstLine="560" w:firstLineChars="200"/>
        <w:rPr>
          <w:rFonts w:ascii="仿宋" w:hAnsi="仿宋" w:eastAsia="仿宋" w:cs="仿宋"/>
          <w:sz w:val="28"/>
        </w:rPr>
      </w:pPr>
      <w:r>
        <w:rPr>
          <w:rFonts w:hint="eastAsia" w:ascii="仿宋" w:hAnsi="仿宋" w:eastAsia="仿宋" w:cs="仿宋"/>
          <w:sz w:val="28"/>
        </w:rPr>
        <w:t>（二）服务期：一年。</w:t>
      </w:r>
    </w:p>
    <w:p w14:paraId="23B70749">
      <w:pPr>
        <w:tabs>
          <w:tab w:val="left" w:pos="480"/>
        </w:tabs>
        <w:spacing w:line="276" w:lineRule="auto"/>
        <w:ind w:firstLine="473" w:firstLineChars="196"/>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三、合同价款</w:t>
      </w:r>
    </w:p>
    <w:p w14:paraId="4C766154">
      <w:pPr>
        <w:spacing w:line="276" w:lineRule="auto"/>
        <w:ind w:firstLine="560" w:firstLineChars="200"/>
        <w:rPr>
          <w:rFonts w:ascii="仿宋" w:hAnsi="仿宋" w:eastAsia="仿宋" w:cs="仿宋"/>
          <w:sz w:val="28"/>
        </w:rPr>
      </w:pPr>
      <w:r>
        <w:rPr>
          <w:rFonts w:hint="eastAsia" w:ascii="仿宋" w:hAnsi="仿宋" w:eastAsia="仿宋" w:cs="仿宋"/>
          <w:sz w:val="28"/>
        </w:rPr>
        <w:t>（一）合同总价款为人民币（大写）</w:t>
      </w:r>
      <w:r>
        <w:rPr>
          <w:rFonts w:hint="eastAsia" w:ascii="仿宋" w:hAnsi="仿宋" w:eastAsia="仿宋" w:cs="仿宋"/>
          <w:sz w:val="28"/>
          <w:u w:val="single"/>
          <w:lang w:val="en-US" w:eastAsia="zh-CN"/>
        </w:rPr>
        <w:t>XXX</w:t>
      </w:r>
      <w:r>
        <w:rPr>
          <w:rFonts w:hint="eastAsia" w:ascii="仿宋" w:hAnsi="仿宋" w:eastAsia="仿宋" w:cs="仿宋"/>
          <w:sz w:val="28"/>
          <w:u w:val="single"/>
        </w:rPr>
        <w:t>元整</w:t>
      </w:r>
      <w:r>
        <w:rPr>
          <w:rFonts w:hint="eastAsia" w:ascii="仿宋" w:hAnsi="仿宋" w:eastAsia="仿宋" w:cs="仿宋"/>
          <w:sz w:val="28"/>
        </w:rPr>
        <w:t>；¥</w:t>
      </w:r>
      <w:r>
        <w:rPr>
          <w:rFonts w:hint="eastAsia" w:ascii="仿宋" w:hAnsi="仿宋" w:eastAsia="仿宋" w:cs="仿宋"/>
          <w:sz w:val="28"/>
          <w:u w:val="single"/>
          <w:lang w:val="en-US" w:eastAsia="zh-CN"/>
        </w:rPr>
        <w:t>XXX</w:t>
      </w:r>
      <w:r>
        <w:rPr>
          <w:rFonts w:hint="eastAsia" w:ascii="仿宋" w:hAnsi="仿宋" w:eastAsia="仿宋" w:cs="仿宋"/>
          <w:sz w:val="28"/>
          <w:u w:val="single"/>
        </w:rPr>
        <w:t>.00</w:t>
      </w:r>
      <w:r>
        <w:rPr>
          <w:rFonts w:hint="eastAsia" w:ascii="仿宋" w:hAnsi="仿宋" w:eastAsia="仿宋" w:cs="仿宋"/>
          <w:sz w:val="28"/>
        </w:rPr>
        <w:t>元。</w:t>
      </w:r>
    </w:p>
    <w:p w14:paraId="4374113E">
      <w:pPr>
        <w:spacing w:line="276" w:lineRule="auto"/>
        <w:ind w:firstLine="560" w:firstLineChars="200"/>
        <w:rPr>
          <w:rFonts w:ascii="仿宋" w:hAnsi="仿宋" w:eastAsia="仿宋" w:cs="仿宋"/>
          <w:sz w:val="28"/>
        </w:rPr>
      </w:pPr>
      <w:r>
        <w:rPr>
          <w:rFonts w:hint="eastAsia" w:ascii="仿宋" w:hAnsi="仿宋" w:eastAsia="仿宋" w:cs="仿宋"/>
          <w:sz w:val="28"/>
        </w:rPr>
        <w:t>（二）合同总价包括但不限于：软件费、运维服务费、人工费、安装费、检测费及其他伴随费用、税费等</w:t>
      </w:r>
      <w:r>
        <w:rPr>
          <w:rFonts w:hint="eastAsia" w:ascii="仿宋" w:hAnsi="仿宋" w:eastAsia="仿宋" w:cs="仿宋"/>
          <w:sz w:val="28"/>
          <w:szCs w:val="28"/>
        </w:rPr>
        <w:t>完成本项目所需的一切费用。</w:t>
      </w:r>
    </w:p>
    <w:p w14:paraId="6CC90C44">
      <w:pPr>
        <w:spacing w:line="276" w:lineRule="auto"/>
        <w:ind w:firstLine="560" w:firstLineChars="200"/>
        <w:rPr>
          <w:rFonts w:ascii="仿宋" w:hAnsi="仿宋" w:eastAsia="仿宋" w:cs="仿宋"/>
          <w:sz w:val="28"/>
        </w:rPr>
      </w:pPr>
      <w:r>
        <w:rPr>
          <w:rFonts w:hint="eastAsia" w:ascii="仿宋" w:hAnsi="仿宋" w:eastAsia="仿宋" w:cs="仿宋"/>
          <w:sz w:val="28"/>
        </w:rPr>
        <w:t>（三）合同</w:t>
      </w:r>
      <w:r>
        <w:rPr>
          <w:rFonts w:hint="eastAsia" w:ascii="仿宋" w:hAnsi="仿宋" w:eastAsia="仿宋" w:cs="仿宋"/>
          <w:sz w:val="28"/>
          <w:lang w:val="en-US" w:eastAsia="zh-CN"/>
        </w:rPr>
        <w:t>单</w:t>
      </w:r>
      <w:r>
        <w:rPr>
          <w:rFonts w:hint="eastAsia" w:ascii="仿宋" w:hAnsi="仿宋" w:eastAsia="仿宋" w:cs="仿宋"/>
          <w:sz w:val="28"/>
        </w:rPr>
        <w:t>价一次性包死，不受市场价格变化因素的影响。</w:t>
      </w:r>
    </w:p>
    <w:p w14:paraId="14203322">
      <w:pPr>
        <w:tabs>
          <w:tab w:val="left" w:pos="480"/>
        </w:tabs>
        <w:spacing w:line="276" w:lineRule="auto"/>
        <w:ind w:firstLine="473" w:firstLineChars="196"/>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四、款项结算</w:t>
      </w:r>
    </w:p>
    <w:p w14:paraId="52344E70">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（一）结算比例</w:t>
      </w:r>
    </w:p>
    <w:p w14:paraId="62FF3765">
      <w:pPr>
        <w:widowControl/>
        <w:spacing w:line="276" w:lineRule="auto"/>
        <w:ind w:firstLine="560" w:firstLineChars="200"/>
        <w:jc w:val="left"/>
        <w:rPr>
          <w:rFonts w:hint="eastAsia" w:ascii="仿宋" w:hAnsi="仿宋" w:eastAsia="仿宋" w:cs="仿宋"/>
          <w:sz w:val="28"/>
        </w:rPr>
      </w:pPr>
      <w:r>
        <w:rPr>
          <w:rFonts w:hint="eastAsia" w:ascii="仿宋" w:hAnsi="仿宋" w:eastAsia="仿宋" w:cs="仿宋"/>
          <w:sz w:val="28"/>
        </w:rPr>
        <w:t>合同签订后</w:t>
      </w:r>
      <w:r>
        <w:rPr>
          <w:rFonts w:hint="eastAsia" w:ascii="仿宋" w:hAnsi="仿宋" w:eastAsia="仿宋" w:cs="仿宋"/>
          <w:sz w:val="28"/>
          <w:lang w:val="en-US" w:eastAsia="zh-CN"/>
        </w:rPr>
        <w:t>,</w:t>
      </w:r>
      <w:r>
        <w:rPr>
          <w:rFonts w:hint="eastAsia" w:ascii="仿宋" w:hAnsi="仿宋" w:eastAsia="仿宋" w:cs="仿宋"/>
          <w:sz w:val="28"/>
        </w:rPr>
        <w:t>乙方开始项目实施；根据所供货物实际数量据结算。各种规格类型月货物费：根据该规格型号类型实际采购数量（该规格型号类型当月实际采购数量×该规格型号类型中标单价）。</w:t>
      </w:r>
    </w:p>
    <w:p w14:paraId="4D5D2C94">
      <w:pPr>
        <w:widowControl/>
        <w:spacing w:line="276" w:lineRule="auto"/>
        <w:ind w:firstLine="560" w:firstLineChars="200"/>
        <w:jc w:val="left"/>
        <w:rPr>
          <w:rFonts w:ascii="仿宋" w:hAnsi="仿宋" w:eastAsia="仿宋" w:cs="仿宋"/>
          <w:sz w:val="28"/>
        </w:rPr>
      </w:pPr>
      <w:bookmarkStart w:id="0" w:name="_GoBack"/>
      <w:r>
        <w:rPr>
          <w:rFonts w:hint="eastAsia" w:ascii="仿宋" w:hAnsi="仿宋" w:eastAsia="仿宋" w:cs="仿宋"/>
          <w:sz w:val="28"/>
        </w:rPr>
        <w:t>根据所供货物实际数量据实每月底结算一次。</w:t>
      </w:r>
    </w:p>
    <w:bookmarkEnd w:id="0"/>
    <w:p w14:paraId="04716DCD">
      <w:pPr>
        <w:numPr>
          <w:ilvl w:val="0"/>
          <w:numId w:val="2"/>
        </w:numPr>
        <w:spacing w:line="276" w:lineRule="auto"/>
        <w:ind w:firstLine="560" w:firstLineChars="200"/>
        <w:rPr>
          <w:rFonts w:ascii="仿宋" w:hAnsi="仿宋" w:eastAsia="仿宋" w:cs="仿宋"/>
          <w:sz w:val="28"/>
        </w:rPr>
      </w:pPr>
      <w:r>
        <w:rPr>
          <w:rFonts w:hint="eastAsia" w:ascii="仿宋" w:hAnsi="仿宋" w:eastAsia="仿宋" w:cs="仿宋"/>
          <w:sz w:val="28"/>
        </w:rPr>
        <w:t>支付方式：银行转账。</w:t>
      </w:r>
    </w:p>
    <w:p w14:paraId="33790BFF">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乙方信息如下：</w:t>
      </w:r>
    </w:p>
    <w:p w14:paraId="6E9B2650">
      <w:pPr>
        <w:spacing w:line="276" w:lineRule="auto"/>
        <w:ind w:firstLine="1120" w:firstLineChars="400"/>
        <w:rPr>
          <w:rFonts w:hint="eastAsia" w:ascii="仿宋" w:hAnsi="仿宋" w:eastAsia="仿宋" w:cs="仿宋"/>
          <w:sz w:val="28"/>
          <w:szCs w:val="28"/>
        </w:rPr>
      </w:pPr>
      <w:r>
        <w:rPr>
          <w:rFonts w:hint="eastAsia" w:ascii="仿宋" w:hAnsi="仿宋" w:eastAsia="仿宋" w:cs="仿宋"/>
          <w:sz w:val="28"/>
          <w:szCs w:val="28"/>
        </w:rPr>
        <w:t>开户行：</w:t>
      </w:r>
    </w:p>
    <w:p w14:paraId="2D608C04">
      <w:pPr>
        <w:spacing w:line="276" w:lineRule="auto"/>
        <w:ind w:firstLine="1120" w:firstLineChars="400"/>
        <w:rPr>
          <w:rFonts w:hint="eastAsia" w:ascii="仿宋" w:hAnsi="仿宋" w:eastAsia="仿宋" w:cs="仿宋"/>
          <w:sz w:val="28"/>
          <w:szCs w:val="28"/>
        </w:rPr>
      </w:pPr>
      <w:r>
        <w:rPr>
          <w:rFonts w:hint="eastAsia" w:ascii="仿宋" w:hAnsi="仿宋" w:eastAsia="仿宋" w:cs="仿宋"/>
          <w:sz w:val="28"/>
          <w:szCs w:val="28"/>
        </w:rPr>
        <w:t>户名：</w:t>
      </w:r>
    </w:p>
    <w:p w14:paraId="5B22045A">
      <w:pPr>
        <w:spacing w:line="276" w:lineRule="auto"/>
        <w:ind w:firstLine="1120" w:firstLineChars="400"/>
        <w:rPr>
          <w:rFonts w:hint="eastAsia" w:ascii="仿宋" w:hAnsi="仿宋" w:eastAsia="仿宋" w:cs="仿宋"/>
          <w:sz w:val="28"/>
          <w:szCs w:val="28"/>
        </w:rPr>
      </w:pPr>
      <w:r>
        <w:rPr>
          <w:rFonts w:hint="eastAsia" w:ascii="仿宋" w:hAnsi="仿宋" w:eastAsia="仿宋" w:cs="仿宋"/>
          <w:sz w:val="28"/>
          <w:szCs w:val="28"/>
        </w:rPr>
        <w:t>账号：</w:t>
      </w:r>
    </w:p>
    <w:p w14:paraId="5C9FA71C">
      <w:pPr>
        <w:spacing w:line="276" w:lineRule="auto"/>
        <w:ind w:firstLine="1120" w:firstLineChars="400"/>
        <w:rPr>
          <w:rFonts w:hint="eastAsia" w:ascii="仿宋" w:hAnsi="仿宋" w:eastAsia="仿宋" w:cs="仿宋"/>
          <w:sz w:val="28"/>
          <w:szCs w:val="28"/>
        </w:rPr>
      </w:pPr>
      <w:r>
        <w:rPr>
          <w:rFonts w:hint="eastAsia" w:ascii="仿宋" w:hAnsi="仿宋" w:eastAsia="仿宋" w:cs="仿宋"/>
          <w:sz w:val="28"/>
          <w:szCs w:val="28"/>
        </w:rPr>
        <w:t>纳税人识别号：</w:t>
      </w:r>
    </w:p>
    <w:p w14:paraId="6C0A504B">
      <w:pPr>
        <w:spacing w:line="276" w:lineRule="auto"/>
        <w:ind w:firstLine="1120" w:firstLineChars="400"/>
        <w:rPr>
          <w:rFonts w:hint="eastAsia" w:ascii="仿宋" w:hAnsi="仿宋" w:eastAsia="仿宋" w:cs="仿宋"/>
          <w:sz w:val="28"/>
          <w:szCs w:val="28"/>
        </w:rPr>
      </w:pPr>
      <w:r>
        <w:rPr>
          <w:rFonts w:hint="eastAsia" w:ascii="仿宋" w:hAnsi="仿宋" w:eastAsia="仿宋" w:cs="仿宋"/>
          <w:sz w:val="28"/>
          <w:szCs w:val="28"/>
        </w:rPr>
        <w:t>地址：</w:t>
      </w:r>
    </w:p>
    <w:p w14:paraId="2BD5374B">
      <w:pPr>
        <w:spacing w:line="276" w:lineRule="auto"/>
        <w:ind w:firstLine="1120" w:firstLineChars="400"/>
        <w:rPr>
          <w:rFonts w:hint="eastAsia" w:ascii="仿宋" w:hAnsi="仿宋" w:eastAsia="仿宋" w:cs="仿宋"/>
          <w:sz w:val="28"/>
          <w:szCs w:val="28"/>
        </w:rPr>
      </w:pPr>
      <w:r>
        <w:rPr>
          <w:rFonts w:hint="eastAsia" w:ascii="仿宋" w:hAnsi="仿宋" w:eastAsia="仿宋" w:cs="仿宋"/>
          <w:sz w:val="28"/>
          <w:szCs w:val="28"/>
        </w:rPr>
        <w:t>电话：</w:t>
      </w:r>
    </w:p>
    <w:p w14:paraId="79B2A75B">
      <w:pPr>
        <w:spacing w:line="276" w:lineRule="auto"/>
        <w:ind w:firstLine="560" w:firstLineChars="200"/>
        <w:rPr>
          <w:rFonts w:ascii="仿宋" w:hAnsi="仿宋" w:eastAsia="仿宋" w:cs="仿宋"/>
          <w:sz w:val="28"/>
        </w:rPr>
      </w:pPr>
      <w:r>
        <w:rPr>
          <w:rFonts w:hint="eastAsia" w:ascii="仿宋" w:hAnsi="仿宋" w:eastAsia="仿宋" w:cs="仿宋"/>
          <w:sz w:val="28"/>
        </w:rPr>
        <w:t>（三）结算方式：验收合格后，乙方持成交通知书、服务合同、正式发票、项目验收单，与甲方结算。</w:t>
      </w:r>
    </w:p>
    <w:p w14:paraId="251BDE61">
      <w:pPr>
        <w:spacing w:line="276" w:lineRule="auto"/>
        <w:ind w:firstLine="482" w:firstLineChars="200"/>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五、双方的权利和义务</w:t>
      </w:r>
    </w:p>
    <w:p w14:paraId="743F5044">
      <w:pPr>
        <w:spacing w:line="276" w:lineRule="auto"/>
        <w:ind w:firstLine="560" w:firstLineChars="200"/>
        <w:rPr>
          <w:rFonts w:ascii="仿宋" w:hAnsi="仿宋" w:eastAsia="仿宋" w:cs="仿宋"/>
          <w:sz w:val="28"/>
        </w:rPr>
      </w:pPr>
      <w:r>
        <w:rPr>
          <w:rFonts w:hint="eastAsia" w:ascii="仿宋" w:hAnsi="仿宋" w:eastAsia="仿宋" w:cs="仿宋"/>
          <w:sz w:val="28"/>
        </w:rPr>
        <w:t>（一）甲方的权利和义务</w:t>
      </w:r>
    </w:p>
    <w:p w14:paraId="5844F84B">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1、负责检查监督乙方管理工作的实施及制度的执行情况。</w:t>
      </w:r>
    </w:p>
    <w:p w14:paraId="21BE458C">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2、根据本合同规定，按时向乙方支付应付服务费用。</w:t>
      </w:r>
    </w:p>
    <w:p w14:paraId="1B143992">
      <w:pPr>
        <w:widowControl/>
        <w:spacing w:line="276" w:lineRule="auto"/>
        <w:ind w:firstLine="560" w:firstLineChars="200"/>
        <w:jc w:val="left"/>
      </w:pPr>
      <w:r>
        <w:rPr>
          <w:rFonts w:hint="eastAsia" w:ascii="仿宋" w:hAnsi="仿宋" w:eastAsia="仿宋" w:cs="仿宋"/>
          <w:sz w:val="28"/>
        </w:rPr>
        <w:t>3、国家法律、法规所规定由甲方承担的其它责任。</w:t>
      </w:r>
    </w:p>
    <w:p w14:paraId="625EB087">
      <w:pPr>
        <w:numPr>
          <w:ilvl w:val="0"/>
          <w:numId w:val="3"/>
        </w:numPr>
        <w:spacing w:line="276" w:lineRule="auto"/>
        <w:ind w:firstLine="560" w:firstLineChars="200"/>
        <w:rPr>
          <w:rFonts w:ascii="仿宋" w:hAnsi="仿宋" w:eastAsia="仿宋" w:cs="仿宋"/>
          <w:sz w:val="28"/>
        </w:rPr>
      </w:pPr>
      <w:r>
        <w:rPr>
          <w:rFonts w:hint="eastAsia" w:ascii="仿宋" w:hAnsi="仿宋" w:eastAsia="仿宋" w:cs="仿宋"/>
          <w:sz w:val="28"/>
        </w:rPr>
        <w:t>乙方的权利和义务</w:t>
      </w:r>
    </w:p>
    <w:p w14:paraId="0148BC08">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1、根据本合同的规定向甲方收取相关服务费用，并有权在本项目管理范围内管理及合理使用。</w:t>
      </w:r>
    </w:p>
    <w:p w14:paraId="7C20FDE6">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2、及时向甲方通告本项目服务范围内有关服务的重大事项，及时配合处理投诉。</w:t>
      </w:r>
    </w:p>
    <w:p w14:paraId="2C027ED0">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3、国家法律、法规所规定由乙方承担的其它责任。</w:t>
      </w:r>
    </w:p>
    <w:p w14:paraId="37153F2F">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4、乙方应按照合同约定的交货时间完成</w:t>
      </w:r>
      <w:r>
        <w:rPr>
          <w:rFonts w:hint="eastAsia" w:ascii="仿宋" w:hAnsi="仿宋" w:eastAsia="仿宋" w:cs="仿宋"/>
          <w:sz w:val="28"/>
          <w:lang w:val="en-US" w:eastAsia="zh-CN"/>
        </w:rPr>
        <w:t>xxx</w:t>
      </w:r>
      <w:r>
        <w:rPr>
          <w:rFonts w:hint="eastAsia" w:ascii="仿宋" w:hAnsi="仿宋" w:eastAsia="仿宋" w:cs="仿宋"/>
          <w:sz w:val="28"/>
        </w:rPr>
        <w:t>项目交付，并经甲方验收合格。</w:t>
      </w:r>
    </w:p>
    <w:p w14:paraId="4505EF2C">
      <w:pPr>
        <w:numPr>
          <w:ilvl w:val="0"/>
          <w:numId w:val="4"/>
        </w:numPr>
        <w:tabs>
          <w:tab w:val="left" w:pos="480"/>
        </w:tabs>
        <w:spacing w:line="276" w:lineRule="auto"/>
        <w:ind w:firstLine="473" w:firstLineChars="196"/>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质量保证</w:t>
      </w:r>
    </w:p>
    <w:p w14:paraId="3374DE8A">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1、质保期：验收合格之日起</w:t>
      </w:r>
      <w:r>
        <w:rPr>
          <w:rFonts w:hint="eastAsia" w:ascii="仿宋" w:hAnsi="仿宋" w:eastAsia="仿宋" w:cs="仿宋"/>
          <w:sz w:val="28"/>
          <w:lang w:val="en-US" w:eastAsia="zh-CN"/>
        </w:rPr>
        <w:t>1</w:t>
      </w:r>
      <w:r>
        <w:rPr>
          <w:rFonts w:hint="eastAsia" w:ascii="仿宋" w:hAnsi="仿宋" w:eastAsia="仿宋" w:cs="仿宋"/>
          <w:sz w:val="28"/>
        </w:rPr>
        <w:t xml:space="preserve">年。 </w:t>
      </w:r>
    </w:p>
    <w:p w14:paraId="7E8177EC">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 xml:space="preserve">2、质保期内乙方提供各种售后服务，包括但不限于故障排除、漏洞修复、软件大版本升级、在线答疑、现场服务、定期回访、技术培训等售后服务；对于发现的软件自身功能问题，提供永久支持、及时给予圆满解决，相关费用包含在响应报价中，甲方不再另行支付。 </w:t>
      </w:r>
    </w:p>
    <w:p w14:paraId="0200C83D">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3、质保期内系统出现故障时，甲方须提供7×24小时服务响应；一般问题1小时内响应，2小时内处理，紧急问题或重大故障1小时内赶到现场，4小时内处理，保证系统正常运行。根据甲方时间安排提供至少两次的本地服务。</w:t>
      </w:r>
    </w:p>
    <w:p w14:paraId="1438F323">
      <w:pPr>
        <w:spacing w:line="276" w:lineRule="auto"/>
        <w:ind w:firstLine="482" w:firstLineChars="200"/>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七、验收</w:t>
      </w:r>
    </w:p>
    <w:p w14:paraId="6DBCCF57">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（一）乙方</w:t>
      </w:r>
      <w:r>
        <w:rPr>
          <w:rFonts w:hint="eastAsia" w:ascii="仿宋" w:hAnsi="仿宋" w:eastAsia="仿宋" w:cs="仿宋"/>
          <w:color w:val="000000"/>
          <w:kern w:val="0"/>
          <w:sz w:val="28"/>
          <w:szCs w:val="28"/>
        </w:rPr>
        <w:t>开通服务后，由乙方进行自检，自检合格后邀请甲方进行验收。甲方确认乙方的自检内容后，组织乙方（必要时请有关专家，由此产生的专家费由乙方承担）进行验收，验收合格后，项目验收单作为对服务的最终认可。</w:t>
      </w:r>
    </w:p>
    <w:p w14:paraId="5D238787">
      <w:pPr>
        <w:spacing w:line="276" w:lineRule="auto"/>
        <w:ind w:firstLine="560" w:firstLineChars="200"/>
        <w:rPr>
          <w:rFonts w:ascii="仿宋" w:hAnsi="仿宋" w:eastAsia="仿宋" w:cs="仿宋"/>
          <w:b/>
          <w:sz w:val="28"/>
        </w:rPr>
      </w:pPr>
      <w:r>
        <w:rPr>
          <w:rFonts w:hint="eastAsia" w:ascii="仿宋" w:hAnsi="仿宋" w:eastAsia="仿宋" w:cs="仿宋"/>
          <w:sz w:val="28"/>
        </w:rPr>
        <w:t>（二）验收依据：</w:t>
      </w:r>
    </w:p>
    <w:p w14:paraId="4EB4DC8F">
      <w:pPr>
        <w:spacing w:line="276" w:lineRule="auto"/>
        <w:ind w:firstLine="562" w:firstLineChars="200"/>
        <w:rPr>
          <w:rFonts w:ascii="仿宋" w:hAnsi="仿宋" w:eastAsia="仿宋" w:cs="仿宋"/>
          <w:b/>
          <w:sz w:val="28"/>
        </w:rPr>
      </w:pPr>
      <w:r>
        <w:rPr>
          <w:rFonts w:hint="eastAsia" w:ascii="仿宋" w:hAnsi="仿宋" w:eastAsia="仿宋" w:cs="仿宋"/>
          <w:b/>
          <w:sz w:val="28"/>
        </w:rPr>
        <w:t>1、本合同及附件文本；</w:t>
      </w:r>
    </w:p>
    <w:p w14:paraId="00C27F4B">
      <w:pPr>
        <w:spacing w:line="276" w:lineRule="auto"/>
        <w:ind w:firstLine="562" w:firstLineChars="200"/>
        <w:rPr>
          <w:rFonts w:ascii="仿宋" w:hAnsi="仿宋" w:eastAsia="仿宋" w:cs="仿宋"/>
          <w:b/>
          <w:sz w:val="28"/>
        </w:rPr>
      </w:pPr>
      <w:r>
        <w:rPr>
          <w:rFonts w:hint="eastAsia" w:ascii="仿宋" w:hAnsi="仿宋" w:eastAsia="仿宋" w:cs="仿宋"/>
          <w:b/>
          <w:sz w:val="28"/>
        </w:rPr>
        <w:t>2、合同签订时国家及行业现行的标准和技术规范。</w:t>
      </w:r>
    </w:p>
    <w:p w14:paraId="1280D728">
      <w:pPr>
        <w:pStyle w:val="9"/>
        <w:spacing w:line="276" w:lineRule="auto"/>
        <w:ind w:firstLine="548" w:firstLineChars="196"/>
        <w:rPr>
          <w:rFonts w:ascii="仿宋" w:hAnsi="仿宋" w:eastAsia="仿宋" w:cs="仿宋"/>
          <w:kern w:val="2"/>
          <w:sz w:val="28"/>
          <w:szCs w:val="24"/>
        </w:rPr>
      </w:pPr>
      <w:r>
        <w:rPr>
          <w:rFonts w:hint="eastAsia" w:ascii="仿宋" w:hAnsi="仿宋" w:eastAsia="仿宋" w:cs="仿宋"/>
          <w:kern w:val="2"/>
          <w:sz w:val="28"/>
          <w:szCs w:val="24"/>
        </w:rPr>
        <w:t xml:space="preserve">2.1.乙方须保证所提供的产品质量可靠，进货渠道正常，配置合理，技术性能完全满足竞争性谈判文件要求； </w:t>
      </w:r>
    </w:p>
    <w:p w14:paraId="008460F5">
      <w:pPr>
        <w:pStyle w:val="9"/>
        <w:spacing w:line="276" w:lineRule="auto"/>
        <w:ind w:firstLine="548" w:firstLineChars="196"/>
        <w:rPr>
          <w:rFonts w:ascii="仿宋" w:hAnsi="仿宋" w:eastAsia="仿宋" w:cs="仿宋"/>
          <w:kern w:val="2"/>
          <w:sz w:val="28"/>
          <w:szCs w:val="24"/>
        </w:rPr>
      </w:pPr>
      <w:r>
        <w:rPr>
          <w:rFonts w:hint="eastAsia" w:ascii="仿宋" w:hAnsi="仿宋" w:eastAsia="仿宋" w:cs="仿宋"/>
          <w:kern w:val="2"/>
          <w:sz w:val="28"/>
          <w:szCs w:val="24"/>
        </w:rPr>
        <w:t>2.2.若产品有质量问题，由乙方负责解决并承担费用。（产品质量应符合国标标准和本合同附件的要求）</w:t>
      </w:r>
    </w:p>
    <w:p w14:paraId="22F651BF">
      <w:pPr>
        <w:pStyle w:val="9"/>
        <w:spacing w:line="276" w:lineRule="auto"/>
        <w:ind w:firstLine="548" w:firstLineChars="196"/>
      </w:pPr>
      <w:r>
        <w:rPr>
          <w:rFonts w:hint="eastAsia" w:ascii="仿宋" w:hAnsi="仿宋" w:eastAsia="仿宋" w:cs="仿宋"/>
          <w:kern w:val="2"/>
          <w:sz w:val="28"/>
          <w:szCs w:val="24"/>
        </w:rPr>
        <w:t>2.3.按《中华人民共和国民法典》中的相关条款执行。</w:t>
      </w:r>
    </w:p>
    <w:p w14:paraId="55E8F4D3">
      <w:pPr>
        <w:pStyle w:val="9"/>
        <w:spacing w:line="276" w:lineRule="auto"/>
        <w:ind w:firstLine="548" w:firstLineChars="196"/>
        <w:rPr>
          <w:rFonts w:ascii="仿宋" w:hAnsi="仿宋" w:eastAsia="仿宋" w:cs="仿宋"/>
          <w:kern w:val="2"/>
          <w:sz w:val="28"/>
          <w:szCs w:val="24"/>
        </w:rPr>
      </w:pPr>
      <w:r>
        <w:rPr>
          <w:rFonts w:hint="eastAsia" w:ascii="仿宋" w:hAnsi="仿宋" w:eastAsia="仿宋" w:cs="仿宋"/>
          <w:kern w:val="2"/>
          <w:sz w:val="28"/>
          <w:szCs w:val="24"/>
        </w:rPr>
        <w:t>3、验收时间。</w:t>
      </w:r>
    </w:p>
    <w:p w14:paraId="7CDE56BE">
      <w:pPr>
        <w:pStyle w:val="9"/>
        <w:spacing w:line="276" w:lineRule="auto"/>
        <w:ind w:firstLine="548" w:firstLineChars="196"/>
        <w:rPr>
          <w:rFonts w:ascii="仿宋" w:hAnsi="仿宋" w:eastAsia="仿宋" w:cs="仿宋"/>
          <w:kern w:val="2"/>
          <w:sz w:val="28"/>
          <w:szCs w:val="24"/>
        </w:rPr>
      </w:pPr>
      <w:r>
        <w:rPr>
          <w:rFonts w:hint="eastAsia" w:ascii="仿宋" w:hAnsi="仿宋" w:eastAsia="仿宋" w:cs="仿宋"/>
          <w:kern w:val="2"/>
          <w:sz w:val="28"/>
          <w:szCs w:val="24"/>
        </w:rPr>
        <w:t>3.1在本项目竣工后，乙方提供书面申请验收，甲方在接到通知后的七个工作日内需要组织验收并办理相关手续。</w:t>
      </w:r>
    </w:p>
    <w:p w14:paraId="3C660646">
      <w:pPr>
        <w:pStyle w:val="9"/>
        <w:spacing w:line="276" w:lineRule="auto"/>
        <w:ind w:firstLine="548" w:firstLineChars="196"/>
        <w:rPr>
          <w:rFonts w:ascii="仿宋" w:hAnsi="仿宋" w:eastAsia="仿宋" w:cs="仿宋"/>
          <w:kern w:val="2"/>
          <w:sz w:val="28"/>
          <w:szCs w:val="24"/>
        </w:rPr>
      </w:pPr>
      <w:r>
        <w:rPr>
          <w:rFonts w:hint="eastAsia" w:ascii="仿宋" w:hAnsi="仿宋" w:eastAsia="仿宋" w:cs="仿宋"/>
          <w:kern w:val="2"/>
          <w:sz w:val="28"/>
          <w:szCs w:val="24"/>
        </w:rPr>
        <w:t>3.2重新验收的约定：双方约定在首次验收未通过后，乙方有义务在规定的时间内完成整改，并重新申请验收。甲方有权再次组织验收。</w:t>
      </w:r>
    </w:p>
    <w:p w14:paraId="1EAB4715">
      <w:pPr>
        <w:spacing w:line="276" w:lineRule="auto"/>
        <w:ind w:firstLine="548" w:firstLineChars="196"/>
        <w:rPr>
          <w:rFonts w:ascii="仿宋" w:hAnsi="仿宋" w:eastAsia="仿宋" w:cs="仿宋"/>
          <w:sz w:val="28"/>
        </w:rPr>
      </w:pPr>
      <w:r>
        <w:rPr>
          <w:rFonts w:hint="eastAsia" w:ascii="仿宋" w:hAnsi="仿宋" w:eastAsia="仿宋" w:cs="仿宋"/>
          <w:sz w:val="28"/>
        </w:rPr>
        <w:t>3.3甲方出具加盖甲方公章的验收合格证书视为验收合格</w:t>
      </w:r>
    </w:p>
    <w:p w14:paraId="46A5DB7B">
      <w:pPr>
        <w:spacing w:line="276" w:lineRule="auto"/>
        <w:ind w:firstLine="560" w:firstLineChars="200"/>
        <w:rPr>
          <w:rFonts w:ascii="仿宋" w:hAnsi="仿宋" w:eastAsia="仿宋" w:cs="仿宋"/>
          <w:sz w:val="28"/>
        </w:rPr>
      </w:pPr>
      <w:r>
        <w:rPr>
          <w:rFonts w:hint="eastAsia" w:ascii="仿宋" w:hAnsi="仿宋" w:eastAsia="仿宋" w:cs="仿宋"/>
          <w:sz w:val="28"/>
        </w:rPr>
        <w:t>（三）乙方向甲方提交服务实施过程中的所有资料。以便甲方日后管理和维护。</w:t>
      </w:r>
    </w:p>
    <w:p w14:paraId="7FFB6695">
      <w:pPr>
        <w:tabs>
          <w:tab w:val="left" w:pos="480"/>
        </w:tabs>
        <w:spacing w:line="276" w:lineRule="auto"/>
        <w:ind w:firstLine="473" w:firstLineChars="196"/>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八、违约责任</w:t>
      </w:r>
    </w:p>
    <w:p w14:paraId="6138B5F7">
      <w:pPr>
        <w:spacing w:line="276" w:lineRule="auto"/>
        <w:ind w:firstLine="560" w:firstLineChars="200"/>
        <w:rPr>
          <w:rFonts w:ascii="仿宋" w:hAnsi="仿宋" w:eastAsia="仿宋" w:cs="仿宋"/>
          <w:sz w:val="28"/>
        </w:rPr>
      </w:pPr>
      <w:r>
        <w:rPr>
          <w:rFonts w:hint="eastAsia" w:ascii="仿宋" w:hAnsi="仿宋" w:eastAsia="仿宋" w:cs="仿宋"/>
          <w:sz w:val="28"/>
        </w:rPr>
        <w:t>（一）按《中华人民共和国民法典》中的相关条款执行。</w:t>
      </w:r>
    </w:p>
    <w:p w14:paraId="111E0745">
      <w:pPr>
        <w:spacing w:line="276" w:lineRule="auto"/>
        <w:ind w:firstLine="560" w:firstLineChars="200"/>
        <w:rPr>
          <w:rFonts w:ascii="仿宋" w:hAnsi="仿宋" w:eastAsia="仿宋" w:cs="仿宋"/>
          <w:sz w:val="28"/>
        </w:rPr>
      </w:pPr>
      <w:r>
        <w:rPr>
          <w:rFonts w:hint="eastAsia" w:ascii="仿宋" w:hAnsi="仿宋" w:eastAsia="仿宋" w:cs="仿宋"/>
          <w:sz w:val="28"/>
        </w:rPr>
        <w:t>（二）未按合同要求提供服务或服务质量不能满足合同要求，甲方有权依据《中华人民共和国民法典》有关条款及合同约定解除合同，合同自甲方书面解除通知到达乙方时解除，此外，乙方还应退还甲方已支付的全部合同价款，并承担合同总价款20%的违约金。</w:t>
      </w:r>
    </w:p>
    <w:p w14:paraId="50F6D2EE">
      <w:pPr>
        <w:spacing w:line="276" w:lineRule="auto"/>
        <w:ind w:firstLine="560" w:firstLineChars="200"/>
        <w:rPr>
          <w:rFonts w:ascii="仿宋" w:hAnsi="仿宋" w:eastAsia="仿宋" w:cs="仿宋"/>
          <w:sz w:val="28"/>
        </w:rPr>
      </w:pPr>
      <w:r>
        <w:rPr>
          <w:rFonts w:hint="eastAsia" w:ascii="仿宋" w:hAnsi="仿宋" w:eastAsia="仿宋" w:cs="仿宋"/>
          <w:sz w:val="28"/>
        </w:rPr>
        <w:t>（三）在本合同履行过程中，双方因违约或造成对方经济、社会效益等损失的应当赔偿。</w:t>
      </w:r>
    </w:p>
    <w:p w14:paraId="53F41C9F">
      <w:pPr>
        <w:spacing w:line="276" w:lineRule="auto"/>
        <w:ind w:firstLine="560" w:firstLineChars="200"/>
        <w:rPr>
          <w:rFonts w:ascii="仿宋" w:hAnsi="仿宋" w:eastAsia="仿宋" w:cs="仿宋"/>
          <w:sz w:val="28"/>
        </w:rPr>
      </w:pPr>
      <w:r>
        <w:rPr>
          <w:rFonts w:hint="eastAsia" w:ascii="仿宋" w:hAnsi="仿宋" w:eastAsia="仿宋" w:cs="仿宋"/>
          <w:sz w:val="28"/>
        </w:rPr>
        <w:t>（四）甲方无正当理由拒绝接受服务，到期拒付服务费的，甲方向乙方偿付本合同总价款</w:t>
      </w:r>
      <w:r>
        <w:rPr>
          <w:rFonts w:hint="eastAsia" w:ascii="仿宋" w:hAnsi="仿宋" w:eastAsia="仿宋" w:cs="仿宋"/>
          <w:sz w:val="28"/>
          <w:u w:val="single"/>
        </w:rPr>
        <w:t xml:space="preserve"> 0.5 </w:t>
      </w:r>
      <w:r>
        <w:rPr>
          <w:rFonts w:hint="eastAsia" w:ascii="仿宋" w:hAnsi="仿宋" w:eastAsia="仿宋" w:cs="仿宋"/>
          <w:sz w:val="28"/>
        </w:rPr>
        <w:t>%的违约金。甲方逾期付款的，则每日按逾期金额的</w:t>
      </w:r>
      <w:r>
        <w:rPr>
          <w:rFonts w:hint="eastAsia" w:ascii="仿宋" w:hAnsi="仿宋" w:eastAsia="仿宋" w:cs="仿宋"/>
          <w:sz w:val="28"/>
          <w:u w:val="single"/>
        </w:rPr>
        <w:t>千分之一</w:t>
      </w:r>
      <w:r>
        <w:rPr>
          <w:rFonts w:hint="eastAsia" w:ascii="仿宋" w:hAnsi="仿宋" w:eastAsia="仿宋" w:cs="仿宋"/>
          <w:sz w:val="28"/>
        </w:rPr>
        <w:t>向乙方偿付违约金。</w:t>
      </w:r>
    </w:p>
    <w:p w14:paraId="2398DB20">
      <w:pPr>
        <w:spacing w:line="276" w:lineRule="auto"/>
        <w:ind w:firstLine="560" w:firstLineChars="200"/>
        <w:rPr>
          <w:rFonts w:ascii="仿宋" w:hAnsi="仿宋" w:eastAsia="仿宋" w:cs="仿宋"/>
          <w:sz w:val="28"/>
        </w:rPr>
      </w:pPr>
      <w:r>
        <w:rPr>
          <w:rFonts w:hint="eastAsia" w:ascii="仿宋" w:hAnsi="仿宋" w:eastAsia="仿宋" w:cs="仿宋"/>
          <w:sz w:val="28"/>
        </w:rPr>
        <w:t>（五）乙方提供的服务不符合本项目相关文件和本合同规定的，甲方有权拒绝接受服务且拒绝付款</w:t>
      </w:r>
      <w:r>
        <w:rPr>
          <w:rFonts w:ascii="仿宋" w:hAnsi="仿宋" w:eastAsia="仿宋" w:cs="仿宋"/>
          <w:sz w:val="28"/>
        </w:rPr>
        <w:t>，</w:t>
      </w:r>
      <w:r>
        <w:rPr>
          <w:rFonts w:hint="eastAsia" w:ascii="仿宋" w:hAnsi="仿宋" w:eastAsia="仿宋" w:cs="仿宋"/>
          <w:sz w:val="28"/>
        </w:rPr>
        <w:t>并不承担逾期付款的违约责任</w:t>
      </w:r>
      <w:r>
        <w:rPr>
          <w:rFonts w:ascii="仿宋" w:hAnsi="仿宋" w:eastAsia="仿宋" w:cs="仿宋"/>
          <w:sz w:val="28"/>
        </w:rPr>
        <w:t>，</w:t>
      </w:r>
      <w:r>
        <w:rPr>
          <w:rFonts w:hint="eastAsia" w:ascii="仿宋" w:hAnsi="仿宋" w:eastAsia="仿宋" w:cs="仿宋"/>
          <w:sz w:val="28"/>
        </w:rPr>
        <w:t>并且乙方须向甲方支付本合同总价款</w:t>
      </w:r>
      <w:r>
        <w:rPr>
          <w:rFonts w:hint="eastAsia" w:ascii="仿宋" w:hAnsi="仿宋" w:eastAsia="仿宋" w:cs="仿宋"/>
          <w:sz w:val="28"/>
          <w:u w:val="single"/>
        </w:rPr>
        <w:t>20</w:t>
      </w:r>
      <w:r>
        <w:rPr>
          <w:rFonts w:hint="eastAsia" w:ascii="仿宋" w:hAnsi="仿宋" w:eastAsia="仿宋" w:cs="仿宋"/>
          <w:sz w:val="28"/>
        </w:rPr>
        <w:t>%的违约金。</w:t>
      </w:r>
    </w:p>
    <w:p w14:paraId="1D422064">
      <w:pPr>
        <w:spacing w:line="276" w:lineRule="auto"/>
        <w:ind w:firstLine="560" w:firstLineChars="200"/>
        <w:rPr>
          <w:rFonts w:ascii="仿宋" w:hAnsi="仿宋" w:eastAsia="仿宋" w:cs="仿宋"/>
          <w:sz w:val="28"/>
        </w:rPr>
      </w:pPr>
      <w:r>
        <w:rPr>
          <w:rFonts w:hint="eastAsia" w:ascii="仿宋" w:hAnsi="仿宋" w:eastAsia="仿宋" w:cs="仿宋"/>
          <w:sz w:val="28"/>
        </w:rPr>
        <w:t>（六）乙方未能按照本合同约定时间提供服务或完成约定的项目服务内容的，从逾期之日起每日按本合同总价款</w:t>
      </w:r>
      <w:r>
        <w:rPr>
          <w:rFonts w:hint="eastAsia" w:ascii="仿宋" w:hAnsi="仿宋" w:eastAsia="仿宋" w:cs="仿宋"/>
          <w:sz w:val="28"/>
          <w:u w:val="single"/>
        </w:rPr>
        <w:t>百分之一</w:t>
      </w:r>
      <w:r>
        <w:rPr>
          <w:rFonts w:hint="eastAsia" w:ascii="仿宋" w:hAnsi="仿宋" w:eastAsia="仿宋" w:cs="仿宋"/>
          <w:sz w:val="28"/>
        </w:rPr>
        <w:t>的数额向甲方支付违约金；逾期</w:t>
      </w:r>
      <w:r>
        <w:rPr>
          <w:rFonts w:hint="eastAsia" w:ascii="仿宋" w:hAnsi="仿宋" w:eastAsia="仿宋" w:cs="仿宋"/>
          <w:sz w:val="28"/>
          <w:u w:val="single"/>
        </w:rPr>
        <w:t xml:space="preserve"> 30 </w:t>
      </w:r>
      <w:r>
        <w:rPr>
          <w:rFonts w:hint="eastAsia" w:ascii="仿宋" w:hAnsi="仿宋" w:eastAsia="仿宋" w:cs="仿宋"/>
          <w:sz w:val="28"/>
        </w:rPr>
        <w:t>日以上的，甲方有权单方解除本合同，合同自甲方书面解除通知到达乙方时解除，此外，乙方还应退还甲方已支付的全部合同价款，并承担合同总价款20%的违约金，若违约金不足以弥补甲方损失的，乙方还应就甲方的损失另行全部赔偿。</w:t>
      </w:r>
    </w:p>
    <w:p w14:paraId="63427F7D">
      <w:pPr>
        <w:spacing w:line="276" w:lineRule="auto"/>
        <w:ind w:firstLine="560" w:firstLineChars="200"/>
        <w:rPr>
          <w:rFonts w:ascii="仿宋" w:hAnsi="仿宋" w:eastAsia="仿宋" w:cs="仿宋"/>
          <w:sz w:val="28"/>
        </w:rPr>
      </w:pPr>
      <w:r>
        <w:rPr>
          <w:rFonts w:hint="eastAsia" w:ascii="仿宋" w:hAnsi="仿宋" w:eastAsia="仿宋" w:cs="仿宋"/>
          <w:sz w:val="28"/>
        </w:rPr>
        <w:t>（七）未经甲方同意，乙方不得擅自将本合同服务转包或分包第三方承担。</w:t>
      </w:r>
    </w:p>
    <w:p w14:paraId="08BE9C2A">
      <w:pPr>
        <w:tabs>
          <w:tab w:val="left" w:pos="480"/>
        </w:tabs>
        <w:spacing w:line="276" w:lineRule="auto"/>
        <w:ind w:firstLine="482" w:firstLineChars="200"/>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九、保密条款</w:t>
      </w:r>
    </w:p>
    <w:p w14:paraId="73ED475F">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一</w:t>
      </w:r>
      <w:r>
        <w:rPr>
          <w:rFonts w:ascii="仿宋" w:hAnsi="仿宋" w:eastAsia="仿宋" w:cs="仿宋"/>
          <w:bCs/>
          <w:color w:val="000000"/>
          <w:sz w:val="28"/>
        </w:rPr>
        <w:t>）</w:t>
      </w:r>
      <w:r>
        <w:rPr>
          <w:rFonts w:hint="eastAsia" w:ascii="仿宋" w:hAnsi="仿宋" w:eastAsia="仿宋" w:cs="仿宋"/>
          <w:bCs/>
          <w:color w:val="000000"/>
          <w:sz w:val="28"/>
        </w:rPr>
        <w:t>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608EC5D1">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二</w:t>
      </w:r>
      <w:r>
        <w:rPr>
          <w:rFonts w:ascii="仿宋" w:hAnsi="仿宋" w:eastAsia="仿宋" w:cs="仿宋"/>
          <w:bCs/>
          <w:color w:val="000000"/>
          <w:sz w:val="28"/>
        </w:rPr>
        <w:t>）</w:t>
      </w:r>
      <w:r>
        <w:rPr>
          <w:rFonts w:hint="eastAsia" w:ascii="仿宋" w:hAnsi="仿宋" w:eastAsia="仿宋" w:cs="仿宋"/>
          <w:bCs/>
          <w:color w:val="000000"/>
          <w:sz w:val="28"/>
        </w:rPr>
        <w:t>本合同一方(“资料披露方”)对其向本合同另一方(“资料接受方”)按照本合同规定所提供的各类技术和商业资料、规格说明、图纸、文件及专有技术等 (以下简称“保密资料”)享有合法、完整的所有权。</w:t>
      </w:r>
    </w:p>
    <w:p w14:paraId="39C9EBA9">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三</w:t>
      </w:r>
      <w:r>
        <w:rPr>
          <w:rFonts w:ascii="仿宋" w:hAnsi="仿宋" w:eastAsia="仿宋" w:cs="仿宋"/>
          <w:bCs/>
          <w:color w:val="000000"/>
          <w:sz w:val="28"/>
        </w:rPr>
        <w:t>）</w:t>
      </w:r>
      <w:r>
        <w:rPr>
          <w:rFonts w:hint="eastAsia" w:ascii="仿宋" w:hAnsi="仿宋" w:eastAsia="仿宋" w:cs="仿宋"/>
          <w:bCs/>
          <w:color w:val="000000"/>
          <w:sz w:val="28"/>
        </w:rPr>
        <w:t>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2A271370">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四</w:t>
      </w:r>
      <w:r>
        <w:rPr>
          <w:rFonts w:ascii="仿宋" w:hAnsi="仿宋" w:eastAsia="仿宋" w:cs="仿宋"/>
          <w:bCs/>
          <w:color w:val="000000"/>
          <w:sz w:val="28"/>
        </w:rPr>
        <w:t>）</w:t>
      </w:r>
      <w:r>
        <w:rPr>
          <w:rFonts w:hint="eastAsia" w:ascii="仿宋" w:hAnsi="仿宋" w:eastAsia="仿宋" w:cs="仿宋"/>
          <w:bCs/>
          <w:color w:val="000000"/>
          <w:sz w:val="28"/>
        </w:rPr>
        <w:t>当出现下述情况时，本条对保密资料的限制不适用。当保密资料：</w:t>
      </w:r>
    </w:p>
    <w:p w14:paraId="250E0D3D">
      <w:pPr>
        <w:spacing w:line="276" w:lineRule="auto"/>
        <w:ind w:firstLine="560" w:firstLineChars="200"/>
        <w:rPr>
          <w:rFonts w:ascii="仿宋" w:hAnsi="仿宋" w:eastAsia="仿宋" w:cs="仿宋"/>
          <w:bCs/>
          <w:color w:val="000000"/>
          <w:sz w:val="28"/>
        </w:rPr>
      </w:pPr>
      <w:r>
        <w:rPr>
          <w:rFonts w:hint="eastAsia" w:ascii="仿宋" w:hAnsi="仿宋" w:eastAsia="仿宋" w:cs="仿宋"/>
          <w:bCs/>
          <w:color w:val="000000"/>
          <w:sz w:val="28"/>
        </w:rPr>
        <w:t>（1） 并非因资料接受方的过错而已经进入公有领域的；</w:t>
      </w:r>
    </w:p>
    <w:p w14:paraId="0A965131">
      <w:pPr>
        <w:spacing w:line="276" w:lineRule="auto"/>
        <w:ind w:firstLine="560" w:firstLineChars="200"/>
        <w:rPr>
          <w:rFonts w:ascii="仿宋" w:hAnsi="仿宋" w:eastAsia="仿宋" w:cs="仿宋"/>
          <w:bCs/>
          <w:color w:val="000000"/>
          <w:sz w:val="28"/>
        </w:rPr>
      </w:pPr>
      <w:r>
        <w:rPr>
          <w:rFonts w:hint="eastAsia" w:ascii="仿宋" w:hAnsi="仿宋" w:eastAsia="仿宋" w:cs="仿宋"/>
          <w:bCs/>
          <w:color w:val="000000"/>
          <w:sz w:val="28"/>
        </w:rPr>
        <w:t>（2） 已通过该方的有关记录证明是由资料接受方独立开发的；</w:t>
      </w:r>
    </w:p>
    <w:p w14:paraId="204A4201">
      <w:pPr>
        <w:spacing w:line="276" w:lineRule="auto"/>
        <w:ind w:firstLine="560" w:firstLineChars="200"/>
        <w:rPr>
          <w:rFonts w:ascii="仿宋" w:hAnsi="仿宋" w:eastAsia="仿宋" w:cs="仿宋"/>
          <w:bCs/>
          <w:color w:val="000000"/>
          <w:sz w:val="28"/>
        </w:rPr>
      </w:pPr>
      <w:r>
        <w:rPr>
          <w:rFonts w:hint="eastAsia" w:ascii="仿宋" w:hAnsi="仿宋" w:eastAsia="仿宋" w:cs="仿宋"/>
          <w:bCs/>
          <w:color w:val="000000"/>
          <w:sz w:val="28"/>
        </w:rPr>
        <w:t>（3） 由资料接受方从没有违反对资料披露方的保密义务的人处取得；</w:t>
      </w:r>
    </w:p>
    <w:p w14:paraId="397CEC93">
      <w:pPr>
        <w:spacing w:line="276" w:lineRule="auto"/>
        <w:ind w:firstLine="560" w:firstLineChars="200"/>
        <w:rPr>
          <w:rFonts w:ascii="仿宋" w:hAnsi="仿宋" w:eastAsia="仿宋" w:cs="仿宋"/>
          <w:bCs/>
          <w:color w:val="000000"/>
          <w:sz w:val="28"/>
        </w:rPr>
      </w:pPr>
      <w:r>
        <w:rPr>
          <w:rFonts w:hint="eastAsia" w:ascii="仿宋" w:hAnsi="仿宋" w:eastAsia="仿宋" w:cs="仿宋"/>
          <w:bCs/>
          <w:color w:val="000000"/>
          <w:sz w:val="28"/>
        </w:rPr>
        <w:t>（4） 法律要求资料接受方披露的，但资料接受方应在合理的时间提前通知资料披露方，使其得以采取其认为必要的保护措施。</w:t>
      </w:r>
    </w:p>
    <w:p w14:paraId="5D7C84AD">
      <w:pPr>
        <w:spacing w:line="276" w:lineRule="auto"/>
        <w:ind w:firstLine="560" w:firstLineChars="200"/>
        <w:rPr>
          <w:rFonts w:ascii="仿宋" w:hAnsi="仿宋" w:eastAsia="仿宋" w:cs="仿宋"/>
          <w:bCs/>
          <w:color w:val="000000"/>
          <w:sz w:val="28"/>
        </w:rPr>
      </w:pPr>
      <w:r>
        <w:rPr>
          <w:rFonts w:ascii="仿宋" w:hAnsi="仿宋" w:eastAsia="仿宋" w:cs="仿宋"/>
          <w:bCs/>
          <w:color w:val="000000"/>
          <w:sz w:val="28"/>
        </w:rPr>
        <w:t>（</w:t>
      </w:r>
      <w:r>
        <w:rPr>
          <w:rFonts w:hint="eastAsia" w:ascii="仿宋" w:hAnsi="仿宋" w:eastAsia="仿宋" w:cs="仿宋"/>
          <w:bCs/>
          <w:color w:val="000000"/>
          <w:sz w:val="28"/>
        </w:rPr>
        <w:t>五</w:t>
      </w:r>
      <w:r>
        <w:rPr>
          <w:rFonts w:ascii="仿宋" w:hAnsi="仿宋" w:eastAsia="仿宋" w:cs="仿宋"/>
          <w:bCs/>
          <w:color w:val="000000"/>
          <w:sz w:val="28"/>
        </w:rPr>
        <w:t>）</w:t>
      </w:r>
      <w:r>
        <w:rPr>
          <w:rFonts w:hint="eastAsia" w:ascii="仿宋" w:hAnsi="仿宋" w:eastAsia="仿宋" w:cs="仿宋"/>
          <w:bCs/>
          <w:color w:val="000000"/>
          <w:sz w:val="28"/>
        </w:rPr>
        <w:t>本合同保密期限为自本合同生效之日起至本合同终止、解除后[两]年。</w:t>
      </w:r>
    </w:p>
    <w:p w14:paraId="095D7C54">
      <w:pPr>
        <w:tabs>
          <w:tab w:val="left" w:pos="480"/>
        </w:tabs>
        <w:spacing w:line="276" w:lineRule="auto"/>
        <w:ind w:firstLine="482" w:firstLineChars="200"/>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十、争议解决</w:t>
      </w:r>
    </w:p>
    <w:p w14:paraId="474E59A5">
      <w:pPr>
        <w:spacing w:line="276" w:lineRule="auto"/>
        <w:ind w:firstLine="560" w:firstLineChars="200"/>
        <w:rPr>
          <w:rFonts w:ascii="仿宋" w:hAnsi="仿宋" w:eastAsia="仿宋" w:cs="仿宋"/>
          <w:sz w:val="28"/>
        </w:rPr>
      </w:pPr>
      <w:r>
        <w:rPr>
          <w:rFonts w:hint="eastAsia" w:ascii="仿宋" w:hAnsi="仿宋" w:eastAsia="仿宋" w:cs="仿宋"/>
          <w:sz w:val="28"/>
        </w:rPr>
        <w:t>（一）本合同在履行过程中发生的争议，由甲、乙双方当事人协商解决，协商不成的按下列第</w:t>
      </w:r>
      <w:r>
        <w:rPr>
          <w:rFonts w:hint="eastAsia" w:ascii="仿宋" w:hAnsi="仿宋" w:eastAsia="仿宋" w:cs="仿宋"/>
          <w:sz w:val="28"/>
          <w:u w:val="single"/>
        </w:rPr>
        <w:t xml:space="preserve">  2  </w:t>
      </w:r>
      <w:r>
        <w:rPr>
          <w:rFonts w:hint="eastAsia" w:ascii="仿宋" w:hAnsi="仿宋" w:eastAsia="仿宋" w:cs="仿宋"/>
          <w:sz w:val="28"/>
        </w:rPr>
        <w:t>种方式解决：</w:t>
      </w:r>
    </w:p>
    <w:p w14:paraId="10C29AA6">
      <w:pPr>
        <w:spacing w:line="276" w:lineRule="auto"/>
        <w:ind w:firstLine="560" w:firstLineChars="200"/>
        <w:rPr>
          <w:rFonts w:ascii="仿宋" w:hAnsi="仿宋" w:eastAsia="仿宋" w:cs="仿宋"/>
          <w:sz w:val="28"/>
        </w:rPr>
      </w:pPr>
      <w:r>
        <w:rPr>
          <w:rFonts w:hint="eastAsia" w:ascii="仿宋" w:hAnsi="仿宋" w:eastAsia="仿宋" w:cs="仿宋"/>
          <w:sz w:val="28"/>
        </w:rPr>
        <w:t>1、提交西安仲裁委员会仲裁；</w:t>
      </w:r>
    </w:p>
    <w:p w14:paraId="30C75A68">
      <w:pPr>
        <w:spacing w:line="276" w:lineRule="auto"/>
        <w:ind w:firstLine="560" w:firstLineChars="200"/>
        <w:rPr>
          <w:rFonts w:ascii="仿宋" w:hAnsi="仿宋" w:eastAsia="仿宋" w:cs="仿宋"/>
          <w:sz w:val="28"/>
        </w:rPr>
      </w:pPr>
      <w:r>
        <w:rPr>
          <w:rFonts w:hint="eastAsia" w:ascii="仿宋" w:hAnsi="仿宋" w:eastAsia="仿宋" w:cs="仿宋"/>
          <w:sz w:val="28"/>
        </w:rPr>
        <w:t>2、依法向甲方所在地人民法院起诉。</w:t>
      </w:r>
    </w:p>
    <w:p w14:paraId="1180104E">
      <w:pPr>
        <w:spacing w:line="276" w:lineRule="auto"/>
        <w:ind w:firstLine="560" w:firstLineChars="200"/>
        <w:rPr>
          <w:rFonts w:ascii="仿宋" w:hAnsi="仿宋" w:eastAsia="仿宋" w:cs="仿宋"/>
          <w:sz w:val="28"/>
        </w:rPr>
      </w:pPr>
      <w:r>
        <w:rPr>
          <w:rFonts w:hint="eastAsia" w:ascii="仿宋" w:hAnsi="仿宋" w:eastAsia="仿宋" w:cs="仿宋"/>
          <w:sz w:val="28"/>
        </w:rPr>
        <w:t>（二）本条款为独立条款，本合同的无效、变更、解除和终止均不影响本条款的效力。</w:t>
      </w:r>
    </w:p>
    <w:p w14:paraId="2F24DA26">
      <w:pPr>
        <w:spacing w:line="276" w:lineRule="auto"/>
        <w:ind w:firstLine="482" w:firstLineChars="200"/>
        <w:rPr>
          <w:rFonts w:ascii="仿宋" w:hAnsi="仿宋" w:eastAsia="仿宋" w:cs="仿宋"/>
          <w:sz w:val="28"/>
        </w:rPr>
      </w:pPr>
      <w:r>
        <w:rPr>
          <w:rFonts w:hint="eastAsia" w:ascii="仿宋" w:hAnsi="仿宋" w:eastAsia="仿宋" w:cs="仿宋"/>
          <w:b/>
          <w:color w:val="000000"/>
          <w:spacing w:val="-20"/>
          <w:kern w:val="0"/>
          <w:sz w:val="28"/>
          <w:szCs w:val="20"/>
        </w:rPr>
        <w:t>十一、不可抗力及免责</w:t>
      </w:r>
    </w:p>
    <w:p w14:paraId="35CD94B5">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72078F78">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2、如政府管理部门提出要求的，乙方将暂停或终止提供相应服务，且不承担任何责任，未提供服务部分费用应予以退回。</w:t>
      </w:r>
    </w:p>
    <w:p w14:paraId="08152A78">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3、由以下任一原因使得乙方对甲方指定防护目标所提供的服务的实施或服务效果受到影响，乙方不承担责任：</w:t>
      </w:r>
    </w:p>
    <w:p w14:paraId="18B9C64E">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（1）甲方的设备故障；</w:t>
      </w:r>
    </w:p>
    <w:p w14:paraId="77C45ECA">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（2）甲方的应用程序或安装活动；</w:t>
      </w:r>
    </w:p>
    <w:p w14:paraId="0F8C8159">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（3）甲方的疏忽或由甲方授权的操作；</w:t>
      </w:r>
    </w:p>
    <w:p w14:paraId="70C5934A">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（4）甲方接入电路自身故障；</w:t>
      </w:r>
    </w:p>
    <w:p w14:paraId="2ECA734E">
      <w:pPr>
        <w:spacing w:line="276" w:lineRule="auto"/>
        <w:ind w:firstLine="560" w:firstLineChars="200"/>
        <w:rPr>
          <w:rFonts w:ascii="仿宋" w:hAnsi="仿宋" w:eastAsia="仿宋"/>
          <w:sz w:val="24"/>
        </w:rPr>
      </w:pPr>
      <w:r>
        <w:rPr>
          <w:rFonts w:hint="eastAsia" w:ascii="仿宋" w:hAnsi="仿宋" w:eastAsia="仿宋" w:cs="仿宋"/>
          <w:sz w:val="28"/>
          <w:szCs w:val="28"/>
        </w:rPr>
        <w:t>乙方应当提前书面通知甲方</w:t>
      </w:r>
      <w:r>
        <w:rPr>
          <w:rFonts w:ascii="仿宋" w:hAnsi="仿宋" w:eastAsia="仿宋" w:cs="仿宋"/>
          <w:sz w:val="28"/>
          <w:szCs w:val="28"/>
        </w:rPr>
        <w:t>，</w:t>
      </w:r>
      <w:r>
        <w:rPr>
          <w:rFonts w:hint="eastAsia" w:ascii="仿宋" w:hAnsi="仿宋" w:eastAsia="仿宋" w:cs="仿宋"/>
          <w:sz w:val="28"/>
          <w:szCs w:val="28"/>
        </w:rPr>
        <w:t>甲方接到乙方通知后应当做好数据备份并承担数据丢失、遗漏、毁损的风险，乙方对此无需承担责任。</w:t>
      </w:r>
    </w:p>
    <w:p w14:paraId="678F9716">
      <w:pPr>
        <w:tabs>
          <w:tab w:val="left" w:pos="480"/>
        </w:tabs>
        <w:spacing w:line="276" w:lineRule="auto"/>
        <w:ind w:firstLine="473" w:firstLineChars="196"/>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十二、合同生效</w:t>
      </w:r>
    </w:p>
    <w:p w14:paraId="682457AD">
      <w:pPr>
        <w:spacing w:line="276" w:lineRule="auto"/>
        <w:ind w:firstLine="560" w:firstLineChars="200"/>
        <w:rPr>
          <w:rFonts w:ascii="仿宋" w:hAnsi="仿宋" w:eastAsia="仿宋" w:cs="仿宋"/>
          <w:sz w:val="28"/>
        </w:rPr>
      </w:pPr>
      <w:r>
        <w:rPr>
          <w:rFonts w:hint="eastAsia" w:ascii="仿宋" w:hAnsi="仿宋" w:eastAsia="仿宋" w:cs="仿宋"/>
          <w:sz w:val="28"/>
        </w:rPr>
        <w:t>1、本合同一式</w:t>
      </w:r>
      <w:r>
        <w:rPr>
          <w:rFonts w:hint="eastAsia" w:ascii="仿宋" w:hAnsi="仿宋" w:eastAsia="仿宋" w:cs="仿宋"/>
          <w:sz w:val="28"/>
          <w:u w:val="single"/>
        </w:rPr>
        <w:t>柒</w:t>
      </w:r>
      <w:r>
        <w:rPr>
          <w:rFonts w:hint="eastAsia" w:ascii="仿宋" w:hAnsi="仿宋" w:eastAsia="仿宋" w:cs="仿宋"/>
          <w:sz w:val="28"/>
        </w:rPr>
        <w:t>份，甲方持</w:t>
      </w:r>
      <w:r>
        <w:rPr>
          <w:rFonts w:hint="eastAsia" w:ascii="仿宋" w:hAnsi="仿宋" w:eastAsia="仿宋" w:cs="仿宋"/>
          <w:sz w:val="28"/>
          <w:u w:val="single"/>
        </w:rPr>
        <w:t>肆</w:t>
      </w:r>
      <w:r>
        <w:rPr>
          <w:rFonts w:hint="eastAsia" w:ascii="仿宋" w:hAnsi="仿宋" w:eastAsia="仿宋" w:cs="仿宋"/>
          <w:sz w:val="28"/>
        </w:rPr>
        <w:t>份，乙方持</w:t>
      </w:r>
      <w:r>
        <w:rPr>
          <w:rFonts w:hint="eastAsia" w:ascii="仿宋" w:hAnsi="仿宋" w:eastAsia="仿宋" w:cs="仿宋"/>
          <w:sz w:val="28"/>
          <w:u w:val="single"/>
        </w:rPr>
        <w:t>贰</w:t>
      </w:r>
      <w:r>
        <w:rPr>
          <w:rFonts w:hint="eastAsia" w:ascii="仿宋" w:hAnsi="仿宋" w:eastAsia="仿宋" w:cs="仿宋"/>
          <w:sz w:val="28"/>
        </w:rPr>
        <w:t>份，鉴证方一份，本合同甲方</w:t>
      </w:r>
      <w:r>
        <w:rPr>
          <w:rFonts w:hint="eastAsia" w:ascii="仿宋" w:hAnsi="仿宋" w:eastAsia="仿宋" w:cs="仿宋"/>
          <w:sz w:val="28"/>
          <w:lang w:val="en-US" w:eastAsia="zh-CN"/>
        </w:rPr>
        <w:t>、</w:t>
      </w:r>
      <w:r>
        <w:rPr>
          <w:rFonts w:hint="eastAsia" w:ascii="仿宋" w:hAnsi="仿宋" w:eastAsia="仿宋" w:cs="仿宋"/>
          <w:sz w:val="28"/>
        </w:rPr>
        <w:t>乙方及鉴证方签字盖章后生效。</w:t>
      </w:r>
    </w:p>
    <w:p w14:paraId="32C22D35">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2、如果本合同的任何条款在任何时候变成不合法、无效或不可强制执行而不从根本上影响本合同的效力时，本合同的其他条款不受影响。</w:t>
      </w:r>
    </w:p>
    <w:p w14:paraId="1E8549D0">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3、除本合同另有约定外，未经甲乙双方书面确认，任何一方不得自行变更或修改本合同。</w:t>
      </w:r>
    </w:p>
    <w:p w14:paraId="478D7A10">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120EEE28">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5、双方同意，附件为本合同不可分割的部分。若附件与合同正文有任何冲突，以合同正文为准。</w:t>
      </w:r>
    </w:p>
    <w:p w14:paraId="0A29EAA5">
      <w:pPr>
        <w:tabs>
          <w:tab w:val="left" w:pos="480"/>
        </w:tabs>
        <w:spacing w:line="276" w:lineRule="auto"/>
        <w:ind w:firstLine="473" w:firstLineChars="196"/>
        <w:rPr>
          <w:rFonts w:ascii="仿宋" w:hAnsi="仿宋" w:eastAsia="仿宋" w:cs="仿宋"/>
          <w:b/>
          <w:color w:val="000000"/>
          <w:spacing w:val="-20"/>
          <w:kern w:val="0"/>
          <w:sz w:val="28"/>
          <w:szCs w:val="20"/>
        </w:rPr>
      </w:pPr>
      <w:r>
        <w:rPr>
          <w:rFonts w:hint="eastAsia" w:ascii="仿宋" w:hAnsi="仿宋" w:eastAsia="仿宋" w:cs="仿宋"/>
          <w:b/>
          <w:color w:val="000000"/>
          <w:spacing w:val="-20"/>
          <w:kern w:val="0"/>
          <w:sz w:val="28"/>
          <w:szCs w:val="20"/>
        </w:rPr>
        <w:t>十三、其他事项</w:t>
      </w:r>
    </w:p>
    <w:p w14:paraId="33CF675B">
      <w:pPr>
        <w:spacing w:line="276" w:lineRule="auto"/>
        <w:ind w:firstLine="560" w:firstLineChars="200"/>
        <w:rPr>
          <w:rFonts w:ascii="仿宋" w:hAnsi="仿宋" w:eastAsia="仿宋" w:cs="仿宋"/>
          <w:sz w:val="28"/>
        </w:rPr>
      </w:pPr>
      <w:r>
        <w:rPr>
          <w:rFonts w:hint="eastAsia" w:ascii="仿宋" w:hAnsi="仿宋" w:eastAsia="仿宋" w:cs="仿宋"/>
          <w:sz w:val="28"/>
        </w:rPr>
        <w:t>（一）合同附件均成为合同不可分割的部分。</w:t>
      </w:r>
    </w:p>
    <w:p w14:paraId="160FE9E7">
      <w:pPr>
        <w:spacing w:line="276" w:lineRule="auto"/>
        <w:ind w:firstLine="560" w:firstLineChars="200"/>
        <w:rPr>
          <w:rFonts w:ascii="仿宋" w:hAnsi="仿宋" w:eastAsia="仿宋" w:cs="仿宋"/>
          <w:sz w:val="28"/>
        </w:rPr>
      </w:pPr>
      <w:r>
        <w:rPr>
          <w:rFonts w:hint="eastAsia" w:ascii="仿宋" w:hAnsi="仿宋" w:eastAsia="仿宋" w:cs="仿宋"/>
          <w:sz w:val="28"/>
        </w:rPr>
        <w:t>（二）合同未尽事宜，由甲、乙双方协商补充合同，与原合同具有同等法律效力。</w:t>
      </w:r>
    </w:p>
    <w:p w14:paraId="4A7D6213">
      <w:pPr>
        <w:tabs>
          <w:tab w:val="left" w:pos="480"/>
        </w:tabs>
        <w:spacing w:line="276" w:lineRule="auto"/>
        <w:rPr>
          <w:rFonts w:ascii="仿宋" w:hAnsi="仿宋" w:eastAsia="仿宋" w:cs="仿宋"/>
          <w:color w:val="000000"/>
          <w:spacing w:val="-20"/>
          <w:kern w:val="0"/>
          <w:sz w:val="28"/>
          <w:szCs w:val="20"/>
        </w:rPr>
      </w:pPr>
    </w:p>
    <w:p w14:paraId="7D3210D9">
      <w:pPr>
        <w:tabs>
          <w:tab w:val="left" w:pos="480"/>
        </w:tabs>
        <w:spacing w:line="276" w:lineRule="auto"/>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------------------------------以下无正文-----------------------------------</w:t>
      </w:r>
      <w:r>
        <w:rPr>
          <w:rFonts w:hint="eastAsia" w:ascii="仿宋" w:hAnsi="仿宋" w:eastAsia="仿宋" w:cs="仿宋"/>
          <w:color w:val="000000"/>
          <w:spacing w:val="-20"/>
          <w:kern w:val="0"/>
          <w:sz w:val="28"/>
          <w:szCs w:val="20"/>
        </w:rPr>
        <w:br w:type="page"/>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7"/>
        <w:gridCol w:w="3513"/>
        <w:gridCol w:w="3196"/>
      </w:tblGrid>
      <w:tr w14:paraId="710A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387" w:type="pct"/>
            <w:tcBorders>
              <w:top w:val="single" w:color="auto" w:sz="4" w:space="0"/>
              <w:left w:val="single" w:color="auto" w:sz="4" w:space="0"/>
              <w:bottom w:val="single" w:color="auto" w:sz="4" w:space="0"/>
              <w:right w:val="single" w:color="auto" w:sz="4" w:space="0"/>
            </w:tcBorders>
            <w:noWrap/>
            <w:vAlign w:val="top"/>
          </w:tcPr>
          <w:p w14:paraId="6C5697F0">
            <w:pPr>
              <w:autoSpaceDE w:val="0"/>
              <w:autoSpaceDN w:val="0"/>
              <w:adjustRightInd w:val="0"/>
              <w:spacing w:line="276" w:lineRule="auto"/>
              <w:jc w:val="center"/>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甲  方</w:t>
            </w:r>
          </w:p>
        </w:tc>
        <w:tc>
          <w:tcPr>
            <w:tcW w:w="1891" w:type="pct"/>
            <w:tcBorders>
              <w:top w:val="single" w:color="auto" w:sz="4" w:space="0"/>
              <w:left w:val="single" w:color="auto" w:sz="4" w:space="0"/>
              <w:bottom w:val="single" w:color="auto" w:sz="4" w:space="0"/>
              <w:right w:val="single" w:color="auto" w:sz="4" w:space="0"/>
            </w:tcBorders>
            <w:noWrap/>
            <w:vAlign w:val="top"/>
          </w:tcPr>
          <w:p w14:paraId="5815009E">
            <w:pPr>
              <w:autoSpaceDE w:val="0"/>
              <w:autoSpaceDN w:val="0"/>
              <w:adjustRightInd w:val="0"/>
              <w:spacing w:line="276" w:lineRule="auto"/>
              <w:jc w:val="center"/>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乙  方</w:t>
            </w:r>
          </w:p>
        </w:tc>
        <w:tc>
          <w:tcPr>
            <w:tcW w:w="1721" w:type="pct"/>
            <w:tcBorders>
              <w:top w:val="single" w:color="auto" w:sz="4" w:space="0"/>
              <w:left w:val="single" w:color="auto" w:sz="4" w:space="0"/>
              <w:bottom w:val="single" w:color="auto" w:sz="4" w:space="0"/>
              <w:right w:val="single" w:color="auto" w:sz="4" w:space="0"/>
            </w:tcBorders>
            <w:noWrap/>
            <w:vAlign w:val="top"/>
          </w:tcPr>
          <w:p w14:paraId="20B9A3B5">
            <w:pPr>
              <w:autoSpaceDE w:val="0"/>
              <w:autoSpaceDN w:val="0"/>
              <w:adjustRightInd w:val="0"/>
              <w:spacing w:line="276" w:lineRule="auto"/>
              <w:jc w:val="center"/>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鉴证方</w:t>
            </w:r>
          </w:p>
        </w:tc>
      </w:tr>
      <w:tr w14:paraId="2CE9C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1387" w:type="pct"/>
            <w:tcBorders>
              <w:top w:val="single" w:color="auto" w:sz="4" w:space="0"/>
              <w:left w:val="single" w:color="auto" w:sz="4" w:space="0"/>
              <w:bottom w:val="single" w:color="auto" w:sz="4" w:space="0"/>
              <w:right w:val="single" w:color="auto" w:sz="4" w:space="0"/>
            </w:tcBorders>
            <w:noWrap/>
            <w:vAlign w:val="center"/>
          </w:tcPr>
          <w:p w14:paraId="0D155A94">
            <w:pPr>
              <w:autoSpaceDE w:val="0"/>
              <w:autoSpaceDN w:val="0"/>
              <w:adjustRightInd w:val="0"/>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西安市儿童医院</w:t>
            </w:r>
          </w:p>
          <w:p w14:paraId="431BC6CF">
            <w:pPr>
              <w:autoSpaceDE w:val="0"/>
              <w:autoSpaceDN w:val="0"/>
              <w:adjustRightInd w:val="0"/>
              <w:spacing w:line="276" w:lineRule="auto"/>
              <w:ind w:firstLine="840" w:firstLineChars="350"/>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c>
          <w:tcPr>
            <w:tcW w:w="1891" w:type="pct"/>
            <w:tcBorders>
              <w:top w:val="single" w:color="auto" w:sz="4" w:space="0"/>
              <w:left w:val="single" w:color="auto" w:sz="4" w:space="0"/>
              <w:bottom w:val="single" w:color="auto" w:sz="4" w:space="0"/>
              <w:right w:val="single" w:color="auto" w:sz="4" w:space="0"/>
            </w:tcBorders>
            <w:noWrap/>
            <w:vAlign w:val="center"/>
          </w:tcPr>
          <w:p w14:paraId="3725E7C3">
            <w:pPr>
              <w:autoSpaceDE w:val="0"/>
              <w:autoSpaceDN w:val="0"/>
              <w:adjustRightInd w:val="0"/>
              <w:spacing w:line="276" w:lineRule="auto"/>
              <w:jc w:val="left"/>
              <w:rPr>
                <w:rFonts w:ascii="仿宋" w:hAnsi="仿宋" w:eastAsia="仿宋" w:cs="仿宋"/>
                <w:spacing w:val="-20"/>
                <w:kern w:val="0"/>
                <w:sz w:val="28"/>
                <w:szCs w:val="20"/>
              </w:rPr>
            </w:pPr>
          </w:p>
          <w:p w14:paraId="743307F8">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c>
          <w:tcPr>
            <w:tcW w:w="1721" w:type="pct"/>
            <w:tcBorders>
              <w:top w:val="single" w:color="auto" w:sz="4" w:space="0"/>
              <w:left w:val="single" w:color="auto" w:sz="4" w:space="0"/>
              <w:bottom w:val="single" w:color="auto" w:sz="4" w:space="0"/>
              <w:right w:val="single" w:color="auto" w:sz="4" w:space="0"/>
            </w:tcBorders>
            <w:noWrap/>
            <w:vAlign w:val="center"/>
          </w:tcPr>
          <w:p w14:paraId="133B9A01">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r>
      <w:tr w14:paraId="2DA8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387" w:type="pct"/>
            <w:tcBorders>
              <w:top w:val="single" w:color="auto" w:sz="4" w:space="0"/>
              <w:left w:val="single" w:color="auto" w:sz="4" w:space="0"/>
              <w:bottom w:val="single" w:color="auto" w:sz="4" w:space="0"/>
              <w:right w:val="single" w:color="auto" w:sz="4" w:space="0"/>
            </w:tcBorders>
            <w:noWrap/>
            <w:vAlign w:val="top"/>
          </w:tcPr>
          <w:p w14:paraId="24A22852">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地址： 西安市莲湖区西举院巷69号</w:t>
            </w:r>
          </w:p>
        </w:tc>
        <w:tc>
          <w:tcPr>
            <w:tcW w:w="1891" w:type="pct"/>
            <w:tcBorders>
              <w:top w:val="single" w:color="auto" w:sz="4" w:space="0"/>
              <w:left w:val="single" w:color="auto" w:sz="4" w:space="0"/>
              <w:bottom w:val="single" w:color="auto" w:sz="4" w:space="0"/>
              <w:right w:val="single" w:color="auto" w:sz="4" w:space="0"/>
            </w:tcBorders>
            <w:noWrap/>
            <w:vAlign w:val="top"/>
          </w:tcPr>
          <w:p w14:paraId="686BDC30">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地址：</w:t>
            </w:r>
          </w:p>
        </w:tc>
        <w:tc>
          <w:tcPr>
            <w:tcW w:w="1721" w:type="pct"/>
            <w:tcBorders>
              <w:top w:val="single" w:color="auto" w:sz="4" w:space="0"/>
              <w:left w:val="single" w:color="auto" w:sz="4" w:space="0"/>
              <w:bottom w:val="single" w:color="auto" w:sz="4" w:space="0"/>
              <w:right w:val="single" w:color="auto" w:sz="4" w:space="0"/>
            </w:tcBorders>
            <w:noWrap/>
            <w:vAlign w:val="top"/>
          </w:tcPr>
          <w:p w14:paraId="30CC7106">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地址：</w:t>
            </w:r>
          </w:p>
        </w:tc>
      </w:tr>
      <w:tr w14:paraId="626CB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1387" w:type="pct"/>
            <w:tcBorders>
              <w:top w:val="single" w:color="auto" w:sz="4" w:space="0"/>
              <w:left w:val="single" w:color="auto" w:sz="4" w:space="0"/>
              <w:bottom w:val="single" w:color="auto" w:sz="4" w:space="0"/>
              <w:right w:val="single" w:color="auto" w:sz="4" w:space="0"/>
            </w:tcBorders>
            <w:noWrap/>
            <w:vAlign w:val="top"/>
          </w:tcPr>
          <w:p w14:paraId="294EEB98">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邮编：710003</w:t>
            </w:r>
          </w:p>
        </w:tc>
        <w:tc>
          <w:tcPr>
            <w:tcW w:w="1891" w:type="pct"/>
            <w:tcBorders>
              <w:top w:val="single" w:color="auto" w:sz="4" w:space="0"/>
              <w:left w:val="single" w:color="auto" w:sz="4" w:space="0"/>
              <w:bottom w:val="single" w:color="auto" w:sz="4" w:space="0"/>
              <w:right w:val="single" w:color="auto" w:sz="4" w:space="0"/>
            </w:tcBorders>
            <w:noWrap/>
            <w:vAlign w:val="top"/>
          </w:tcPr>
          <w:p w14:paraId="4669E3AE">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邮编：</w:t>
            </w:r>
          </w:p>
        </w:tc>
        <w:tc>
          <w:tcPr>
            <w:tcW w:w="1721" w:type="pct"/>
            <w:tcBorders>
              <w:top w:val="single" w:color="auto" w:sz="4" w:space="0"/>
              <w:left w:val="single" w:color="auto" w:sz="4" w:space="0"/>
              <w:bottom w:val="single" w:color="auto" w:sz="4" w:space="0"/>
              <w:right w:val="single" w:color="auto" w:sz="4" w:space="0"/>
            </w:tcBorders>
            <w:noWrap/>
            <w:vAlign w:val="top"/>
          </w:tcPr>
          <w:p w14:paraId="22ACD37E">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邮编：</w:t>
            </w:r>
          </w:p>
        </w:tc>
      </w:tr>
      <w:tr w14:paraId="6DF18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1387" w:type="pct"/>
            <w:tcBorders>
              <w:top w:val="single" w:color="auto" w:sz="4" w:space="0"/>
              <w:left w:val="single" w:color="auto" w:sz="4" w:space="0"/>
              <w:bottom w:val="single" w:color="auto" w:sz="4" w:space="0"/>
              <w:right w:val="single" w:color="auto" w:sz="4" w:space="0"/>
            </w:tcBorders>
            <w:noWrap/>
            <w:vAlign w:val="top"/>
          </w:tcPr>
          <w:p w14:paraId="3F25A3E5">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lang w:val="en-US" w:eastAsia="zh-CN"/>
              </w:rPr>
              <w:t>单位负责人</w:t>
            </w:r>
            <w:r>
              <w:rPr>
                <w:rFonts w:hint="eastAsia" w:ascii="仿宋" w:hAnsi="仿宋" w:eastAsia="仿宋" w:cs="仿宋"/>
                <w:color w:val="000000"/>
                <w:spacing w:val="-20"/>
                <w:kern w:val="0"/>
                <w:sz w:val="28"/>
                <w:szCs w:val="20"/>
              </w:rPr>
              <w:t>：（签字）</w:t>
            </w:r>
          </w:p>
        </w:tc>
        <w:tc>
          <w:tcPr>
            <w:tcW w:w="1891" w:type="pct"/>
            <w:tcBorders>
              <w:top w:val="single" w:color="auto" w:sz="4" w:space="0"/>
              <w:left w:val="single" w:color="auto" w:sz="4" w:space="0"/>
              <w:bottom w:val="single" w:color="auto" w:sz="4" w:space="0"/>
              <w:right w:val="single" w:color="auto" w:sz="4" w:space="0"/>
            </w:tcBorders>
            <w:noWrap/>
            <w:vAlign w:val="top"/>
          </w:tcPr>
          <w:p w14:paraId="60B91799">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法定代表人：</w:t>
            </w:r>
          </w:p>
        </w:tc>
        <w:tc>
          <w:tcPr>
            <w:tcW w:w="1721" w:type="pct"/>
            <w:tcBorders>
              <w:top w:val="single" w:color="auto" w:sz="4" w:space="0"/>
              <w:left w:val="single" w:color="auto" w:sz="4" w:space="0"/>
              <w:bottom w:val="single" w:color="auto" w:sz="4" w:space="0"/>
              <w:right w:val="single" w:color="auto" w:sz="4" w:space="0"/>
            </w:tcBorders>
            <w:noWrap/>
            <w:vAlign w:val="top"/>
          </w:tcPr>
          <w:p w14:paraId="4C87CB5A">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业务处负责人：（签字）</w:t>
            </w:r>
          </w:p>
        </w:tc>
      </w:tr>
      <w:tr w14:paraId="0B903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7" w:type="pct"/>
            <w:tcBorders>
              <w:top w:val="single" w:color="auto" w:sz="4" w:space="0"/>
              <w:left w:val="single" w:color="auto" w:sz="4" w:space="0"/>
              <w:bottom w:val="single" w:color="auto" w:sz="4" w:space="0"/>
              <w:right w:val="single" w:color="auto" w:sz="4" w:space="0"/>
            </w:tcBorders>
            <w:noWrap/>
            <w:vAlign w:val="top"/>
          </w:tcPr>
          <w:p w14:paraId="5DDFD261">
            <w:pPr>
              <w:autoSpaceDE w:val="0"/>
              <w:autoSpaceDN w:val="0"/>
              <w:adjustRightInd w:val="0"/>
              <w:spacing w:line="276" w:lineRule="auto"/>
              <w:jc w:val="left"/>
              <w:rPr>
                <w:rFonts w:ascii="仿宋" w:hAnsi="仿宋" w:eastAsia="仿宋" w:cs="仿宋"/>
                <w:color w:val="000000"/>
                <w:spacing w:val="-20"/>
                <w:kern w:val="0"/>
                <w:sz w:val="28"/>
                <w:szCs w:val="20"/>
              </w:rPr>
            </w:pPr>
          </w:p>
        </w:tc>
        <w:tc>
          <w:tcPr>
            <w:tcW w:w="1891" w:type="pct"/>
            <w:tcBorders>
              <w:top w:val="single" w:color="auto" w:sz="4" w:space="0"/>
              <w:left w:val="single" w:color="auto" w:sz="4" w:space="0"/>
              <w:bottom w:val="single" w:color="auto" w:sz="4" w:space="0"/>
              <w:right w:val="single" w:color="auto" w:sz="4" w:space="0"/>
            </w:tcBorders>
            <w:noWrap/>
            <w:vAlign w:val="top"/>
          </w:tcPr>
          <w:p w14:paraId="0BE5D0B9">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被授权代表：（签字）</w:t>
            </w:r>
          </w:p>
        </w:tc>
        <w:tc>
          <w:tcPr>
            <w:tcW w:w="1721" w:type="pct"/>
            <w:tcBorders>
              <w:top w:val="single" w:color="auto" w:sz="4" w:space="0"/>
              <w:left w:val="single" w:color="auto" w:sz="4" w:space="0"/>
              <w:bottom w:val="single" w:color="auto" w:sz="4" w:space="0"/>
              <w:right w:val="single" w:color="auto" w:sz="4" w:space="0"/>
            </w:tcBorders>
            <w:noWrap/>
            <w:vAlign w:val="top"/>
          </w:tcPr>
          <w:p w14:paraId="081003B9">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审核人：（签字）</w:t>
            </w:r>
          </w:p>
        </w:tc>
      </w:tr>
      <w:tr w14:paraId="7BC9F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7" w:type="pct"/>
            <w:tcBorders>
              <w:top w:val="single" w:color="auto" w:sz="4" w:space="0"/>
              <w:left w:val="single" w:color="auto" w:sz="4" w:space="0"/>
              <w:bottom w:val="single" w:color="auto" w:sz="4" w:space="0"/>
              <w:right w:val="single" w:color="auto" w:sz="4" w:space="0"/>
            </w:tcBorders>
            <w:noWrap/>
            <w:vAlign w:val="top"/>
          </w:tcPr>
          <w:p w14:paraId="2E58E0BF">
            <w:pPr>
              <w:autoSpaceDE w:val="0"/>
              <w:autoSpaceDN w:val="0"/>
              <w:adjustRightInd w:val="0"/>
              <w:spacing w:line="276" w:lineRule="auto"/>
              <w:jc w:val="left"/>
              <w:rPr>
                <w:rFonts w:hint="default" w:ascii="仿宋" w:hAnsi="仿宋" w:eastAsia="仿宋" w:cs="仿宋"/>
                <w:color w:val="000000"/>
                <w:spacing w:val="-20"/>
                <w:kern w:val="0"/>
                <w:sz w:val="28"/>
                <w:szCs w:val="20"/>
                <w:lang w:val="en-US" w:eastAsia="zh-CN"/>
              </w:rPr>
            </w:pPr>
            <w:r>
              <w:rPr>
                <w:rFonts w:hint="eastAsia" w:ascii="仿宋" w:hAnsi="仿宋" w:eastAsia="仿宋" w:cs="仿宋"/>
                <w:color w:val="000000"/>
                <w:spacing w:val="-20"/>
                <w:kern w:val="0"/>
                <w:sz w:val="28"/>
                <w:szCs w:val="20"/>
              </w:rPr>
              <w:t>电话：029876920</w:t>
            </w:r>
            <w:r>
              <w:rPr>
                <w:rFonts w:hint="eastAsia" w:ascii="仿宋" w:hAnsi="仿宋" w:eastAsia="仿宋" w:cs="仿宋"/>
                <w:color w:val="000000"/>
                <w:spacing w:val="-20"/>
                <w:kern w:val="0"/>
                <w:sz w:val="28"/>
                <w:szCs w:val="20"/>
                <w:lang w:val="en-US" w:eastAsia="zh-CN"/>
              </w:rPr>
              <w:t>34</w:t>
            </w:r>
          </w:p>
        </w:tc>
        <w:tc>
          <w:tcPr>
            <w:tcW w:w="1891" w:type="pct"/>
            <w:tcBorders>
              <w:top w:val="single" w:color="auto" w:sz="4" w:space="0"/>
              <w:left w:val="single" w:color="auto" w:sz="4" w:space="0"/>
              <w:bottom w:val="single" w:color="auto" w:sz="4" w:space="0"/>
              <w:right w:val="single" w:color="auto" w:sz="4" w:space="0"/>
            </w:tcBorders>
            <w:noWrap/>
            <w:vAlign w:val="top"/>
          </w:tcPr>
          <w:p w14:paraId="3C364FFA">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电话：</w:t>
            </w:r>
          </w:p>
        </w:tc>
        <w:tc>
          <w:tcPr>
            <w:tcW w:w="1721" w:type="pct"/>
            <w:tcBorders>
              <w:top w:val="single" w:color="auto" w:sz="4" w:space="0"/>
              <w:left w:val="single" w:color="auto" w:sz="4" w:space="0"/>
              <w:bottom w:val="single" w:color="auto" w:sz="4" w:space="0"/>
              <w:right w:val="single" w:color="auto" w:sz="4" w:space="0"/>
            </w:tcBorders>
            <w:noWrap/>
            <w:vAlign w:val="top"/>
          </w:tcPr>
          <w:p w14:paraId="5EC2BA36">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电话：</w:t>
            </w:r>
          </w:p>
        </w:tc>
      </w:tr>
      <w:tr w14:paraId="5D501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7" w:type="pct"/>
            <w:tcBorders>
              <w:top w:val="single" w:color="auto" w:sz="4" w:space="0"/>
              <w:left w:val="single" w:color="auto" w:sz="4" w:space="0"/>
              <w:bottom w:val="single" w:color="auto" w:sz="4" w:space="0"/>
              <w:right w:val="single" w:color="auto" w:sz="4" w:space="0"/>
            </w:tcBorders>
            <w:noWrap/>
            <w:vAlign w:val="top"/>
          </w:tcPr>
          <w:p w14:paraId="642F179E">
            <w:pPr>
              <w:autoSpaceDE w:val="0"/>
              <w:autoSpaceDN w:val="0"/>
              <w:adjustRightInd w:val="0"/>
              <w:spacing w:line="276" w:lineRule="auto"/>
              <w:jc w:val="left"/>
              <w:rPr>
                <w:rFonts w:ascii="仿宋" w:hAnsi="仿宋" w:eastAsia="仿宋" w:cs="仿宋"/>
                <w:color w:val="000000"/>
                <w:spacing w:val="-20"/>
                <w:kern w:val="0"/>
                <w:sz w:val="28"/>
                <w:szCs w:val="20"/>
              </w:rPr>
            </w:pPr>
          </w:p>
        </w:tc>
        <w:tc>
          <w:tcPr>
            <w:tcW w:w="1891" w:type="pct"/>
            <w:tcBorders>
              <w:top w:val="single" w:color="auto" w:sz="4" w:space="0"/>
              <w:left w:val="single" w:color="auto" w:sz="4" w:space="0"/>
              <w:bottom w:val="single" w:color="auto" w:sz="4" w:space="0"/>
              <w:right w:val="single" w:color="auto" w:sz="4" w:space="0"/>
            </w:tcBorders>
            <w:noWrap/>
            <w:vAlign w:val="top"/>
          </w:tcPr>
          <w:p w14:paraId="2DB62F6A">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开户银行：</w:t>
            </w:r>
          </w:p>
        </w:tc>
        <w:tc>
          <w:tcPr>
            <w:tcW w:w="1721" w:type="pct"/>
            <w:tcBorders>
              <w:top w:val="single" w:color="auto" w:sz="4" w:space="0"/>
              <w:left w:val="single" w:color="auto" w:sz="4" w:space="0"/>
              <w:bottom w:val="single" w:color="auto" w:sz="4" w:space="0"/>
              <w:right w:val="single" w:color="auto" w:sz="4" w:space="0"/>
            </w:tcBorders>
            <w:noWrap/>
            <w:vAlign w:val="top"/>
          </w:tcPr>
          <w:p w14:paraId="59C56D3A">
            <w:pPr>
              <w:autoSpaceDE w:val="0"/>
              <w:autoSpaceDN w:val="0"/>
              <w:adjustRightInd w:val="0"/>
              <w:spacing w:line="276" w:lineRule="auto"/>
              <w:jc w:val="left"/>
              <w:rPr>
                <w:rFonts w:ascii="仿宋" w:hAnsi="仿宋" w:eastAsia="仿宋" w:cs="仿宋"/>
                <w:color w:val="000000"/>
                <w:spacing w:val="-20"/>
                <w:kern w:val="0"/>
                <w:sz w:val="28"/>
                <w:szCs w:val="20"/>
              </w:rPr>
            </w:pPr>
          </w:p>
        </w:tc>
      </w:tr>
      <w:tr w14:paraId="63295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7" w:type="pct"/>
            <w:tcBorders>
              <w:top w:val="single" w:color="auto" w:sz="4" w:space="0"/>
              <w:left w:val="single" w:color="auto" w:sz="4" w:space="0"/>
              <w:bottom w:val="single" w:color="auto" w:sz="4" w:space="0"/>
              <w:right w:val="single" w:color="auto" w:sz="4" w:space="0"/>
            </w:tcBorders>
            <w:noWrap/>
            <w:vAlign w:val="top"/>
          </w:tcPr>
          <w:p w14:paraId="0744E2F1">
            <w:pPr>
              <w:autoSpaceDE w:val="0"/>
              <w:autoSpaceDN w:val="0"/>
              <w:adjustRightInd w:val="0"/>
              <w:spacing w:line="276" w:lineRule="auto"/>
              <w:jc w:val="left"/>
              <w:rPr>
                <w:rFonts w:ascii="仿宋" w:hAnsi="仿宋" w:eastAsia="仿宋" w:cs="仿宋"/>
                <w:b/>
                <w:bCs/>
                <w:color w:val="000000"/>
                <w:spacing w:val="-20"/>
                <w:kern w:val="0"/>
                <w:sz w:val="28"/>
                <w:szCs w:val="20"/>
              </w:rPr>
            </w:pPr>
          </w:p>
        </w:tc>
        <w:tc>
          <w:tcPr>
            <w:tcW w:w="1891" w:type="pct"/>
            <w:tcBorders>
              <w:top w:val="single" w:color="auto" w:sz="4" w:space="0"/>
              <w:left w:val="single" w:color="auto" w:sz="4" w:space="0"/>
              <w:bottom w:val="single" w:color="auto" w:sz="4" w:space="0"/>
              <w:right w:val="single" w:color="auto" w:sz="4" w:space="0"/>
            </w:tcBorders>
            <w:noWrap/>
            <w:vAlign w:val="top"/>
          </w:tcPr>
          <w:p w14:paraId="0F0C40A5">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帐号：</w:t>
            </w:r>
          </w:p>
        </w:tc>
        <w:tc>
          <w:tcPr>
            <w:tcW w:w="1721" w:type="pct"/>
            <w:tcBorders>
              <w:top w:val="single" w:color="auto" w:sz="4" w:space="0"/>
              <w:left w:val="single" w:color="auto" w:sz="4" w:space="0"/>
              <w:bottom w:val="single" w:color="auto" w:sz="4" w:space="0"/>
              <w:right w:val="single" w:color="auto" w:sz="4" w:space="0"/>
            </w:tcBorders>
            <w:noWrap/>
            <w:vAlign w:val="top"/>
          </w:tcPr>
          <w:p w14:paraId="6BBF9678">
            <w:pPr>
              <w:autoSpaceDE w:val="0"/>
              <w:autoSpaceDN w:val="0"/>
              <w:adjustRightInd w:val="0"/>
              <w:spacing w:line="276" w:lineRule="auto"/>
              <w:jc w:val="left"/>
              <w:rPr>
                <w:rFonts w:ascii="仿宋" w:hAnsi="仿宋" w:eastAsia="仿宋" w:cs="仿宋"/>
                <w:color w:val="000000"/>
                <w:spacing w:val="-20"/>
                <w:kern w:val="0"/>
                <w:sz w:val="28"/>
                <w:szCs w:val="20"/>
              </w:rPr>
            </w:pPr>
          </w:p>
        </w:tc>
      </w:tr>
      <w:tr w14:paraId="7D2CB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7" w:type="pct"/>
            <w:tcBorders>
              <w:top w:val="single" w:color="auto" w:sz="4" w:space="0"/>
              <w:left w:val="single" w:color="auto" w:sz="4" w:space="0"/>
              <w:bottom w:val="single" w:color="auto" w:sz="4" w:space="0"/>
              <w:right w:val="single" w:color="auto" w:sz="4" w:space="0"/>
            </w:tcBorders>
            <w:noWrap/>
            <w:vAlign w:val="top"/>
          </w:tcPr>
          <w:p w14:paraId="107E3DB1">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日期：   年   月   日</w:t>
            </w:r>
          </w:p>
        </w:tc>
        <w:tc>
          <w:tcPr>
            <w:tcW w:w="1891" w:type="pct"/>
            <w:tcBorders>
              <w:top w:val="single" w:color="auto" w:sz="4" w:space="0"/>
              <w:left w:val="single" w:color="auto" w:sz="4" w:space="0"/>
              <w:bottom w:val="single" w:color="auto" w:sz="4" w:space="0"/>
              <w:right w:val="single" w:color="auto" w:sz="4" w:space="0"/>
            </w:tcBorders>
            <w:noWrap/>
            <w:vAlign w:val="top"/>
          </w:tcPr>
          <w:p w14:paraId="0C2A2EBA">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日期：   年   月   日</w:t>
            </w:r>
          </w:p>
        </w:tc>
        <w:tc>
          <w:tcPr>
            <w:tcW w:w="1721" w:type="pct"/>
            <w:tcBorders>
              <w:top w:val="single" w:color="auto" w:sz="4" w:space="0"/>
              <w:left w:val="single" w:color="auto" w:sz="4" w:space="0"/>
              <w:bottom w:val="single" w:color="auto" w:sz="4" w:space="0"/>
              <w:right w:val="single" w:color="auto" w:sz="4" w:space="0"/>
            </w:tcBorders>
            <w:noWrap/>
            <w:vAlign w:val="top"/>
          </w:tcPr>
          <w:p w14:paraId="1C6A172E">
            <w:pPr>
              <w:autoSpaceDE w:val="0"/>
              <w:autoSpaceDN w:val="0"/>
              <w:adjustRightInd w:val="0"/>
              <w:spacing w:line="276" w:lineRule="auto"/>
              <w:jc w:val="left"/>
              <w:rPr>
                <w:rFonts w:ascii="仿宋" w:hAnsi="仿宋" w:eastAsia="仿宋" w:cs="仿宋"/>
                <w:color w:val="000000"/>
                <w:spacing w:val="-20"/>
                <w:kern w:val="0"/>
                <w:sz w:val="28"/>
                <w:szCs w:val="20"/>
              </w:rPr>
            </w:pPr>
            <w:r>
              <w:rPr>
                <w:rFonts w:hint="eastAsia" w:ascii="仿宋" w:hAnsi="仿宋" w:eastAsia="仿宋" w:cs="仿宋"/>
                <w:color w:val="000000"/>
                <w:spacing w:val="-20"/>
                <w:kern w:val="0"/>
                <w:sz w:val="28"/>
                <w:szCs w:val="20"/>
              </w:rPr>
              <w:t>日期：   年   月   日</w:t>
            </w:r>
          </w:p>
        </w:tc>
      </w:tr>
    </w:tbl>
    <w:p w14:paraId="5F6FA0C6">
      <w:pPr>
        <w:pStyle w:val="21"/>
        <w:spacing w:line="276" w:lineRule="auto"/>
        <w:ind w:firstLine="0" w:firstLineChars="0"/>
        <w:outlineLvl w:val="1"/>
        <w:rPr>
          <w:rFonts w:ascii="仿宋" w:hAnsi="仿宋" w:eastAsia="仿宋" w:cs="仿宋"/>
          <w:sz w:val="30"/>
          <w:szCs w:val="30"/>
        </w:rPr>
      </w:pPr>
      <w:r>
        <w:rPr>
          <w:rFonts w:hint="eastAsia" w:ascii="仿宋" w:hAnsi="仿宋" w:eastAsia="仿宋" w:cs="仿宋"/>
          <w:szCs w:val="21"/>
        </w:rPr>
        <w:br w:type="page"/>
      </w:r>
      <w:r>
        <w:rPr>
          <w:rFonts w:hint="eastAsia" w:ascii="仿宋" w:hAnsi="仿宋" w:eastAsia="仿宋" w:cs="仿宋"/>
          <w:sz w:val="30"/>
          <w:szCs w:val="30"/>
        </w:rPr>
        <w:t>附件一：</w:t>
      </w:r>
    </w:p>
    <w:p w14:paraId="49110D6F">
      <w:pPr>
        <w:pStyle w:val="9"/>
        <w:jc w:val="center"/>
        <w:rPr>
          <w:b/>
          <w:bCs/>
          <w:sz w:val="28"/>
          <w:szCs w:val="28"/>
        </w:rPr>
      </w:pPr>
      <w:r>
        <w:rPr>
          <w:rFonts w:hint="eastAsia" w:ascii="仿宋" w:hAnsi="仿宋" w:eastAsia="仿宋" w:cs="仿宋"/>
          <w:b/>
          <w:bCs/>
          <w:color w:val="000000"/>
          <w:spacing w:val="-20"/>
          <w:sz w:val="28"/>
        </w:rPr>
        <w:t>产品技术参数</w:t>
      </w:r>
    </w:p>
    <w:tbl>
      <w:tblPr>
        <w:tblStyle w:val="14"/>
        <w:tblW w:w="4998" w:type="pct"/>
        <w:tblInd w:w="0" w:type="dxa"/>
        <w:tblLayout w:type="autofit"/>
        <w:tblCellMar>
          <w:top w:w="0" w:type="dxa"/>
          <w:left w:w="108" w:type="dxa"/>
          <w:bottom w:w="0" w:type="dxa"/>
          <w:right w:w="108" w:type="dxa"/>
        </w:tblCellMar>
      </w:tblPr>
      <w:tblGrid>
        <w:gridCol w:w="464"/>
        <w:gridCol w:w="540"/>
        <w:gridCol w:w="689"/>
        <w:gridCol w:w="2556"/>
        <w:gridCol w:w="3646"/>
        <w:gridCol w:w="767"/>
        <w:gridCol w:w="620"/>
      </w:tblGrid>
      <w:tr w14:paraId="10BA65C6">
        <w:tblPrEx>
          <w:tblCellMar>
            <w:top w:w="0" w:type="dxa"/>
            <w:left w:w="108" w:type="dxa"/>
            <w:bottom w:w="0" w:type="dxa"/>
            <w:right w:w="108" w:type="dxa"/>
          </w:tblCellMar>
        </w:tblPrEx>
        <w:trPr>
          <w:trHeight w:val="300" w:hRule="atLeast"/>
        </w:trPr>
        <w:tc>
          <w:tcPr>
            <w:tcW w:w="250" w:type="pct"/>
            <w:vMerge w:val="restart"/>
            <w:tcBorders>
              <w:top w:val="single" w:color="000000" w:sz="8" w:space="0"/>
              <w:left w:val="single" w:color="000000" w:sz="8" w:space="0"/>
              <w:bottom w:val="single" w:color="000000" w:sz="8" w:space="0"/>
              <w:right w:val="single" w:color="000000" w:sz="8" w:space="0"/>
            </w:tcBorders>
            <w:noWrap w:val="0"/>
            <w:vAlign w:val="center"/>
          </w:tcPr>
          <w:p w14:paraId="693CF0CF">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序号</w:t>
            </w:r>
          </w:p>
        </w:tc>
        <w:tc>
          <w:tcPr>
            <w:tcW w:w="291" w:type="pct"/>
            <w:vMerge w:val="restart"/>
            <w:tcBorders>
              <w:top w:val="single" w:color="000000" w:sz="8" w:space="0"/>
              <w:left w:val="nil"/>
              <w:bottom w:val="single" w:color="000000" w:sz="8" w:space="0"/>
              <w:right w:val="single" w:color="000000" w:sz="8" w:space="0"/>
            </w:tcBorders>
            <w:noWrap w:val="0"/>
            <w:vAlign w:val="center"/>
          </w:tcPr>
          <w:p w14:paraId="535F6434">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品目名称</w:t>
            </w:r>
          </w:p>
        </w:tc>
        <w:tc>
          <w:tcPr>
            <w:tcW w:w="4457" w:type="pct"/>
            <w:gridSpan w:val="5"/>
            <w:tcBorders>
              <w:top w:val="single" w:color="000000" w:sz="8" w:space="0"/>
              <w:left w:val="nil"/>
              <w:bottom w:val="single" w:color="000000" w:sz="8" w:space="0"/>
              <w:right w:val="single" w:color="000000" w:sz="8" w:space="0"/>
            </w:tcBorders>
            <w:noWrap w:val="0"/>
            <w:vAlign w:val="center"/>
          </w:tcPr>
          <w:p w14:paraId="7EB44E3E">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供应商产品技术参数响应情况</w:t>
            </w:r>
          </w:p>
        </w:tc>
      </w:tr>
      <w:tr w14:paraId="70C55E2E">
        <w:tblPrEx>
          <w:tblCellMar>
            <w:top w:w="0" w:type="dxa"/>
            <w:left w:w="108" w:type="dxa"/>
            <w:bottom w:w="0" w:type="dxa"/>
            <w:right w:w="108" w:type="dxa"/>
          </w:tblCellMar>
        </w:tblPrEx>
        <w:trPr>
          <w:trHeight w:val="870" w:hRule="atLeast"/>
        </w:trPr>
        <w:tc>
          <w:tcPr>
            <w:tcW w:w="250" w:type="pct"/>
            <w:vMerge w:val="continue"/>
            <w:tcBorders>
              <w:top w:val="single" w:color="000000" w:sz="8" w:space="0"/>
              <w:left w:val="single" w:color="000000" w:sz="8" w:space="0"/>
              <w:bottom w:val="single" w:color="000000" w:sz="8" w:space="0"/>
              <w:right w:val="single" w:color="000000" w:sz="8" w:space="0"/>
            </w:tcBorders>
            <w:noWrap w:val="0"/>
            <w:vAlign w:val="center"/>
          </w:tcPr>
          <w:p w14:paraId="4E60CB35">
            <w:pPr>
              <w:jc w:val="center"/>
              <w:rPr>
                <w:rFonts w:ascii="仿宋" w:hAnsi="仿宋" w:eastAsia="仿宋" w:cs="仿宋"/>
                <w:b/>
                <w:bCs/>
                <w:color w:val="000000"/>
                <w:sz w:val="24"/>
              </w:rPr>
            </w:pPr>
          </w:p>
        </w:tc>
        <w:tc>
          <w:tcPr>
            <w:tcW w:w="291" w:type="pct"/>
            <w:vMerge w:val="continue"/>
            <w:tcBorders>
              <w:top w:val="single" w:color="000000" w:sz="8" w:space="0"/>
              <w:left w:val="nil"/>
              <w:bottom w:val="single" w:color="000000" w:sz="8" w:space="0"/>
              <w:right w:val="single" w:color="000000" w:sz="8" w:space="0"/>
            </w:tcBorders>
            <w:noWrap w:val="0"/>
            <w:vAlign w:val="center"/>
          </w:tcPr>
          <w:p w14:paraId="7300D437">
            <w:pPr>
              <w:jc w:val="center"/>
              <w:rPr>
                <w:rFonts w:ascii="仿宋" w:hAnsi="仿宋" w:eastAsia="仿宋" w:cs="仿宋"/>
                <w:b/>
                <w:bCs/>
                <w:color w:val="000000"/>
                <w:sz w:val="24"/>
              </w:rPr>
            </w:pPr>
          </w:p>
        </w:tc>
        <w:tc>
          <w:tcPr>
            <w:tcW w:w="371" w:type="pct"/>
            <w:tcBorders>
              <w:top w:val="nil"/>
              <w:left w:val="nil"/>
              <w:bottom w:val="single" w:color="000000" w:sz="8" w:space="0"/>
              <w:right w:val="single" w:color="000000" w:sz="8" w:space="0"/>
            </w:tcBorders>
            <w:noWrap w:val="0"/>
            <w:vAlign w:val="center"/>
          </w:tcPr>
          <w:p w14:paraId="0712549C">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品牌</w:t>
            </w:r>
          </w:p>
        </w:tc>
        <w:tc>
          <w:tcPr>
            <w:tcW w:w="1376" w:type="pct"/>
            <w:tcBorders>
              <w:top w:val="nil"/>
              <w:left w:val="nil"/>
              <w:bottom w:val="single" w:color="000000" w:sz="8" w:space="0"/>
              <w:right w:val="single" w:color="000000" w:sz="8" w:space="0"/>
            </w:tcBorders>
            <w:noWrap w:val="0"/>
            <w:vAlign w:val="center"/>
          </w:tcPr>
          <w:p w14:paraId="64084C9F">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型号和规格</w:t>
            </w:r>
          </w:p>
        </w:tc>
        <w:tc>
          <w:tcPr>
            <w:tcW w:w="1963" w:type="pct"/>
            <w:tcBorders>
              <w:top w:val="nil"/>
              <w:left w:val="nil"/>
              <w:bottom w:val="single" w:color="000000" w:sz="8" w:space="0"/>
              <w:right w:val="single" w:color="000000" w:sz="8" w:space="0"/>
            </w:tcBorders>
            <w:noWrap w:val="0"/>
            <w:vAlign w:val="center"/>
          </w:tcPr>
          <w:p w14:paraId="4825E03E">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产品技术参数</w:t>
            </w:r>
          </w:p>
        </w:tc>
        <w:tc>
          <w:tcPr>
            <w:tcW w:w="413" w:type="pct"/>
            <w:tcBorders>
              <w:top w:val="single" w:color="000000" w:sz="8" w:space="0"/>
              <w:left w:val="nil"/>
              <w:bottom w:val="single" w:color="000000" w:sz="8" w:space="0"/>
              <w:right w:val="single" w:color="000000" w:sz="8" w:space="0"/>
            </w:tcBorders>
            <w:noWrap w:val="0"/>
            <w:vAlign w:val="center"/>
          </w:tcPr>
          <w:p w14:paraId="51DC7247">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原产地及制造厂名</w:t>
            </w:r>
          </w:p>
        </w:tc>
        <w:tc>
          <w:tcPr>
            <w:tcW w:w="332" w:type="pct"/>
            <w:tcBorders>
              <w:top w:val="single" w:color="000000" w:sz="8" w:space="0"/>
              <w:left w:val="nil"/>
              <w:bottom w:val="single" w:color="000000" w:sz="8" w:space="0"/>
              <w:right w:val="single" w:color="000000" w:sz="8" w:space="0"/>
            </w:tcBorders>
            <w:noWrap w:val="0"/>
            <w:vAlign w:val="center"/>
          </w:tcPr>
          <w:p w14:paraId="46909B27">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rPr>
              <w:t>质保期限</w:t>
            </w:r>
          </w:p>
        </w:tc>
      </w:tr>
      <w:tr w14:paraId="30921FDE">
        <w:tblPrEx>
          <w:tblCellMar>
            <w:top w:w="0" w:type="dxa"/>
            <w:left w:w="108" w:type="dxa"/>
            <w:bottom w:w="0" w:type="dxa"/>
            <w:right w:w="108" w:type="dxa"/>
          </w:tblCellMar>
        </w:tblPrEx>
        <w:trPr>
          <w:trHeight w:val="870" w:hRule="atLeast"/>
        </w:trPr>
        <w:tc>
          <w:tcPr>
            <w:tcW w:w="250" w:type="pct"/>
            <w:vMerge w:val="restart"/>
            <w:tcBorders>
              <w:top w:val="nil"/>
              <w:left w:val="single" w:color="000000" w:sz="8" w:space="0"/>
              <w:bottom w:val="single" w:color="000000" w:sz="8" w:space="0"/>
              <w:right w:val="single" w:color="000000" w:sz="8" w:space="0"/>
            </w:tcBorders>
            <w:noWrap w:val="0"/>
            <w:vAlign w:val="center"/>
          </w:tcPr>
          <w:p w14:paraId="3067A2BC">
            <w:pPr>
              <w:widowControl/>
              <w:jc w:val="left"/>
              <w:textAlignment w:val="center"/>
              <w:rPr>
                <w:rFonts w:ascii="仿宋" w:hAnsi="仿宋" w:eastAsia="仿宋" w:cs="仿宋"/>
                <w:b/>
                <w:bCs/>
                <w:color w:val="000000"/>
                <w:sz w:val="24"/>
              </w:rPr>
            </w:pPr>
          </w:p>
        </w:tc>
        <w:tc>
          <w:tcPr>
            <w:tcW w:w="291" w:type="pct"/>
            <w:vMerge w:val="restart"/>
            <w:tcBorders>
              <w:top w:val="nil"/>
              <w:left w:val="nil"/>
              <w:bottom w:val="single" w:color="000000" w:sz="8" w:space="0"/>
              <w:right w:val="single" w:color="000000" w:sz="8" w:space="0"/>
            </w:tcBorders>
            <w:noWrap w:val="0"/>
            <w:vAlign w:val="center"/>
          </w:tcPr>
          <w:p w14:paraId="1056E7F9">
            <w:pPr>
              <w:widowControl/>
              <w:jc w:val="left"/>
              <w:textAlignment w:val="center"/>
              <w:rPr>
                <w:rFonts w:ascii="仿宋" w:hAnsi="仿宋" w:eastAsia="仿宋" w:cs="仿宋"/>
                <w:b/>
                <w:bCs/>
                <w:color w:val="000000"/>
                <w:sz w:val="24"/>
              </w:rPr>
            </w:pPr>
          </w:p>
        </w:tc>
        <w:tc>
          <w:tcPr>
            <w:tcW w:w="371" w:type="pct"/>
            <w:vMerge w:val="restart"/>
            <w:tcBorders>
              <w:top w:val="nil"/>
              <w:left w:val="nil"/>
              <w:bottom w:val="single" w:color="000000" w:sz="8" w:space="0"/>
              <w:right w:val="single" w:color="000000" w:sz="8" w:space="0"/>
            </w:tcBorders>
            <w:noWrap w:val="0"/>
            <w:vAlign w:val="center"/>
          </w:tcPr>
          <w:p w14:paraId="344714F9">
            <w:pPr>
              <w:widowControl/>
              <w:jc w:val="center"/>
              <w:textAlignment w:val="center"/>
              <w:rPr>
                <w:rFonts w:ascii="仿宋" w:hAnsi="仿宋" w:eastAsia="仿宋" w:cs="仿宋"/>
                <w:color w:val="000000"/>
                <w:sz w:val="24"/>
              </w:rPr>
            </w:pPr>
          </w:p>
        </w:tc>
        <w:tc>
          <w:tcPr>
            <w:tcW w:w="1376" w:type="pct"/>
            <w:vMerge w:val="restart"/>
            <w:tcBorders>
              <w:top w:val="nil"/>
              <w:left w:val="nil"/>
              <w:bottom w:val="single" w:color="000000" w:sz="8" w:space="0"/>
              <w:right w:val="single" w:color="000000" w:sz="8" w:space="0"/>
            </w:tcBorders>
            <w:noWrap w:val="0"/>
            <w:vAlign w:val="center"/>
          </w:tcPr>
          <w:p w14:paraId="52A55E68">
            <w:pPr>
              <w:widowControl/>
              <w:jc w:val="left"/>
              <w:textAlignment w:val="center"/>
              <w:rPr>
                <w:rFonts w:ascii="仿宋" w:hAnsi="仿宋" w:eastAsia="仿宋" w:cs="仿宋"/>
                <w:color w:val="000000"/>
                <w:sz w:val="24"/>
              </w:rPr>
            </w:pPr>
          </w:p>
        </w:tc>
        <w:tc>
          <w:tcPr>
            <w:tcW w:w="1963" w:type="pct"/>
            <w:tcBorders>
              <w:top w:val="nil"/>
              <w:left w:val="nil"/>
              <w:bottom w:val="nil"/>
              <w:right w:val="single" w:color="000000" w:sz="8" w:space="0"/>
            </w:tcBorders>
            <w:noWrap w:val="0"/>
            <w:vAlign w:val="center"/>
          </w:tcPr>
          <w:p w14:paraId="6B29C5C8">
            <w:pPr>
              <w:widowControl/>
              <w:jc w:val="left"/>
              <w:textAlignment w:val="center"/>
              <w:rPr>
                <w:rFonts w:ascii="仿宋" w:hAnsi="仿宋" w:eastAsia="仿宋" w:cs="仿宋"/>
                <w:color w:val="000000"/>
                <w:sz w:val="24"/>
              </w:rPr>
            </w:pPr>
          </w:p>
        </w:tc>
        <w:tc>
          <w:tcPr>
            <w:tcW w:w="413" w:type="pct"/>
            <w:vMerge w:val="restart"/>
            <w:tcBorders>
              <w:top w:val="nil"/>
              <w:left w:val="nil"/>
              <w:bottom w:val="single" w:color="000000" w:sz="8" w:space="0"/>
              <w:right w:val="single" w:color="000000" w:sz="8" w:space="0"/>
            </w:tcBorders>
            <w:noWrap w:val="0"/>
            <w:vAlign w:val="center"/>
          </w:tcPr>
          <w:p w14:paraId="4779D9BA">
            <w:pPr>
              <w:widowControl/>
              <w:jc w:val="left"/>
              <w:textAlignment w:val="center"/>
              <w:rPr>
                <w:rFonts w:ascii="仿宋" w:hAnsi="仿宋" w:eastAsia="仿宋" w:cs="仿宋"/>
                <w:color w:val="000000"/>
                <w:sz w:val="24"/>
              </w:rPr>
            </w:pPr>
          </w:p>
        </w:tc>
        <w:tc>
          <w:tcPr>
            <w:tcW w:w="332" w:type="pct"/>
            <w:vMerge w:val="restart"/>
            <w:tcBorders>
              <w:top w:val="nil"/>
              <w:left w:val="nil"/>
              <w:bottom w:val="single" w:color="000000" w:sz="8" w:space="0"/>
              <w:right w:val="single" w:color="000000" w:sz="8" w:space="0"/>
            </w:tcBorders>
            <w:noWrap w:val="0"/>
            <w:vAlign w:val="center"/>
          </w:tcPr>
          <w:p w14:paraId="279C9E0F">
            <w:pPr>
              <w:widowControl/>
              <w:jc w:val="center"/>
              <w:textAlignment w:val="center"/>
              <w:rPr>
                <w:rFonts w:ascii="仿宋" w:hAnsi="仿宋" w:eastAsia="仿宋" w:cs="仿宋"/>
                <w:color w:val="000000"/>
                <w:sz w:val="24"/>
              </w:rPr>
            </w:pPr>
          </w:p>
        </w:tc>
      </w:tr>
      <w:tr w14:paraId="2983EDFE">
        <w:tblPrEx>
          <w:tblCellMar>
            <w:top w:w="0" w:type="dxa"/>
            <w:left w:w="108" w:type="dxa"/>
            <w:bottom w:w="0" w:type="dxa"/>
            <w:right w:w="108" w:type="dxa"/>
          </w:tblCellMar>
        </w:tblPrEx>
        <w:trPr>
          <w:trHeight w:val="585" w:hRule="atLeast"/>
        </w:trPr>
        <w:tc>
          <w:tcPr>
            <w:tcW w:w="250" w:type="pct"/>
            <w:vMerge w:val="continue"/>
            <w:tcBorders>
              <w:top w:val="nil"/>
              <w:left w:val="single" w:color="000000" w:sz="8" w:space="0"/>
              <w:bottom w:val="single" w:color="000000" w:sz="8" w:space="0"/>
              <w:right w:val="single" w:color="000000" w:sz="8" w:space="0"/>
            </w:tcBorders>
            <w:noWrap w:val="0"/>
            <w:vAlign w:val="center"/>
          </w:tcPr>
          <w:p w14:paraId="75D572C5">
            <w:pPr>
              <w:jc w:val="left"/>
              <w:rPr>
                <w:rFonts w:ascii="仿宋" w:hAnsi="仿宋" w:eastAsia="仿宋" w:cs="仿宋"/>
                <w:b/>
                <w:bCs/>
                <w:color w:val="000000"/>
                <w:sz w:val="24"/>
              </w:rPr>
            </w:pPr>
          </w:p>
        </w:tc>
        <w:tc>
          <w:tcPr>
            <w:tcW w:w="291" w:type="pct"/>
            <w:vMerge w:val="continue"/>
            <w:tcBorders>
              <w:top w:val="nil"/>
              <w:left w:val="nil"/>
              <w:bottom w:val="single" w:color="000000" w:sz="8" w:space="0"/>
              <w:right w:val="single" w:color="000000" w:sz="8" w:space="0"/>
            </w:tcBorders>
            <w:noWrap w:val="0"/>
            <w:vAlign w:val="center"/>
          </w:tcPr>
          <w:p w14:paraId="0646A7F1">
            <w:pPr>
              <w:jc w:val="left"/>
              <w:rPr>
                <w:rFonts w:ascii="仿宋" w:hAnsi="仿宋" w:eastAsia="仿宋" w:cs="仿宋"/>
                <w:b/>
                <w:bCs/>
                <w:color w:val="000000"/>
                <w:sz w:val="24"/>
              </w:rPr>
            </w:pPr>
          </w:p>
        </w:tc>
        <w:tc>
          <w:tcPr>
            <w:tcW w:w="371" w:type="pct"/>
            <w:vMerge w:val="continue"/>
            <w:tcBorders>
              <w:top w:val="nil"/>
              <w:left w:val="nil"/>
              <w:bottom w:val="single" w:color="000000" w:sz="8" w:space="0"/>
              <w:right w:val="single" w:color="000000" w:sz="8" w:space="0"/>
            </w:tcBorders>
            <w:noWrap w:val="0"/>
            <w:vAlign w:val="center"/>
          </w:tcPr>
          <w:p w14:paraId="1A62C935">
            <w:pPr>
              <w:jc w:val="center"/>
              <w:rPr>
                <w:rFonts w:ascii="仿宋" w:hAnsi="仿宋" w:eastAsia="仿宋" w:cs="仿宋"/>
                <w:color w:val="000000"/>
                <w:sz w:val="24"/>
              </w:rPr>
            </w:pPr>
          </w:p>
        </w:tc>
        <w:tc>
          <w:tcPr>
            <w:tcW w:w="1376" w:type="pct"/>
            <w:vMerge w:val="continue"/>
            <w:tcBorders>
              <w:top w:val="nil"/>
              <w:left w:val="nil"/>
              <w:bottom w:val="single" w:color="000000" w:sz="8" w:space="0"/>
              <w:right w:val="single" w:color="000000" w:sz="8" w:space="0"/>
            </w:tcBorders>
            <w:noWrap w:val="0"/>
            <w:vAlign w:val="center"/>
          </w:tcPr>
          <w:p w14:paraId="29AB9D44">
            <w:pPr>
              <w:jc w:val="left"/>
              <w:rPr>
                <w:rFonts w:ascii="仿宋" w:hAnsi="仿宋" w:eastAsia="仿宋" w:cs="仿宋"/>
                <w:color w:val="000000"/>
                <w:sz w:val="24"/>
              </w:rPr>
            </w:pPr>
          </w:p>
        </w:tc>
        <w:tc>
          <w:tcPr>
            <w:tcW w:w="1963" w:type="pct"/>
            <w:tcBorders>
              <w:top w:val="nil"/>
              <w:left w:val="nil"/>
              <w:bottom w:val="nil"/>
              <w:right w:val="single" w:color="000000" w:sz="8" w:space="0"/>
            </w:tcBorders>
            <w:noWrap w:val="0"/>
            <w:vAlign w:val="center"/>
          </w:tcPr>
          <w:p w14:paraId="4D4AFFAE">
            <w:pPr>
              <w:widowControl/>
              <w:jc w:val="left"/>
              <w:textAlignment w:val="center"/>
              <w:rPr>
                <w:rFonts w:ascii="仿宋" w:hAnsi="仿宋" w:eastAsia="仿宋" w:cs="仿宋"/>
                <w:color w:val="000000"/>
                <w:sz w:val="24"/>
              </w:rPr>
            </w:pPr>
          </w:p>
        </w:tc>
        <w:tc>
          <w:tcPr>
            <w:tcW w:w="413" w:type="pct"/>
            <w:vMerge w:val="continue"/>
            <w:tcBorders>
              <w:top w:val="nil"/>
              <w:left w:val="nil"/>
              <w:bottom w:val="single" w:color="000000" w:sz="8" w:space="0"/>
              <w:right w:val="single" w:color="000000" w:sz="8" w:space="0"/>
            </w:tcBorders>
            <w:noWrap w:val="0"/>
            <w:vAlign w:val="center"/>
          </w:tcPr>
          <w:p w14:paraId="761F0CE4">
            <w:pPr>
              <w:jc w:val="left"/>
              <w:rPr>
                <w:rFonts w:ascii="仿宋" w:hAnsi="仿宋" w:eastAsia="仿宋" w:cs="仿宋"/>
                <w:color w:val="000000"/>
                <w:sz w:val="24"/>
              </w:rPr>
            </w:pPr>
          </w:p>
        </w:tc>
        <w:tc>
          <w:tcPr>
            <w:tcW w:w="332" w:type="pct"/>
            <w:vMerge w:val="continue"/>
            <w:tcBorders>
              <w:top w:val="nil"/>
              <w:left w:val="nil"/>
              <w:bottom w:val="single" w:color="000000" w:sz="8" w:space="0"/>
              <w:right w:val="single" w:color="000000" w:sz="8" w:space="0"/>
            </w:tcBorders>
            <w:noWrap w:val="0"/>
            <w:vAlign w:val="center"/>
          </w:tcPr>
          <w:p w14:paraId="22DE6F89">
            <w:pPr>
              <w:jc w:val="center"/>
              <w:rPr>
                <w:rFonts w:ascii="仿宋" w:hAnsi="仿宋" w:eastAsia="仿宋" w:cs="仿宋"/>
                <w:color w:val="000000"/>
                <w:sz w:val="24"/>
              </w:rPr>
            </w:pPr>
          </w:p>
        </w:tc>
      </w:tr>
      <w:tr w14:paraId="0AC2B28A">
        <w:tblPrEx>
          <w:tblCellMar>
            <w:top w:w="0" w:type="dxa"/>
            <w:left w:w="108" w:type="dxa"/>
            <w:bottom w:w="0" w:type="dxa"/>
            <w:right w:w="108" w:type="dxa"/>
          </w:tblCellMar>
        </w:tblPrEx>
        <w:trPr>
          <w:trHeight w:val="300" w:hRule="atLeast"/>
        </w:trPr>
        <w:tc>
          <w:tcPr>
            <w:tcW w:w="250" w:type="pct"/>
            <w:vMerge w:val="continue"/>
            <w:tcBorders>
              <w:top w:val="nil"/>
              <w:left w:val="single" w:color="000000" w:sz="8" w:space="0"/>
              <w:bottom w:val="single" w:color="000000" w:sz="8" w:space="0"/>
              <w:right w:val="single" w:color="000000" w:sz="8" w:space="0"/>
            </w:tcBorders>
            <w:noWrap w:val="0"/>
            <w:vAlign w:val="center"/>
          </w:tcPr>
          <w:p w14:paraId="63ADEE47">
            <w:pPr>
              <w:jc w:val="left"/>
              <w:rPr>
                <w:rFonts w:ascii="仿宋" w:hAnsi="仿宋" w:eastAsia="仿宋" w:cs="仿宋"/>
                <w:b/>
                <w:bCs/>
                <w:color w:val="000000"/>
                <w:sz w:val="24"/>
              </w:rPr>
            </w:pPr>
          </w:p>
        </w:tc>
        <w:tc>
          <w:tcPr>
            <w:tcW w:w="291" w:type="pct"/>
            <w:vMerge w:val="continue"/>
            <w:tcBorders>
              <w:top w:val="nil"/>
              <w:left w:val="nil"/>
              <w:bottom w:val="single" w:color="000000" w:sz="8" w:space="0"/>
              <w:right w:val="single" w:color="000000" w:sz="8" w:space="0"/>
            </w:tcBorders>
            <w:noWrap w:val="0"/>
            <w:vAlign w:val="center"/>
          </w:tcPr>
          <w:p w14:paraId="2D98F690">
            <w:pPr>
              <w:jc w:val="left"/>
              <w:rPr>
                <w:rFonts w:ascii="仿宋" w:hAnsi="仿宋" w:eastAsia="仿宋" w:cs="仿宋"/>
                <w:b/>
                <w:bCs/>
                <w:color w:val="000000"/>
                <w:sz w:val="24"/>
              </w:rPr>
            </w:pPr>
          </w:p>
        </w:tc>
        <w:tc>
          <w:tcPr>
            <w:tcW w:w="371" w:type="pct"/>
            <w:vMerge w:val="continue"/>
            <w:tcBorders>
              <w:top w:val="nil"/>
              <w:left w:val="nil"/>
              <w:bottom w:val="single" w:color="000000" w:sz="8" w:space="0"/>
              <w:right w:val="single" w:color="000000" w:sz="8" w:space="0"/>
            </w:tcBorders>
            <w:noWrap w:val="0"/>
            <w:vAlign w:val="center"/>
          </w:tcPr>
          <w:p w14:paraId="51E58543">
            <w:pPr>
              <w:jc w:val="center"/>
              <w:rPr>
                <w:rFonts w:ascii="仿宋" w:hAnsi="仿宋" w:eastAsia="仿宋" w:cs="仿宋"/>
                <w:color w:val="000000"/>
                <w:sz w:val="24"/>
              </w:rPr>
            </w:pPr>
          </w:p>
        </w:tc>
        <w:tc>
          <w:tcPr>
            <w:tcW w:w="1376" w:type="pct"/>
            <w:vMerge w:val="continue"/>
            <w:tcBorders>
              <w:top w:val="nil"/>
              <w:left w:val="nil"/>
              <w:bottom w:val="single" w:color="000000" w:sz="8" w:space="0"/>
              <w:right w:val="single" w:color="000000" w:sz="8" w:space="0"/>
            </w:tcBorders>
            <w:noWrap w:val="0"/>
            <w:vAlign w:val="center"/>
          </w:tcPr>
          <w:p w14:paraId="648B0B53">
            <w:pPr>
              <w:jc w:val="left"/>
              <w:rPr>
                <w:rFonts w:ascii="仿宋" w:hAnsi="仿宋" w:eastAsia="仿宋" w:cs="仿宋"/>
                <w:color w:val="000000"/>
                <w:sz w:val="24"/>
              </w:rPr>
            </w:pPr>
          </w:p>
        </w:tc>
        <w:tc>
          <w:tcPr>
            <w:tcW w:w="1963" w:type="pct"/>
            <w:tcBorders>
              <w:top w:val="nil"/>
              <w:left w:val="nil"/>
              <w:bottom w:val="nil"/>
              <w:right w:val="single" w:color="000000" w:sz="8" w:space="0"/>
            </w:tcBorders>
            <w:noWrap w:val="0"/>
            <w:vAlign w:val="center"/>
          </w:tcPr>
          <w:p w14:paraId="15E88265">
            <w:pPr>
              <w:widowControl/>
              <w:jc w:val="left"/>
              <w:textAlignment w:val="center"/>
              <w:rPr>
                <w:rFonts w:ascii="仿宋" w:hAnsi="仿宋" w:eastAsia="仿宋" w:cs="仿宋"/>
                <w:color w:val="000000"/>
                <w:sz w:val="24"/>
              </w:rPr>
            </w:pPr>
          </w:p>
        </w:tc>
        <w:tc>
          <w:tcPr>
            <w:tcW w:w="413" w:type="pct"/>
            <w:vMerge w:val="continue"/>
            <w:tcBorders>
              <w:top w:val="nil"/>
              <w:left w:val="nil"/>
              <w:bottom w:val="single" w:color="000000" w:sz="8" w:space="0"/>
              <w:right w:val="single" w:color="000000" w:sz="8" w:space="0"/>
            </w:tcBorders>
            <w:noWrap w:val="0"/>
            <w:vAlign w:val="center"/>
          </w:tcPr>
          <w:p w14:paraId="3DE8E31F">
            <w:pPr>
              <w:jc w:val="left"/>
              <w:rPr>
                <w:rFonts w:ascii="仿宋" w:hAnsi="仿宋" w:eastAsia="仿宋" w:cs="仿宋"/>
                <w:color w:val="000000"/>
                <w:sz w:val="24"/>
              </w:rPr>
            </w:pPr>
          </w:p>
        </w:tc>
        <w:tc>
          <w:tcPr>
            <w:tcW w:w="332" w:type="pct"/>
            <w:vMerge w:val="continue"/>
            <w:tcBorders>
              <w:top w:val="nil"/>
              <w:left w:val="nil"/>
              <w:bottom w:val="single" w:color="000000" w:sz="8" w:space="0"/>
              <w:right w:val="single" w:color="000000" w:sz="8" w:space="0"/>
            </w:tcBorders>
            <w:noWrap w:val="0"/>
            <w:vAlign w:val="center"/>
          </w:tcPr>
          <w:p w14:paraId="230173B1">
            <w:pPr>
              <w:jc w:val="center"/>
              <w:rPr>
                <w:rFonts w:ascii="仿宋" w:hAnsi="仿宋" w:eastAsia="仿宋" w:cs="仿宋"/>
                <w:color w:val="000000"/>
                <w:sz w:val="24"/>
              </w:rPr>
            </w:pPr>
          </w:p>
        </w:tc>
      </w:tr>
      <w:tr w14:paraId="37F5985A">
        <w:tblPrEx>
          <w:tblCellMar>
            <w:top w:w="0" w:type="dxa"/>
            <w:left w:w="108" w:type="dxa"/>
            <w:bottom w:w="0" w:type="dxa"/>
            <w:right w:w="108" w:type="dxa"/>
          </w:tblCellMar>
        </w:tblPrEx>
        <w:trPr>
          <w:trHeight w:val="585" w:hRule="atLeast"/>
        </w:trPr>
        <w:tc>
          <w:tcPr>
            <w:tcW w:w="250" w:type="pct"/>
            <w:vMerge w:val="continue"/>
            <w:tcBorders>
              <w:top w:val="nil"/>
              <w:left w:val="single" w:color="000000" w:sz="8" w:space="0"/>
              <w:bottom w:val="single" w:color="000000" w:sz="8" w:space="0"/>
              <w:right w:val="single" w:color="000000" w:sz="8" w:space="0"/>
            </w:tcBorders>
            <w:noWrap w:val="0"/>
            <w:vAlign w:val="center"/>
          </w:tcPr>
          <w:p w14:paraId="5E51E628">
            <w:pPr>
              <w:jc w:val="left"/>
              <w:rPr>
                <w:rFonts w:ascii="仿宋" w:hAnsi="仿宋" w:eastAsia="仿宋" w:cs="仿宋"/>
                <w:b/>
                <w:bCs/>
                <w:color w:val="000000"/>
                <w:sz w:val="24"/>
              </w:rPr>
            </w:pPr>
          </w:p>
        </w:tc>
        <w:tc>
          <w:tcPr>
            <w:tcW w:w="291" w:type="pct"/>
            <w:vMerge w:val="continue"/>
            <w:tcBorders>
              <w:top w:val="nil"/>
              <w:left w:val="nil"/>
              <w:bottom w:val="single" w:color="000000" w:sz="8" w:space="0"/>
              <w:right w:val="single" w:color="000000" w:sz="8" w:space="0"/>
            </w:tcBorders>
            <w:noWrap w:val="0"/>
            <w:vAlign w:val="center"/>
          </w:tcPr>
          <w:p w14:paraId="6705E098">
            <w:pPr>
              <w:jc w:val="left"/>
              <w:rPr>
                <w:rFonts w:ascii="仿宋" w:hAnsi="仿宋" w:eastAsia="仿宋" w:cs="仿宋"/>
                <w:b/>
                <w:bCs/>
                <w:color w:val="000000"/>
                <w:sz w:val="24"/>
              </w:rPr>
            </w:pPr>
          </w:p>
        </w:tc>
        <w:tc>
          <w:tcPr>
            <w:tcW w:w="371" w:type="pct"/>
            <w:vMerge w:val="continue"/>
            <w:tcBorders>
              <w:top w:val="nil"/>
              <w:left w:val="nil"/>
              <w:bottom w:val="single" w:color="000000" w:sz="8" w:space="0"/>
              <w:right w:val="single" w:color="000000" w:sz="8" w:space="0"/>
            </w:tcBorders>
            <w:noWrap w:val="0"/>
            <w:vAlign w:val="center"/>
          </w:tcPr>
          <w:p w14:paraId="43D97153">
            <w:pPr>
              <w:jc w:val="center"/>
              <w:rPr>
                <w:rFonts w:ascii="仿宋" w:hAnsi="仿宋" w:eastAsia="仿宋" w:cs="仿宋"/>
                <w:color w:val="000000"/>
                <w:sz w:val="24"/>
              </w:rPr>
            </w:pPr>
          </w:p>
        </w:tc>
        <w:tc>
          <w:tcPr>
            <w:tcW w:w="1376" w:type="pct"/>
            <w:vMerge w:val="continue"/>
            <w:tcBorders>
              <w:top w:val="nil"/>
              <w:left w:val="nil"/>
              <w:bottom w:val="single" w:color="000000" w:sz="8" w:space="0"/>
              <w:right w:val="single" w:color="000000" w:sz="8" w:space="0"/>
            </w:tcBorders>
            <w:noWrap w:val="0"/>
            <w:vAlign w:val="center"/>
          </w:tcPr>
          <w:p w14:paraId="57816CC2">
            <w:pPr>
              <w:jc w:val="left"/>
              <w:rPr>
                <w:rFonts w:ascii="仿宋" w:hAnsi="仿宋" w:eastAsia="仿宋" w:cs="仿宋"/>
                <w:color w:val="000000"/>
                <w:sz w:val="24"/>
              </w:rPr>
            </w:pPr>
          </w:p>
        </w:tc>
        <w:tc>
          <w:tcPr>
            <w:tcW w:w="1963" w:type="pct"/>
            <w:tcBorders>
              <w:top w:val="nil"/>
              <w:left w:val="nil"/>
              <w:bottom w:val="nil"/>
              <w:right w:val="single" w:color="000000" w:sz="8" w:space="0"/>
            </w:tcBorders>
            <w:noWrap w:val="0"/>
            <w:vAlign w:val="center"/>
          </w:tcPr>
          <w:p w14:paraId="1C97F377">
            <w:pPr>
              <w:widowControl/>
              <w:jc w:val="left"/>
              <w:textAlignment w:val="center"/>
              <w:rPr>
                <w:rFonts w:ascii="仿宋" w:hAnsi="仿宋" w:eastAsia="仿宋" w:cs="仿宋"/>
                <w:color w:val="000000"/>
                <w:sz w:val="24"/>
              </w:rPr>
            </w:pPr>
          </w:p>
        </w:tc>
        <w:tc>
          <w:tcPr>
            <w:tcW w:w="413" w:type="pct"/>
            <w:vMerge w:val="continue"/>
            <w:tcBorders>
              <w:top w:val="nil"/>
              <w:left w:val="nil"/>
              <w:bottom w:val="single" w:color="000000" w:sz="8" w:space="0"/>
              <w:right w:val="single" w:color="000000" w:sz="8" w:space="0"/>
            </w:tcBorders>
            <w:noWrap w:val="0"/>
            <w:vAlign w:val="center"/>
          </w:tcPr>
          <w:p w14:paraId="7521E580">
            <w:pPr>
              <w:jc w:val="left"/>
              <w:rPr>
                <w:rFonts w:ascii="仿宋" w:hAnsi="仿宋" w:eastAsia="仿宋" w:cs="仿宋"/>
                <w:color w:val="000000"/>
                <w:sz w:val="24"/>
              </w:rPr>
            </w:pPr>
          </w:p>
        </w:tc>
        <w:tc>
          <w:tcPr>
            <w:tcW w:w="332" w:type="pct"/>
            <w:vMerge w:val="continue"/>
            <w:tcBorders>
              <w:top w:val="nil"/>
              <w:left w:val="nil"/>
              <w:bottom w:val="single" w:color="000000" w:sz="8" w:space="0"/>
              <w:right w:val="single" w:color="000000" w:sz="8" w:space="0"/>
            </w:tcBorders>
            <w:noWrap w:val="0"/>
            <w:vAlign w:val="center"/>
          </w:tcPr>
          <w:p w14:paraId="1869D8B5">
            <w:pPr>
              <w:jc w:val="center"/>
              <w:rPr>
                <w:rFonts w:ascii="仿宋" w:hAnsi="仿宋" w:eastAsia="仿宋" w:cs="仿宋"/>
                <w:color w:val="000000"/>
                <w:sz w:val="24"/>
              </w:rPr>
            </w:pPr>
          </w:p>
        </w:tc>
      </w:tr>
      <w:tr w14:paraId="2218E8C5">
        <w:tblPrEx>
          <w:tblCellMar>
            <w:top w:w="0" w:type="dxa"/>
            <w:left w:w="108" w:type="dxa"/>
            <w:bottom w:w="0" w:type="dxa"/>
            <w:right w:w="108" w:type="dxa"/>
          </w:tblCellMar>
        </w:tblPrEx>
        <w:trPr>
          <w:trHeight w:val="585" w:hRule="atLeast"/>
        </w:trPr>
        <w:tc>
          <w:tcPr>
            <w:tcW w:w="250" w:type="pct"/>
            <w:vMerge w:val="continue"/>
            <w:tcBorders>
              <w:top w:val="nil"/>
              <w:left w:val="single" w:color="000000" w:sz="8" w:space="0"/>
              <w:bottom w:val="single" w:color="000000" w:sz="8" w:space="0"/>
              <w:right w:val="single" w:color="000000" w:sz="8" w:space="0"/>
            </w:tcBorders>
            <w:noWrap w:val="0"/>
            <w:vAlign w:val="center"/>
          </w:tcPr>
          <w:p w14:paraId="2536E619">
            <w:pPr>
              <w:jc w:val="left"/>
              <w:rPr>
                <w:rFonts w:ascii="仿宋" w:hAnsi="仿宋" w:eastAsia="仿宋" w:cs="仿宋"/>
                <w:b/>
                <w:bCs/>
                <w:color w:val="000000"/>
                <w:sz w:val="24"/>
              </w:rPr>
            </w:pPr>
          </w:p>
        </w:tc>
        <w:tc>
          <w:tcPr>
            <w:tcW w:w="291" w:type="pct"/>
            <w:vMerge w:val="continue"/>
            <w:tcBorders>
              <w:top w:val="nil"/>
              <w:left w:val="nil"/>
              <w:bottom w:val="single" w:color="000000" w:sz="8" w:space="0"/>
              <w:right w:val="single" w:color="000000" w:sz="8" w:space="0"/>
            </w:tcBorders>
            <w:noWrap w:val="0"/>
            <w:vAlign w:val="center"/>
          </w:tcPr>
          <w:p w14:paraId="50EA8D8F">
            <w:pPr>
              <w:jc w:val="left"/>
              <w:rPr>
                <w:rFonts w:ascii="仿宋" w:hAnsi="仿宋" w:eastAsia="仿宋" w:cs="仿宋"/>
                <w:b/>
                <w:bCs/>
                <w:color w:val="000000"/>
                <w:sz w:val="24"/>
              </w:rPr>
            </w:pPr>
          </w:p>
        </w:tc>
        <w:tc>
          <w:tcPr>
            <w:tcW w:w="371" w:type="pct"/>
            <w:vMerge w:val="continue"/>
            <w:tcBorders>
              <w:top w:val="nil"/>
              <w:left w:val="nil"/>
              <w:bottom w:val="single" w:color="000000" w:sz="8" w:space="0"/>
              <w:right w:val="single" w:color="000000" w:sz="8" w:space="0"/>
            </w:tcBorders>
            <w:noWrap w:val="0"/>
            <w:vAlign w:val="center"/>
          </w:tcPr>
          <w:p w14:paraId="7A60DE96">
            <w:pPr>
              <w:jc w:val="center"/>
              <w:rPr>
                <w:rFonts w:ascii="仿宋" w:hAnsi="仿宋" w:eastAsia="仿宋" w:cs="仿宋"/>
                <w:color w:val="000000"/>
                <w:sz w:val="24"/>
              </w:rPr>
            </w:pPr>
          </w:p>
        </w:tc>
        <w:tc>
          <w:tcPr>
            <w:tcW w:w="1376" w:type="pct"/>
            <w:vMerge w:val="continue"/>
            <w:tcBorders>
              <w:top w:val="nil"/>
              <w:left w:val="nil"/>
              <w:bottom w:val="single" w:color="000000" w:sz="8" w:space="0"/>
              <w:right w:val="single" w:color="000000" w:sz="8" w:space="0"/>
            </w:tcBorders>
            <w:noWrap w:val="0"/>
            <w:vAlign w:val="center"/>
          </w:tcPr>
          <w:p w14:paraId="779CDB01">
            <w:pPr>
              <w:jc w:val="left"/>
              <w:rPr>
                <w:rFonts w:ascii="仿宋" w:hAnsi="仿宋" w:eastAsia="仿宋" w:cs="仿宋"/>
                <w:color w:val="000000"/>
                <w:sz w:val="24"/>
              </w:rPr>
            </w:pPr>
          </w:p>
        </w:tc>
        <w:tc>
          <w:tcPr>
            <w:tcW w:w="1963" w:type="pct"/>
            <w:tcBorders>
              <w:top w:val="nil"/>
              <w:left w:val="nil"/>
              <w:bottom w:val="nil"/>
              <w:right w:val="single" w:color="000000" w:sz="8" w:space="0"/>
            </w:tcBorders>
            <w:noWrap w:val="0"/>
            <w:vAlign w:val="center"/>
          </w:tcPr>
          <w:p w14:paraId="3F4BD1F0">
            <w:pPr>
              <w:widowControl/>
              <w:jc w:val="left"/>
              <w:textAlignment w:val="center"/>
              <w:rPr>
                <w:rFonts w:ascii="仿宋" w:hAnsi="仿宋" w:eastAsia="仿宋" w:cs="仿宋"/>
                <w:color w:val="000000"/>
                <w:sz w:val="24"/>
              </w:rPr>
            </w:pPr>
          </w:p>
        </w:tc>
        <w:tc>
          <w:tcPr>
            <w:tcW w:w="413" w:type="pct"/>
            <w:vMerge w:val="continue"/>
            <w:tcBorders>
              <w:top w:val="nil"/>
              <w:left w:val="nil"/>
              <w:bottom w:val="single" w:color="000000" w:sz="8" w:space="0"/>
              <w:right w:val="single" w:color="000000" w:sz="8" w:space="0"/>
            </w:tcBorders>
            <w:noWrap w:val="0"/>
            <w:vAlign w:val="center"/>
          </w:tcPr>
          <w:p w14:paraId="1E229C85">
            <w:pPr>
              <w:jc w:val="left"/>
              <w:rPr>
                <w:rFonts w:ascii="仿宋" w:hAnsi="仿宋" w:eastAsia="仿宋" w:cs="仿宋"/>
                <w:color w:val="000000"/>
                <w:sz w:val="24"/>
              </w:rPr>
            </w:pPr>
          </w:p>
        </w:tc>
        <w:tc>
          <w:tcPr>
            <w:tcW w:w="332" w:type="pct"/>
            <w:vMerge w:val="continue"/>
            <w:tcBorders>
              <w:top w:val="nil"/>
              <w:left w:val="nil"/>
              <w:bottom w:val="single" w:color="000000" w:sz="8" w:space="0"/>
              <w:right w:val="single" w:color="000000" w:sz="8" w:space="0"/>
            </w:tcBorders>
            <w:noWrap w:val="0"/>
            <w:vAlign w:val="center"/>
          </w:tcPr>
          <w:p w14:paraId="5D560D33">
            <w:pPr>
              <w:jc w:val="center"/>
              <w:rPr>
                <w:rFonts w:ascii="仿宋" w:hAnsi="仿宋" w:eastAsia="仿宋" w:cs="仿宋"/>
                <w:color w:val="000000"/>
                <w:sz w:val="24"/>
              </w:rPr>
            </w:pPr>
          </w:p>
        </w:tc>
      </w:tr>
      <w:tr w14:paraId="5754305C">
        <w:tblPrEx>
          <w:tblCellMar>
            <w:top w:w="0" w:type="dxa"/>
            <w:left w:w="108" w:type="dxa"/>
            <w:bottom w:w="0" w:type="dxa"/>
            <w:right w:w="108" w:type="dxa"/>
          </w:tblCellMar>
        </w:tblPrEx>
        <w:trPr>
          <w:trHeight w:val="585" w:hRule="atLeast"/>
        </w:trPr>
        <w:tc>
          <w:tcPr>
            <w:tcW w:w="250" w:type="pct"/>
            <w:vMerge w:val="continue"/>
            <w:tcBorders>
              <w:top w:val="nil"/>
              <w:left w:val="single" w:color="000000" w:sz="8" w:space="0"/>
              <w:bottom w:val="single" w:color="000000" w:sz="8" w:space="0"/>
              <w:right w:val="single" w:color="000000" w:sz="8" w:space="0"/>
            </w:tcBorders>
            <w:noWrap w:val="0"/>
            <w:vAlign w:val="center"/>
          </w:tcPr>
          <w:p w14:paraId="57FE3683">
            <w:pPr>
              <w:jc w:val="left"/>
              <w:rPr>
                <w:rFonts w:ascii="仿宋" w:hAnsi="仿宋" w:eastAsia="仿宋" w:cs="仿宋"/>
                <w:b/>
                <w:bCs/>
                <w:color w:val="000000"/>
                <w:sz w:val="24"/>
              </w:rPr>
            </w:pPr>
          </w:p>
        </w:tc>
        <w:tc>
          <w:tcPr>
            <w:tcW w:w="291" w:type="pct"/>
            <w:vMerge w:val="continue"/>
            <w:tcBorders>
              <w:top w:val="nil"/>
              <w:left w:val="nil"/>
              <w:bottom w:val="single" w:color="000000" w:sz="8" w:space="0"/>
              <w:right w:val="single" w:color="000000" w:sz="8" w:space="0"/>
            </w:tcBorders>
            <w:noWrap w:val="0"/>
            <w:vAlign w:val="center"/>
          </w:tcPr>
          <w:p w14:paraId="408718CF">
            <w:pPr>
              <w:jc w:val="left"/>
              <w:rPr>
                <w:rFonts w:ascii="仿宋" w:hAnsi="仿宋" w:eastAsia="仿宋" w:cs="仿宋"/>
                <w:b/>
                <w:bCs/>
                <w:color w:val="000000"/>
                <w:sz w:val="24"/>
              </w:rPr>
            </w:pPr>
          </w:p>
        </w:tc>
        <w:tc>
          <w:tcPr>
            <w:tcW w:w="371" w:type="pct"/>
            <w:vMerge w:val="continue"/>
            <w:tcBorders>
              <w:top w:val="nil"/>
              <w:left w:val="nil"/>
              <w:bottom w:val="single" w:color="000000" w:sz="8" w:space="0"/>
              <w:right w:val="single" w:color="000000" w:sz="8" w:space="0"/>
            </w:tcBorders>
            <w:noWrap w:val="0"/>
            <w:vAlign w:val="center"/>
          </w:tcPr>
          <w:p w14:paraId="35AF13B0">
            <w:pPr>
              <w:jc w:val="center"/>
              <w:rPr>
                <w:rFonts w:ascii="仿宋" w:hAnsi="仿宋" w:eastAsia="仿宋" w:cs="仿宋"/>
                <w:color w:val="000000"/>
                <w:sz w:val="24"/>
              </w:rPr>
            </w:pPr>
          </w:p>
        </w:tc>
        <w:tc>
          <w:tcPr>
            <w:tcW w:w="1376" w:type="pct"/>
            <w:vMerge w:val="continue"/>
            <w:tcBorders>
              <w:top w:val="nil"/>
              <w:left w:val="nil"/>
              <w:bottom w:val="single" w:color="000000" w:sz="8" w:space="0"/>
              <w:right w:val="single" w:color="000000" w:sz="8" w:space="0"/>
            </w:tcBorders>
            <w:noWrap w:val="0"/>
            <w:vAlign w:val="center"/>
          </w:tcPr>
          <w:p w14:paraId="6F7476EE">
            <w:pPr>
              <w:jc w:val="left"/>
              <w:rPr>
                <w:rFonts w:ascii="仿宋" w:hAnsi="仿宋" w:eastAsia="仿宋" w:cs="仿宋"/>
                <w:color w:val="000000"/>
                <w:sz w:val="24"/>
              </w:rPr>
            </w:pPr>
          </w:p>
        </w:tc>
        <w:tc>
          <w:tcPr>
            <w:tcW w:w="1963" w:type="pct"/>
            <w:tcBorders>
              <w:top w:val="nil"/>
              <w:left w:val="nil"/>
              <w:bottom w:val="nil"/>
              <w:right w:val="single" w:color="000000" w:sz="8" w:space="0"/>
            </w:tcBorders>
            <w:noWrap w:val="0"/>
            <w:vAlign w:val="center"/>
          </w:tcPr>
          <w:p w14:paraId="576EC3F8">
            <w:pPr>
              <w:widowControl/>
              <w:jc w:val="left"/>
              <w:textAlignment w:val="center"/>
              <w:rPr>
                <w:rFonts w:ascii="仿宋" w:hAnsi="仿宋" w:eastAsia="仿宋" w:cs="仿宋"/>
                <w:color w:val="000000"/>
                <w:sz w:val="24"/>
              </w:rPr>
            </w:pPr>
          </w:p>
        </w:tc>
        <w:tc>
          <w:tcPr>
            <w:tcW w:w="413" w:type="pct"/>
            <w:vMerge w:val="continue"/>
            <w:tcBorders>
              <w:top w:val="nil"/>
              <w:left w:val="nil"/>
              <w:bottom w:val="single" w:color="000000" w:sz="8" w:space="0"/>
              <w:right w:val="single" w:color="000000" w:sz="8" w:space="0"/>
            </w:tcBorders>
            <w:noWrap w:val="0"/>
            <w:vAlign w:val="center"/>
          </w:tcPr>
          <w:p w14:paraId="092F6996">
            <w:pPr>
              <w:jc w:val="left"/>
              <w:rPr>
                <w:rFonts w:ascii="仿宋" w:hAnsi="仿宋" w:eastAsia="仿宋" w:cs="仿宋"/>
                <w:color w:val="000000"/>
                <w:sz w:val="24"/>
              </w:rPr>
            </w:pPr>
          </w:p>
        </w:tc>
        <w:tc>
          <w:tcPr>
            <w:tcW w:w="332" w:type="pct"/>
            <w:vMerge w:val="continue"/>
            <w:tcBorders>
              <w:top w:val="nil"/>
              <w:left w:val="nil"/>
              <w:bottom w:val="single" w:color="000000" w:sz="8" w:space="0"/>
              <w:right w:val="single" w:color="000000" w:sz="8" w:space="0"/>
            </w:tcBorders>
            <w:noWrap w:val="0"/>
            <w:vAlign w:val="center"/>
          </w:tcPr>
          <w:p w14:paraId="5D43CB5A">
            <w:pPr>
              <w:jc w:val="center"/>
              <w:rPr>
                <w:rFonts w:ascii="仿宋" w:hAnsi="仿宋" w:eastAsia="仿宋" w:cs="仿宋"/>
                <w:color w:val="000000"/>
                <w:sz w:val="24"/>
              </w:rPr>
            </w:pPr>
          </w:p>
        </w:tc>
      </w:tr>
      <w:tr w14:paraId="59382DD0">
        <w:tblPrEx>
          <w:tblCellMar>
            <w:top w:w="0" w:type="dxa"/>
            <w:left w:w="108" w:type="dxa"/>
            <w:bottom w:w="0" w:type="dxa"/>
            <w:right w:w="108" w:type="dxa"/>
          </w:tblCellMar>
        </w:tblPrEx>
        <w:trPr>
          <w:trHeight w:val="300" w:hRule="atLeast"/>
        </w:trPr>
        <w:tc>
          <w:tcPr>
            <w:tcW w:w="250" w:type="pct"/>
            <w:vMerge w:val="continue"/>
            <w:tcBorders>
              <w:top w:val="nil"/>
              <w:left w:val="single" w:color="000000" w:sz="8" w:space="0"/>
              <w:bottom w:val="single" w:color="000000" w:sz="8" w:space="0"/>
              <w:right w:val="single" w:color="000000" w:sz="8" w:space="0"/>
            </w:tcBorders>
            <w:noWrap w:val="0"/>
            <w:vAlign w:val="center"/>
          </w:tcPr>
          <w:p w14:paraId="5EA11469">
            <w:pPr>
              <w:jc w:val="left"/>
              <w:rPr>
                <w:rFonts w:ascii="仿宋" w:hAnsi="仿宋" w:eastAsia="仿宋" w:cs="仿宋"/>
                <w:b/>
                <w:bCs/>
                <w:color w:val="000000"/>
                <w:sz w:val="24"/>
              </w:rPr>
            </w:pPr>
          </w:p>
        </w:tc>
        <w:tc>
          <w:tcPr>
            <w:tcW w:w="291" w:type="pct"/>
            <w:vMerge w:val="continue"/>
            <w:tcBorders>
              <w:top w:val="nil"/>
              <w:left w:val="nil"/>
              <w:bottom w:val="single" w:color="000000" w:sz="8" w:space="0"/>
              <w:right w:val="single" w:color="000000" w:sz="8" w:space="0"/>
            </w:tcBorders>
            <w:noWrap w:val="0"/>
            <w:vAlign w:val="center"/>
          </w:tcPr>
          <w:p w14:paraId="7B3A68ED">
            <w:pPr>
              <w:jc w:val="left"/>
              <w:rPr>
                <w:rFonts w:ascii="仿宋" w:hAnsi="仿宋" w:eastAsia="仿宋" w:cs="仿宋"/>
                <w:b/>
                <w:bCs/>
                <w:color w:val="000000"/>
                <w:sz w:val="24"/>
              </w:rPr>
            </w:pPr>
          </w:p>
        </w:tc>
        <w:tc>
          <w:tcPr>
            <w:tcW w:w="371" w:type="pct"/>
            <w:vMerge w:val="continue"/>
            <w:tcBorders>
              <w:top w:val="nil"/>
              <w:left w:val="nil"/>
              <w:bottom w:val="single" w:color="000000" w:sz="8" w:space="0"/>
              <w:right w:val="single" w:color="000000" w:sz="8" w:space="0"/>
            </w:tcBorders>
            <w:noWrap w:val="0"/>
            <w:vAlign w:val="center"/>
          </w:tcPr>
          <w:p w14:paraId="512E1645">
            <w:pPr>
              <w:jc w:val="center"/>
              <w:rPr>
                <w:rFonts w:ascii="仿宋" w:hAnsi="仿宋" w:eastAsia="仿宋" w:cs="仿宋"/>
                <w:color w:val="000000"/>
                <w:sz w:val="24"/>
              </w:rPr>
            </w:pPr>
          </w:p>
        </w:tc>
        <w:tc>
          <w:tcPr>
            <w:tcW w:w="1376" w:type="pct"/>
            <w:vMerge w:val="continue"/>
            <w:tcBorders>
              <w:top w:val="nil"/>
              <w:left w:val="nil"/>
              <w:bottom w:val="single" w:color="000000" w:sz="8" w:space="0"/>
              <w:right w:val="single" w:color="000000" w:sz="8" w:space="0"/>
            </w:tcBorders>
            <w:noWrap w:val="0"/>
            <w:vAlign w:val="center"/>
          </w:tcPr>
          <w:p w14:paraId="748BC750">
            <w:pPr>
              <w:jc w:val="left"/>
              <w:rPr>
                <w:rFonts w:ascii="仿宋" w:hAnsi="仿宋" w:eastAsia="仿宋" w:cs="仿宋"/>
                <w:color w:val="000000"/>
                <w:sz w:val="24"/>
              </w:rPr>
            </w:pPr>
          </w:p>
        </w:tc>
        <w:tc>
          <w:tcPr>
            <w:tcW w:w="1963" w:type="pct"/>
            <w:tcBorders>
              <w:top w:val="nil"/>
              <w:left w:val="nil"/>
              <w:bottom w:val="nil"/>
              <w:right w:val="single" w:color="000000" w:sz="8" w:space="0"/>
            </w:tcBorders>
            <w:noWrap w:val="0"/>
            <w:vAlign w:val="center"/>
          </w:tcPr>
          <w:p w14:paraId="074ECD3B">
            <w:pPr>
              <w:widowControl/>
              <w:jc w:val="left"/>
              <w:textAlignment w:val="center"/>
              <w:rPr>
                <w:rFonts w:ascii="仿宋" w:hAnsi="仿宋" w:eastAsia="仿宋" w:cs="仿宋"/>
                <w:color w:val="000000"/>
                <w:sz w:val="24"/>
              </w:rPr>
            </w:pPr>
          </w:p>
        </w:tc>
        <w:tc>
          <w:tcPr>
            <w:tcW w:w="413" w:type="pct"/>
            <w:vMerge w:val="continue"/>
            <w:tcBorders>
              <w:top w:val="nil"/>
              <w:left w:val="nil"/>
              <w:bottom w:val="single" w:color="000000" w:sz="8" w:space="0"/>
              <w:right w:val="single" w:color="000000" w:sz="8" w:space="0"/>
            </w:tcBorders>
            <w:noWrap w:val="0"/>
            <w:vAlign w:val="center"/>
          </w:tcPr>
          <w:p w14:paraId="0A8ABB93">
            <w:pPr>
              <w:jc w:val="left"/>
              <w:rPr>
                <w:rFonts w:ascii="仿宋" w:hAnsi="仿宋" w:eastAsia="仿宋" w:cs="仿宋"/>
                <w:color w:val="000000"/>
                <w:sz w:val="24"/>
              </w:rPr>
            </w:pPr>
          </w:p>
        </w:tc>
        <w:tc>
          <w:tcPr>
            <w:tcW w:w="332" w:type="pct"/>
            <w:vMerge w:val="continue"/>
            <w:tcBorders>
              <w:top w:val="nil"/>
              <w:left w:val="nil"/>
              <w:bottom w:val="single" w:color="000000" w:sz="8" w:space="0"/>
              <w:right w:val="single" w:color="000000" w:sz="8" w:space="0"/>
            </w:tcBorders>
            <w:noWrap w:val="0"/>
            <w:vAlign w:val="center"/>
          </w:tcPr>
          <w:p w14:paraId="536B506D">
            <w:pPr>
              <w:jc w:val="center"/>
              <w:rPr>
                <w:rFonts w:ascii="仿宋" w:hAnsi="仿宋" w:eastAsia="仿宋" w:cs="仿宋"/>
                <w:color w:val="000000"/>
                <w:sz w:val="24"/>
              </w:rPr>
            </w:pPr>
          </w:p>
        </w:tc>
      </w:tr>
      <w:tr w14:paraId="16AF21DB">
        <w:tblPrEx>
          <w:tblCellMar>
            <w:top w:w="0" w:type="dxa"/>
            <w:left w:w="108" w:type="dxa"/>
            <w:bottom w:w="0" w:type="dxa"/>
            <w:right w:w="108" w:type="dxa"/>
          </w:tblCellMar>
        </w:tblPrEx>
        <w:trPr>
          <w:trHeight w:val="585" w:hRule="atLeast"/>
        </w:trPr>
        <w:tc>
          <w:tcPr>
            <w:tcW w:w="250" w:type="pct"/>
            <w:vMerge w:val="continue"/>
            <w:tcBorders>
              <w:top w:val="nil"/>
              <w:left w:val="single" w:color="000000" w:sz="8" w:space="0"/>
              <w:bottom w:val="single" w:color="000000" w:sz="8" w:space="0"/>
              <w:right w:val="single" w:color="000000" w:sz="8" w:space="0"/>
            </w:tcBorders>
            <w:noWrap w:val="0"/>
            <w:vAlign w:val="center"/>
          </w:tcPr>
          <w:p w14:paraId="0929DB34">
            <w:pPr>
              <w:jc w:val="left"/>
              <w:rPr>
                <w:rFonts w:ascii="仿宋" w:hAnsi="仿宋" w:eastAsia="仿宋" w:cs="仿宋"/>
                <w:b/>
                <w:bCs/>
                <w:color w:val="000000"/>
                <w:sz w:val="24"/>
              </w:rPr>
            </w:pPr>
          </w:p>
        </w:tc>
        <w:tc>
          <w:tcPr>
            <w:tcW w:w="291" w:type="pct"/>
            <w:vMerge w:val="continue"/>
            <w:tcBorders>
              <w:top w:val="nil"/>
              <w:left w:val="nil"/>
              <w:bottom w:val="single" w:color="000000" w:sz="8" w:space="0"/>
              <w:right w:val="single" w:color="000000" w:sz="8" w:space="0"/>
            </w:tcBorders>
            <w:noWrap w:val="0"/>
            <w:vAlign w:val="center"/>
          </w:tcPr>
          <w:p w14:paraId="63F6C327">
            <w:pPr>
              <w:jc w:val="left"/>
              <w:rPr>
                <w:rFonts w:ascii="仿宋" w:hAnsi="仿宋" w:eastAsia="仿宋" w:cs="仿宋"/>
                <w:b/>
                <w:bCs/>
                <w:color w:val="000000"/>
                <w:sz w:val="24"/>
              </w:rPr>
            </w:pPr>
          </w:p>
        </w:tc>
        <w:tc>
          <w:tcPr>
            <w:tcW w:w="371" w:type="pct"/>
            <w:vMerge w:val="continue"/>
            <w:tcBorders>
              <w:top w:val="nil"/>
              <w:left w:val="nil"/>
              <w:bottom w:val="single" w:color="000000" w:sz="8" w:space="0"/>
              <w:right w:val="single" w:color="000000" w:sz="8" w:space="0"/>
            </w:tcBorders>
            <w:noWrap w:val="0"/>
            <w:vAlign w:val="center"/>
          </w:tcPr>
          <w:p w14:paraId="3BC5C6EE">
            <w:pPr>
              <w:jc w:val="center"/>
              <w:rPr>
                <w:rFonts w:ascii="仿宋" w:hAnsi="仿宋" w:eastAsia="仿宋" w:cs="仿宋"/>
                <w:color w:val="000000"/>
                <w:sz w:val="24"/>
              </w:rPr>
            </w:pPr>
          </w:p>
        </w:tc>
        <w:tc>
          <w:tcPr>
            <w:tcW w:w="1376" w:type="pct"/>
            <w:vMerge w:val="continue"/>
            <w:tcBorders>
              <w:top w:val="nil"/>
              <w:left w:val="nil"/>
              <w:bottom w:val="single" w:color="000000" w:sz="8" w:space="0"/>
              <w:right w:val="single" w:color="000000" w:sz="8" w:space="0"/>
            </w:tcBorders>
            <w:noWrap w:val="0"/>
            <w:vAlign w:val="center"/>
          </w:tcPr>
          <w:p w14:paraId="54BBE163">
            <w:pPr>
              <w:jc w:val="left"/>
              <w:rPr>
                <w:rFonts w:ascii="仿宋" w:hAnsi="仿宋" w:eastAsia="仿宋" w:cs="仿宋"/>
                <w:color w:val="000000"/>
                <w:sz w:val="24"/>
              </w:rPr>
            </w:pPr>
          </w:p>
        </w:tc>
        <w:tc>
          <w:tcPr>
            <w:tcW w:w="1963" w:type="pct"/>
            <w:tcBorders>
              <w:top w:val="nil"/>
              <w:left w:val="nil"/>
              <w:bottom w:val="single" w:color="000000" w:sz="8" w:space="0"/>
              <w:right w:val="single" w:color="000000" w:sz="8" w:space="0"/>
            </w:tcBorders>
            <w:noWrap w:val="0"/>
            <w:vAlign w:val="center"/>
          </w:tcPr>
          <w:p w14:paraId="7C9347C2">
            <w:pPr>
              <w:widowControl/>
              <w:jc w:val="left"/>
              <w:textAlignment w:val="center"/>
              <w:rPr>
                <w:rFonts w:ascii="仿宋" w:hAnsi="仿宋" w:eastAsia="仿宋" w:cs="仿宋"/>
                <w:color w:val="000000"/>
                <w:sz w:val="24"/>
              </w:rPr>
            </w:pPr>
          </w:p>
        </w:tc>
        <w:tc>
          <w:tcPr>
            <w:tcW w:w="413" w:type="pct"/>
            <w:vMerge w:val="continue"/>
            <w:tcBorders>
              <w:top w:val="nil"/>
              <w:left w:val="nil"/>
              <w:bottom w:val="single" w:color="000000" w:sz="8" w:space="0"/>
              <w:right w:val="single" w:color="000000" w:sz="8" w:space="0"/>
            </w:tcBorders>
            <w:noWrap w:val="0"/>
            <w:vAlign w:val="center"/>
          </w:tcPr>
          <w:p w14:paraId="36F06E6E">
            <w:pPr>
              <w:jc w:val="left"/>
              <w:rPr>
                <w:rFonts w:ascii="仿宋" w:hAnsi="仿宋" w:eastAsia="仿宋" w:cs="仿宋"/>
                <w:color w:val="000000"/>
                <w:sz w:val="24"/>
              </w:rPr>
            </w:pPr>
          </w:p>
        </w:tc>
        <w:tc>
          <w:tcPr>
            <w:tcW w:w="332" w:type="pct"/>
            <w:vMerge w:val="continue"/>
            <w:tcBorders>
              <w:top w:val="nil"/>
              <w:left w:val="nil"/>
              <w:bottom w:val="single" w:color="000000" w:sz="8" w:space="0"/>
              <w:right w:val="single" w:color="000000" w:sz="8" w:space="0"/>
            </w:tcBorders>
            <w:noWrap w:val="0"/>
            <w:vAlign w:val="center"/>
          </w:tcPr>
          <w:p w14:paraId="54FD6DF9">
            <w:pPr>
              <w:jc w:val="center"/>
              <w:rPr>
                <w:rFonts w:ascii="仿宋" w:hAnsi="仿宋" w:eastAsia="仿宋" w:cs="仿宋"/>
                <w:color w:val="000000"/>
                <w:sz w:val="24"/>
              </w:rPr>
            </w:pPr>
          </w:p>
        </w:tc>
      </w:tr>
    </w:tbl>
    <w:p w14:paraId="330DFCEC">
      <w:pPr>
        <w:pStyle w:val="21"/>
        <w:spacing w:line="276" w:lineRule="auto"/>
        <w:ind w:firstLine="0" w:firstLineChars="0"/>
        <w:rPr>
          <w:rFonts w:ascii="仿宋" w:hAnsi="仿宋" w:eastAsia="仿宋" w:cs="仿宋"/>
          <w:szCs w:val="21"/>
        </w:rPr>
      </w:pPr>
    </w:p>
    <w:p w14:paraId="07892D28">
      <w:pPr>
        <w:spacing w:line="276" w:lineRule="auto"/>
        <w:rPr>
          <w:rFonts w:ascii="仿宋" w:hAnsi="仿宋" w:eastAsia="仿宋" w:cs="仿宋"/>
          <w:sz w:val="30"/>
          <w:szCs w:val="30"/>
        </w:rPr>
      </w:pPr>
      <w:r>
        <w:rPr>
          <w:rFonts w:hint="eastAsia" w:ascii="仿宋" w:hAnsi="仿宋" w:eastAsia="仿宋" w:cs="仿宋"/>
          <w:sz w:val="30"/>
          <w:szCs w:val="30"/>
        </w:rPr>
        <w:br w:type="page"/>
      </w:r>
    </w:p>
    <w:p w14:paraId="3A524666">
      <w:pPr>
        <w:pStyle w:val="21"/>
        <w:spacing w:line="276" w:lineRule="auto"/>
        <w:ind w:firstLine="0" w:firstLineChars="0"/>
        <w:outlineLvl w:val="1"/>
        <w:rPr>
          <w:rFonts w:ascii="仿宋" w:hAnsi="仿宋" w:eastAsia="仿宋" w:cs="仿宋"/>
          <w:b/>
          <w:sz w:val="30"/>
          <w:szCs w:val="30"/>
        </w:rPr>
      </w:pPr>
      <w:r>
        <w:rPr>
          <w:rFonts w:hint="eastAsia" w:ascii="仿宋" w:hAnsi="仿宋" w:eastAsia="仿宋" w:cs="仿宋"/>
          <w:sz w:val="30"/>
          <w:szCs w:val="30"/>
        </w:rPr>
        <w:t>附件二：</w:t>
      </w:r>
    </w:p>
    <w:p w14:paraId="364A69D6">
      <w:pPr>
        <w:tabs>
          <w:tab w:val="left" w:pos="0"/>
        </w:tabs>
        <w:adjustRightInd w:val="0"/>
        <w:spacing w:afterLines="50" w:line="360" w:lineRule="auto"/>
        <w:jc w:val="center"/>
        <w:rPr>
          <w:rFonts w:ascii="仿宋" w:hAnsi="仿宋" w:eastAsia="仿宋" w:cs="仿宋"/>
          <w:b/>
          <w:bCs/>
          <w:sz w:val="28"/>
          <w:szCs w:val="28"/>
        </w:rPr>
      </w:pPr>
      <w:r>
        <w:rPr>
          <w:rFonts w:hint="eastAsia" w:ascii="仿宋" w:hAnsi="仿宋" w:eastAsia="仿宋" w:cs="仿宋"/>
          <w:b/>
          <w:bCs/>
          <w:sz w:val="28"/>
          <w:szCs w:val="28"/>
        </w:rPr>
        <w:t>质量保证及售后服务承诺</w:t>
      </w:r>
    </w:p>
    <w:p w14:paraId="580CC1E2">
      <w:pPr>
        <w:pStyle w:val="24"/>
        <w:spacing w:afterLines="0" w:line="480" w:lineRule="exact"/>
        <w:ind w:firstLine="0" w:firstLineChars="0"/>
        <w:rPr>
          <w:rFonts w:ascii="仿宋" w:hAnsi="仿宋" w:eastAsia="仿宋" w:cs="仿宋"/>
          <w:sz w:val="28"/>
          <w:szCs w:val="28"/>
        </w:rPr>
      </w:pPr>
      <w:r>
        <w:rPr>
          <w:rFonts w:hint="eastAsia" w:ascii="仿宋" w:hAnsi="仿宋" w:eastAsia="仿宋" w:cs="仿宋"/>
          <w:sz w:val="28"/>
          <w:szCs w:val="28"/>
          <w:lang w:val="zh-CN"/>
        </w:rPr>
        <w:t>致：</w:t>
      </w:r>
      <w:r>
        <w:rPr>
          <w:rFonts w:hint="eastAsia" w:ascii="仿宋" w:hAnsi="仿宋" w:eastAsia="仿宋" w:cs="仿宋"/>
          <w:sz w:val="28"/>
          <w:szCs w:val="28"/>
          <w:u w:val="single"/>
        </w:rPr>
        <w:t>西安市儿童医院</w:t>
      </w:r>
    </w:p>
    <w:p w14:paraId="47DE214B">
      <w:pPr>
        <w:pStyle w:val="24"/>
        <w:spacing w:afterLines="0" w:line="480" w:lineRule="exact"/>
        <w:ind w:firstLine="560"/>
        <w:rPr>
          <w:rFonts w:ascii="仿宋" w:hAnsi="仿宋" w:eastAsia="仿宋" w:cs="仿宋"/>
          <w:sz w:val="28"/>
          <w:szCs w:val="28"/>
          <w:lang w:val="zh-CN"/>
        </w:rPr>
      </w:pPr>
      <w:r>
        <w:rPr>
          <w:rFonts w:hint="eastAsia" w:ascii="仿宋" w:hAnsi="仿宋" w:eastAsia="仿宋" w:cs="仿宋"/>
          <w:sz w:val="28"/>
          <w:szCs w:val="28"/>
          <w:lang w:val="en-US" w:eastAsia="zh-CN"/>
        </w:rPr>
        <w:t>xxx</w:t>
      </w:r>
      <w:r>
        <w:rPr>
          <w:rFonts w:hint="eastAsia" w:ascii="仿宋" w:hAnsi="仿宋" w:eastAsia="仿宋" w:cs="仿宋"/>
          <w:sz w:val="28"/>
          <w:szCs w:val="28"/>
        </w:rPr>
        <w:t>有限公司</w:t>
      </w:r>
      <w:r>
        <w:rPr>
          <w:rFonts w:hint="eastAsia" w:ascii="仿宋" w:hAnsi="仿宋" w:eastAsia="仿宋" w:cs="仿宋"/>
          <w:sz w:val="28"/>
          <w:szCs w:val="28"/>
          <w:lang w:val="zh-CN"/>
        </w:rPr>
        <w:t>针对</w:t>
      </w:r>
      <w:r>
        <w:rPr>
          <w:rFonts w:hint="eastAsia" w:ascii="仿宋" w:hAnsi="仿宋" w:eastAsia="仿宋" w:cs="仿宋"/>
          <w:sz w:val="28"/>
          <w:szCs w:val="28"/>
          <w:u w:val="single"/>
          <w:lang w:val="en-US" w:eastAsia="zh-CN"/>
        </w:rPr>
        <w:t>xxx</w:t>
      </w:r>
      <w:r>
        <w:rPr>
          <w:rFonts w:hint="eastAsia" w:ascii="仿宋" w:hAnsi="仿宋" w:eastAsia="仿宋" w:cs="仿宋"/>
          <w:sz w:val="28"/>
          <w:szCs w:val="28"/>
          <w:u w:val="single"/>
        </w:rPr>
        <w:t>项目</w:t>
      </w:r>
      <w:r>
        <w:rPr>
          <w:rFonts w:hint="eastAsia" w:ascii="仿宋" w:hAnsi="仿宋" w:eastAsia="仿宋" w:cs="仿宋"/>
          <w:sz w:val="28"/>
          <w:szCs w:val="28"/>
        </w:rPr>
        <w:t>产品质量保证及</w:t>
      </w:r>
      <w:r>
        <w:rPr>
          <w:rFonts w:hint="eastAsia" w:ascii="仿宋" w:hAnsi="仿宋" w:eastAsia="仿宋" w:cs="仿宋"/>
          <w:sz w:val="28"/>
          <w:szCs w:val="28"/>
          <w:lang w:val="zh-CN"/>
        </w:rPr>
        <w:t>售后服务承诺如下：</w:t>
      </w:r>
    </w:p>
    <w:p w14:paraId="5012DB19">
      <w:pPr>
        <w:pStyle w:val="24"/>
        <w:numPr>
          <w:ilvl w:val="0"/>
          <w:numId w:val="5"/>
        </w:numPr>
        <w:spacing w:afterLines="0" w:line="480" w:lineRule="exact"/>
        <w:ind w:firstLineChars="0"/>
        <w:rPr>
          <w:rFonts w:ascii="仿宋" w:hAnsi="仿宋" w:eastAsia="仿宋" w:cs="仿宋"/>
          <w:b/>
          <w:bCs/>
          <w:sz w:val="28"/>
          <w:szCs w:val="28"/>
        </w:rPr>
      </w:pPr>
      <w:r>
        <w:rPr>
          <w:rFonts w:hint="eastAsia" w:ascii="仿宋" w:hAnsi="仿宋" w:eastAsia="仿宋" w:cs="仿宋"/>
          <w:b/>
          <w:bCs/>
          <w:sz w:val="28"/>
          <w:szCs w:val="28"/>
        </w:rPr>
        <w:t>产品质量保证</w:t>
      </w:r>
    </w:p>
    <w:p w14:paraId="090E133A">
      <w:pPr>
        <w:pStyle w:val="24"/>
        <w:numPr>
          <w:ilvl w:val="0"/>
          <w:numId w:val="6"/>
        </w:numPr>
        <w:spacing w:afterLines="0" w:line="360" w:lineRule="auto"/>
        <w:ind w:firstLine="560"/>
        <w:rPr>
          <w:rFonts w:ascii="仿宋" w:hAnsi="仿宋" w:eastAsia="仿宋" w:cs="仿宋"/>
          <w:sz w:val="28"/>
          <w:szCs w:val="28"/>
          <w:lang w:val="zh-CN"/>
        </w:rPr>
      </w:pPr>
      <w:r>
        <w:rPr>
          <w:rFonts w:hint="eastAsia" w:ascii="仿宋" w:hAnsi="仿宋" w:eastAsia="仿宋" w:cs="仿宋"/>
          <w:sz w:val="28"/>
          <w:szCs w:val="28"/>
          <w:lang w:val="zh-CN"/>
        </w:rPr>
        <w:t>质量保证：</w:t>
      </w:r>
      <w:r>
        <w:rPr>
          <w:rFonts w:hint="eastAsia" w:ascii="仿宋" w:hAnsi="仿宋" w:eastAsia="仿宋" w:cs="仿宋"/>
          <w:sz w:val="28"/>
          <w:szCs w:val="28"/>
        </w:rPr>
        <w:t>项目</w:t>
      </w:r>
      <w:r>
        <w:rPr>
          <w:rFonts w:hint="eastAsia" w:ascii="仿宋" w:hAnsi="仿宋" w:eastAsia="仿宋" w:cs="仿宋"/>
          <w:sz w:val="28"/>
          <w:szCs w:val="28"/>
          <w:lang w:val="zh-CN"/>
        </w:rPr>
        <w:t>交付使用后，我方将以书面形式承诺维护服务，满足</w:t>
      </w:r>
      <w:r>
        <w:rPr>
          <w:rFonts w:hint="eastAsia" w:ascii="仿宋" w:hAnsi="仿宋" w:eastAsia="仿宋" w:cs="仿宋"/>
          <w:sz w:val="28"/>
          <w:szCs w:val="28"/>
        </w:rPr>
        <w:t>谈判</w:t>
      </w:r>
      <w:r>
        <w:rPr>
          <w:rFonts w:hint="eastAsia" w:ascii="仿宋" w:hAnsi="仿宋" w:eastAsia="仿宋" w:cs="仿宋"/>
          <w:sz w:val="28"/>
          <w:szCs w:val="28"/>
          <w:lang w:val="zh-CN"/>
        </w:rPr>
        <w:t>要求：首先“操作系统</w:t>
      </w:r>
      <w:r>
        <w:rPr>
          <w:rFonts w:hint="eastAsia" w:ascii="仿宋" w:hAnsi="仿宋" w:eastAsia="仿宋" w:cs="仿宋"/>
          <w:sz w:val="28"/>
          <w:szCs w:val="28"/>
        </w:rPr>
        <w:t>正版化项目</w:t>
      </w:r>
      <w:r>
        <w:rPr>
          <w:rFonts w:hint="eastAsia" w:ascii="仿宋" w:hAnsi="仿宋" w:eastAsia="仿宋" w:cs="仿宋"/>
          <w:sz w:val="28"/>
          <w:szCs w:val="28"/>
          <w:lang w:val="zh-CN"/>
        </w:rPr>
        <w:t>”提供</w:t>
      </w:r>
      <w:r>
        <w:rPr>
          <w:rFonts w:hint="eastAsia" w:ascii="仿宋" w:hAnsi="仿宋" w:eastAsia="仿宋" w:cs="仿宋"/>
          <w:sz w:val="28"/>
          <w:szCs w:val="28"/>
        </w:rPr>
        <w:t>一</w:t>
      </w:r>
      <w:r>
        <w:rPr>
          <w:rFonts w:hint="eastAsia" w:ascii="仿宋" w:hAnsi="仿宋" w:eastAsia="仿宋" w:cs="仿宋"/>
          <w:sz w:val="28"/>
          <w:szCs w:val="28"/>
          <w:lang w:val="zh-CN"/>
        </w:rPr>
        <w:t>年质保、</w:t>
      </w:r>
      <w:r>
        <w:rPr>
          <w:rFonts w:hint="eastAsia" w:ascii="仿宋" w:hAnsi="仿宋" w:eastAsia="仿宋" w:cs="仿宋"/>
          <w:sz w:val="28"/>
          <w:szCs w:val="28"/>
        </w:rPr>
        <w:t>一</w:t>
      </w:r>
      <w:r>
        <w:rPr>
          <w:rFonts w:hint="eastAsia" w:ascii="仿宋" w:hAnsi="仿宋" w:eastAsia="仿宋" w:cs="仿宋"/>
          <w:sz w:val="28"/>
          <w:szCs w:val="28"/>
          <w:lang w:val="zh-CN"/>
        </w:rPr>
        <w:t>年内如有升级版本均免费升级使用。</w:t>
      </w:r>
    </w:p>
    <w:p w14:paraId="162DBBD4">
      <w:pPr>
        <w:pStyle w:val="24"/>
        <w:numPr>
          <w:ilvl w:val="0"/>
          <w:numId w:val="6"/>
        </w:numPr>
        <w:spacing w:afterLines="0" w:line="360" w:lineRule="auto"/>
        <w:ind w:firstLine="560"/>
        <w:rPr>
          <w:rFonts w:ascii="仿宋" w:hAnsi="仿宋" w:eastAsia="仿宋" w:cs="仿宋"/>
          <w:sz w:val="28"/>
          <w:szCs w:val="28"/>
          <w:lang w:val="zh-CN"/>
        </w:rPr>
      </w:pPr>
      <w:r>
        <w:rPr>
          <w:rFonts w:hint="eastAsia" w:ascii="仿宋" w:hAnsi="仿宋" w:eastAsia="仿宋" w:cs="仿宋"/>
          <w:sz w:val="28"/>
          <w:szCs w:val="28"/>
          <w:lang w:val="zh-CN"/>
        </w:rPr>
        <w:t>产品培训：</w:t>
      </w:r>
      <w:r>
        <w:rPr>
          <w:rFonts w:hint="eastAsia" w:ascii="仿宋" w:hAnsi="仿宋" w:eastAsia="仿宋" w:cs="仿宋"/>
          <w:sz w:val="28"/>
          <w:szCs w:val="28"/>
        </w:rPr>
        <w:t>我公司承诺培训3名以上网络管理人员，对系统进行操作培训。</w:t>
      </w:r>
    </w:p>
    <w:p w14:paraId="4DF88B97">
      <w:pPr>
        <w:pStyle w:val="24"/>
        <w:numPr>
          <w:ilvl w:val="0"/>
          <w:numId w:val="6"/>
        </w:numPr>
        <w:spacing w:afterLines="0" w:line="360" w:lineRule="auto"/>
        <w:ind w:firstLine="560"/>
        <w:rPr>
          <w:rFonts w:ascii="仿宋" w:hAnsi="仿宋" w:eastAsia="仿宋" w:cs="仿宋"/>
          <w:sz w:val="28"/>
          <w:szCs w:val="28"/>
          <w:lang w:val="zh-CN"/>
        </w:rPr>
      </w:pPr>
      <w:r>
        <w:rPr>
          <w:rFonts w:hint="eastAsia" w:ascii="仿宋" w:hAnsi="仿宋" w:eastAsia="仿宋" w:cs="仿宋"/>
          <w:sz w:val="28"/>
          <w:szCs w:val="28"/>
          <w:lang w:val="zh-CN"/>
        </w:rPr>
        <w:t>服务体系：本公司对本次</w:t>
      </w:r>
      <w:r>
        <w:rPr>
          <w:rFonts w:hint="eastAsia" w:ascii="仿宋" w:hAnsi="仿宋" w:eastAsia="仿宋" w:cs="仿宋"/>
          <w:sz w:val="28"/>
          <w:szCs w:val="28"/>
        </w:rPr>
        <w:t>谈判</w:t>
      </w:r>
      <w:r>
        <w:rPr>
          <w:rFonts w:hint="eastAsia" w:ascii="仿宋" w:hAnsi="仿宋" w:eastAsia="仿宋" w:cs="仿宋"/>
          <w:sz w:val="28"/>
          <w:szCs w:val="28"/>
          <w:lang w:val="zh-CN"/>
        </w:rPr>
        <w:t>所提供的产品提供保障体系： 当</w:t>
      </w:r>
      <w:r>
        <w:rPr>
          <w:rFonts w:hint="eastAsia" w:ascii="仿宋" w:hAnsi="仿宋" w:eastAsia="仿宋" w:cs="仿宋"/>
          <w:sz w:val="28"/>
          <w:szCs w:val="28"/>
        </w:rPr>
        <w:t>产品</w:t>
      </w:r>
      <w:r>
        <w:rPr>
          <w:rFonts w:hint="eastAsia" w:ascii="仿宋" w:hAnsi="仿宋" w:eastAsia="仿宋" w:cs="仿宋"/>
          <w:sz w:val="28"/>
          <w:szCs w:val="28"/>
          <w:lang w:val="zh-CN"/>
        </w:rPr>
        <w:t>出现故障驻场工程师无法解决时将派指定的专业技术员在规定时间内上门，产生的运杂费由本公司承担。</w:t>
      </w:r>
    </w:p>
    <w:p w14:paraId="3FC28EFC">
      <w:pPr>
        <w:pStyle w:val="24"/>
        <w:numPr>
          <w:ilvl w:val="0"/>
          <w:numId w:val="5"/>
        </w:numPr>
        <w:spacing w:afterLines="0" w:line="480" w:lineRule="exact"/>
        <w:ind w:firstLineChars="0"/>
        <w:rPr>
          <w:rFonts w:ascii="仿宋" w:hAnsi="仿宋" w:eastAsia="仿宋" w:cs="仿宋"/>
          <w:b/>
          <w:bCs/>
          <w:sz w:val="28"/>
          <w:szCs w:val="28"/>
        </w:rPr>
      </w:pPr>
      <w:r>
        <w:rPr>
          <w:rFonts w:hint="eastAsia" w:ascii="仿宋" w:hAnsi="仿宋" w:eastAsia="仿宋" w:cs="仿宋"/>
          <w:b/>
          <w:bCs/>
          <w:sz w:val="28"/>
          <w:szCs w:val="28"/>
        </w:rPr>
        <w:t>驻场人员支持</w:t>
      </w:r>
    </w:p>
    <w:p w14:paraId="211A004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1.我公司承诺提供2名技术人员长期进行驻场服务,驻场时间：自甲方验收之日起一年；具有两年以上相关工作经历，具备处理常见计算机、打印机、网络等办公设施设备问题能力。</w:t>
      </w:r>
    </w:p>
    <w:p w14:paraId="78C5B72B">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2.我公司承诺在医院进行实施工作，完成院内电脑的安装、激活、数据统计工作，安装统计数量达到版权局提出要求标准。</w:t>
      </w:r>
    </w:p>
    <w:p w14:paraId="79181CB0">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3.我公司承诺配合医院完成软件制度完善、正版化培训、正版软件宣传、正版软件自查、检查工具安装等工作，并达到陕西省版权局检查标准。</w:t>
      </w:r>
    </w:p>
    <w:p w14:paraId="1BBFE572">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4.我公司提供驻场售后服务包括但不限于操作系统及办公软件、杀毒软件安装激活、规范性日常维护、故障应急响应、设备问题解决、系统安全防范等。</w:t>
      </w:r>
    </w:p>
    <w:p w14:paraId="76D118C9">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5.我公司承诺做好运维台账，建立完备的运维过程文档资料，协助医院处理各类计算机、终端设备及网络问题等。</w:t>
      </w:r>
    </w:p>
    <w:p w14:paraId="100667D6">
      <w:pPr>
        <w:spacing w:line="360" w:lineRule="auto"/>
        <w:ind w:firstLine="560" w:firstLineChars="200"/>
        <w:rPr>
          <w:rFonts w:ascii="仿宋" w:hAnsi="仿宋" w:eastAsia="仿宋" w:cs="仿宋"/>
          <w:sz w:val="28"/>
          <w:szCs w:val="28"/>
          <w:lang w:val="zh-CN"/>
        </w:rPr>
      </w:pPr>
      <w:r>
        <w:rPr>
          <w:rFonts w:hint="eastAsia" w:ascii="仿宋" w:hAnsi="仿宋" w:eastAsia="仿宋" w:cs="仿宋"/>
          <w:sz w:val="28"/>
          <w:szCs w:val="28"/>
        </w:rPr>
        <w:t>6.我公司承诺驻场运维工程师为用户提供实时的技术支持，包括设备故障排除和应用问题处理等。快速准确地解决各种技术问题。</w:t>
      </w:r>
    </w:p>
    <w:p w14:paraId="7F6A4029">
      <w:pPr>
        <w:pStyle w:val="24"/>
        <w:numPr>
          <w:ilvl w:val="0"/>
          <w:numId w:val="5"/>
        </w:numPr>
        <w:spacing w:afterLines="0" w:line="480" w:lineRule="exact"/>
        <w:ind w:firstLineChars="0"/>
        <w:rPr>
          <w:rFonts w:ascii="仿宋" w:hAnsi="仿宋" w:eastAsia="仿宋" w:cs="仿宋"/>
          <w:b/>
          <w:bCs/>
          <w:sz w:val="28"/>
          <w:szCs w:val="28"/>
          <w:lang w:val="zh-CN"/>
        </w:rPr>
      </w:pPr>
      <w:r>
        <w:rPr>
          <w:rFonts w:hint="eastAsia" w:ascii="仿宋" w:hAnsi="仿宋" w:eastAsia="仿宋" w:cs="仿宋"/>
          <w:b/>
          <w:bCs/>
          <w:sz w:val="28"/>
          <w:szCs w:val="28"/>
        </w:rPr>
        <w:t>售后服务承诺</w:t>
      </w:r>
    </w:p>
    <w:p w14:paraId="7C8D8C0B">
      <w:pPr>
        <w:pStyle w:val="24"/>
        <w:spacing w:afterLines="0" w:line="480" w:lineRule="exact"/>
        <w:ind w:firstLine="560"/>
        <w:rPr>
          <w:rFonts w:ascii="仿宋" w:hAnsi="仿宋" w:eastAsia="仿宋" w:cs="仿宋"/>
          <w:sz w:val="28"/>
          <w:szCs w:val="28"/>
          <w:lang w:val="zh-CN"/>
        </w:rPr>
      </w:pPr>
      <w:r>
        <w:rPr>
          <w:rFonts w:hint="eastAsia" w:ascii="仿宋" w:hAnsi="仿宋" w:eastAsia="仿宋" w:cs="仿宋"/>
          <w:sz w:val="28"/>
          <w:szCs w:val="28"/>
          <w:lang w:val="zh-CN"/>
        </w:rPr>
        <w:t>服务保障：本公司将为该项目设立专人售后服务制度。</w:t>
      </w:r>
    </w:p>
    <w:p w14:paraId="2ADB7F30">
      <w:pPr>
        <w:adjustRightInd w:val="0"/>
        <w:snapToGrid w:val="0"/>
        <w:spacing w:line="4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售后服务期限：自</w:t>
      </w:r>
      <w:r>
        <w:rPr>
          <w:rFonts w:hint="eastAsia" w:ascii="仿宋" w:hAnsi="仿宋" w:eastAsia="仿宋" w:cs="仿宋"/>
          <w:color w:val="000000"/>
          <w:kern w:val="0"/>
          <w:sz w:val="28"/>
          <w:szCs w:val="28"/>
        </w:rPr>
        <w:t>甲方</w:t>
      </w:r>
      <w:r>
        <w:rPr>
          <w:rFonts w:hint="eastAsia" w:ascii="仿宋" w:hAnsi="仿宋" w:eastAsia="仿宋" w:cs="仿宋"/>
          <w:sz w:val="28"/>
          <w:szCs w:val="28"/>
        </w:rPr>
        <w:t>验收合格之日起</w:t>
      </w:r>
      <w:r>
        <w:rPr>
          <w:rFonts w:hint="eastAsia" w:ascii="仿宋" w:hAnsi="仿宋" w:eastAsia="仿宋" w:cs="仿宋"/>
          <w:sz w:val="28"/>
          <w:szCs w:val="28"/>
          <w:lang w:val="en-US" w:eastAsia="zh-CN"/>
        </w:rPr>
        <w:t>3</w:t>
      </w:r>
      <w:r>
        <w:rPr>
          <w:rFonts w:hint="eastAsia" w:ascii="仿宋" w:hAnsi="仿宋" w:eastAsia="仿宋" w:cs="仿宋"/>
          <w:sz w:val="28"/>
          <w:szCs w:val="28"/>
        </w:rPr>
        <w:t>年。</w:t>
      </w:r>
    </w:p>
    <w:p w14:paraId="4D0F00B2">
      <w:pPr>
        <w:pStyle w:val="9"/>
        <w:spacing w:line="480" w:lineRule="exact"/>
        <w:ind w:right="359" w:firstLine="560" w:firstLineChars="200"/>
        <w:rPr>
          <w:rFonts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pacing w:val="-7"/>
          <w:sz w:val="28"/>
          <w:szCs w:val="28"/>
        </w:rPr>
        <w:t>、我公司对本项目提供一</w:t>
      </w:r>
      <w:r>
        <w:rPr>
          <w:rFonts w:hint="eastAsia" w:ascii="仿宋" w:hAnsi="仿宋" w:eastAsia="仿宋" w:cs="仿宋"/>
          <w:spacing w:val="-5"/>
          <w:sz w:val="28"/>
          <w:szCs w:val="28"/>
        </w:rPr>
        <w:t>年授权使用及售后服务，包括升级版本。承诺使用期限为</w:t>
      </w:r>
      <w:r>
        <w:rPr>
          <w:rFonts w:hint="eastAsia" w:ascii="仿宋" w:hAnsi="仿宋" w:eastAsia="仿宋" w:cs="仿宋"/>
          <w:spacing w:val="-5"/>
          <w:sz w:val="28"/>
          <w:szCs w:val="28"/>
          <w:lang w:val="en-US" w:eastAsia="zh-CN"/>
        </w:rPr>
        <w:t>3</w:t>
      </w:r>
      <w:r>
        <w:rPr>
          <w:rFonts w:hint="eastAsia" w:ascii="仿宋" w:hAnsi="仿宋" w:eastAsia="仿宋" w:cs="仿宋"/>
          <w:spacing w:val="-5"/>
          <w:sz w:val="28"/>
          <w:szCs w:val="28"/>
        </w:rPr>
        <w:t>年，</w:t>
      </w:r>
      <w:r>
        <w:rPr>
          <w:rFonts w:hint="eastAsia" w:ascii="仿宋" w:hAnsi="仿宋" w:eastAsia="仿宋" w:cs="仿宋"/>
          <w:sz w:val="28"/>
          <w:szCs w:val="28"/>
        </w:rPr>
        <w:t>自</w:t>
      </w:r>
      <w:r>
        <w:rPr>
          <w:rFonts w:hint="eastAsia" w:ascii="仿宋" w:hAnsi="仿宋" w:eastAsia="仿宋" w:cs="仿宋"/>
          <w:color w:val="000000"/>
          <w:sz w:val="28"/>
          <w:szCs w:val="28"/>
        </w:rPr>
        <w:t>甲方</w:t>
      </w:r>
      <w:r>
        <w:rPr>
          <w:rFonts w:hint="eastAsia" w:ascii="仿宋" w:hAnsi="仿宋" w:eastAsia="仿宋" w:cs="仿宋"/>
          <w:sz w:val="28"/>
          <w:szCs w:val="28"/>
        </w:rPr>
        <w:t>验收合格之日起算</w:t>
      </w:r>
      <w:r>
        <w:rPr>
          <w:rFonts w:hint="eastAsia" w:ascii="仿宋" w:hAnsi="仿宋" w:eastAsia="仿宋" w:cs="仿宋"/>
          <w:spacing w:val="-5"/>
          <w:sz w:val="28"/>
          <w:szCs w:val="28"/>
        </w:rPr>
        <w:t>。</w:t>
      </w:r>
    </w:p>
    <w:p w14:paraId="09C3FF89">
      <w:pPr>
        <w:pStyle w:val="9"/>
        <w:spacing w:line="480" w:lineRule="exact"/>
        <w:ind w:right="356" w:firstLine="560" w:firstLineChars="200"/>
        <w:rPr>
          <w:rFonts w:ascii="仿宋" w:hAnsi="仿宋" w:eastAsia="仿宋" w:cs="仿宋"/>
          <w:sz w:val="28"/>
          <w:szCs w:val="28"/>
        </w:rPr>
      </w:pPr>
      <w:r>
        <w:rPr>
          <w:rFonts w:hint="eastAsia" w:ascii="仿宋" w:hAnsi="仿宋" w:eastAsia="仿宋" w:cs="仿宋"/>
          <w:sz w:val="28"/>
          <w:szCs w:val="28"/>
        </w:rPr>
        <w:t>2、保修期：我公司对本次磋商供货有效期内所提供的所有产品连介质件维修服务</w:t>
      </w:r>
      <w:r>
        <w:rPr>
          <w:rFonts w:hint="eastAsia" w:ascii="仿宋" w:hAnsi="仿宋" w:eastAsia="仿宋" w:cs="仿宋"/>
          <w:sz w:val="28"/>
          <w:szCs w:val="28"/>
          <w:lang w:val="en-US" w:eastAsia="zh-CN"/>
        </w:rPr>
        <w:t>3</w:t>
      </w:r>
      <w:r>
        <w:rPr>
          <w:rFonts w:hint="eastAsia" w:ascii="仿宋" w:hAnsi="仿宋" w:eastAsia="仿宋" w:cs="仿宋"/>
          <w:sz w:val="28"/>
          <w:szCs w:val="28"/>
        </w:rPr>
        <w:t>年，提供上门服务，无需用户送修，并提供终身技术服务支持和维修。</w:t>
      </w:r>
    </w:p>
    <w:p w14:paraId="1E041A51">
      <w:pPr>
        <w:pStyle w:val="9"/>
        <w:spacing w:line="480" w:lineRule="exact"/>
        <w:ind w:right="356" w:firstLine="560" w:firstLineChars="200"/>
        <w:rPr>
          <w:rFonts w:ascii="仿宋" w:hAnsi="仿宋" w:eastAsia="仿宋" w:cs="仿宋"/>
          <w:sz w:val="28"/>
          <w:szCs w:val="28"/>
        </w:rPr>
      </w:pPr>
      <w:r>
        <w:rPr>
          <w:rFonts w:hint="eastAsia" w:ascii="仿宋" w:hAnsi="仿宋" w:eastAsia="仿宋" w:cs="仿宋"/>
          <w:sz w:val="28"/>
          <w:szCs w:val="28"/>
        </w:rPr>
        <w:t>3、响应时间：</w:t>
      </w:r>
    </w:p>
    <w:tbl>
      <w:tblPr>
        <w:tblStyle w:val="14"/>
        <w:tblW w:w="4998" w:type="pct"/>
        <w:jc w:val="center"/>
        <w:tblLayout w:type="autofit"/>
        <w:tblCellMar>
          <w:top w:w="0" w:type="dxa"/>
          <w:left w:w="108" w:type="dxa"/>
          <w:bottom w:w="0" w:type="dxa"/>
          <w:right w:w="108" w:type="dxa"/>
        </w:tblCellMar>
      </w:tblPr>
      <w:tblGrid>
        <w:gridCol w:w="4608"/>
        <w:gridCol w:w="2507"/>
        <w:gridCol w:w="2167"/>
      </w:tblGrid>
      <w:tr w14:paraId="65120AC4">
        <w:tblPrEx>
          <w:tblCellMar>
            <w:top w:w="0" w:type="dxa"/>
            <w:left w:w="108" w:type="dxa"/>
            <w:bottom w:w="0" w:type="dxa"/>
            <w:right w:w="108" w:type="dxa"/>
          </w:tblCellMar>
        </w:tblPrEx>
        <w:trPr>
          <w:trHeight w:val="315" w:hRule="atLeast"/>
          <w:jc w:val="center"/>
        </w:trPr>
        <w:tc>
          <w:tcPr>
            <w:tcW w:w="2482" w:type="pct"/>
            <w:tcBorders>
              <w:top w:val="single" w:color="auto" w:sz="4" w:space="0"/>
              <w:left w:val="single" w:color="auto" w:sz="4" w:space="0"/>
              <w:bottom w:val="single" w:color="auto" w:sz="4" w:space="0"/>
              <w:right w:val="single" w:color="auto" w:sz="4" w:space="0"/>
            </w:tcBorders>
            <w:shd w:val="pct10" w:color="auto" w:fill="auto"/>
            <w:noWrap w:val="0"/>
            <w:vAlign w:val="center"/>
          </w:tcPr>
          <w:p w14:paraId="27DAD212">
            <w:pPr>
              <w:widowControl/>
              <w:adjustRightInd w:val="0"/>
              <w:spacing w:line="480" w:lineRule="exact"/>
              <w:jc w:val="center"/>
              <w:rPr>
                <w:rFonts w:ascii="仿宋" w:hAnsi="仿宋" w:eastAsia="仿宋" w:cs="仿宋"/>
                <w:b/>
                <w:sz w:val="28"/>
                <w:szCs w:val="28"/>
              </w:rPr>
            </w:pPr>
            <w:r>
              <w:rPr>
                <w:rFonts w:hint="eastAsia" w:ascii="仿宋" w:hAnsi="仿宋" w:eastAsia="仿宋" w:cs="仿宋"/>
                <w:b/>
                <w:sz w:val="28"/>
                <w:szCs w:val="28"/>
              </w:rPr>
              <w:t>故障级别</w:t>
            </w:r>
          </w:p>
        </w:tc>
        <w:tc>
          <w:tcPr>
            <w:tcW w:w="1350" w:type="pct"/>
            <w:tcBorders>
              <w:top w:val="single" w:color="auto" w:sz="4" w:space="0"/>
              <w:left w:val="nil"/>
              <w:bottom w:val="single" w:color="auto" w:sz="4" w:space="0"/>
              <w:right w:val="single" w:color="auto" w:sz="4" w:space="0"/>
            </w:tcBorders>
            <w:shd w:val="pct10" w:color="auto" w:fill="auto"/>
            <w:noWrap w:val="0"/>
            <w:vAlign w:val="center"/>
          </w:tcPr>
          <w:p w14:paraId="41ED061A">
            <w:pPr>
              <w:widowControl/>
              <w:adjustRightInd w:val="0"/>
              <w:spacing w:line="480" w:lineRule="exact"/>
              <w:jc w:val="center"/>
              <w:rPr>
                <w:rFonts w:ascii="仿宋" w:hAnsi="仿宋" w:eastAsia="仿宋" w:cs="仿宋"/>
                <w:b/>
                <w:sz w:val="28"/>
                <w:szCs w:val="28"/>
              </w:rPr>
            </w:pPr>
            <w:r>
              <w:rPr>
                <w:rFonts w:hint="eastAsia" w:ascii="仿宋" w:hAnsi="仿宋" w:eastAsia="仿宋" w:cs="仿宋"/>
                <w:b/>
                <w:sz w:val="28"/>
                <w:szCs w:val="28"/>
              </w:rPr>
              <w:t>响应时间</w:t>
            </w:r>
          </w:p>
        </w:tc>
        <w:tc>
          <w:tcPr>
            <w:tcW w:w="1167" w:type="pct"/>
            <w:tcBorders>
              <w:top w:val="single" w:color="auto" w:sz="4" w:space="0"/>
              <w:left w:val="nil"/>
              <w:bottom w:val="single" w:color="auto" w:sz="4" w:space="0"/>
              <w:right w:val="single" w:color="auto" w:sz="4" w:space="0"/>
            </w:tcBorders>
            <w:shd w:val="pct10" w:color="auto" w:fill="auto"/>
            <w:noWrap w:val="0"/>
            <w:vAlign w:val="top"/>
          </w:tcPr>
          <w:p w14:paraId="3F44FD1F">
            <w:pPr>
              <w:widowControl/>
              <w:adjustRightInd w:val="0"/>
              <w:spacing w:line="480" w:lineRule="exact"/>
              <w:ind w:left="-94" w:leftChars="-45"/>
              <w:jc w:val="center"/>
              <w:rPr>
                <w:rFonts w:ascii="仿宋" w:hAnsi="仿宋" w:eastAsia="仿宋" w:cs="仿宋"/>
                <w:b/>
                <w:sz w:val="28"/>
                <w:szCs w:val="28"/>
              </w:rPr>
            </w:pPr>
            <w:r>
              <w:rPr>
                <w:rFonts w:hint="eastAsia" w:ascii="仿宋" w:hAnsi="仿宋" w:eastAsia="仿宋" w:cs="仿宋"/>
                <w:b/>
                <w:sz w:val="28"/>
                <w:szCs w:val="28"/>
              </w:rPr>
              <w:t>故障解决时间</w:t>
            </w:r>
          </w:p>
        </w:tc>
      </w:tr>
      <w:tr w14:paraId="05A2D25E">
        <w:tblPrEx>
          <w:tblCellMar>
            <w:top w:w="0" w:type="dxa"/>
            <w:left w:w="108" w:type="dxa"/>
            <w:bottom w:w="0" w:type="dxa"/>
            <w:right w:w="108" w:type="dxa"/>
          </w:tblCellMar>
        </w:tblPrEx>
        <w:trPr>
          <w:trHeight w:val="707" w:hRule="atLeast"/>
          <w:jc w:val="center"/>
        </w:trPr>
        <w:tc>
          <w:tcPr>
            <w:tcW w:w="2482" w:type="pct"/>
            <w:tcBorders>
              <w:top w:val="nil"/>
              <w:left w:val="single" w:color="auto" w:sz="4" w:space="0"/>
              <w:bottom w:val="single" w:color="auto" w:sz="4" w:space="0"/>
              <w:right w:val="single" w:color="auto" w:sz="4" w:space="0"/>
            </w:tcBorders>
            <w:noWrap w:val="0"/>
            <w:vAlign w:val="center"/>
          </w:tcPr>
          <w:p w14:paraId="0EF966C3">
            <w:pPr>
              <w:widowControl/>
              <w:adjustRightInd w:val="0"/>
              <w:spacing w:line="480" w:lineRule="exact"/>
              <w:rPr>
                <w:rFonts w:ascii="仿宋" w:hAnsi="仿宋" w:eastAsia="仿宋" w:cs="仿宋"/>
                <w:sz w:val="28"/>
                <w:szCs w:val="28"/>
              </w:rPr>
            </w:pPr>
            <w:r>
              <w:rPr>
                <w:rFonts w:hint="eastAsia" w:ascii="仿宋" w:hAnsi="仿宋" w:eastAsia="仿宋" w:cs="仿宋"/>
                <w:b/>
                <w:sz w:val="28"/>
                <w:szCs w:val="28"/>
              </w:rPr>
              <w:t>I级：</w:t>
            </w:r>
            <w:r>
              <w:rPr>
                <w:rFonts w:hint="eastAsia" w:ascii="仿宋" w:hAnsi="仿宋" w:eastAsia="仿宋" w:cs="仿宋"/>
                <w:sz w:val="28"/>
                <w:szCs w:val="28"/>
              </w:rPr>
              <w:t>属于紧急问题；其具体现象为：平台崩溃导致无法访问，各服务器无法登录等。</w:t>
            </w:r>
          </w:p>
        </w:tc>
        <w:tc>
          <w:tcPr>
            <w:tcW w:w="1350" w:type="pct"/>
            <w:tcBorders>
              <w:top w:val="nil"/>
              <w:left w:val="nil"/>
              <w:bottom w:val="single" w:color="auto" w:sz="4" w:space="0"/>
              <w:right w:val="single" w:color="auto" w:sz="4" w:space="0"/>
            </w:tcBorders>
            <w:noWrap w:val="0"/>
            <w:vAlign w:val="center"/>
          </w:tcPr>
          <w:p w14:paraId="6BA25348">
            <w:pPr>
              <w:widowControl/>
              <w:adjustRightInd w:val="0"/>
              <w:spacing w:line="480" w:lineRule="exact"/>
              <w:rPr>
                <w:rFonts w:ascii="仿宋" w:hAnsi="仿宋" w:eastAsia="仿宋" w:cs="仿宋"/>
                <w:sz w:val="28"/>
                <w:szCs w:val="28"/>
              </w:rPr>
            </w:pPr>
            <w:r>
              <w:rPr>
                <w:rFonts w:hint="eastAsia" w:ascii="仿宋" w:hAnsi="仿宋" w:eastAsia="仿宋" w:cs="仿宋"/>
                <w:sz w:val="28"/>
                <w:szCs w:val="28"/>
              </w:rPr>
              <w:t>7*24小时，及时响应，0.5小时内提交故障处理方案</w:t>
            </w:r>
          </w:p>
        </w:tc>
        <w:tc>
          <w:tcPr>
            <w:tcW w:w="1167" w:type="pct"/>
            <w:tcBorders>
              <w:top w:val="nil"/>
              <w:left w:val="nil"/>
              <w:bottom w:val="single" w:color="auto" w:sz="4" w:space="0"/>
              <w:right w:val="single" w:color="auto" w:sz="4" w:space="0"/>
            </w:tcBorders>
            <w:noWrap w:val="0"/>
            <w:vAlign w:val="center"/>
          </w:tcPr>
          <w:p w14:paraId="2EB665C7">
            <w:pPr>
              <w:adjustRightInd w:val="0"/>
              <w:spacing w:line="480" w:lineRule="exact"/>
              <w:jc w:val="center"/>
              <w:rPr>
                <w:rFonts w:ascii="仿宋" w:hAnsi="仿宋" w:eastAsia="仿宋" w:cs="仿宋"/>
                <w:sz w:val="28"/>
                <w:szCs w:val="28"/>
              </w:rPr>
            </w:pPr>
            <w:r>
              <w:rPr>
                <w:rFonts w:hint="eastAsia" w:ascii="仿宋" w:hAnsi="仿宋" w:eastAsia="仿宋" w:cs="仿宋"/>
                <w:sz w:val="28"/>
                <w:szCs w:val="28"/>
              </w:rPr>
              <w:t>2小时以内</w:t>
            </w:r>
          </w:p>
        </w:tc>
      </w:tr>
      <w:tr w14:paraId="56B1E1A1">
        <w:tblPrEx>
          <w:tblCellMar>
            <w:top w:w="0" w:type="dxa"/>
            <w:left w:w="108" w:type="dxa"/>
            <w:bottom w:w="0" w:type="dxa"/>
            <w:right w:w="108" w:type="dxa"/>
          </w:tblCellMar>
        </w:tblPrEx>
        <w:trPr>
          <w:trHeight w:val="942" w:hRule="atLeast"/>
          <w:jc w:val="center"/>
        </w:trPr>
        <w:tc>
          <w:tcPr>
            <w:tcW w:w="2482" w:type="pct"/>
            <w:tcBorders>
              <w:top w:val="nil"/>
              <w:left w:val="single" w:color="auto" w:sz="4" w:space="0"/>
              <w:bottom w:val="single" w:color="auto" w:sz="4" w:space="0"/>
              <w:right w:val="single" w:color="auto" w:sz="4" w:space="0"/>
            </w:tcBorders>
            <w:noWrap w:val="0"/>
            <w:vAlign w:val="center"/>
          </w:tcPr>
          <w:p w14:paraId="038F8400">
            <w:pPr>
              <w:widowControl/>
              <w:adjustRightInd w:val="0"/>
              <w:spacing w:line="480" w:lineRule="exact"/>
              <w:rPr>
                <w:rFonts w:ascii="仿宋" w:hAnsi="仿宋" w:eastAsia="仿宋" w:cs="仿宋"/>
                <w:sz w:val="28"/>
                <w:szCs w:val="28"/>
              </w:rPr>
            </w:pPr>
            <w:r>
              <w:rPr>
                <w:rFonts w:hint="eastAsia" w:ascii="仿宋" w:hAnsi="仿宋" w:eastAsia="仿宋" w:cs="仿宋"/>
                <w:b/>
                <w:sz w:val="28"/>
                <w:szCs w:val="28"/>
              </w:rPr>
              <w:t>II级：</w:t>
            </w:r>
            <w:r>
              <w:rPr>
                <w:rFonts w:hint="eastAsia" w:ascii="仿宋" w:hAnsi="仿宋" w:eastAsia="仿宋" w:cs="仿宋"/>
                <w:sz w:val="28"/>
                <w:szCs w:val="28"/>
              </w:rPr>
              <w:t>属于较严重问题；其具体现象为：出现部分功能失效、但能正常运行，不影响正常下载激活使用。</w:t>
            </w:r>
          </w:p>
        </w:tc>
        <w:tc>
          <w:tcPr>
            <w:tcW w:w="1350" w:type="pct"/>
            <w:tcBorders>
              <w:top w:val="nil"/>
              <w:left w:val="nil"/>
              <w:bottom w:val="single" w:color="auto" w:sz="4" w:space="0"/>
              <w:right w:val="single" w:color="auto" w:sz="4" w:space="0"/>
            </w:tcBorders>
            <w:noWrap w:val="0"/>
            <w:vAlign w:val="center"/>
          </w:tcPr>
          <w:p w14:paraId="7B2509DE">
            <w:pPr>
              <w:adjustRightInd w:val="0"/>
              <w:spacing w:line="480" w:lineRule="exact"/>
              <w:rPr>
                <w:rFonts w:ascii="仿宋" w:hAnsi="仿宋" w:eastAsia="仿宋" w:cs="仿宋"/>
                <w:sz w:val="28"/>
                <w:szCs w:val="28"/>
              </w:rPr>
            </w:pPr>
            <w:r>
              <w:rPr>
                <w:rFonts w:hint="eastAsia" w:ascii="仿宋" w:hAnsi="仿宋" w:eastAsia="仿宋" w:cs="仿宋"/>
                <w:sz w:val="28"/>
                <w:szCs w:val="28"/>
              </w:rPr>
              <w:t>7*24小时，及时响应，1小时内提交故障处理方案</w:t>
            </w:r>
          </w:p>
        </w:tc>
        <w:tc>
          <w:tcPr>
            <w:tcW w:w="1167" w:type="pct"/>
            <w:tcBorders>
              <w:top w:val="nil"/>
              <w:left w:val="nil"/>
              <w:bottom w:val="single" w:color="auto" w:sz="4" w:space="0"/>
              <w:right w:val="single" w:color="auto" w:sz="4" w:space="0"/>
            </w:tcBorders>
            <w:noWrap w:val="0"/>
            <w:vAlign w:val="center"/>
          </w:tcPr>
          <w:p w14:paraId="2144B00E">
            <w:pPr>
              <w:adjustRightInd w:val="0"/>
              <w:spacing w:line="480" w:lineRule="exact"/>
              <w:jc w:val="center"/>
              <w:rPr>
                <w:rFonts w:ascii="仿宋" w:hAnsi="仿宋" w:eastAsia="仿宋" w:cs="仿宋"/>
                <w:sz w:val="28"/>
                <w:szCs w:val="28"/>
              </w:rPr>
            </w:pPr>
            <w:r>
              <w:rPr>
                <w:rFonts w:hint="eastAsia" w:ascii="仿宋" w:hAnsi="仿宋" w:eastAsia="仿宋" w:cs="仿宋"/>
                <w:sz w:val="28"/>
                <w:szCs w:val="28"/>
              </w:rPr>
              <w:t>2小时以内</w:t>
            </w:r>
          </w:p>
        </w:tc>
      </w:tr>
      <w:tr w14:paraId="27D9B427">
        <w:tblPrEx>
          <w:tblCellMar>
            <w:top w:w="0" w:type="dxa"/>
            <w:left w:w="108" w:type="dxa"/>
            <w:bottom w:w="0" w:type="dxa"/>
            <w:right w:w="108" w:type="dxa"/>
          </w:tblCellMar>
        </w:tblPrEx>
        <w:trPr>
          <w:trHeight w:val="912" w:hRule="atLeast"/>
          <w:jc w:val="center"/>
        </w:trPr>
        <w:tc>
          <w:tcPr>
            <w:tcW w:w="2482" w:type="pct"/>
            <w:tcBorders>
              <w:top w:val="nil"/>
              <w:left w:val="single" w:color="auto" w:sz="4" w:space="0"/>
              <w:bottom w:val="single" w:color="auto" w:sz="4" w:space="0"/>
              <w:right w:val="single" w:color="auto" w:sz="4" w:space="0"/>
            </w:tcBorders>
            <w:noWrap w:val="0"/>
            <w:vAlign w:val="center"/>
          </w:tcPr>
          <w:p w14:paraId="535639C5">
            <w:pPr>
              <w:widowControl/>
              <w:adjustRightInd w:val="0"/>
              <w:spacing w:line="480" w:lineRule="exact"/>
              <w:rPr>
                <w:rFonts w:ascii="仿宋" w:hAnsi="仿宋" w:eastAsia="仿宋" w:cs="仿宋"/>
                <w:sz w:val="28"/>
                <w:szCs w:val="28"/>
              </w:rPr>
            </w:pPr>
            <w:r>
              <w:rPr>
                <w:rFonts w:hint="eastAsia" w:ascii="仿宋" w:hAnsi="仿宋" w:eastAsia="仿宋" w:cs="仿宋"/>
                <w:b/>
                <w:sz w:val="28"/>
                <w:szCs w:val="28"/>
              </w:rPr>
              <w:t>III级：</w:t>
            </w:r>
            <w:r>
              <w:rPr>
                <w:rFonts w:hint="eastAsia" w:ascii="仿宋" w:hAnsi="仿宋" w:eastAsia="仿宋" w:cs="仿宋"/>
                <w:sz w:val="28"/>
                <w:szCs w:val="28"/>
              </w:rPr>
              <w:t>属于普通问题；其具体现象为：系统安装或软件激活咨询。</w:t>
            </w:r>
          </w:p>
        </w:tc>
        <w:tc>
          <w:tcPr>
            <w:tcW w:w="1350" w:type="pct"/>
            <w:tcBorders>
              <w:top w:val="nil"/>
              <w:left w:val="nil"/>
              <w:bottom w:val="single" w:color="auto" w:sz="4" w:space="0"/>
              <w:right w:val="single" w:color="auto" w:sz="4" w:space="0"/>
            </w:tcBorders>
            <w:noWrap w:val="0"/>
            <w:vAlign w:val="center"/>
          </w:tcPr>
          <w:p w14:paraId="672DDAE5">
            <w:pPr>
              <w:widowControl/>
              <w:adjustRightInd w:val="0"/>
              <w:spacing w:line="480" w:lineRule="exact"/>
              <w:rPr>
                <w:rFonts w:ascii="仿宋" w:hAnsi="仿宋" w:eastAsia="仿宋" w:cs="仿宋"/>
                <w:sz w:val="28"/>
                <w:szCs w:val="28"/>
              </w:rPr>
            </w:pPr>
            <w:r>
              <w:rPr>
                <w:rFonts w:hint="eastAsia" w:ascii="仿宋" w:hAnsi="仿宋" w:eastAsia="仿宋" w:cs="仿宋"/>
                <w:sz w:val="28"/>
                <w:szCs w:val="28"/>
              </w:rPr>
              <w:t>5*8小时，及时响应，1小时内提交故障处理方案</w:t>
            </w:r>
          </w:p>
        </w:tc>
        <w:tc>
          <w:tcPr>
            <w:tcW w:w="1167" w:type="pct"/>
            <w:tcBorders>
              <w:top w:val="nil"/>
              <w:left w:val="nil"/>
              <w:bottom w:val="single" w:color="auto" w:sz="4" w:space="0"/>
              <w:right w:val="single" w:color="auto" w:sz="4" w:space="0"/>
            </w:tcBorders>
            <w:noWrap w:val="0"/>
            <w:vAlign w:val="center"/>
          </w:tcPr>
          <w:p w14:paraId="050BC67A">
            <w:pPr>
              <w:adjustRightInd w:val="0"/>
              <w:spacing w:line="480" w:lineRule="exact"/>
              <w:jc w:val="center"/>
              <w:rPr>
                <w:rFonts w:ascii="仿宋" w:hAnsi="仿宋" w:eastAsia="仿宋" w:cs="仿宋"/>
                <w:sz w:val="28"/>
                <w:szCs w:val="28"/>
              </w:rPr>
            </w:pPr>
            <w:r>
              <w:rPr>
                <w:rFonts w:hint="eastAsia" w:ascii="仿宋" w:hAnsi="仿宋" w:eastAsia="仿宋" w:cs="仿宋"/>
                <w:sz w:val="28"/>
                <w:szCs w:val="28"/>
              </w:rPr>
              <w:t>2小时以内</w:t>
            </w:r>
          </w:p>
        </w:tc>
      </w:tr>
    </w:tbl>
    <w:p w14:paraId="6E073D81">
      <w:pPr>
        <w:pStyle w:val="9"/>
        <w:spacing w:line="480" w:lineRule="exact"/>
        <w:ind w:right="356" w:firstLine="560" w:firstLineChars="200"/>
        <w:rPr>
          <w:rFonts w:ascii="仿宋" w:hAnsi="仿宋" w:eastAsia="仿宋" w:cs="仿宋"/>
          <w:sz w:val="28"/>
          <w:szCs w:val="28"/>
        </w:rPr>
      </w:pPr>
      <w:r>
        <w:rPr>
          <w:rFonts w:hint="eastAsia" w:ascii="仿宋" w:hAnsi="仿宋" w:eastAsia="仿宋" w:cs="仿宋"/>
          <w:sz w:val="28"/>
          <w:szCs w:val="28"/>
        </w:rPr>
        <w:t>坚持每月定期回访，巡回检查，并随时提供更新服务，一年内不少于4次。特殊情况在12个小时内无法修复的，将提供备用</w:t>
      </w:r>
      <w:r>
        <w:rPr>
          <w:rFonts w:hint="eastAsia" w:ascii="仿宋" w:hAnsi="仿宋" w:eastAsia="仿宋" w:cs="仿宋"/>
          <w:spacing w:val="-7"/>
          <w:sz w:val="28"/>
          <w:szCs w:val="28"/>
        </w:rPr>
        <w:t>解决方案给客户免费使用。</w:t>
      </w:r>
    </w:p>
    <w:p w14:paraId="61AD8AF7">
      <w:pPr>
        <w:pStyle w:val="9"/>
        <w:spacing w:line="480" w:lineRule="exact"/>
        <w:ind w:right="356" w:firstLine="560" w:firstLineChars="200"/>
        <w:rPr>
          <w:rFonts w:ascii="仿宋" w:hAnsi="仿宋" w:eastAsia="仿宋" w:cs="仿宋"/>
          <w:sz w:val="28"/>
          <w:szCs w:val="28"/>
        </w:rPr>
      </w:pPr>
      <w:r>
        <w:rPr>
          <w:rFonts w:hint="eastAsia" w:ascii="仿宋" w:hAnsi="仿宋" w:eastAsia="仿宋" w:cs="仿宋"/>
          <w:sz w:val="28"/>
          <w:szCs w:val="28"/>
        </w:rPr>
        <w:t>4、在服务期内每月进行一次系统巡检（提供纸质签章巡检报告），如遇安全问题，提出安全方案，实施加固，消除故障隐患以保证系统的正常运行。</w:t>
      </w:r>
    </w:p>
    <w:p w14:paraId="458B5225">
      <w:pPr>
        <w:pStyle w:val="9"/>
        <w:spacing w:line="480" w:lineRule="exact"/>
        <w:ind w:right="356" w:firstLine="560" w:firstLineChars="200"/>
        <w:rPr>
          <w:rFonts w:ascii="仿宋" w:hAnsi="仿宋" w:eastAsia="仿宋" w:cs="仿宋"/>
          <w:sz w:val="28"/>
          <w:szCs w:val="28"/>
        </w:rPr>
      </w:pPr>
      <w:r>
        <w:rPr>
          <w:rFonts w:hint="eastAsia" w:ascii="仿宋" w:hAnsi="仿宋" w:eastAsia="仿宋" w:cs="仿宋"/>
          <w:sz w:val="28"/>
          <w:szCs w:val="28"/>
        </w:rPr>
        <w:t>5、服务响应时间及方式：我公司承诺提供 7*24 小时服务响应。服务方式不限以下几种方式，立即现场响应、电话、电子邮件、即时通讯工具等。</w:t>
      </w:r>
    </w:p>
    <w:p w14:paraId="5C4BF03D">
      <w:pPr>
        <w:widowControl/>
        <w:autoSpaceDN w:val="0"/>
        <w:spacing w:line="480" w:lineRule="exact"/>
        <w:ind w:firstLine="2800" w:firstLineChars="1000"/>
        <w:rPr>
          <w:rFonts w:ascii="仿宋" w:hAnsi="仿宋" w:eastAsia="仿宋" w:cs="仿宋"/>
          <w:bCs/>
          <w:sz w:val="28"/>
          <w:szCs w:val="28"/>
        </w:rPr>
      </w:pPr>
    </w:p>
    <w:p w14:paraId="664FDB2A">
      <w:pPr>
        <w:widowControl/>
        <w:autoSpaceDN w:val="0"/>
        <w:spacing w:line="360" w:lineRule="auto"/>
        <w:ind w:firstLine="2800" w:firstLineChars="1000"/>
        <w:jc w:val="right"/>
        <w:rPr>
          <w:rFonts w:ascii="仿宋" w:hAnsi="仿宋" w:eastAsia="仿宋" w:cs="仿宋"/>
          <w:bCs/>
          <w:sz w:val="28"/>
          <w:szCs w:val="28"/>
        </w:rPr>
      </w:pPr>
      <w:r>
        <w:rPr>
          <w:rFonts w:hint="eastAsia" w:ascii="仿宋" w:hAnsi="仿宋" w:eastAsia="仿宋" w:cs="仿宋"/>
          <w:bCs/>
          <w:sz w:val="28"/>
          <w:szCs w:val="28"/>
        </w:rPr>
        <w:t>承诺人：</w:t>
      </w:r>
      <w:r>
        <w:rPr>
          <w:rFonts w:hint="eastAsia" w:ascii="仿宋" w:hAnsi="仿宋" w:eastAsia="仿宋" w:cs="仿宋"/>
          <w:bCs/>
          <w:sz w:val="28"/>
          <w:szCs w:val="28"/>
          <w:u w:val="single"/>
          <w:lang w:val="en-US" w:eastAsia="zh-CN"/>
        </w:rPr>
        <w:t>xxx</w:t>
      </w:r>
      <w:r>
        <w:rPr>
          <w:rFonts w:hint="eastAsia" w:ascii="仿宋" w:hAnsi="仿宋" w:eastAsia="仿宋" w:cs="仿宋"/>
          <w:bCs/>
          <w:sz w:val="28"/>
          <w:szCs w:val="28"/>
        </w:rPr>
        <w:t>（公章）</w:t>
      </w:r>
    </w:p>
    <w:p w14:paraId="18C852CE">
      <w:pPr>
        <w:pStyle w:val="6"/>
        <w:spacing w:line="360" w:lineRule="auto"/>
        <w:ind w:left="0" w:leftChars="0" w:firstLine="4200" w:firstLineChars="1500"/>
        <w:rPr>
          <w:rFonts w:ascii="仿宋" w:hAnsi="仿宋" w:eastAsia="仿宋" w:cs="仿宋"/>
          <w:sz w:val="28"/>
          <w:szCs w:val="28"/>
        </w:rPr>
      </w:pPr>
      <w:r>
        <w:rPr>
          <w:rFonts w:hint="eastAsia" w:ascii="仿宋" w:hAnsi="仿宋" w:eastAsia="仿宋" w:cs="仿宋"/>
          <w:bCs/>
          <w:sz w:val="28"/>
          <w:szCs w:val="28"/>
        </w:rPr>
        <w:t>日 期：年</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 xml:space="preserve">月 </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日</w:t>
      </w:r>
    </w:p>
    <w:p w14:paraId="1D5E5310">
      <w:pPr>
        <w:pStyle w:val="21"/>
        <w:spacing w:line="276" w:lineRule="auto"/>
        <w:ind w:firstLine="0" w:firstLineChars="0"/>
        <w:rPr>
          <w:rFonts w:ascii="仿宋" w:hAnsi="仿宋" w:eastAsia="仿宋" w:cs="仿宋"/>
          <w:b/>
          <w:szCs w:val="21"/>
        </w:rPr>
      </w:pPr>
    </w:p>
    <w:p w14:paraId="6F869166">
      <w:pPr>
        <w:pStyle w:val="21"/>
        <w:spacing w:line="276" w:lineRule="auto"/>
        <w:ind w:firstLine="0" w:firstLineChars="0"/>
        <w:rPr>
          <w:rFonts w:ascii="仿宋" w:hAnsi="仿宋" w:eastAsia="仿宋" w:cs="仿宋"/>
          <w:b/>
          <w:szCs w:val="21"/>
        </w:rPr>
      </w:pPr>
    </w:p>
    <w:sectPr>
      <w:footerReference r:id="rId5" w:type="first"/>
      <w:footerReference r:id="rId3" w:type="default"/>
      <w:footerReference r:id="rId4" w:type="even"/>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97E9B">
    <w:pPr>
      <w:pStyle w:val="11"/>
      <w:framePr w:wrap="around" w:vAnchor="text" w:hAnchor="margin" w:xAlign="center" w:y="1"/>
      <w:rPr>
        <w:rStyle w:val="17"/>
      </w:rPr>
    </w:pPr>
  </w:p>
  <w:p w14:paraId="58AD7E37">
    <w:pPr>
      <w:pStyle w:val="11"/>
      <w:jc w:val="center"/>
    </w:pPr>
    <w:r>
      <w:rPr>
        <w:rFonts w:hint="eastAsia"/>
        <w:kern w:val="0"/>
        <w:szCs w:val="21"/>
      </w:rPr>
      <w:t>第</w:t>
    </w:r>
    <w:r>
      <w:rPr>
        <w:kern w:val="0"/>
        <w:szCs w:val="21"/>
      </w:rPr>
      <w:fldChar w:fldCharType="begin"/>
    </w:r>
    <w:r>
      <w:rPr>
        <w:rFonts w:hint="eastAsia"/>
        <w:kern w:val="0"/>
        <w:szCs w:val="21"/>
      </w:rPr>
      <w:instrText xml:space="preserve">page </w:instrText>
    </w:r>
    <w:r>
      <w:rPr>
        <w:kern w:val="0"/>
        <w:szCs w:val="21"/>
      </w:rPr>
      <w:fldChar w:fldCharType="separate"/>
    </w:r>
    <w:r>
      <w:rPr>
        <w:kern w:val="0"/>
        <w:szCs w:val="21"/>
      </w:rPr>
      <w:t>32</w:t>
    </w:r>
    <w:r>
      <w:rPr>
        <w:kern w:val="0"/>
        <w:szCs w:val="21"/>
      </w:rPr>
      <w:fldChar w:fldCharType="end"/>
    </w:r>
    <w:r>
      <w:rPr>
        <w:rFonts w:hint="eastAsia"/>
        <w:kern w:val="0"/>
        <w:szCs w:val="21"/>
      </w:rPr>
      <w:t>页共</w:t>
    </w:r>
    <w:r>
      <w:rPr>
        <w:kern w:val="0"/>
        <w:szCs w:val="21"/>
      </w:rPr>
      <w:fldChar w:fldCharType="begin"/>
    </w:r>
    <w:r>
      <w:rPr>
        <w:rFonts w:hint="eastAsia"/>
        <w:kern w:val="0"/>
        <w:szCs w:val="21"/>
      </w:rPr>
      <w:instrText xml:space="preserve">=</w:instrText>
    </w:r>
    <w:r>
      <w:rPr>
        <w:kern w:val="0"/>
        <w:szCs w:val="21"/>
      </w:rPr>
      <w:fldChar w:fldCharType="begin"/>
    </w:r>
    <w:r>
      <w:rPr>
        <w:rFonts w:hint="eastAsia"/>
        <w:kern w:val="0"/>
        <w:szCs w:val="21"/>
      </w:rPr>
      <w:instrText xml:space="preserve">numpages</w:instrText>
    </w:r>
    <w:r>
      <w:rPr>
        <w:kern w:val="0"/>
        <w:szCs w:val="21"/>
      </w:rPr>
      <w:fldChar w:fldCharType="separate"/>
    </w:r>
    <w:r>
      <w:rPr>
        <w:kern w:val="0"/>
        <w:szCs w:val="21"/>
      </w:rPr>
      <w:instrText xml:space="preserve">33</w:instrText>
    </w:r>
    <w:r>
      <w:rPr>
        <w:kern w:val="0"/>
        <w:szCs w:val="21"/>
      </w:rPr>
      <w:fldChar w:fldCharType="end"/>
    </w:r>
    <w:r>
      <w:rPr>
        <w:rFonts w:hint="eastAsia"/>
        <w:kern w:val="0"/>
        <w:szCs w:val="21"/>
      </w:rPr>
      <w:instrText xml:space="preserve">-1</w:instrText>
    </w:r>
    <w:r>
      <w:rPr>
        <w:kern w:val="0"/>
        <w:szCs w:val="21"/>
      </w:rPr>
      <w:fldChar w:fldCharType="separate"/>
    </w:r>
    <w:r>
      <w:rPr>
        <w:kern w:val="0"/>
        <w:szCs w:val="21"/>
      </w:rPr>
      <w:t>32</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E842D">
    <w:pPr>
      <w:pStyle w:val="11"/>
      <w:framePr w:wrap="around" w:vAnchor="text" w:hAnchor="margin" w:xAlign="center" w:y="1"/>
      <w:rPr>
        <w:rStyle w:val="17"/>
      </w:rPr>
    </w:pPr>
    <w:r>
      <w:fldChar w:fldCharType="begin"/>
    </w:r>
    <w:r>
      <w:rPr>
        <w:rStyle w:val="17"/>
      </w:rPr>
      <w:instrText xml:space="preserve">PAGE  </w:instrText>
    </w:r>
    <w:r>
      <w:fldChar w:fldCharType="end"/>
    </w:r>
  </w:p>
  <w:p w14:paraId="6B860C35">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82631">
    <w:pPr>
      <w:pStyle w:val="11"/>
      <w:framePr w:wrap="around" w:vAnchor="text" w:hAnchor="margin" w:xAlign="center" w:y="1"/>
      <w:rPr>
        <w:rStyle w:val="17"/>
      </w:rPr>
    </w:pPr>
  </w:p>
  <w:p w14:paraId="7C349F6F">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BA8F1"/>
    <w:multiLevelType w:val="singleLevel"/>
    <w:tmpl w:val="86BBA8F1"/>
    <w:lvl w:ilvl="0" w:tentative="0">
      <w:start w:val="2"/>
      <w:numFmt w:val="chineseCounting"/>
      <w:suff w:val="nothing"/>
      <w:lvlText w:val="（%1）"/>
      <w:lvlJc w:val="left"/>
      <w:rPr>
        <w:rFonts w:hint="eastAsia"/>
      </w:rPr>
    </w:lvl>
  </w:abstractNum>
  <w:abstractNum w:abstractNumId="1">
    <w:nsid w:val="A3969DCD"/>
    <w:multiLevelType w:val="singleLevel"/>
    <w:tmpl w:val="A3969DCD"/>
    <w:lvl w:ilvl="0" w:tentative="0">
      <w:start w:val="2"/>
      <w:numFmt w:val="chineseCounting"/>
      <w:suff w:val="nothing"/>
      <w:lvlText w:val="（%1）"/>
      <w:lvlJc w:val="left"/>
      <w:rPr>
        <w:rFonts w:hint="eastAsia"/>
      </w:rPr>
    </w:lvl>
  </w:abstractNum>
  <w:abstractNum w:abstractNumId="2">
    <w:nsid w:val="AB7093EC"/>
    <w:multiLevelType w:val="singleLevel"/>
    <w:tmpl w:val="AB7093EC"/>
    <w:lvl w:ilvl="0" w:tentative="0">
      <w:start w:val="6"/>
      <w:numFmt w:val="chineseCounting"/>
      <w:suff w:val="nothing"/>
      <w:lvlText w:val="%1、"/>
      <w:lvlJc w:val="left"/>
      <w:rPr>
        <w:rFonts w:hint="eastAsia"/>
      </w:rPr>
    </w:lvl>
  </w:abstractNum>
  <w:abstractNum w:abstractNumId="3">
    <w:nsid w:val="BCE411EC"/>
    <w:multiLevelType w:val="singleLevel"/>
    <w:tmpl w:val="BCE411EC"/>
    <w:lvl w:ilvl="0" w:tentative="0">
      <w:start w:val="1"/>
      <w:numFmt w:val="chineseCounting"/>
      <w:suff w:val="nothing"/>
      <w:lvlText w:val="%1、"/>
      <w:lvlJc w:val="left"/>
      <w:rPr>
        <w:rFonts w:hint="eastAsia"/>
      </w:rPr>
    </w:lvl>
  </w:abstractNum>
  <w:abstractNum w:abstractNumId="4">
    <w:nsid w:val="FC097245"/>
    <w:multiLevelType w:val="singleLevel"/>
    <w:tmpl w:val="FC097245"/>
    <w:lvl w:ilvl="0" w:tentative="0">
      <w:start w:val="1"/>
      <w:numFmt w:val="chineseCounting"/>
      <w:suff w:val="nothing"/>
      <w:lvlText w:val="（%1）"/>
      <w:lvlJc w:val="left"/>
      <w:pPr>
        <w:ind w:left="0" w:firstLine="420"/>
      </w:pPr>
      <w:rPr>
        <w:rFonts w:hint="eastAsia"/>
      </w:rPr>
    </w:lvl>
  </w:abstractNum>
  <w:abstractNum w:abstractNumId="5">
    <w:nsid w:val="3461C49F"/>
    <w:multiLevelType w:val="singleLevel"/>
    <w:tmpl w:val="3461C49F"/>
    <w:lvl w:ilvl="0" w:tentative="0">
      <w:start w:val="1"/>
      <w:numFmt w:val="decimal"/>
      <w:suff w:val="nothing"/>
      <w:lvlText w:val="%1．"/>
      <w:lvlJc w:val="left"/>
      <w:pPr>
        <w:ind w:left="0" w:firstLine="400"/>
      </w:pPr>
      <w:rPr>
        <w:rFont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trackRevisions w:val="1"/>
  <w:documentProtection w:enforcement="0"/>
  <w:defaultTabStop w:val="420"/>
  <w:hyphenationZone w:val="360"/>
  <w:drawingGridHorizontalSpacing w:val="160"/>
  <w:drawingGridVerticalSpacing w:val="24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ZTk3YjU5MDAwOWVmYzhkMTBmNGViOWJhMGQ0ZmIifQ=="/>
  </w:docVars>
  <w:rsids>
    <w:rsidRoot w:val="0020119B"/>
    <w:rsid w:val="0001020D"/>
    <w:rsid w:val="00011D5E"/>
    <w:rsid w:val="00016110"/>
    <w:rsid w:val="00031D92"/>
    <w:rsid w:val="0004021A"/>
    <w:rsid w:val="00082B02"/>
    <w:rsid w:val="00093E28"/>
    <w:rsid w:val="000957F2"/>
    <w:rsid w:val="0009763E"/>
    <w:rsid w:val="000A1C52"/>
    <w:rsid w:val="00121692"/>
    <w:rsid w:val="0012584A"/>
    <w:rsid w:val="0013617D"/>
    <w:rsid w:val="00182906"/>
    <w:rsid w:val="001975A3"/>
    <w:rsid w:val="00197A1C"/>
    <w:rsid w:val="001C3CCC"/>
    <w:rsid w:val="001D57B6"/>
    <w:rsid w:val="001F21B4"/>
    <w:rsid w:val="0020119B"/>
    <w:rsid w:val="0020732C"/>
    <w:rsid w:val="00254B49"/>
    <w:rsid w:val="00257E03"/>
    <w:rsid w:val="002802FD"/>
    <w:rsid w:val="00291F43"/>
    <w:rsid w:val="002961CE"/>
    <w:rsid w:val="002A715B"/>
    <w:rsid w:val="002B1FB9"/>
    <w:rsid w:val="00304E25"/>
    <w:rsid w:val="003154C6"/>
    <w:rsid w:val="00321FFA"/>
    <w:rsid w:val="0032608A"/>
    <w:rsid w:val="00327FD7"/>
    <w:rsid w:val="00343142"/>
    <w:rsid w:val="003531D4"/>
    <w:rsid w:val="003702FE"/>
    <w:rsid w:val="003814C9"/>
    <w:rsid w:val="0039062C"/>
    <w:rsid w:val="003D0807"/>
    <w:rsid w:val="003D1F71"/>
    <w:rsid w:val="003E0414"/>
    <w:rsid w:val="00403194"/>
    <w:rsid w:val="0041344E"/>
    <w:rsid w:val="004515F0"/>
    <w:rsid w:val="004A24A5"/>
    <w:rsid w:val="004B72C8"/>
    <w:rsid w:val="004C7DBB"/>
    <w:rsid w:val="004D0D27"/>
    <w:rsid w:val="004E37A6"/>
    <w:rsid w:val="005463C1"/>
    <w:rsid w:val="00546883"/>
    <w:rsid w:val="005A252A"/>
    <w:rsid w:val="005A4B4B"/>
    <w:rsid w:val="005A56EC"/>
    <w:rsid w:val="005B62FF"/>
    <w:rsid w:val="005D075A"/>
    <w:rsid w:val="005F71CD"/>
    <w:rsid w:val="006300FD"/>
    <w:rsid w:val="00637400"/>
    <w:rsid w:val="00646395"/>
    <w:rsid w:val="00646C12"/>
    <w:rsid w:val="006501B6"/>
    <w:rsid w:val="00656835"/>
    <w:rsid w:val="00680220"/>
    <w:rsid w:val="00681C43"/>
    <w:rsid w:val="006841F3"/>
    <w:rsid w:val="006A6731"/>
    <w:rsid w:val="006B660E"/>
    <w:rsid w:val="006E2AA8"/>
    <w:rsid w:val="006E4D8B"/>
    <w:rsid w:val="00706B63"/>
    <w:rsid w:val="00710325"/>
    <w:rsid w:val="00715041"/>
    <w:rsid w:val="007320DC"/>
    <w:rsid w:val="007728CA"/>
    <w:rsid w:val="00793BA7"/>
    <w:rsid w:val="00796023"/>
    <w:rsid w:val="007A0FEF"/>
    <w:rsid w:val="007A3CD2"/>
    <w:rsid w:val="007D2654"/>
    <w:rsid w:val="0080171C"/>
    <w:rsid w:val="00832DCE"/>
    <w:rsid w:val="00832DE3"/>
    <w:rsid w:val="008771DC"/>
    <w:rsid w:val="008A052C"/>
    <w:rsid w:val="009103E7"/>
    <w:rsid w:val="00916204"/>
    <w:rsid w:val="00921AD0"/>
    <w:rsid w:val="00927E45"/>
    <w:rsid w:val="00956C0B"/>
    <w:rsid w:val="00972A0D"/>
    <w:rsid w:val="009736F3"/>
    <w:rsid w:val="00975479"/>
    <w:rsid w:val="009A014A"/>
    <w:rsid w:val="009A1AF7"/>
    <w:rsid w:val="009A1F6B"/>
    <w:rsid w:val="009A49FC"/>
    <w:rsid w:val="009B6139"/>
    <w:rsid w:val="009C61B9"/>
    <w:rsid w:val="009F180B"/>
    <w:rsid w:val="00A51D06"/>
    <w:rsid w:val="00A558B4"/>
    <w:rsid w:val="00A60443"/>
    <w:rsid w:val="00A635EF"/>
    <w:rsid w:val="00A71763"/>
    <w:rsid w:val="00A72CD1"/>
    <w:rsid w:val="00A97792"/>
    <w:rsid w:val="00AA340C"/>
    <w:rsid w:val="00AA6FB8"/>
    <w:rsid w:val="00AB1873"/>
    <w:rsid w:val="00AD08EE"/>
    <w:rsid w:val="00AD3402"/>
    <w:rsid w:val="00AE4605"/>
    <w:rsid w:val="00B407A5"/>
    <w:rsid w:val="00B428AF"/>
    <w:rsid w:val="00B44CCE"/>
    <w:rsid w:val="00B57ED1"/>
    <w:rsid w:val="00B71C50"/>
    <w:rsid w:val="00B71DD8"/>
    <w:rsid w:val="00B72D99"/>
    <w:rsid w:val="00BA0BBF"/>
    <w:rsid w:val="00BF72C3"/>
    <w:rsid w:val="00C02843"/>
    <w:rsid w:val="00C12A66"/>
    <w:rsid w:val="00C46760"/>
    <w:rsid w:val="00C62391"/>
    <w:rsid w:val="00C95379"/>
    <w:rsid w:val="00C975D7"/>
    <w:rsid w:val="00D0501F"/>
    <w:rsid w:val="00D13D9D"/>
    <w:rsid w:val="00D341BE"/>
    <w:rsid w:val="00D4316B"/>
    <w:rsid w:val="00D5512E"/>
    <w:rsid w:val="00D77117"/>
    <w:rsid w:val="00DA1A61"/>
    <w:rsid w:val="00DC0EC8"/>
    <w:rsid w:val="00DC4B9C"/>
    <w:rsid w:val="00DE2537"/>
    <w:rsid w:val="00DF7A5E"/>
    <w:rsid w:val="00E33352"/>
    <w:rsid w:val="00E333A8"/>
    <w:rsid w:val="00E33D1B"/>
    <w:rsid w:val="00E37C84"/>
    <w:rsid w:val="00E400B1"/>
    <w:rsid w:val="00E70E41"/>
    <w:rsid w:val="00E743E8"/>
    <w:rsid w:val="00E94CB3"/>
    <w:rsid w:val="00E95F47"/>
    <w:rsid w:val="00EC37B1"/>
    <w:rsid w:val="00ED012B"/>
    <w:rsid w:val="00F01C63"/>
    <w:rsid w:val="00F100C0"/>
    <w:rsid w:val="00F11241"/>
    <w:rsid w:val="00F1235B"/>
    <w:rsid w:val="00F40D91"/>
    <w:rsid w:val="00F434CD"/>
    <w:rsid w:val="00F60E36"/>
    <w:rsid w:val="00F61207"/>
    <w:rsid w:val="00F702C2"/>
    <w:rsid w:val="00F84B0B"/>
    <w:rsid w:val="00FA303C"/>
    <w:rsid w:val="00FC66B8"/>
    <w:rsid w:val="00FE229F"/>
    <w:rsid w:val="06D329A8"/>
    <w:rsid w:val="08683CDA"/>
    <w:rsid w:val="087F6EA5"/>
    <w:rsid w:val="09B72677"/>
    <w:rsid w:val="0C253D7E"/>
    <w:rsid w:val="0CF823FF"/>
    <w:rsid w:val="0D9444B9"/>
    <w:rsid w:val="0FF8720A"/>
    <w:rsid w:val="11016D28"/>
    <w:rsid w:val="1992143D"/>
    <w:rsid w:val="1BFFE300"/>
    <w:rsid w:val="22B802D3"/>
    <w:rsid w:val="248A25BA"/>
    <w:rsid w:val="2AB342D5"/>
    <w:rsid w:val="2C034AB4"/>
    <w:rsid w:val="2C424C57"/>
    <w:rsid w:val="2C9E0444"/>
    <w:rsid w:val="2F5A6CAC"/>
    <w:rsid w:val="326C3199"/>
    <w:rsid w:val="34D21009"/>
    <w:rsid w:val="3E390866"/>
    <w:rsid w:val="421148AF"/>
    <w:rsid w:val="46284392"/>
    <w:rsid w:val="48763CCB"/>
    <w:rsid w:val="4A9650E0"/>
    <w:rsid w:val="59304DE9"/>
    <w:rsid w:val="5C6805EC"/>
    <w:rsid w:val="5DAB753A"/>
    <w:rsid w:val="5E454BA3"/>
    <w:rsid w:val="62E41E5B"/>
    <w:rsid w:val="67DB5BAE"/>
    <w:rsid w:val="6C233527"/>
    <w:rsid w:val="6C651D57"/>
    <w:rsid w:val="6D4C4A95"/>
    <w:rsid w:val="6FCF30E7"/>
    <w:rsid w:val="734A47F2"/>
    <w:rsid w:val="742A303D"/>
    <w:rsid w:val="76025EDA"/>
    <w:rsid w:val="77D3235B"/>
    <w:rsid w:val="79C15A7A"/>
    <w:rsid w:val="7C1753A5"/>
    <w:rsid w:val="7D0F59BE"/>
    <w:rsid w:val="7D5246B4"/>
    <w:rsid w:val="7DE93D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paragraph" w:styleId="3">
    <w:name w:val="heading 2"/>
    <w:basedOn w:val="1"/>
    <w:next w:val="1"/>
    <w:qFormat/>
    <w:uiPriority w:val="9"/>
    <w:pPr>
      <w:keepNext/>
      <w:keepLines/>
      <w:spacing w:before="260" w:after="260" w:line="416" w:lineRule="auto"/>
      <w:jc w:val="left"/>
      <w:outlineLvl w:val="1"/>
    </w:pPr>
    <w:rPr>
      <w:rFonts w:ascii="Cambria" w:hAnsi="Cambria"/>
      <w:b/>
      <w:bCs/>
      <w:sz w:val="24"/>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autoSpaceDE w:val="0"/>
      <w:autoSpaceDN w:val="0"/>
      <w:adjustRightInd w:val="0"/>
      <w:spacing w:line="640" w:lineRule="exact"/>
      <w:ind w:firstLine="585"/>
    </w:pPr>
    <w:rPr>
      <w:rFonts w:ascii="楷体_GB2312" w:hAnsi="Calibri" w:eastAsia="楷体_GB2312"/>
      <w:sz w:val="32"/>
      <w:szCs w:val="32"/>
    </w:rPr>
  </w:style>
  <w:style w:type="paragraph" w:styleId="6">
    <w:name w:val="Body Text First Indent 2"/>
    <w:basedOn w:val="7"/>
    <w:next w:val="5"/>
    <w:qFormat/>
    <w:uiPriority w:val="0"/>
    <w:pPr>
      <w:ind w:firstLine="420"/>
    </w:pPr>
    <w:rPr>
      <w:rFonts w:ascii="Times New Roman" w:hAnsi="Times New Roman"/>
    </w:rPr>
  </w:style>
  <w:style w:type="paragraph" w:styleId="7">
    <w:name w:val="Body Text Indent"/>
    <w:basedOn w:val="1"/>
    <w:qFormat/>
    <w:uiPriority w:val="0"/>
    <w:pPr>
      <w:ind w:left="1083" w:leftChars="30" w:hanging="1020" w:hangingChars="425"/>
    </w:pPr>
    <w:rPr>
      <w:rFonts w:ascii="宋体" w:hAnsi="宋体"/>
      <w:sz w:val="24"/>
    </w:rPr>
  </w:style>
  <w:style w:type="paragraph" w:styleId="8">
    <w:name w:val="annotation text"/>
    <w:basedOn w:val="1"/>
    <w:link w:val="19"/>
    <w:qFormat/>
    <w:uiPriority w:val="0"/>
    <w:pPr>
      <w:jc w:val="left"/>
    </w:pPr>
  </w:style>
  <w:style w:type="paragraph" w:styleId="9">
    <w:name w:val="Body Text"/>
    <w:basedOn w:val="1"/>
    <w:next w:val="1"/>
    <w:qFormat/>
    <w:uiPriority w:val="1"/>
    <w:rPr>
      <w:kern w:val="0"/>
      <w:sz w:val="20"/>
      <w:szCs w:val="20"/>
    </w:rPr>
  </w:style>
  <w:style w:type="paragraph" w:styleId="10">
    <w:name w:val="Balloon Text"/>
    <w:basedOn w:val="1"/>
    <w:semiHidden/>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annotation subject"/>
    <w:basedOn w:val="8"/>
    <w:next w:val="8"/>
    <w:link w:val="20"/>
    <w:qFormat/>
    <w:uiPriority w:val="0"/>
    <w:rPr>
      <w:b/>
      <w:bCs/>
    </w:rPr>
  </w:style>
  <w:style w:type="character" w:styleId="16">
    <w:name w:val="Strong"/>
    <w:qFormat/>
    <w:uiPriority w:val="0"/>
    <w:rPr>
      <w:b/>
    </w:rPr>
  </w:style>
  <w:style w:type="character" w:styleId="17">
    <w:name w:val="page number"/>
    <w:basedOn w:val="15"/>
    <w:qFormat/>
    <w:uiPriority w:val="0"/>
  </w:style>
  <w:style w:type="character" w:styleId="18">
    <w:name w:val="annotation reference"/>
    <w:qFormat/>
    <w:uiPriority w:val="0"/>
    <w:rPr>
      <w:sz w:val="21"/>
      <w:szCs w:val="21"/>
    </w:rPr>
  </w:style>
  <w:style w:type="character" w:customStyle="1" w:styleId="19">
    <w:name w:val="批注文字 Char"/>
    <w:link w:val="8"/>
    <w:qFormat/>
    <w:uiPriority w:val="0"/>
    <w:rPr>
      <w:kern w:val="2"/>
      <w:sz w:val="21"/>
      <w:szCs w:val="24"/>
    </w:rPr>
  </w:style>
  <w:style w:type="character" w:customStyle="1" w:styleId="20">
    <w:name w:val="批注主题 Char"/>
    <w:link w:val="13"/>
    <w:qFormat/>
    <w:uiPriority w:val="0"/>
    <w:rPr>
      <w:kern w:val="2"/>
      <w:sz w:val="21"/>
      <w:szCs w:val="24"/>
    </w:rPr>
  </w:style>
  <w:style w:type="paragraph" w:customStyle="1" w:styleId="21">
    <w:name w:val="列出段落1"/>
    <w:basedOn w:val="1"/>
    <w:qFormat/>
    <w:uiPriority w:val="34"/>
    <w:pPr>
      <w:ind w:firstLine="420" w:firstLineChars="200"/>
    </w:pPr>
  </w:style>
  <w:style w:type="character" w:customStyle="1" w:styleId="22">
    <w:name w:val="font21"/>
    <w:qFormat/>
    <w:uiPriority w:val="0"/>
    <w:rPr>
      <w:rFonts w:hint="eastAsia" w:ascii="宋体" w:hAnsi="宋体" w:eastAsia="宋体" w:cs="宋体"/>
      <w:color w:val="000000"/>
      <w:sz w:val="22"/>
      <w:szCs w:val="22"/>
      <w:u w:val="none"/>
    </w:rPr>
  </w:style>
  <w:style w:type="character" w:customStyle="1" w:styleId="23">
    <w:name w:val="font31"/>
    <w:qFormat/>
    <w:uiPriority w:val="0"/>
    <w:rPr>
      <w:rFonts w:hint="default" w:ascii="Calibri" w:hAnsi="Calibri" w:cs="Calibri"/>
      <w:color w:val="000000"/>
      <w:sz w:val="22"/>
      <w:szCs w:val="22"/>
      <w:u w:val="none"/>
    </w:rPr>
  </w:style>
  <w:style w:type="paragraph" w:customStyle="1" w:styleId="24">
    <w:name w:val="ABC - 正文"/>
    <w:qFormat/>
    <w:uiPriority w:val="0"/>
    <w:pPr>
      <w:spacing w:afterLines="50" w:line="300" w:lineRule="auto"/>
      <w:ind w:firstLine="480" w:firstLineChars="200"/>
    </w:pPr>
    <w:rPr>
      <w:rFonts w:ascii="Cambria" w:hAnsi="Cambria" w:eastAsia="宋体" w:cs="Times New Roman"/>
      <w:kern w:val="2"/>
      <w:sz w:val="21"/>
      <w:szCs w:val="21"/>
      <w:lang w:val="en-US" w:eastAsia="zh-CN" w:bidi="ar-SA"/>
    </w:rPr>
  </w:style>
  <w:style w:type="paragraph" w:customStyle="1" w:styleId="2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陕西天瑞电力</Company>
  <Pages>14</Pages>
  <Words>5156</Words>
  <Characters>5333</Characters>
  <Lines>129</Lines>
  <Paragraphs>36</Paragraphs>
  <TotalTime>1</TotalTime>
  <ScaleCrop>false</ScaleCrop>
  <LinksUpToDate>false</LinksUpToDate>
  <CharactersWithSpaces>5402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2024-08-16T07:08:00Z</dcterms:created>
  <dc:creator>dellpc</dc:creator>
  <cp:lastModifiedBy>lazy_MT</cp:lastModifiedBy>
  <cp:lastPrinted>2007-10-16T07:48:00Z</cp:lastPrinted>
  <dcterms:modified xsi:type="dcterms:W3CDTF">2025-02-27T07:47:27Z</dcterms:modified>
  <dc:title>西安市工业学校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2793C3E4DAFB463AA4B8952A159951CD_13</vt:lpwstr>
  </property>
  <property fmtid="{D5CDD505-2E9C-101B-9397-08002B2CF9AE}" pid="4" name="KSOTemplateDocerSaveRecord">
    <vt:lpwstr>eyJoZGlkIjoiNTJhMDE1MmE5OWQzMmNmMjkyYmE5ZjFkZWE2ZDczMjkiLCJ1c2VySWQiOiI0NTA0MTI0MzcifQ==</vt:lpwstr>
  </property>
</Properties>
</file>