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版本号：241022001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HIS、集成平台系统维保</w:t>
      </w:r>
    </w:p>
    <w:p>
      <w:pPr>
        <w:pStyle w:val="null3"/>
        <w:jc w:val="center"/>
        <w:outlineLvl w:val="2"/>
      </w:pPr>
      <w:r>
        <w:rPr>
          <w:sz w:val="28"/>
          <w:b/>
        </w:rPr>
        <w:t>采购项目编号：</w:t>
      </w:r>
      <w:r>
        <w:rPr>
          <w:sz w:val="28"/>
          <w:b/>
        </w:rPr>
        <w:t>SXJTZB-ZC-CS20241012</w:t>
      </w:r>
      <w:r>
        <w:br/>
      </w:r>
      <w:r>
        <w:br/>
      </w:r>
      <w:r>
        <w:br/>
      </w:r>
    </w:p>
    <w:p>
      <w:pPr>
        <w:pStyle w:val="null3"/>
        <w:jc w:val="center"/>
        <w:outlineLvl w:val="2"/>
      </w:pPr>
      <w:r>
        <w:rPr>
          <w:sz w:val="28"/>
          <w:b/>
        </w:rPr>
        <w:t>西安市第一医院</w:t>
      </w:r>
    </w:p>
    <w:p>
      <w:pPr>
        <w:pStyle w:val="null3"/>
        <w:jc w:val="center"/>
        <w:outlineLvl w:val="2"/>
      </w:pPr>
      <w:r>
        <w:rPr>
          <w:sz w:val="28"/>
          <w:b/>
        </w:rPr>
        <w:t>陕西嘉唐建设项目管理有限公司</w:t>
      </w:r>
      <w:r>
        <w:rPr>
          <w:sz w:val="28"/>
          <w:b/>
        </w:rPr>
        <w:t>共同编制</w:t>
      </w:r>
    </w:p>
    <w:p>
      <w:pPr>
        <w:pStyle w:val="null3"/>
        <w:jc w:val="center"/>
        <w:outlineLvl w:val="2"/>
      </w:pPr>
      <w:r>
        <w:rPr>
          <w:sz w:val="28"/>
          <w:b/>
        </w:rPr>
        <w:t>2024年10月22日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陕西嘉唐建设项目管理有限公司</w:t>
      </w:r>
      <w:r>
        <w:rPr/>
        <w:t>（以下简称“代理机构”）受</w:t>
      </w:r>
      <w:r>
        <w:rPr/>
        <w:t>西安市第一医院</w:t>
      </w:r>
      <w:r>
        <w:rPr/>
        <w:t>委托，拟对</w:t>
      </w:r>
      <w:r>
        <w:rPr/>
        <w:t>HIS、集成平台系统维保</w:t>
      </w:r>
      <w:r>
        <w:rPr/>
        <w:t>采用竞争性磋商采购方式进行采购，兹邀请供应商参加本项目的竞争性磋商。</w:t>
      </w:r>
    </w:p>
    <w:p>
      <w:pPr>
        <w:pStyle w:val="null3"/>
        <w:outlineLvl w:val="2"/>
      </w:pPr>
      <w:r>
        <w:rPr>
          <w:sz w:val="28"/>
          <w:b/>
        </w:rPr>
        <w:t>一、项目编号：</w:t>
      </w:r>
      <w:r>
        <w:rPr>
          <w:sz w:val="28"/>
          <w:b/>
        </w:rPr>
        <w:t>SXJTZB-ZC-CS20241012</w:t>
      </w:r>
    </w:p>
    <w:p>
      <w:pPr>
        <w:pStyle w:val="null3"/>
        <w:outlineLvl w:val="2"/>
      </w:pPr>
      <w:r>
        <w:rPr>
          <w:sz w:val="28"/>
          <w:b/>
        </w:rPr>
        <w:t>二、项目名称：</w:t>
      </w:r>
      <w:r>
        <w:rPr>
          <w:sz w:val="28"/>
          <w:b/>
        </w:rPr>
        <w:t>HIS、集成平台系统维保</w:t>
      </w:r>
    </w:p>
    <w:p>
      <w:pPr>
        <w:pStyle w:val="null3"/>
        <w:outlineLvl w:val="2"/>
      </w:pPr>
      <w:r>
        <w:rPr>
          <w:sz w:val="28"/>
          <w:b/>
        </w:rPr>
        <w:t>三、磋商项目简介</w:t>
      </w:r>
    </w:p>
    <w:p>
      <w:pPr>
        <w:pStyle w:val="null3"/>
        <w:ind w:firstLine="480"/>
      </w:pPr>
      <w:r>
        <w:rPr/>
        <w:t>医院现已具备HIS、LIS、PACS、电子病历、集成平台、手术麻醉、重症监护、心电等信息系统，HIS系统已实现临床业务科室的全面覆盖并满足临床业务需求，集成平台已实现数据存储及治理功能，且其他各业务系统目前运行平稳，为各临床科室开展日常工作提供了基础保障。</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1、主体资格证明：具有独立承担民事责任能力的法人或其他组织，提供有效存续的营业执照或事业单位法人证书或非企业专业服务机构执业许可证或民办非企业单位登记证书或自然人的身份证明；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t>2、财务状况报告：提供经审计的2023年度财务报告，包括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t>3、税收缴纳证明：提供已缴纳的2024年度1月份至今任意一个月的纳税证明或完税证明，纳税证明或完税证明上应有代收机构或税务机关的公章或业务专用章。依法免税的供应商应提供相关文件证明；</w:t>
      </w:r>
    </w:p>
    <w:p>
      <w:pPr>
        <w:pStyle w:val="null3"/>
      </w:pPr>
      <w:r>
        <w:rPr/>
        <w:t>4、具有履行合同所必需的设备和专业技术能力的承诺：供应商须提供具有履行合同所必需的设备和专业技术能力的承诺；</w:t>
      </w:r>
    </w:p>
    <w:p>
      <w:pPr>
        <w:pStyle w:val="null3"/>
      </w:pPr>
      <w:r>
        <w:rPr/>
        <w:t>5、社会保障资金缴纳证明：提供已缴存的2024年度1月份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t>6、三年内无重大违法记录声明：出具参加本次政府采购活动前三年内在经营活动中没有重大违法记录的书面声明；</w:t>
      </w:r>
    </w:p>
    <w:p>
      <w:pPr>
        <w:pStyle w:val="null3"/>
      </w:pPr>
      <w:r>
        <w:rPr/>
        <w:t>7、法定代表人授权委托书：法定代表人授权委托书（附法定代表人、被授权人身份证复印件）及被授权人身份证（法定代表人直接参加磋商，须提供法定代表人身份证明及身份证复印件）；</w:t>
      </w:r>
    </w:p>
    <w:p>
      <w:pPr>
        <w:pStyle w:val="null3"/>
      </w:pPr>
      <w:r>
        <w:rPr/>
        <w:t>8、本项目不接受联合体磋商：本项目不接受联合体磋商（提供书面声明材料）；</w:t>
      </w:r>
    </w:p>
    <w:p>
      <w:pPr>
        <w:pStyle w:val="null3"/>
      </w:pPr>
      <w:r>
        <w:rPr/>
        <w:t>9、本项目不接受西安市第一医院职工及亲属投资举办的企业参加磋商：本项目不接受由西安市第一医院职工及其亲属投资举办的企业参加磋商（提供承诺书）。</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西安市第一医院</w:t>
      </w:r>
    </w:p>
    <w:p>
      <w:pPr>
        <w:pStyle w:val="null3"/>
      </w:pPr>
      <w:r>
        <w:rPr/>
        <w:t xml:space="preserve"> 地址： </w:t>
      </w:r>
      <w:r>
        <w:rPr/>
        <w:t>南大街粉巷30号</w:t>
      </w:r>
    </w:p>
    <w:p>
      <w:pPr>
        <w:pStyle w:val="null3"/>
      </w:pPr>
      <w:r>
        <w:rPr/>
        <w:t xml:space="preserve"> 邮编： </w:t>
      </w:r>
      <w:r>
        <w:rPr/>
        <w:t>710000</w:t>
      </w:r>
    </w:p>
    <w:p>
      <w:pPr>
        <w:pStyle w:val="null3"/>
      </w:pPr>
      <w:r>
        <w:rPr/>
        <w:t xml:space="preserve"> 联系人： </w:t>
      </w:r>
      <w:r>
        <w:rPr/>
        <w:t>韩老师</w:t>
      </w:r>
    </w:p>
    <w:p>
      <w:pPr>
        <w:pStyle w:val="null3"/>
      </w:pPr>
      <w:r>
        <w:rPr/>
        <w:t xml:space="preserve"> 联系电话： </w:t>
      </w:r>
      <w:r>
        <w:rPr/>
        <w:t>029-87630967</w:t>
      </w:r>
    </w:p>
    <w:p>
      <w:pPr>
        <w:pStyle w:val="null3"/>
        <w:outlineLvl w:val="3"/>
      </w:pPr>
      <w:r>
        <w:rPr>
          <w:sz w:val="24"/>
          <w:b/>
        </w:rPr>
        <w:t>代理机构：</w:t>
      </w:r>
      <w:r>
        <w:rPr>
          <w:sz w:val="24"/>
          <w:b/>
        </w:rPr>
        <w:t>陕西嘉唐建设项目管理有限公司</w:t>
      </w:r>
    </w:p>
    <w:p>
      <w:pPr>
        <w:pStyle w:val="null3"/>
      </w:pPr>
      <w:r>
        <w:rPr/>
        <w:t xml:space="preserve"> 地址： </w:t>
      </w:r>
      <w:r>
        <w:rPr/>
        <w:t>西安市未央区凤城五路与明光路十字天朗经开中心10楼11002室</w:t>
      </w:r>
    </w:p>
    <w:p>
      <w:pPr>
        <w:pStyle w:val="null3"/>
      </w:pPr>
      <w:r>
        <w:rPr/>
        <w:t xml:space="preserve"> 邮编： </w:t>
      </w:r>
      <w:r>
        <w:rPr/>
        <w:t>710000</w:t>
      </w:r>
    </w:p>
    <w:p>
      <w:pPr>
        <w:pStyle w:val="null3"/>
      </w:pPr>
      <w:r>
        <w:rPr/>
        <w:t xml:space="preserve"> 联系人： </w:t>
      </w:r>
      <w:r>
        <w:rPr/>
        <w:t>张荷</w:t>
      </w:r>
    </w:p>
    <w:p>
      <w:pPr>
        <w:pStyle w:val="null3"/>
      </w:pPr>
      <w:r>
        <w:rPr/>
        <w:t xml:space="preserve"> 联系电话： </w:t>
      </w:r>
      <w:r>
        <w:rPr/>
        <w:t>029-89351397</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采购包1：450,000.00元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代理服务费收费标准：（一）成交供应商在领取成交通知书前，须向采购代理机构支付成交服务费； （二）招标代理服务费的计算方法：参照国家计委印发的《招标代理服务收费管理暂行办法》（计价格〔2002〕1980号）和国家发展改革委员会办公厅印发的《关于招标代理服务收费有关问题的通知》（发改办价格〔2003〕857号）的有关规定执行。 （三）成交服务费可以采取现金、支票、银行汇票、电汇、网银等方式缴纳。 （四）成交供应商服务费交纳信息： 银行户名：陕西嘉唐建设项目管理有限公司 开户银行：西安银行股份有限公司含光门支行 账 号：112011580000141313 联 系 人：王工 联系电话：029-89351397</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西安市第一医院</w:t>
      </w:r>
      <w:r>
        <w:rPr/>
        <w:t>和</w:t>
      </w:r>
      <w:r>
        <w:rPr/>
        <w:t>陕西嘉唐建设项目管理有限公司</w:t>
      </w:r>
      <w:r>
        <w:rPr/>
        <w:t>享有。对磋商文件中供应商参加本次政府采购活动应当具备的条件，磋商项目技术、服务、商务及其他要求，评审细则及标准由</w:t>
      </w:r>
      <w:r>
        <w:rPr/>
        <w:t>西安市第一医院</w:t>
      </w:r>
      <w:r>
        <w:rPr/>
        <w:t>负责解释。除上述磋商文件内容，其他内容由</w:t>
      </w:r>
      <w:r>
        <w:rPr/>
        <w:t>陕西嘉唐建设项目管理有限公司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西安市第一医院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陕西嘉唐建设项目管理有限公司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详见合同约定。</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陕西嘉唐建设项目管理有限公司</w:t>
      </w:r>
      <w:r>
        <w:rPr/>
        <w:t xml:space="preserve"> 负责答复；供应商对除采购需求外的采购文件的询问、质疑由</w:t>
      </w:r>
      <w:r>
        <w:rPr/>
        <w:t>陕西嘉唐建设项目管理有限公司</w:t>
      </w:r>
      <w:r>
        <w:rPr/>
        <w:t xml:space="preserve"> 负责答复；供应商对采购过程、采购结果的询问、质疑由 </w:t>
      </w:r>
      <w:r>
        <w:rPr/>
        <w:t>陕西嘉唐建设项目管理有限公司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联系人：张荷</w:t>
      </w:r>
    </w:p>
    <w:p>
      <w:pPr>
        <w:pStyle w:val="null3"/>
      </w:pPr>
      <w:r>
        <w:rPr/>
        <w:t>联系电话：029-89351397</w:t>
      </w:r>
    </w:p>
    <w:p>
      <w:pPr>
        <w:pStyle w:val="null3"/>
      </w:pPr>
      <w:r>
        <w:rPr/>
        <w:t>地址：西安市未央区凤城五路与明光路十字天朗经开中心10楼11002室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医院现已具备HIS、LIS、PACS、电子病历、集成平台、手术麻醉、重症监护、心电等信息系统，HIS系统已实现临床业务科室的全面覆盖并满足临床业务需求，集成平台已实现数据存储及治理功能，且其他各业务系统目前运行平稳，为各临床科室开展日常工作提供了基础保障。</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450,000.00</w:t>
      </w:r>
    </w:p>
    <w:p>
      <w:pPr>
        <w:pStyle w:val="null3"/>
      </w:pPr>
      <w:r>
        <w:rPr/>
        <w:t>采购包最高限价（元）: 450,000.00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HIS、集成平台系统维保</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标的名称：HIS、集成平台系统维保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b/>
                    </w:rPr>
                    <w:t>一、</w:t>
                  </w:r>
                  <w:r>
                    <w:rPr>
                      <w:rFonts w:ascii="宋体" w:hAnsi="宋体" w:cs="宋体" w:eastAsia="宋体"/>
                      <w:sz w:val="24"/>
                      <w:b/>
                    </w:rPr>
                    <w:t>项目需求参数</w:t>
                  </w:r>
                </w:p>
                <w:p>
                  <w:pPr>
                    <w:pStyle w:val="null3"/>
                    <w:ind w:firstLine="482"/>
                    <w:jc w:val="left"/>
                  </w:pPr>
                  <w:r>
                    <w:rPr>
                      <w:rFonts w:ascii="宋体" w:hAnsi="宋体" w:cs="宋体" w:eastAsia="宋体"/>
                      <w:sz w:val="24"/>
                      <w:b/>
                    </w:rPr>
                    <w:t>1、</w:t>
                  </w:r>
                  <w:r>
                    <w:rPr>
                      <w:rFonts w:ascii="宋体" w:hAnsi="宋体" w:cs="宋体" w:eastAsia="宋体"/>
                      <w:sz w:val="24"/>
                      <w:b/>
                    </w:rPr>
                    <w:t>医院现状</w:t>
                  </w:r>
                </w:p>
                <w:p>
                  <w:pPr>
                    <w:pStyle w:val="null3"/>
                    <w:ind w:firstLine="480"/>
                    <w:jc w:val="both"/>
                  </w:pPr>
                  <w:r>
                    <w:rPr>
                      <w:rFonts w:ascii="宋体" w:hAnsi="宋体" w:cs="宋体" w:eastAsia="宋体"/>
                      <w:sz w:val="24"/>
                    </w:rPr>
                    <w:t>医院现已具备</w:t>
                  </w:r>
                  <w:r>
                    <w:rPr>
                      <w:rFonts w:ascii="宋体" w:hAnsi="宋体" w:cs="宋体" w:eastAsia="宋体"/>
                      <w:sz w:val="24"/>
                    </w:rPr>
                    <w:t>HIS、LIS、PACS、电子病历、集成平台、手术麻醉、重症监护、心电等信息系统，HIS系统已实现临床业务科室的全面覆盖并满足临床业务需求，集成平台已实现数据存储及治理功能，且其他各业务系统目前运行平稳，为各临床科室开展日常工作提供了基础保障。</w:t>
                  </w:r>
                </w:p>
                <w:p>
                  <w:pPr>
                    <w:pStyle w:val="null3"/>
                    <w:ind w:firstLine="482"/>
                    <w:jc w:val="left"/>
                  </w:pPr>
                  <w:r>
                    <w:rPr>
                      <w:rFonts w:ascii="宋体" w:hAnsi="宋体" w:cs="宋体" w:eastAsia="宋体"/>
                      <w:sz w:val="24"/>
                      <w:b/>
                    </w:rPr>
                    <w:t>2、维保服务要求</w:t>
                  </w:r>
                </w:p>
                <w:p>
                  <w:pPr>
                    <w:pStyle w:val="null3"/>
                    <w:ind w:firstLine="480"/>
                    <w:jc w:val="both"/>
                  </w:pPr>
                  <w:r>
                    <w:rPr>
                      <w:rFonts w:ascii="宋体" w:hAnsi="宋体" w:cs="宋体" w:eastAsia="宋体"/>
                      <w:sz w:val="24"/>
                    </w:rPr>
                    <w:t>保障医院的核心业务系统</w:t>
                  </w:r>
                  <w:r>
                    <w:rPr>
                      <w:rFonts w:ascii="宋体" w:hAnsi="宋体" w:cs="宋体" w:eastAsia="宋体"/>
                      <w:sz w:val="24"/>
                    </w:rPr>
                    <w:t>HIS及集成平台产品的稳定运行及基础操作程序优化，由专业团队提供专业的技术服务与支持，提供明确的服务内容与健全规范的服务体系。</w:t>
                  </w:r>
                </w:p>
                <w:p>
                  <w:pPr>
                    <w:pStyle w:val="null3"/>
                    <w:ind w:firstLine="482"/>
                    <w:jc w:val="left"/>
                  </w:pPr>
                  <w:r>
                    <w:rPr>
                      <w:rFonts w:ascii="宋体" w:hAnsi="宋体" w:cs="宋体" w:eastAsia="宋体"/>
                      <w:sz w:val="24"/>
                      <w:b/>
                    </w:rPr>
                    <w:t>3、维保服务范围</w:t>
                  </w:r>
                </w:p>
                <w:p>
                  <w:pPr>
                    <w:pStyle w:val="null3"/>
                    <w:ind w:firstLine="480"/>
                    <w:jc w:val="both"/>
                  </w:pPr>
                  <w:r>
                    <w:rPr>
                      <w:rFonts w:ascii="宋体" w:hAnsi="宋体" w:cs="宋体" w:eastAsia="宋体"/>
                      <w:sz w:val="24"/>
                    </w:rPr>
                    <w:t>3.1 服务期为1年。服务期内为医院提供现有HIS系统和集成平台产品的维护支持服务，保障医院HIS系统和集成平台产品的稳定运行。包括安装、配置、运行监控、补丁收集及维护、故障解决、健康检查、系统调优、应急处理等。</w:t>
                  </w:r>
                </w:p>
                <w:p>
                  <w:pPr>
                    <w:pStyle w:val="null3"/>
                    <w:ind w:firstLine="480"/>
                    <w:jc w:val="both"/>
                  </w:pPr>
                  <w:r>
                    <w:rPr>
                      <w:rFonts w:ascii="宋体" w:hAnsi="宋体" w:cs="宋体" w:eastAsia="宋体"/>
                      <w:sz w:val="24"/>
                    </w:rPr>
                    <w:t>3.2 技术支持：处理HIS系统和集成平台产品日常问题，如软件客户端安装、操作人员培训、科室软件问题解答、后台数据纠错修改、数据传输、常规系统故障排除等情况。</w:t>
                  </w:r>
                </w:p>
                <w:p>
                  <w:pPr>
                    <w:pStyle w:val="null3"/>
                    <w:ind w:firstLine="480"/>
                    <w:jc w:val="both"/>
                  </w:pPr>
                  <w:r>
                    <w:rPr>
                      <w:rFonts w:ascii="宋体" w:hAnsi="宋体" w:cs="宋体" w:eastAsia="宋体"/>
                      <w:sz w:val="24"/>
                    </w:rPr>
                    <w:t>3.3 提供医院HIS系统和集成平台产品的流程变更，业务调整的可行性改造方案。</w:t>
                  </w:r>
                </w:p>
                <w:p>
                  <w:pPr>
                    <w:pStyle w:val="null3"/>
                    <w:ind w:firstLine="480"/>
                    <w:jc w:val="both"/>
                  </w:pPr>
                  <w:r>
                    <w:rPr>
                      <w:rFonts w:ascii="宋体" w:hAnsi="宋体" w:cs="宋体" w:eastAsia="宋体"/>
                      <w:sz w:val="24"/>
                    </w:rPr>
                    <w:t>3.4 改造、新增原有HIS系统和集成平台产品功能，适应医院管理流程、业务流程。</w:t>
                  </w:r>
                </w:p>
                <w:p>
                  <w:pPr>
                    <w:pStyle w:val="null3"/>
                    <w:ind w:firstLine="480"/>
                    <w:jc w:val="both"/>
                  </w:pPr>
                  <w:r>
                    <w:rPr>
                      <w:rFonts w:ascii="宋体" w:hAnsi="宋体" w:cs="宋体" w:eastAsia="宋体"/>
                      <w:sz w:val="24"/>
                    </w:rPr>
                    <w:t>3.5 负责现有HIS系统和集成平台产品源码、底层数据库、表结构以及在医院现有系统基础上所完成的个性化功能的修改及维护。</w:t>
                  </w:r>
                </w:p>
                <w:p>
                  <w:pPr>
                    <w:pStyle w:val="null3"/>
                    <w:ind w:firstLine="480"/>
                    <w:jc w:val="both"/>
                  </w:pPr>
                  <w:r>
                    <w:rPr>
                      <w:rFonts w:ascii="宋体" w:hAnsi="宋体" w:cs="宋体" w:eastAsia="宋体"/>
                      <w:sz w:val="24"/>
                    </w:rPr>
                    <w:t>3.6 协助医院排除解决因第三方软件系统运行故障连带造成的HIS系统和集成平台产品运行故障问题。</w:t>
                  </w:r>
                </w:p>
                <w:p>
                  <w:pPr>
                    <w:pStyle w:val="null3"/>
                    <w:ind w:firstLine="480"/>
                    <w:jc w:val="both"/>
                  </w:pPr>
                  <w:r>
                    <w:rPr>
                      <w:rFonts w:ascii="宋体" w:hAnsi="宋体" w:cs="宋体" w:eastAsia="宋体"/>
                      <w:sz w:val="24"/>
                    </w:rPr>
                    <w:t>3.7 协助医院排除解决因硬件因素造成的系统运行故障连带造成HIS系统和集成平台产品运行故障问题。</w:t>
                  </w:r>
                </w:p>
                <w:p>
                  <w:pPr>
                    <w:pStyle w:val="null3"/>
                    <w:ind w:firstLine="480"/>
                    <w:jc w:val="both"/>
                  </w:pPr>
                  <w:r>
                    <w:rPr>
                      <w:rFonts w:ascii="宋体" w:hAnsi="宋体" w:cs="宋体" w:eastAsia="宋体"/>
                      <w:sz w:val="24"/>
                    </w:rPr>
                    <w:t>3.8 定期向医院提供符合国家政策要求的信息化建设建议（如医院流程优化、医院管理咨询）。</w:t>
                  </w:r>
                </w:p>
                <w:p>
                  <w:pPr>
                    <w:pStyle w:val="null3"/>
                    <w:ind w:firstLine="480"/>
                    <w:jc w:val="both"/>
                  </w:pPr>
                  <w:r>
                    <w:rPr>
                      <w:rFonts w:ascii="宋体" w:hAnsi="宋体" w:cs="宋体" w:eastAsia="宋体"/>
                      <w:sz w:val="24"/>
                    </w:rPr>
                    <w:t>3.9 配合医院在规定时间内，解决国家及上级主管部门下发的系统改造、报表更改、程序开发等问题，如因服务商原因未按时完成要求，采购方有权根据情况进行索赔。</w:t>
                  </w:r>
                </w:p>
                <w:p>
                  <w:pPr>
                    <w:pStyle w:val="null3"/>
                    <w:ind w:firstLine="480"/>
                    <w:jc w:val="both"/>
                  </w:pPr>
                  <w:r>
                    <w:rPr>
                      <w:rFonts w:ascii="宋体" w:hAnsi="宋体" w:cs="宋体" w:eastAsia="宋体"/>
                      <w:sz w:val="24"/>
                    </w:rPr>
                    <w:t>3.10 配合医院完成HIS系统和集成平台产品相关的其它系统对接服务。</w:t>
                  </w:r>
                </w:p>
                <w:p>
                  <w:pPr>
                    <w:pStyle w:val="null3"/>
                    <w:ind w:firstLine="482"/>
                    <w:jc w:val="left"/>
                  </w:pPr>
                  <w:r>
                    <w:rPr>
                      <w:rFonts w:ascii="宋体" w:hAnsi="宋体" w:cs="宋体" w:eastAsia="宋体"/>
                      <w:sz w:val="24"/>
                      <w:b/>
                    </w:rPr>
                    <w:t>4、维保服务内容及标准</w:t>
                  </w:r>
                </w:p>
                <w:tbl>
                  <w:tblPr>
                    <w:tblBorders>
                      <w:top w:val="none" w:color="000000" w:sz="4"/>
                      <w:left w:val="none" w:color="000000" w:sz="4"/>
                      <w:bottom w:val="none" w:color="000000" w:sz="4"/>
                      <w:right w:val="none" w:color="000000" w:sz="4"/>
                      <w:insideH w:val="none"/>
                      <w:insideV w:val="none"/>
                    </w:tblBorders>
                  </w:tblPr>
                  <w:tblGrid>
                    <w:gridCol w:w="458"/>
                    <w:gridCol w:w="751"/>
                    <w:gridCol w:w="1127"/>
                  </w:tblGrid>
                  <w:tr>
                    <w:tc>
                      <w:tcPr>
                        <w:tcW w:type="dxa" w:w="4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服务方式</w:t>
                        </w:r>
                      </w:p>
                    </w:tc>
                    <w:tc>
                      <w:tcPr>
                        <w:tcW w:type="dxa" w:w="7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服务内容</w:t>
                        </w:r>
                      </w:p>
                    </w:tc>
                    <w:tc>
                      <w:tcPr>
                        <w:tcW w:type="dxa" w:w="112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服务标准</w:t>
                        </w:r>
                      </w:p>
                    </w:tc>
                  </w:tr>
                  <w:tr>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远程服务</w:t>
                        </w:r>
                      </w:p>
                    </w:tc>
                    <w:tc>
                      <w:tcPr>
                        <w:tcW w:type="dxa" w:w="75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工程师不到现场，通过电话、</w:t>
                        </w:r>
                        <w:r>
                          <w:rPr>
                            <w:rFonts w:ascii="宋体" w:hAnsi="宋体" w:cs="宋体" w:eastAsia="宋体"/>
                            <w:sz w:val="24"/>
                            <w:color w:val="000000"/>
                          </w:rPr>
                          <w:t>QQ、微信、电子邮件等方式处理系统问题。</w:t>
                        </w:r>
                      </w:p>
                    </w:tc>
                    <w:tc>
                      <w:tcPr>
                        <w:tcW w:type="dxa" w:w="112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7*24小时期间受理问题，对受理问题0.5个工作日内给予解决或解决方案。</w:t>
                        </w:r>
                      </w:p>
                    </w:tc>
                  </w:tr>
                  <w:tr>
                    <w:tc>
                      <w:tcPr>
                        <w:tcW w:type="dxa" w:w="458"/>
                        <w:vMerge/>
                        <w:tcBorders>
                          <w:top w:val="none" w:color="000000" w:sz="4"/>
                          <w:left w:val="single" w:color="000000" w:sz="4"/>
                          <w:bottom w:val="single" w:color="000000" w:sz="4"/>
                          <w:right w:val="single" w:color="000000" w:sz="4"/>
                        </w:tcBorders>
                      </w:tcPr>
                      <w:p/>
                    </w:tc>
                    <w:tc>
                      <w:tcPr>
                        <w:tcW w:type="dxa" w:w="751"/>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r>
                  <w:tr>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改造服务</w:t>
                        </w:r>
                      </w:p>
                    </w:tc>
                    <w:tc>
                      <w:tcPr>
                        <w:tcW w:type="dxa" w:w="75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根据医院管理要求变化、业务流程调整、系统需求调整、功能增加、接口改造等情况进行的开发性系统改造工作</w:t>
                        </w:r>
                      </w:p>
                    </w:tc>
                    <w:tc>
                      <w:tcPr>
                        <w:tcW w:type="dxa" w:w="112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需求改造服务，对院方提出需求进行的开发性改造工作，如结账方式调整、护理文书调整等等。单个需求开发工作量</w:t>
                        </w:r>
                        <w:r>
                          <w:rPr>
                            <w:rFonts w:ascii="宋体" w:hAnsi="宋体" w:cs="宋体" w:eastAsia="宋体"/>
                            <w:sz w:val="24"/>
                            <w:color w:val="000000"/>
                          </w:rPr>
                          <w:t>1-5日，总工作量不超过60日/年。</w:t>
                        </w:r>
                      </w:p>
                    </w:tc>
                  </w:tr>
                  <w:tr>
                    <w:tc>
                      <w:tcPr>
                        <w:tcW w:type="dxa" w:w="458"/>
                        <w:vMerge/>
                        <w:tcBorders>
                          <w:top w:val="none" w:color="000000" w:sz="4"/>
                          <w:left w:val="single" w:color="000000" w:sz="4"/>
                          <w:bottom w:val="single" w:color="000000" w:sz="4"/>
                          <w:right w:val="single" w:color="000000" w:sz="4"/>
                        </w:tcBorders>
                      </w:tcPr>
                      <w:p/>
                    </w:tc>
                    <w:tc>
                      <w:tcPr>
                        <w:tcW w:type="dxa" w:w="751"/>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751"/>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r>
                  <w:tr>
                    <w:tc>
                      <w:tcPr>
                        <w:tcW w:type="dxa" w:w="4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故障处理</w:t>
                        </w:r>
                      </w:p>
                    </w:tc>
                    <w:tc>
                      <w:tcPr>
                        <w:tcW w:type="dxa" w:w="7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故障排除</w:t>
                        </w:r>
                      </w:p>
                    </w:tc>
                    <w:tc>
                      <w:tcPr>
                        <w:tcW w:type="dxa" w:w="11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故障分为三个等级：</w:t>
                        </w:r>
                      </w:p>
                      <w:p>
                        <w:pPr>
                          <w:pStyle w:val="null3"/>
                          <w:jc w:val="left"/>
                        </w:pPr>
                        <w:r>
                          <w:rPr>
                            <w:rFonts w:ascii="宋体" w:hAnsi="宋体" w:cs="宋体" w:eastAsia="宋体"/>
                            <w:sz w:val="24"/>
                            <w:color w:val="000000"/>
                          </w:rPr>
                          <w:t xml:space="preserve">   </w:t>
                        </w:r>
                        <w:r>
                          <w:rPr>
                            <w:rFonts w:ascii="宋体" w:hAnsi="宋体" w:cs="宋体" w:eastAsia="宋体"/>
                            <w:sz w:val="24"/>
                            <w:color w:val="000000"/>
                          </w:rPr>
                          <w:t>一级：设备或系统故障严重影响到医院的正常营业</w:t>
                        </w:r>
                      </w:p>
                      <w:p>
                        <w:pPr>
                          <w:pStyle w:val="null3"/>
                          <w:jc w:val="left"/>
                        </w:pPr>
                        <w:r>
                          <w:rPr>
                            <w:rFonts w:ascii="宋体" w:hAnsi="宋体" w:cs="宋体" w:eastAsia="宋体"/>
                            <w:sz w:val="24"/>
                            <w:color w:val="000000"/>
                          </w:rPr>
                          <w:t xml:space="preserve">   </w:t>
                        </w:r>
                        <w:r>
                          <w:rPr>
                            <w:rFonts w:ascii="宋体" w:hAnsi="宋体" w:cs="宋体" w:eastAsia="宋体"/>
                            <w:sz w:val="24"/>
                            <w:color w:val="000000"/>
                          </w:rPr>
                          <w:t>此类故障要求中标人在</w:t>
                        </w:r>
                        <w:r>
                          <w:rPr>
                            <w:rFonts w:ascii="宋体" w:hAnsi="宋体" w:cs="宋体" w:eastAsia="宋体"/>
                            <w:sz w:val="24"/>
                            <w:color w:val="000000"/>
                          </w:rPr>
                          <w:t>2小时之内提出相应的解决方案。24小时之内排除故障。</w:t>
                        </w:r>
                      </w:p>
                      <w:p>
                        <w:pPr>
                          <w:pStyle w:val="null3"/>
                          <w:jc w:val="left"/>
                        </w:pPr>
                        <w:r>
                          <w:rPr>
                            <w:rFonts w:ascii="宋体" w:hAnsi="宋体" w:cs="宋体" w:eastAsia="宋体"/>
                            <w:sz w:val="24"/>
                            <w:color w:val="000000"/>
                          </w:rPr>
                          <w:t xml:space="preserve">   </w:t>
                        </w:r>
                        <w:r>
                          <w:rPr>
                            <w:rFonts w:ascii="宋体" w:hAnsi="宋体" w:cs="宋体" w:eastAsia="宋体"/>
                            <w:sz w:val="24"/>
                            <w:color w:val="000000"/>
                          </w:rPr>
                          <w:t>二级：设备或系统故障但不影响医院的正常营业。</w:t>
                        </w:r>
                      </w:p>
                      <w:p>
                        <w:pPr>
                          <w:pStyle w:val="null3"/>
                          <w:jc w:val="left"/>
                        </w:pPr>
                        <w:r>
                          <w:rPr>
                            <w:rFonts w:ascii="宋体" w:hAnsi="宋体" w:cs="宋体" w:eastAsia="宋体"/>
                            <w:sz w:val="24"/>
                            <w:color w:val="000000"/>
                          </w:rPr>
                          <w:t xml:space="preserve">   </w:t>
                        </w:r>
                        <w:r>
                          <w:rPr>
                            <w:rFonts w:ascii="宋体" w:hAnsi="宋体" w:cs="宋体" w:eastAsia="宋体"/>
                            <w:sz w:val="24"/>
                            <w:color w:val="000000"/>
                          </w:rPr>
                          <w:t>此类故障要求中标人在</w:t>
                        </w:r>
                        <w:r>
                          <w:rPr>
                            <w:rFonts w:ascii="宋体" w:hAnsi="宋体" w:cs="宋体" w:eastAsia="宋体"/>
                            <w:sz w:val="24"/>
                            <w:color w:val="000000"/>
                          </w:rPr>
                          <w:t>4小时之内提出相应的解决方案。48小时之内排除故障。</w:t>
                        </w:r>
                      </w:p>
                      <w:p>
                        <w:pPr>
                          <w:pStyle w:val="null3"/>
                          <w:jc w:val="left"/>
                        </w:pPr>
                        <w:r>
                          <w:rPr>
                            <w:rFonts w:ascii="宋体" w:hAnsi="宋体" w:cs="宋体" w:eastAsia="宋体"/>
                            <w:sz w:val="24"/>
                            <w:color w:val="000000"/>
                          </w:rPr>
                          <w:t xml:space="preserve">  </w:t>
                        </w:r>
                        <w:r>
                          <w:rPr>
                            <w:rFonts w:ascii="宋体" w:hAnsi="宋体" w:cs="宋体" w:eastAsia="宋体"/>
                            <w:sz w:val="24"/>
                            <w:color w:val="000000"/>
                          </w:rPr>
                          <w:t>三级：主要以版本升级，微码升级为主。此类问题设备无硬件故障，不影响医院的正常营业，此类问题在一周之内解决。</w:t>
                        </w:r>
                      </w:p>
                    </w:tc>
                  </w:tr>
                  <w:tr>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巡检服务</w:t>
                        </w:r>
                      </w:p>
                    </w:tc>
                    <w:tc>
                      <w:tcPr>
                        <w:tcW w:type="dxa" w:w="75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工程师定期到医院，对系统存在的问题和不足进行沟通了解，并对问题进行现场处理，并对医院信息化建设发展提出合理建议。</w:t>
                        </w:r>
                      </w:p>
                    </w:tc>
                    <w:tc>
                      <w:tcPr>
                        <w:tcW w:type="dxa" w:w="112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每月</w:t>
                        </w:r>
                        <w:r>
                          <w:rPr>
                            <w:rFonts w:ascii="宋体" w:hAnsi="宋体" w:cs="宋体" w:eastAsia="宋体"/>
                            <w:sz w:val="24"/>
                            <w:color w:val="000000"/>
                          </w:rPr>
                          <w:t>1次上门巡检服务，每次不低于3个工作日，或累计每季度不低于10个工作日。巡检完成后提供巡检保养反馈，反馈报告应包含但不限于以下内容：巡检保养时间，保养内容等，并由各科负责人签字确认。</w:t>
                        </w:r>
                      </w:p>
                    </w:tc>
                  </w:tr>
                  <w:tr>
                    <w:tc>
                      <w:tcPr>
                        <w:tcW w:type="dxa" w:w="458"/>
                        <w:vMerge/>
                        <w:tcBorders>
                          <w:top w:val="none" w:color="000000" w:sz="4"/>
                          <w:left w:val="single" w:color="000000" w:sz="4"/>
                          <w:bottom w:val="single" w:color="000000" w:sz="4"/>
                          <w:right w:val="single" w:color="000000" w:sz="4"/>
                        </w:tcBorders>
                      </w:tcPr>
                      <w:p/>
                    </w:tc>
                    <w:tc>
                      <w:tcPr>
                        <w:tcW w:type="dxa" w:w="751"/>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r>
                </w:tbl>
                <w:p>
                  <w:pPr>
                    <w:pStyle w:val="null3"/>
                    <w:ind w:firstLine="482"/>
                    <w:jc w:val="left"/>
                  </w:pPr>
                  <w:r>
                    <w:rPr>
                      <w:rFonts w:ascii="宋体" w:hAnsi="宋体" w:cs="宋体" w:eastAsia="宋体"/>
                      <w:sz w:val="24"/>
                      <w:b/>
                    </w:rPr>
                    <w:t>5、维保服务责任</w:t>
                  </w:r>
                </w:p>
                <w:p>
                  <w:pPr>
                    <w:pStyle w:val="null3"/>
                    <w:ind w:firstLine="480"/>
                    <w:jc w:val="both"/>
                  </w:pPr>
                  <w:r>
                    <w:rPr>
                      <w:rFonts w:ascii="宋体" w:hAnsi="宋体" w:cs="宋体" w:eastAsia="宋体"/>
                      <w:sz w:val="24"/>
                    </w:rPr>
                    <w:t>5.1中标人应保证本项目采购服务内容所涉及的工作质量。由于未能履行职责、人为误操作、维护处理不当等原因造成采购人系统宕机、性能下降、数据丢失等情况，中标人应负全部责任，采取补救措施，直到满足采购人需求。</w:t>
                  </w:r>
                </w:p>
                <w:p>
                  <w:pPr>
                    <w:pStyle w:val="null3"/>
                    <w:ind w:firstLine="480"/>
                    <w:jc w:val="both"/>
                  </w:pPr>
                  <w:r>
                    <w:rPr>
                      <w:rFonts w:ascii="宋体" w:hAnsi="宋体" w:cs="宋体" w:eastAsia="宋体"/>
                      <w:sz w:val="24"/>
                    </w:rPr>
                    <w:t>5.2对需要支持人员到达现场的情况，支持人员在2小时内到达，所发生的交通费用由中标人负责。工程师到达现场后，要及时解决问题，对于一些重大故障，如由于中标人能力有限不能在采购人要求的时间内修复故障时，采购人有权请其它专业服务公司进行紧急处理，所发生费用全部由中标人承担。</w:t>
                  </w:r>
                </w:p>
                <w:p>
                  <w:pPr>
                    <w:pStyle w:val="null3"/>
                    <w:ind w:firstLine="480"/>
                    <w:jc w:val="both"/>
                  </w:pPr>
                  <w:r>
                    <w:rPr>
                      <w:rFonts w:ascii="宋体" w:hAnsi="宋体" w:cs="宋体" w:eastAsia="宋体"/>
                      <w:sz w:val="24"/>
                    </w:rPr>
                    <w:t>5.3若采购服务需求中出现不合理或不完整等可能影响项目实施的问题，中标人有责任和义务提出补充修改方案并征得采购人同意后付诸实施，采购人不再另行支付任何费用。</w:t>
                  </w:r>
                </w:p>
                <w:p>
                  <w:pPr>
                    <w:pStyle w:val="null3"/>
                    <w:ind w:firstLine="480"/>
                    <w:jc w:val="both"/>
                  </w:pPr>
                  <w:r>
                    <w:rPr>
                      <w:rFonts w:ascii="宋体" w:hAnsi="宋体" w:cs="宋体" w:eastAsia="宋体"/>
                      <w:sz w:val="24"/>
                    </w:rPr>
                    <w:t>5.4保密要求：中标人在与采购人合作过程中，必须确保对采购人的资料、数据等信息的安全，未经采购人许可，不得复制、泄露、损坏采购人的任何信息，未经采购方同意，不得将承接政府服务项目获得的政府、公民个人等各种信息和资料提供给其他单位和个人。违反本规定的，采购人将依法追究中标人的法律责任，并要求中标人进行经济赔偿（提供保密承诺书）。</w:t>
                  </w:r>
                </w:p>
                <w:p>
                  <w:pPr>
                    <w:pStyle w:val="null3"/>
                    <w:ind w:firstLine="482"/>
                    <w:jc w:val="left"/>
                  </w:pPr>
                  <w:r>
                    <w:rPr>
                      <w:rFonts w:ascii="宋体" w:hAnsi="宋体" w:cs="宋体" w:eastAsia="宋体"/>
                      <w:sz w:val="24"/>
                      <w:b/>
                    </w:rPr>
                    <w:t>6、服务人员</w:t>
                  </w:r>
                </w:p>
                <w:p>
                  <w:pPr>
                    <w:pStyle w:val="null3"/>
                    <w:ind w:firstLine="480"/>
                    <w:jc w:val="both"/>
                  </w:pPr>
                  <w:r>
                    <w:rPr>
                      <w:rFonts w:ascii="宋体" w:hAnsi="宋体" w:cs="宋体" w:eastAsia="宋体"/>
                      <w:sz w:val="24"/>
                    </w:rPr>
                    <w:t>中标人维保负责人（维保服务项目经理）通过采购人相关部门的技术面试后方可对本项目内产品进行维护操作。</w:t>
                  </w:r>
                </w:p>
                <w:p>
                  <w:pPr>
                    <w:pStyle w:val="null3"/>
                    <w:ind w:firstLine="480"/>
                    <w:jc w:val="both"/>
                  </w:pPr>
                  <w:r>
                    <w:rPr>
                      <w:rFonts w:ascii="宋体" w:hAnsi="宋体" w:cs="宋体" w:eastAsia="宋体"/>
                      <w:sz w:val="24"/>
                    </w:rPr>
                    <w:t>所有对设备的维护操作需提前填写操作申请，经采购人相关部门审批后方可进行，严禁中标人服务人员在未得到采购人相关部门授权的情况下私自对本项目内产品进行任何操作。</w:t>
                  </w:r>
                </w:p>
                <w:p>
                  <w:pPr>
                    <w:pStyle w:val="null3"/>
                    <w:ind w:firstLine="482"/>
                    <w:jc w:val="left"/>
                  </w:pPr>
                  <w:r>
                    <w:rPr>
                      <w:rFonts w:ascii="宋体" w:hAnsi="宋体" w:cs="宋体" w:eastAsia="宋体"/>
                      <w:sz w:val="24"/>
                      <w:b/>
                    </w:rPr>
                    <w:t>7、商务要求</w:t>
                  </w:r>
                </w:p>
                <w:p>
                  <w:pPr>
                    <w:pStyle w:val="null3"/>
                    <w:ind w:firstLine="480"/>
                    <w:jc w:val="both"/>
                  </w:pPr>
                  <w:r>
                    <w:rPr>
                      <w:rFonts w:ascii="宋体" w:hAnsi="宋体" w:cs="宋体" w:eastAsia="宋体"/>
                      <w:sz w:val="24"/>
                    </w:rPr>
                    <w:t>7.1 服务期：</w:t>
                  </w:r>
                  <w:r>
                    <w:rPr>
                      <w:rFonts w:ascii="宋体" w:hAnsi="宋体" w:cs="宋体" w:eastAsia="宋体"/>
                      <w:sz w:val="24"/>
                    </w:rPr>
                    <w:t>一年</w:t>
                  </w:r>
                  <w:r>
                    <w:rPr>
                      <w:rFonts w:ascii="宋体" w:hAnsi="宋体" w:cs="宋体" w:eastAsia="宋体"/>
                      <w:sz w:val="24"/>
                    </w:rPr>
                    <w:t>。</w:t>
                  </w:r>
                </w:p>
                <w:p>
                  <w:pPr>
                    <w:pStyle w:val="null3"/>
                    <w:ind w:firstLine="480"/>
                    <w:jc w:val="both"/>
                  </w:pPr>
                  <w:r>
                    <w:rPr>
                      <w:rFonts w:ascii="宋体" w:hAnsi="宋体" w:cs="宋体" w:eastAsia="宋体"/>
                      <w:sz w:val="24"/>
                    </w:rPr>
                    <w:t>7.2 服务地点：采购人指定地点</w:t>
                  </w:r>
                </w:p>
                <w:p>
                  <w:pPr>
                    <w:pStyle w:val="null3"/>
                    <w:ind w:firstLine="480"/>
                    <w:jc w:val="both"/>
                  </w:pPr>
                  <w:r>
                    <w:rPr>
                      <w:rFonts w:ascii="宋体" w:hAnsi="宋体" w:cs="宋体" w:eastAsia="宋体"/>
                      <w:sz w:val="24"/>
                    </w:rPr>
                    <w:t>7.3 服务质量：符合国家、行业、地方规定以及采购人规定的质量及安全标准</w:t>
                  </w:r>
                </w:p>
                <w:p>
                  <w:pPr>
                    <w:pStyle w:val="null3"/>
                    <w:ind w:firstLine="480"/>
                    <w:jc w:val="both"/>
                  </w:pPr>
                  <w:r>
                    <w:rPr>
                      <w:rFonts w:ascii="宋体" w:hAnsi="宋体" w:cs="宋体" w:eastAsia="宋体"/>
                      <w:sz w:val="24"/>
                    </w:rPr>
                    <w:t>7.4付款方式：合同签订后支付50%的预付款，达到付款条件起15日内，支付合同总金额的50.00%。维保期满，符合相关约定，经采购人验收合格后，支付余款（每次付款前，中标人需开具等额的增值税普通发票给采购人，采购人收到发票后付款），达到付款条件起15日内，支付合同总金额的50.00%。</w:t>
                  </w:r>
                </w:p>
                <w:p>
                  <w:pPr>
                    <w:pStyle w:val="null3"/>
                    <w:ind w:firstLine="480"/>
                    <w:jc w:val="both"/>
                  </w:pPr>
                  <w:r>
                    <w:rPr>
                      <w:rFonts w:ascii="宋体" w:hAnsi="宋体" w:cs="宋体" w:eastAsia="宋体"/>
                      <w:sz w:val="24"/>
                    </w:rPr>
                    <w:t>7.5知识产权：采购人在中华人民共和国境内使用服务商提供的货物及服务时免受第三方提出的侵犯其专利权或其它知识产权的起诉。如果第三方提出侵权指控，中标人应承担由此而引起的一切法律责任和费用。</w:t>
                  </w:r>
                </w:p>
              </w:tc>
            </w:tr>
          </w:tbl>
          <w:p/>
        </w:tc>
      </w:tr>
    </w:tbl>
    <w:p>
      <w:pPr>
        <w:pStyle w:val="null3"/>
        <w:outlineLvl w:val="2"/>
      </w:pPr>
      <w:r>
        <w:rPr>
          <w:sz w:val="28"/>
          <w:b/>
        </w:rPr>
        <w:t>3.2.3人员配置要求</w:t>
      </w:r>
    </w:p>
    <w:p>
      <w:pPr>
        <w:pStyle w:val="null3"/>
      </w:pPr>
      <w:r>
        <w:rPr/>
        <w:t>采购包1：</w:t>
      </w:r>
    </w:p>
    <w:p>
      <w:pPr>
        <w:pStyle w:val="null3"/>
      </w:pPr>
      <w:r>
        <w:rPr/>
        <w:t>提供满足本项目服务需求的人员配置。</w:t>
      </w:r>
    </w:p>
    <w:p>
      <w:pPr>
        <w:pStyle w:val="null3"/>
        <w:outlineLvl w:val="2"/>
      </w:pPr>
      <w:r>
        <w:rPr>
          <w:sz w:val="28"/>
          <w:b/>
        </w:rPr>
        <w:t>3.2.4设施设备要求</w:t>
      </w:r>
    </w:p>
    <w:p>
      <w:pPr>
        <w:pStyle w:val="null3"/>
      </w:pPr>
      <w:r>
        <w:rPr/>
        <w:t>采购包1：</w:t>
      </w:r>
    </w:p>
    <w:p>
      <w:pPr>
        <w:pStyle w:val="null3"/>
      </w:pPr>
      <w:r>
        <w:rPr/>
        <w:t>提供满足本项目服务需求的设施设备。</w:t>
      </w:r>
    </w:p>
    <w:p>
      <w:pPr>
        <w:pStyle w:val="null3"/>
        <w:outlineLvl w:val="2"/>
      </w:pPr>
      <w:r>
        <w:rPr>
          <w:sz w:val="28"/>
          <w:b/>
        </w:rPr>
        <w:t>3.2.5其他要求</w:t>
      </w:r>
    </w:p>
    <w:p>
      <w:pPr>
        <w:pStyle w:val="null3"/>
      </w:pPr>
      <w:r>
        <w:rPr/>
        <w:t>采购包1：</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服务期：一年</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符合国家、行业、地方规定以及采购人规定的质量及安全标准。</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合同签订后支付50%的预付款</w:t>
      </w:r>
      <w:r>
        <w:rPr/>
        <w:t xml:space="preserve"> ，达到付款条件起 </w:t>
      </w:r>
      <w:r>
        <w:rPr/>
        <w:t>15</w:t>
      </w:r>
      <w:r>
        <w:rPr/>
        <w:t xml:space="preserve"> 日内，支付合同总金额的 </w:t>
      </w:r>
      <w:r>
        <w:rPr/>
        <w:t>50.00</w:t>
      </w:r>
      <w:r>
        <w:rPr/>
        <w:t>%。</w:t>
      </w:r>
    </w:p>
    <w:p>
      <w:pPr>
        <w:pStyle w:val="null3"/>
      </w:pPr>
      <w:r>
        <w:rPr/>
        <w:t>采购包1：</w:t>
      </w:r>
      <w:r>
        <w:rPr/>
        <w:t xml:space="preserve"> 付款条件说明： </w:t>
      </w:r>
      <w:r>
        <w:rPr/>
        <w:t>维保期满，符合相关约定，经采购人验收合格后，支付余款（每次付款前，中标人需开具等额的增值税普通发票给采购人，采购人收到发票后付款）</w:t>
      </w:r>
      <w:r>
        <w:rPr/>
        <w:t xml:space="preserve"> ，达到付款条件起 </w:t>
      </w:r>
      <w:r>
        <w:rPr/>
        <w:t>15</w:t>
      </w:r>
      <w:r>
        <w:rPr/>
        <w:t xml:space="preserve"> 日内，支付合同总金额的 </w:t>
      </w:r>
      <w:r>
        <w:rPr/>
        <w:t>50.00</w:t>
      </w:r>
      <w:r>
        <w:rPr/>
        <w:t>%。</w:t>
      </w:r>
    </w:p>
    <w:p>
      <w:pPr>
        <w:pStyle w:val="null3"/>
        <w:outlineLvl w:val="3"/>
      </w:pPr>
      <w:r>
        <w:rPr>
          <w:sz w:val="24"/>
          <w:b/>
        </w:rPr>
        <w:t>3.3.6违约责任及解决争议的方法</w:t>
      </w:r>
    </w:p>
    <w:p>
      <w:pPr>
        <w:pStyle w:val="null3"/>
      </w:pPr>
      <w:r>
        <w:rPr/>
        <w:t>采购包1：</w:t>
      </w:r>
    </w:p>
    <w:p>
      <w:pPr>
        <w:pStyle w:val="null3"/>
      </w:pPr>
      <w:r>
        <w:rPr/>
        <w:t>详见合同约定。</w:t>
      </w:r>
    </w:p>
    <w:p>
      <w:pPr>
        <w:pStyle w:val="null3"/>
        <w:outlineLvl w:val="2"/>
      </w:pPr>
      <w:r>
        <w:rPr>
          <w:sz w:val="28"/>
          <w:b/>
        </w:rPr>
        <w:t>3.4其他要求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提供经审计的2023年度财务报告，包括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供应商承诺书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主体资格证明</w:t>
            </w:r>
          </w:p>
        </w:tc>
        <w:tc>
          <w:tcPr>
            <w:tcW w:type="dxa" w:w="3322"/>
          </w:tcPr>
          <w:p>
            <w:pPr>
              <w:pStyle w:val="null3"/>
            </w:pPr>
            <w:r>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提供经审计的2023年度财务报告，包括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提供已缴纳的2024年度1月份至今任意一个月的纳税证明或完税证明，纳税证明或完税证明上应有代收机构或税务机关的公章或业务专用章。依法免税的供应商应提供相关文件证明；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具有履行合同所必需的设备和专业技术能力的承诺</w:t>
            </w:r>
          </w:p>
        </w:tc>
        <w:tc>
          <w:tcPr>
            <w:tcW w:type="dxa" w:w="3322"/>
          </w:tcPr>
          <w:p>
            <w:pPr>
              <w:pStyle w:val="null3"/>
            </w:pPr>
            <w:r>
              <w:rPr/>
              <w:t>供应商须提供具有履行合同所必需的设备和专业技术能力的承诺；</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已缴存的2024年度1月份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三年内无重大违法记录声明</w:t>
            </w:r>
          </w:p>
        </w:tc>
        <w:tc>
          <w:tcPr>
            <w:tcW w:type="dxa" w:w="3322"/>
          </w:tcPr>
          <w:p>
            <w:pPr>
              <w:pStyle w:val="null3"/>
            </w:pPr>
            <w:r>
              <w:rPr/>
              <w:t>出具参加本次政府采购活动前三年内在经营活动中没有重大违法记录的书面声明；</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法定代表人授权委托书</w:t>
            </w:r>
          </w:p>
        </w:tc>
        <w:tc>
          <w:tcPr>
            <w:tcW w:type="dxa" w:w="3322"/>
          </w:tcPr>
          <w:p>
            <w:pPr>
              <w:pStyle w:val="null3"/>
            </w:pPr>
            <w:r>
              <w:rPr/>
              <w:t>法定代表人授权委托书（附法定代表人、被授权人身份证复印件）及被授权人身份证（法定代表人直接参加磋商，须提供法定代表人身份证明及身份证复印件）；</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本项目不接受联合体磋商</w:t>
            </w:r>
          </w:p>
        </w:tc>
        <w:tc>
          <w:tcPr>
            <w:tcW w:type="dxa" w:w="3322"/>
          </w:tcPr>
          <w:p>
            <w:pPr>
              <w:pStyle w:val="null3"/>
            </w:pPr>
            <w:r>
              <w:rPr/>
              <w:t>本项目不接受联合体磋商（提供书面声明材料）；</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本项目不接受西安市第一医院职工及亲属投资举办的企业参加磋商</w:t>
            </w:r>
          </w:p>
        </w:tc>
        <w:tc>
          <w:tcPr>
            <w:tcW w:type="dxa" w:w="3322"/>
          </w:tcPr>
          <w:p>
            <w:pPr>
              <w:pStyle w:val="null3"/>
            </w:pPr>
            <w:r>
              <w:rPr/>
              <w:t>本项目不接受由西安市第一医院职工及其亲属投资举办的企业参加磋商（提供承诺书）。</w:t>
            </w:r>
          </w:p>
        </w:tc>
        <w:tc>
          <w:tcPr>
            <w:tcW w:type="dxa" w:w="1661"/>
          </w:tcPr>
          <w:p>
            <w:pPr>
              <w:pStyle w:val="null3"/>
            </w:pPr>
            <w:r>
              <w:rPr/>
              <w:t>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磋商响应文件封面、磋商响应函两处的项目名称</w:t>
            </w:r>
          </w:p>
        </w:tc>
        <w:tc>
          <w:tcPr>
            <w:tcW w:type="dxa" w:w="3322"/>
          </w:tcPr>
          <w:p>
            <w:pPr>
              <w:pStyle w:val="null3"/>
            </w:pPr>
            <w:r>
              <w:rPr/>
              <w:t>两处均无遗漏，且与磋商项目名称完全一致。</w:t>
            </w:r>
          </w:p>
        </w:tc>
        <w:tc>
          <w:tcPr>
            <w:tcW w:type="dxa" w:w="1661"/>
          </w:tcPr>
          <w:p>
            <w:pPr>
              <w:pStyle w:val="null3"/>
            </w:pPr>
            <w:r>
              <w:rPr/>
              <w:t>响应文件封面 响应函</w:t>
            </w:r>
          </w:p>
        </w:tc>
      </w:tr>
      <w:tr>
        <w:tc>
          <w:tcPr>
            <w:tcW w:type="dxa" w:w="831"/>
          </w:tcPr>
          <w:p>
            <w:pPr>
              <w:pStyle w:val="null3"/>
            </w:pPr>
            <w:r>
              <w:rPr/>
              <w:t>3</w:t>
            </w:r>
          </w:p>
        </w:tc>
        <w:tc>
          <w:tcPr>
            <w:tcW w:type="dxa" w:w="2492"/>
          </w:tcPr>
          <w:p>
            <w:pPr>
              <w:pStyle w:val="null3"/>
            </w:pPr>
            <w:r>
              <w:rPr/>
              <w:t>磋商响应文件的计量单位、语言、报价货币、磋商有效期</w:t>
            </w:r>
          </w:p>
        </w:tc>
        <w:tc>
          <w:tcPr>
            <w:tcW w:type="dxa" w:w="3322"/>
          </w:tcPr>
          <w:p>
            <w:pPr>
              <w:pStyle w:val="null3"/>
            </w:pPr>
            <w:r>
              <w:rPr/>
              <w:t>计量单位、语言、报价货币、磋商有效期均符合磋商文件的要求。</w:t>
            </w:r>
          </w:p>
        </w:tc>
        <w:tc>
          <w:tcPr>
            <w:tcW w:type="dxa" w:w="1661"/>
          </w:tcPr>
          <w:p>
            <w:pPr>
              <w:pStyle w:val="null3"/>
            </w:pPr>
            <w:r>
              <w:rPr/>
              <w:t>标的清单 报价表 响应函</w:t>
            </w:r>
          </w:p>
        </w:tc>
      </w:tr>
      <w:tr>
        <w:tc>
          <w:tcPr>
            <w:tcW w:type="dxa" w:w="831"/>
          </w:tcPr>
          <w:p>
            <w:pPr>
              <w:pStyle w:val="null3"/>
            </w:pPr>
            <w:r>
              <w:rPr/>
              <w:t>4</w:t>
            </w:r>
          </w:p>
        </w:tc>
        <w:tc>
          <w:tcPr>
            <w:tcW w:type="dxa" w:w="2492"/>
          </w:tcPr>
          <w:p>
            <w:pPr>
              <w:pStyle w:val="null3"/>
            </w:pPr>
            <w:r>
              <w:rPr/>
              <w:t>磋商响应文件组成</w:t>
            </w:r>
          </w:p>
        </w:tc>
        <w:tc>
          <w:tcPr>
            <w:tcW w:type="dxa" w:w="3322"/>
          </w:tcPr>
          <w:p>
            <w:pPr>
              <w:pStyle w:val="null3"/>
            </w:pPr>
            <w:r>
              <w:rPr/>
              <w:t>按照磋商文件格式编写，无缺漏项。</w:t>
            </w:r>
          </w:p>
        </w:tc>
        <w:tc>
          <w:tcPr>
            <w:tcW w:type="dxa" w:w="1661"/>
          </w:tcPr>
          <w:p>
            <w:pPr>
              <w:pStyle w:val="null3"/>
            </w:pPr>
            <w:r>
              <w:rPr/>
              <w:t>响应文件封面 服务内容及服务邀请应答表 中小企业声明函 残疾人福利性单位声明函 商务应答表 服务方案 资格证明材料 标的清单 报价表 供应商承诺书 响应函 监狱企业的证明文件</w:t>
            </w:r>
          </w:p>
        </w:tc>
      </w:tr>
      <w:tr>
        <w:tc>
          <w:tcPr>
            <w:tcW w:type="dxa" w:w="831"/>
          </w:tcPr>
          <w:p>
            <w:pPr>
              <w:pStyle w:val="null3"/>
            </w:pPr>
            <w:r>
              <w:rPr/>
              <w:t>5</w:t>
            </w:r>
          </w:p>
        </w:tc>
        <w:tc>
          <w:tcPr>
            <w:tcW w:type="dxa" w:w="2492"/>
          </w:tcPr>
          <w:p>
            <w:pPr>
              <w:pStyle w:val="null3"/>
            </w:pPr>
            <w:r>
              <w:rPr/>
              <w:t>磋商内容的完整性</w:t>
            </w:r>
          </w:p>
        </w:tc>
        <w:tc>
          <w:tcPr>
            <w:tcW w:type="dxa" w:w="3322"/>
          </w:tcPr>
          <w:p>
            <w:pPr>
              <w:pStyle w:val="null3"/>
            </w:pPr>
            <w:r>
              <w:rPr/>
              <w:t>磋商响应内容未出现漏项或数量与要求不符。</w:t>
            </w:r>
          </w:p>
        </w:tc>
        <w:tc>
          <w:tcPr>
            <w:tcW w:type="dxa" w:w="1661"/>
          </w:tcPr>
          <w:p>
            <w:pPr>
              <w:pStyle w:val="null3"/>
            </w:pPr>
            <w:r>
              <w:rPr/>
              <w:t>响应文件封面 服务内容及服务邀请应答表 中小企业声明函 残疾人福利性单位声明函 商务应答表 服务方案 资格证明材料 标的清单 报价表 供应商承诺书 响应函 监狱企业的证明文件</w:t>
            </w:r>
          </w:p>
        </w:tc>
      </w:tr>
      <w:tr>
        <w:tc>
          <w:tcPr>
            <w:tcW w:type="dxa" w:w="831"/>
          </w:tcPr>
          <w:p>
            <w:pPr>
              <w:pStyle w:val="null3"/>
            </w:pPr>
            <w:r>
              <w:rPr/>
              <w:t>6</w:t>
            </w:r>
          </w:p>
        </w:tc>
        <w:tc>
          <w:tcPr>
            <w:tcW w:type="dxa" w:w="2492"/>
          </w:tcPr>
          <w:p>
            <w:pPr>
              <w:pStyle w:val="null3"/>
            </w:pPr>
            <w:r>
              <w:rPr/>
              <w:t>磋商报价</w:t>
            </w:r>
          </w:p>
        </w:tc>
        <w:tc>
          <w:tcPr>
            <w:tcW w:type="dxa" w:w="3322"/>
          </w:tcPr>
          <w:p>
            <w:pPr>
              <w:pStyle w:val="null3"/>
            </w:pPr>
            <w:r>
              <w:rPr/>
              <w:t>（1）磋商报价符合唯一性要求； （2）未超出采购预算或磋商文件规定的最高限价；（3）磋商报价是否低于成本价，涉嫌不正当竞争（如果磋商小组认为某磋商报价明显不合理或者低于成本，有可能影响服务质量或者不能诚信履约的，应当要求其在规定期限内提供书面文件予以解释说明，并提交相关证明材料）。</w:t>
            </w:r>
          </w:p>
        </w:tc>
        <w:tc>
          <w:tcPr>
            <w:tcW w:type="dxa" w:w="1661"/>
          </w:tcPr>
          <w:p>
            <w:pPr>
              <w:pStyle w:val="null3"/>
            </w:pPr>
            <w:r>
              <w:rPr/>
              <w:t>标的清单 报价表</w:t>
            </w:r>
          </w:p>
        </w:tc>
      </w:tr>
      <w:tr>
        <w:tc>
          <w:tcPr>
            <w:tcW w:type="dxa" w:w="831"/>
          </w:tcPr>
          <w:p>
            <w:pPr>
              <w:pStyle w:val="null3"/>
            </w:pPr>
            <w:r>
              <w:rPr/>
              <w:t>7</w:t>
            </w:r>
          </w:p>
        </w:tc>
        <w:tc>
          <w:tcPr>
            <w:tcW w:type="dxa" w:w="2492"/>
          </w:tcPr>
          <w:p>
            <w:pPr>
              <w:pStyle w:val="null3"/>
            </w:pPr>
            <w:r>
              <w:rPr/>
              <w:t>合同条款响应</w:t>
            </w:r>
          </w:p>
        </w:tc>
        <w:tc>
          <w:tcPr>
            <w:tcW w:type="dxa" w:w="3322"/>
          </w:tcPr>
          <w:p>
            <w:pPr>
              <w:pStyle w:val="null3"/>
            </w:pPr>
            <w:r>
              <w:rPr/>
              <w:t>完整响应磋商文件合同条款。</w:t>
            </w:r>
          </w:p>
        </w:tc>
        <w:tc>
          <w:tcPr>
            <w:tcW w:type="dxa" w:w="1661"/>
          </w:tcPr>
          <w:p>
            <w:pPr>
              <w:pStyle w:val="null3"/>
            </w:pPr>
            <w:r>
              <w:rPr/>
              <w:t>服务内容及服务邀请应答表 商务应答表 服务方案</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总体服务方案</w:t>
            </w:r>
          </w:p>
        </w:tc>
        <w:tc>
          <w:tcPr>
            <w:tcW w:type="dxa" w:w="2492"/>
          </w:tcPr>
          <w:p>
            <w:pPr>
              <w:pStyle w:val="null3"/>
            </w:pPr>
            <w:r>
              <w:rPr/>
              <w:t>评审内容：供应商针对本项目提出具体的服务方案，方案内容包含：①服务内容分析及理解；②维保服务流程设计；③总体服务计划；④重难点分析；⑤项目实施安全管理措施；⑥信息保密措施。 评审标准:方案各部分内容全面详细、阐述条理清晰详尽、符合本项目采购需求得30分，评审内容每缺一项扣5分，评审内容有缺陷未完全响应评审标准的扣0.5-4.5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t>30.0000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服务保障措施</w:t>
            </w:r>
          </w:p>
        </w:tc>
        <w:tc>
          <w:tcPr>
            <w:tcW w:type="dxa" w:w="2492"/>
          </w:tcPr>
          <w:p>
            <w:pPr>
              <w:pStyle w:val="null3"/>
            </w:pPr>
            <w:r>
              <w:rPr/>
              <w:t>评审内容：供应商针对本项目提出具体的服务保障措施，内容包含：①项目管理方案；②项目进度控制方案；③质量控制方案；④质量保证措施。 评审标准:方案各部分内容全面详细、阐述条理清晰详尽、符合本项目采购需求得20分，评审内容每缺一项扣5分，评审内容有缺陷未完全响应评审标准的扣0.5-4.5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应急措施方案</w:t>
            </w:r>
          </w:p>
        </w:tc>
        <w:tc>
          <w:tcPr>
            <w:tcW w:type="dxa" w:w="2492"/>
          </w:tcPr>
          <w:p>
            <w:pPr>
              <w:pStyle w:val="null3"/>
            </w:pPr>
            <w:r>
              <w:rPr/>
              <w:t>评审内容：供应商针对本项目提出具体的应急磋商方案，内容包含：①特殊紧急情况时限响应方案；②有特殊的应急服务方案及处理补救措施。 评审标准:方案各部分内容全面详细、阐述条理清晰详尽、符合本项目采购需求得10分，评审内容每缺一项扣5分，评审内容有缺陷未完全响应评审标准的扣0.5-4.5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企业实力</w:t>
            </w:r>
          </w:p>
        </w:tc>
        <w:tc>
          <w:tcPr>
            <w:tcW w:type="dxa" w:w="2492"/>
          </w:tcPr>
          <w:p>
            <w:pPr>
              <w:pStyle w:val="null3"/>
            </w:pPr>
            <w:r>
              <w:rPr/>
              <w:t>供应商具备与本项目服务内容相符的软件产品著作权证书，包括医院信息管理系统、智慧医疗服务、医院大数据分析与应用软件、支付平台、检测平台、信息集成平台，每提供一份得1分，最高得6分。 证明材料：需提供扫描件并加盖供应商公章。</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服务人员</w:t>
            </w:r>
          </w:p>
        </w:tc>
        <w:tc>
          <w:tcPr>
            <w:tcW w:type="dxa" w:w="2492"/>
          </w:tcPr>
          <w:p>
            <w:pPr>
              <w:pStyle w:val="null3"/>
            </w:pPr>
            <w:r>
              <w:rPr/>
              <w:t>供应商配置的项目服务人员需具有计算机技术与软件专业技术资格（高级）、计算机技术与软件专业技术资格（中级）、PMP认证证书，提供一份得1分。同一人拥有多个证书只得1分，此项最高得4分。未提供不得分。 注：需提供团队成员的认证证书扫描件并加盖供应商公章以及在供应商单位于2024年内连续三个月的社保缴纳证明材料。</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售后及培训</w:t>
            </w:r>
          </w:p>
        </w:tc>
        <w:tc>
          <w:tcPr>
            <w:tcW w:type="dxa" w:w="2492"/>
          </w:tcPr>
          <w:p>
            <w:pPr>
              <w:pStyle w:val="null3"/>
            </w:pPr>
            <w:r>
              <w:rPr/>
              <w:t>评审内容：供应商针对本项目提出具体的售后及培训方案，内容包含：①售后服务机构及人员配置方案；②技术指导及培训方案。 评审标准:方案各部分内容全面详细、阐述条理清晰详尽、符合本项目采购需求得10分，评审内容每缺一项扣5分，评审内容有缺陷未完全响应评审标准的扣0.5-4.5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提供供应商2021年10月1日至今类似业绩合同（以合同签订时间为准），每提供一份得1分，最高得5分，未提供不得分。 评审标准：提供完整合同复印件加盖供应商公章。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满足磋商文件要求的有效磋商报价的最小值为评审基准价，其价格分为满分。其他响应供应商的价格分统一按照下列公式计算：磋商报价得分=（评审基准价／磋商报价）×价格权值×100。</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详见附件：资格证明材料</w:t>
      </w:r>
    </w:p>
    <w:p>
      <w:pPr>
        <w:pStyle w:val="null3"/>
        <w:ind w:firstLine="960"/>
      </w:pPr>
      <w:r>
        <w:rPr/>
        <w:t>详见附件：供应商承诺书</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