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2C1D9">
      <w:pPr>
        <w:rPr>
          <w:rFonts w:hint="eastAsia"/>
          <w:lang w:val="en-US" w:eastAsia="zh-CN"/>
        </w:rPr>
      </w:pPr>
      <w:r>
        <w:rPr>
          <w:rFonts w:hint="eastAsia"/>
          <w:lang w:val="en-US" w:eastAsia="zh-CN"/>
        </w:rPr>
        <w:t>1-6标段：</w:t>
      </w:r>
    </w:p>
    <w:p w14:paraId="3E9256A1">
      <w:pPr>
        <w:keepNext w:val="0"/>
        <w:keepLines w:val="0"/>
        <w:pageBreakBefore w:val="0"/>
        <w:widowControl w:val="0"/>
        <w:numPr>
          <w:ilvl w:val="-1"/>
          <w:numId w:val="0"/>
        </w:numPr>
        <w:tabs>
          <w:tab w:val="left" w:pos="935"/>
        </w:tabs>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一、项目概况</w:t>
      </w:r>
    </w:p>
    <w:p w14:paraId="0A8F7CD6">
      <w:pPr>
        <w:keepNext w:val="0"/>
        <w:keepLines w:val="0"/>
        <w:pageBreakBefore w:val="0"/>
        <w:widowControl w:val="0"/>
        <w:kinsoku/>
        <w:wordWrap/>
        <w:overflowPunct/>
        <w:topLinePunct w:val="0"/>
        <w:autoSpaceDE/>
        <w:autoSpaceDN/>
        <w:bidi w:val="0"/>
        <w:adjustRightInd/>
        <w:snapToGrid/>
        <w:spacing w:line="480" w:lineRule="exact"/>
        <w:ind w:firstLine="640"/>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 xml:space="preserve"> </w:t>
      </w:r>
      <w:r>
        <w:rPr>
          <w:rFonts w:hint="eastAsia" w:ascii="宋体" w:hAnsi="宋体" w:eastAsia="宋体" w:cs="宋体"/>
          <w:color w:val="auto"/>
          <w:sz w:val="24"/>
          <w:szCs w:val="24"/>
        </w:rPr>
        <w:t>此项目为2023-2024年主城区交通信号灯及交通技术监控统一维护购买服务项目的延续运维项目。按照市政府2022年第19号会议纪要精神，各区县、开发区及市级相关部门要统一思想、提高认识、密切协作，以确保我市智能信号控制系统及交通技术监控设备长期稳定高效运行为目标，按照“统一标准、统一管理、统一维护、统一使用、统一经费保障”的工作思路，将全市交通信号灯、交通技术监控统一归口公安交通管理部门管理维护。市公安局交警支队负责城六区、长安区及各开发区辖区内交通信号灯、交通技术监控管理维护工作。负责城六区、长安区、各开发区高交大队、国省道（支队因事故预防已迁移或新建）辖区内交通信号灯、交通技术监控管理维护工作。因迁移接收等其他因素，设备数量可能浮动变化，拟报废设备需要日常巡查，保证设备不丢失，消除安全隐患。经摸排梳理上述各区内共有辖区内2719处交通信号灯，2205套视频监控，1902套卡警，104套交通诱导屏等设备（因迁移接收等其他因素，以上项目数量可能浮动变化），拟报废设备需要日常巡查，保证设备不丢失，消除安全隐患。</w:t>
      </w:r>
    </w:p>
    <w:p w14:paraId="3180334E">
      <w:pPr>
        <w:keepNext w:val="0"/>
        <w:keepLines w:val="0"/>
        <w:pageBreakBefore w:val="0"/>
        <w:widowControl w:val="0"/>
        <w:kinsoku/>
        <w:wordWrap/>
        <w:overflowPunct/>
        <w:topLinePunct w:val="0"/>
        <w:autoSpaceDE/>
        <w:autoSpaceDN/>
        <w:bidi w:val="0"/>
        <w:adjustRightInd/>
        <w:snapToGrid/>
        <w:spacing w:line="480" w:lineRule="exact"/>
        <w:ind w:firstLine="64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一、基本采购需求</w:t>
      </w:r>
    </w:p>
    <w:p w14:paraId="5BA0C82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信号灯及交通技术监控外场设备维护道路交通信号机控制路口信号灯、交通技术监控设备及其附属设施维护服务包括信号控制机、信号灯灯具、可变车道电子屏、检测器、杆件（含悬臂）、线缆、管道、窨井、供电设施等设施的维护及施工。主要服务内容，（1）是“交通信号设施”及交通技术监控设备的日常巡检、日常维护、执法设备备案、应用提升、视频编组、电费缴纳、仓储服务，设备安装调试计量及现场施工；（2）是提供24小时应急抢修响应及应急供电服务；节假日、恶劣天气、突发情况及重大活动“交通信号设施”及交通技术监控设备的值守保障；（3）是其他临时性“交通信号设施”及交通技术监控设备的相关维护工作；（4）是维护期内新接收设备的维护工作等。</w:t>
      </w:r>
    </w:p>
    <w:p w14:paraId="18694811">
      <w:pPr>
        <w:keepNext w:val="0"/>
        <w:keepLines w:val="0"/>
        <w:pageBreakBefore w:val="0"/>
        <w:widowControl w:val="0"/>
        <w:kinsoku/>
        <w:wordWrap/>
        <w:overflowPunct/>
        <w:topLinePunct w:val="0"/>
        <w:autoSpaceDE/>
        <w:autoSpaceDN/>
        <w:bidi w:val="0"/>
        <w:adjustRightInd/>
        <w:snapToGrid/>
        <w:spacing w:line="480" w:lineRule="exact"/>
        <w:ind w:firstLine="64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二、费用构成</w:t>
      </w:r>
    </w:p>
    <w:p w14:paraId="72DDA7A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本项服务费用由“日常维护巡查及检修服务费（全费用包干）”、 “材料、施工费”，“电费”三部分组成。前两部分按月考核，按月结算，电费据实结算。</w:t>
      </w:r>
    </w:p>
    <w:p w14:paraId="4B166E26">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（1)“日常维护巡查及检修服务费”</w:t>
      </w:r>
    </w:p>
    <w:p w14:paraId="7D709552">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拟对支队所有外场设备进行运行检查、维护保养、优化调试、故障维修。同时配合支队做好设备升级、改造以及备案，标定，编组，应用保障，仓储服务等工作。</w:t>
      </w:r>
    </w:p>
    <w:p w14:paraId="5B769498">
      <w:pPr>
        <w:keepNext w:val="0"/>
        <w:keepLines w:val="0"/>
        <w:pageBreakBefore w:val="0"/>
        <w:widowControl w:val="0"/>
        <w:kinsoku/>
        <w:wordWrap/>
        <w:overflowPunct/>
        <w:topLinePunct w:val="0"/>
        <w:autoSpaceDE/>
        <w:autoSpaceDN/>
        <w:bidi w:val="0"/>
        <w:adjustRightInd/>
        <w:snapToGrid/>
        <w:spacing w:line="480" w:lineRule="exact"/>
        <w:ind w:firstLine="64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（2)材料、施工费（招标确定价格）</w:t>
      </w:r>
    </w:p>
    <w:p w14:paraId="2B4DFA6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维护维修信号灯及交通技术监控设备过程中，产生施工作业，更换材料设备（含相机灯具）等费用。清单内各单项价格经评审确定最高限价件后（须由城管部门恢复的除外），通过招标确定，在维护过程中据实结算。</w:t>
      </w:r>
    </w:p>
    <w:p w14:paraId="2E4280A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（3）电费</w:t>
      </w:r>
    </w:p>
    <w:p w14:paraId="1E04280E">
      <w:pPr>
        <w:keepNext w:val="0"/>
        <w:keepLines w:val="0"/>
        <w:pageBreakBefore w:val="0"/>
        <w:widowControl w:val="0"/>
        <w:numPr>
          <w:ilvl w:val="0"/>
          <w:numId w:val="0"/>
        </w:numPr>
        <w:tabs>
          <w:tab w:val="left" w:pos="935"/>
        </w:tabs>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缴纳信号灯及交通技术监控设备使用中产生的电费及欠费。</w:t>
      </w:r>
    </w:p>
    <w:p w14:paraId="1F0F77CA">
      <w:pPr>
        <w:keepNext w:val="0"/>
        <w:keepLines w:val="0"/>
        <w:pageBreakBefore w:val="0"/>
        <w:widowControl w:val="0"/>
        <w:numPr>
          <w:ilvl w:val="0"/>
          <w:numId w:val="1"/>
        </w:numPr>
        <w:tabs>
          <w:tab w:val="left" w:pos="935"/>
        </w:tabs>
        <w:kinsoku/>
        <w:wordWrap/>
        <w:overflowPunct/>
        <w:topLinePunct w:val="0"/>
        <w:autoSpaceDE/>
        <w:autoSpaceDN/>
        <w:bidi w:val="0"/>
        <w:adjustRightInd/>
        <w:snapToGrid/>
        <w:spacing w:line="480" w:lineRule="exact"/>
        <w:ind w:left="0" w:lef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服务内容</w:t>
      </w:r>
    </w:p>
    <w:p w14:paraId="5178276A">
      <w:pPr>
        <w:keepNext w:val="0"/>
        <w:keepLines w:val="0"/>
        <w:pageBreakBefore w:val="0"/>
        <w:kinsoku/>
        <w:wordWrap/>
        <w:overflowPunct/>
        <w:topLinePunct w:val="0"/>
        <w:autoSpaceDE/>
        <w:autoSpaceDN/>
        <w:bidi w:val="0"/>
        <w:adjustRightInd/>
        <w:snapToGrid/>
        <w:spacing w:line="480" w:lineRule="exact"/>
        <w:ind w:firstLine="64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因涉及接收道路的相关交通设施，最终数量以实际情况为准，一标段维护598处信号灯，负责长安、曲江及国省道509套卡警，视频274套，诱导屏12套。二标段维护441处信号灯，负责</w:t>
      </w:r>
      <w:r>
        <w:rPr>
          <w:rFonts w:hint="eastAsia" w:ascii="宋体" w:hAnsi="宋体" w:eastAsia="宋体" w:cs="宋体"/>
          <w:color w:val="auto"/>
          <w:sz w:val="24"/>
          <w:szCs w:val="24"/>
          <w:lang w:eastAsia="zh-CN"/>
        </w:rPr>
        <w:t>碑林、莲湖、雁塔</w:t>
      </w:r>
      <w:r>
        <w:rPr>
          <w:rFonts w:hint="eastAsia" w:ascii="宋体" w:hAnsi="宋体" w:eastAsia="宋体" w:cs="宋体"/>
          <w:color w:val="auto"/>
          <w:sz w:val="24"/>
          <w:szCs w:val="24"/>
        </w:rPr>
        <w:t>及国省道321 套卡口电警，638套视频，51套诱导屏。三标段维护609处信号灯，负责高新及国省道辖区内229套卡口电警（预计本期增加20套及以上），412套视频监控，9套诱导屏。四标段维护532处信号灯，负责灞桥、港浐及国省道407套卡口电警，312套视频监控，7套诱导屏。五标段维护539处信号灯，负责新城、经开、未央、泾渭新城及国省道242套卡口电警，520套视频监控，18套诱导屏；六标段维护高交大队辖区243套卡口电警视频监控设备，7套诱导屏</w:t>
      </w:r>
      <w:r>
        <w:rPr>
          <w:rFonts w:hint="eastAsia" w:ascii="宋体" w:hAnsi="宋体" w:eastAsia="宋体" w:cs="宋体"/>
          <w:color w:val="auto"/>
          <w:sz w:val="24"/>
          <w:szCs w:val="24"/>
          <w:lang w:eastAsia="zh-CN"/>
        </w:rPr>
        <w:t>。</w:t>
      </w:r>
    </w:p>
    <w:p w14:paraId="4D8D213D">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在维护过程中，不断会有新移交的外场设备纳入维护范围，同时会因道路改造施工拆除部分外场设备，具体运维套数会有上下浮动。因此材料及施工费需按单价招标，项目实施时据实结算。具体划分及服务内容如下：</w:t>
      </w:r>
    </w:p>
    <w:p w14:paraId="51BE5937">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1、前端及后台各类接入的前端设备、交换机、路由器、服务器等设备的运行检查、维护保养、优化调试、故障维修。</w:t>
      </w:r>
    </w:p>
    <w:p w14:paraId="26BDA7B5">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2、配合支队做好设备升级、改造。</w:t>
      </w:r>
    </w:p>
    <w:p w14:paraId="71A1E8B6">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3、配合支队交通做好交通标线与标牌的规范性、安全性检查，备案等工作。</w:t>
      </w:r>
    </w:p>
    <w:p w14:paraId="4FFB6431">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4、配合相关部门做好超速设备的年度标定。</w:t>
      </w:r>
    </w:p>
    <w:p w14:paraId="26D12D82">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5、为缉查布控，大型活动等重要工作提供全方位保障。</w:t>
      </w:r>
    </w:p>
    <w:p w14:paraId="302687D4">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三．技术要求</w:t>
      </w:r>
    </w:p>
    <w:p w14:paraId="767A08B8">
      <w:pPr>
        <w:spacing w:line="480" w:lineRule="exact"/>
        <w:ind w:firstLine="645"/>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1、维护服务执行规范</w:t>
      </w:r>
    </w:p>
    <w:p w14:paraId="13802B6F">
      <w:pPr>
        <w:spacing w:line="48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投标人应严格按照国家规定的标准、规范实施信号灯维护工作，适用的标准、规范包括（不仅包括）：</w:t>
      </w:r>
    </w:p>
    <w:p w14:paraId="379D3CE0">
      <w:pPr>
        <w:spacing w:line="480" w:lineRule="exact"/>
        <w:ind w:firstLine="64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1）《中华人民共和国道路交通安全法》</w:t>
      </w:r>
    </w:p>
    <w:p w14:paraId="36741DDF">
      <w:pPr>
        <w:spacing w:line="480" w:lineRule="exact"/>
        <w:ind w:firstLine="64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2）《陕西省〈中华人民共和国道路交通安全法〉实施办法》</w:t>
      </w:r>
    </w:p>
    <w:p w14:paraId="779280AA">
      <w:pPr>
        <w:spacing w:line="480" w:lineRule="exact"/>
        <w:ind w:firstLine="64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3）《道路交通信号灯》 (GB 14887－2011)</w:t>
      </w:r>
    </w:p>
    <w:p w14:paraId="3D8676EA">
      <w:pPr>
        <w:spacing w:line="480" w:lineRule="exact"/>
        <w:ind w:firstLine="64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4）道路交通标志和标线 第2部分：道路交通标志 GB5768.2-2022</w:t>
      </w:r>
    </w:p>
    <w:p w14:paraId="7F9A5FB6">
      <w:pPr>
        <w:spacing w:line="480" w:lineRule="exact"/>
        <w:ind w:firstLine="64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5）道路交通标志和标线 第3部分：道路交通标线 GB 5768.3-2009</w:t>
      </w:r>
    </w:p>
    <w:p w14:paraId="7E850F40">
      <w:pPr>
        <w:spacing w:line="480" w:lineRule="exact"/>
        <w:ind w:firstLine="64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6）闪光警告信号灯GA/T 743-2016</w:t>
      </w:r>
    </w:p>
    <w:p w14:paraId="7BBE82C7">
      <w:pPr>
        <w:spacing w:line="480" w:lineRule="exact"/>
        <w:ind w:firstLine="64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7）LED道路交通诱导可变信息标志 GA/T 484-2018</w:t>
      </w:r>
    </w:p>
    <w:p w14:paraId="41F6449E">
      <w:pPr>
        <w:spacing w:line="480" w:lineRule="exact"/>
        <w:ind w:firstLine="64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8）《道路交通信号控制机》（GB 25280-2016）</w:t>
      </w:r>
    </w:p>
    <w:p w14:paraId="0477E318">
      <w:pPr>
        <w:spacing w:line="480" w:lineRule="exact"/>
        <w:ind w:firstLine="64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9）《交通信号控制机与上位机间的数据通信协议》（GB/T20999-2017）</w:t>
      </w:r>
    </w:p>
    <w:p w14:paraId="49A744FE">
      <w:pPr>
        <w:spacing w:line="480" w:lineRule="exact"/>
        <w:ind w:firstLine="64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10）《道路交通信号控制机信息发布接口规范》（GB/T1743-2020）</w:t>
      </w:r>
    </w:p>
    <w:p w14:paraId="7ECAB251">
      <w:pPr>
        <w:spacing w:line="480" w:lineRule="exact"/>
        <w:ind w:firstLine="64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11）《道路交通信号控制机安装规范》(GA/T 489-2016)</w:t>
      </w:r>
    </w:p>
    <w:p w14:paraId="7F4E3219">
      <w:pPr>
        <w:spacing w:line="480" w:lineRule="exact"/>
        <w:ind w:firstLine="64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12）《城市道路交通信号控制方式适用规范》GA/T 527-2018</w:t>
      </w:r>
    </w:p>
    <w:p w14:paraId="28CDB687">
      <w:pPr>
        <w:spacing w:line="480" w:lineRule="exact"/>
        <w:ind w:firstLine="64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13）《道路交通信号倒计时显示器》（GA/T 508-2014）</w:t>
      </w:r>
    </w:p>
    <w:p w14:paraId="6DB9B61C">
      <w:pPr>
        <w:spacing w:line="480" w:lineRule="exact"/>
        <w:ind w:firstLine="64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14）《道路交通信号灯设置与安装规范 》（GB 14886-2016）</w:t>
      </w:r>
    </w:p>
    <w:p w14:paraId="119567F3">
      <w:pPr>
        <w:spacing w:line="480" w:lineRule="exact"/>
        <w:ind w:firstLine="64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15）《结构用无缝钢管》GB/T8162—2018</w:t>
      </w:r>
    </w:p>
    <w:p w14:paraId="1CD87433">
      <w:pPr>
        <w:spacing w:line="480" w:lineRule="exact"/>
        <w:ind w:firstLine="64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16）《额定电压450/750V及以下聚氯乙烯绝缘电》GB/T5023-2008</w:t>
      </w:r>
    </w:p>
    <w:p w14:paraId="1D62A2D6">
      <w:pPr>
        <w:spacing w:line="480" w:lineRule="exact"/>
        <w:ind w:firstLine="64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17）《建筑物防雷设计规范》（GB 50057-2010）</w:t>
      </w:r>
    </w:p>
    <w:p w14:paraId="5B6DABE2">
      <w:pPr>
        <w:spacing w:line="480" w:lineRule="exact"/>
        <w:ind w:firstLine="64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18）电气装置安装工程 低压电器施工及验收规范 GB 50254-2014</w:t>
      </w:r>
    </w:p>
    <w:p w14:paraId="2F52404E">
      <w:pPr>
        <w:spacing w:line="480" w:lineRule="exact"/>
        <w:ind w:firstLine="64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19）电气装置安装工程 爆炸和火灾危险环境电气装置施工及验收规范 GB 50257-2014</w:t>
      </w:r>
    </w:p>
    <w:p w14:paraId="677ED644">
      <w:pPr>
        <w:spacing w:line="480" w:lineRule="exact"/>
        <w:ind w:firstLine="64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20）《检查井盖》(GB 23858-2009)及《西安市城市道路桥梁检查井盖监督管理技术规定》</w:t>
      </w:r>
    </w:p>
    <w:p w14:paraId="0F2274B3">
      <w:pPr>
        <w:spacing w:line="480" w:lineRule="exact"/>
        <w:ind w:firstLine="64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21）《涂覆涂料前钢材表面处理 表面清洁度目测评定》GB/T8923-2011</w:t>
      </w:r>
    </w:p>
    <w:p w14:paraId="3434D94E">
      <w:pPr>
        <w:spacing w:line="480" w:lineRule="exact"/>
        <w:ind w:firstLine="64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22）《碳素结构钢》GB/T700-2006</w:t>
      </w:r>
    </w:p>
    <w:p w14:paraId="0BD70126">
      <w:pPr>
        <w:spacing w:line="480" w:lineRule="exact"/>
        <w:ind w:firstLine="64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23）《地磁车辆检测器》GB/T35548-2017</w:t>
      </w:r>
    </w:p>
    <w:p w14:paraId="1A0BC18A">
      <w:pPr>
        <w:spacing w:line="480" w:lineRule="exact"/>
        <w:ind w:firstLine="64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24）《市政工程工程量计算规范》（GB 50857-2013）</w:t>
      </w:r>
    </w:p>
    <w:p w14:paraId="3A52E4C9">
      <w:pPr>
        <w:spacing w:line="480" w:lineRule="exact"/>
        <w:ind w:firstLine="64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交通技术监控相关规范（不仅包括）</w:t>
      </w:r>
    </w:p>
    <w:p w14:paraId="76584C3A">
      <w:pPr>
        <w:spacing w:line="480" w:lineRule="exact"/>
        <w:ind w:firstLine="64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25）公安部《非现场查处道路交通安全违法行为操作规程（试行）》（2020)</w:t>
      </w:r>
    </w:p>
    <w:p w14:paraId="12CF9D65">
      <w:pPr>
        <w:spacing w:line="480" w:lineRule="exact"/>
        <w:ind w:firstLine="64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26）GAT496-2014闯红灯自动记录系统通用技术条件</w:t>
      </w:r>
    </w:p>
    <w:p w14:paraId="7E955867">
      <w:pPr>
        <w:spacing w:line="480" w:lineRule="exact"/>
        <w:ind w:firstLine="64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27）GAT497-2016道路车辆智能检测记录系统通用技术条件</w:t>
      </w:r>
    </w:p>
    <w:p w14:paraId="2E1DCABD">
      <w:pPr>
        <w:spacing w:line="480" w:lineRule="exact"/>
        <w:ind w:firstLine="64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28）GAT 652-2017公安交通管理外场设备基础施工通用要求</w:t>
      </w:r>
    </w:p>
    <w:p w14:paraId="614176CA">
      <w:pPr>
        <w:spacing w:line="480" w:lineRule="exact"/>
        <w:ind w:firstLine="64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29）GAT 832-2014-《道路交通安全违法行为图像取证技术规范》</w:t>
      </w:r>
    </w:p>
    <w:p w14:paraId="45C99453">
      <w:pPr>
        <w:spacing w:line="480" w:lineRule="exact"/>
        <w:ind w:firstLine="64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30）GAT833-2016机动车号牌图像自动识别技术规范</w:t>
      </w:r>
    </w:p>
    <w:p w14:paraId="327A7C33">
      <w:pPr>
        <w:spacing w:line="480" w:lineRule="exact"/>
        <w:ind w:firstLine="64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31）GAT870-2017闯红灯自动记录系统验收技术规范</w:t>
      </w:r>
    </w:p>
    <w:p w14:paraId="4A9B1E9A">
      <w:pPr>
        <w:spacing w:line="480" w:lineRule="exact"/>
        <w:ind w:firstLine="64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32）GAT959-2011机动车区间测速技术规范</w:t>
      </w:r>
    </w:p>
    <w:p w14:paraId="29B31C88">
      <w:pPr>
        <w:spacing w:line="480" w:lineRule="exact"/>
        <w:ind w:firstLine="64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33）GAT 995-2020道路交通安全违法行为视频取证设备技术规范</w:t>
      </w:r>
    </w:p>
    <w:p w14:paraId="46C9A04E">
      <w:pPr>
        <w:spacing w:line="480" w:lineRule="exact"/>
        <w:ind w:firstLine="64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34）GAT1043-2013道路交通技术监控设备运行维护规范</w:t>
      </w:r>
    </w:p>
    <w:p w14:paraId="1E0F93AB">
      <w:pPr>
        <w:spacing w:line="480" w:lineRule="exact"/>
        <w:ind w:firstLine="64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35）GAT1047-2013道路交通信息监测记录设备设置规范</w:t>
      </w:r>
    </w:p>
    <w:p w14:paraId="2C987168">
      <w:pPr>
        <w:spacing w:line="480" w:lineRule="exact"/>
        <w:ind w:firstLine="64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36）GAT1201-2021道路交通安全违法行为卫星定位技术取证规范</w:t>
      </w:r>
    </w:p>
    <w:p w14:paraId="4FF8C438">
      <w:pPr>
        <w:spacing w:line="480" w:lineRule="exact"/>
        <w:ind w:firstLine="64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37）GA/T 1202-2022交通技术监控成像补光装置通用技术条件</w:t>
      </w:r>
    </w:p>
    <w:p w14:paraId="15AACCF9">
      <w:pPr>
        <w:spacing w:line="480" w:lineRule="exact"/>
        <w:ind w:firstLine="64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38）GAT 1399. 1-2017公安视频图像分析系统第1部分：通用技术要求</w:t>
      </w:r>
    </w:p>
    <w:p w14:paraId="715D2AA8">
      <w:pPr>
        <w:spacing w:line="480" w:lineRule="exact"/>
        <w:ind w:firstLine="64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39）GAT1426-2017机动车违法停车自动记录系统通用技术条件</w:t>
      </w:r>
    </w:p>
    <w:p w14:paraId="37CD9D5F">
      <w:pPr>
        <w:spacing w:line="480" w:lineRule="exact"/>
        <w:ind w:firstLine="64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40）GAT367-2001视频安防监控系统技术要求</w:t>
      </w:r>
    </w:p>
    <w:p w14:paraId="20F89018">
      <w:pPr>
        <w:spacing w:line="480" w:lineRule="exact"/>
        <w:ind w:firstLine="64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41）GBT 21255-2019机动车测速仪</w:t>
      </w:r>
    </w:p>
    <w:p w14:paraId="0B3F20C9">
      <w:pPr>
        <w:pageBreakBefore w:val="0"/>
        <w:widowControl w:val="0"/>
        <w:kinsoku/>
        <w:wordWrap/>
        <w:overflowPunct/>
        <w:topLinePunct w:val="0"/>
        <w:autoSpaceDE/>
        <w:autoSpaceDN/>
        <w:bidi w:val="0"/>
        <w:adjustRightInd/>
        <w:snapToGrid/>
        <w:spacing w:line="480" w:lineRule="exact"/>
        <w:ind w:firstLine="645"/>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42）GBT28181-2022公共安全视频监控联网系统信息传输．交换．控制技术要求</w:t>
      </w:r>
    </w:p>
    <w:p w14:paraId="2FE0738A">
      <w:pPr>
        <w:pageBreakBefore w:val="0"/>
        <w:widowControl w:val="0"/>
        <w:kinsoku/>
        <w:wordWrap/>
        <w:overflowPunct/>
        <w:topLinePunct w:val="0"/>
        <w:autoSpaceDE/>
        <w:autoSpaceDN/>
        <w:bidi w:val="0"/>
        <w:adjustRightInd/>
        <w:snapToGrid/>
        <w:spacing w:line="480" w:lineRule="exact"/>
        <w:ind w:firstLine="645"/>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43）视频接入安全规范</w:t>
      </w:r>
    </w:p>
    <w:p w14:paraId="18418B28">
      <w:pPr>
        <w:pageBreakBefore w:val="0"/>
        <w:widowControl w:val="0"/>
        <w:kinsoku/>
        <w:wordWrap/>
        <w:overflowPunct/>
        <w:topLinePunct w:val="0"/>
        <w:autoSpaceDE/>
        <w:autoSpaceDN/>
        <w:bidi w:val="0"/>
        <w:adjustRightInd/>
        <w:snapToGrid/>
        <w:spacing w:line="480" w:lineRule="exact"/>
        <w:ind w:firstLine="645"/>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2、维护设备（附属设施）、材料要求：投标设备需满足国标和行业标准。</w:t>
      </w:r>
    </w:p>
    <w:p w14:paraId="57911185">
      <w:pPr>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四、服务要求</w:t>
      </w:r>
    </w:p>
    <w:p w14:paraId="1C0E587E">
      <w:pPr>
        <w:pageBreakBefore w:val="0"/>
        <w:widowControl w:val="0"/>
        <w:kinsoku/>
        <w:wordWrap/>
        <w:overflowPunct/>
        <w:topLinePunct w:val="0"/>
        <w:autoSpaceDE/>
        <w:autoSpaceDN/>
        <w:bidi w:val="0"/>
        <w:adjustRightInd/>
        <w:snapToGrid/>
        <w:spacing w:line="480" w:lineRule="exact"/>
        <w:ind w:firstLine="645"/>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1.总要求</w:t>
      </w:r>
    </w:p>
    <w:p w14:paraId="0FA49E4C">
      <w:pPr>
        <w:pageBreakBefore w:val="0"/>
        <w:widowControl w:val="0"/>
        <w:kinsoku/>
        <w:wordWrap/>
        <w:overflowPunct/>
        <w:topLinePunct w:val="0"/>
        <w:autoSpaceDE/>
        <w:autoSpaceDN/>
        <w:bidi w:val="0"/>
        <w:adjustRightInd/>
        <w:snapToGrid/>
        <w:spacing w:line="480" w:lineRule="exact"/>
        <w:ind w:firstLine="645"/>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投标人应对现有设备(含招标人指定路口)作好摸底调查工作，投标报价时应充分考虑现有设备的运行使用状况及设备兼容情况，在中标后，需对中标时路口已存在的设备及其附属设施故障进行彻底维护，涉及相关设施需更换的必须及时予以更换。运维过程中因无法修复而更换的备品备件，甲方具有设备全生命周期的使用权。</w:t>
      </w:r>
    </w:p>
    <w:p w14:paraId="0F906A4F">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2.人员及设备要求</w:t>
      </w:r>
    </w:p>
    <w:p w14:paraId="627DE9C7">
      <w:pPr>
        <w:spacing w:line="480" w:lineRule="exact"/>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2.1人员配置要求</w:t>
      </w:r>
    </w:p>
    <w:p w14:paraId="4739F21B">
      <w:pPr>
        <w:spacing w:line="480" w:lineRule="exact"/>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①项目经理：</w:t>
      </w:r>
      <w:r>
        <w:rPr>
          <w:rFonts w:hint="eastAsia" w:ascii="宋体" w:hAnsi="宋体" w:eastAsia="宋体" w:cs="宋体"/>
          <w:color w:val="auto"/>
          <w:sz w:val="24"/>
          <w:szCs w:val="24"/>
        </w:rPr>
        <w:t>1人，具</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机电工程</w:t>
      </w:r>
      <w:r>
        <w:rPr>
          <w:rFonts w:hint="eastAsia" w:ascii="宋体" w:hAnsi="宋体" w:eastAsia="宋体" w:cs="宋体"/>
          <w:color w:val="auto"/>
          <w:sz w:val="24"/>
          <w:szCs w:val="24"/>
        </w:rPr>
        <w:t>二级及以上建造师证、具备本项目包含运维内容的工作经验，投标时需提供相关证明材料及</w:t>
      </w:r>
      <w:r>
        <w:rPr>
          <w:rFonts w:hint="eastAsia" w:ascii="宋体" w:hAnsi="宋体" w:eastAsia="宋体" w:cs="宋体"/>
          <w:color w:val="auto"/>
          <w:sz w:val="24"/>
          <w:szCs w:val="24"/>
          <w:lang w:eastAsia="zh-CN"/>
        </w:rPr>
        <w:t>开标前一年内任意一个月的</w:t>
      </w:r>
      <w:r>
        <w:rPr>
          <w:rFonts w:hint="eastAsia" w:ascii="宋体" w:hAnsi="宋体" w:eastAsia="宋体" w:cs="宋体"/>
          <w:color w:val="auto"/>
          <w:sz w:val="24"/>
          <w:szCs w:val="24"/>
        </w:rPr>
        <w:t>社保证明。</w:t>
      </w:r>
    </w:p>
    <w:p w14:paraId="023CBDCA">
      <w:pPr>
        <w:spacing w:line="480" w:lineRule="exact"/>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②技术主管：</w:t>
      </w:r>
      <w:r>
        <w:rPr>
          <w:rFonts w:hint="eastAsia" w:ascii="宋体" w:hAnsi="宋体" w:eastAsia="宋体" w:cs="宋体"/>
          <w:bCs/>
          <w:color w:val="auto"/>
          <w:sz w:val="24"/>
          <w:szCs w:val="24"/>
        </w:rPr>
        <w:t>不少于</w:t>
      </w:r>
      <w:r>
        <w:rPr>
          <w:rFonts w:hint="eastAsia" w:ascii="宋体" w:hAnsi="宋体" w:eastAsia="宋体" w:cs="宋体"/>
          <w:color w:val="auto"/>
          <w:sz w:val="24"/>
          <w:szCs w:val="24"/>
        </w:rPr>
        <w:t>2人，具有完整的联网信号灯、卡警监控建设或维护项目工作经历。一是可以熟练掌握信号灯各类故障原因并给出处理意见；二是熟悉公安外场设备组网方式，可以熟练配置公安外场设施网络设备，快速处置各类外场设备网络故障。进场后能够立即开展相关操作及维护工作。三是具备较强学习能力，可以快速掌握新设备、新技术的配置、调试工作。应按甲方要求在交警支队驻场服务。</w:t>
      </w:r>
    </w:p>
    <w:p w14:paraId="1CE7C397">
      <w:pPr>
        <w:spacing w:line="480" w:lineRule="exact"/>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③技术人员：</w:t>
      </w:r>
      <w:r>
        <w:rPr>
          <w:rFonts w:hint="eastAsia" w:ascii="宋体" w:hAnsi="宋体" w:eastAsia="宋体" w:cs="宋体"/>
          <w:color w:val="auto"/>
          <w:sz w:val="24"/>
          <w:szCs w:val="24"/>
        </w:rPr>
        <w:t>不少于1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人（六标段不少于6人），应具有丰富的信号灯接电维修工作及维护工作经验并具备相应的资质。</w:t>
      </w:r>
    </w:p>
    <w:p w14:paraId="37594BDE">
      <w:pPr>
        <w:spacing w:line="480" w:lineRule="exact"/>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④资料员不少于2人</w:t>
      </w:r>
      <w:r>
        <w:rPr>
          <w:rFonts w:hint="eastAsia" w:ascii="宋体" w:hAnsi="宋体" w:eastAsia="宋体" w:cs="宋体"/>
          <w:color w:val="auto"/>
          <w:sz w:val="24"/>
          <w:szCs w:val="24"/>
        </w:rPr>
        <w:t>（六标段不少于1人）</w:t>
      </w:r>
      <w:r>
        <w:rPr>
          <w:rFonts w:hint="eastAsia" w:ascii="宋体" w:hAnsi="宋体" w:eastAsia="宋体" w:cs="宋体"/>
          <w:b/>
          <w:bCs/>
          <w:color w:val="auto"/>
          <w:sz w:val="24"/>
          <w:szCs w:val="24"/>
        </w:rPr>
        <w:t>，</w:t>
      </w:r>
      <w:r>
        <w:rPr>
          <w:rFonts w:hint="eastAsia" w:ascii="宋体" w:hAnsi="宋体" w:eastAsia="宋体" w:cs="宋体"/>
          <w:b w:val="0"/>
          <w:bCs w:val="0"/>
          <w:color w:val="auto"/>
          <w:sz w:val="24"/>
          <w:szCs w:val="24"/>
        </w:rPr>
        <w:t>吊车司机不少于1人，</w:t>
      </w:r>
      <w:r>
        <w:rPr>
          <w:rFonts w:hint="eastAsia" w:ascii="宋体" w:hAnsi="宋体" w:eastAsia="宋体" w:cs="宋体"/>
          <w:color w:val="auto"/>
          <w:sz w:val="24"/>
          <w:szCs w:val="24"/>
        </w:rPr>
        <w:t>均应具备从事相关工作的有效上岗证，工作日工作时段资料员在交警支队驻场服务。吊车司机按需上岗。</w:t>
      </w:r>
    </w:p>
    <w:p w14:paraId="61027646">
      <w:pPr>
        <w:spacing w:line="48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一标段另外提供1名平台巡查维护人员、二标段另外提供1名资产管理、数据统计校正人员。</w:t>
      </w:r>
    </w:p>
    <w:p w14:paraId="4890DB37">
      <w:pPr>
        <w:spacing w:line="480" w:lineRule="exact"/>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2.2机械设备要求</w:t>
      </w:r>
    </w:p>
    <w:p w14:paraId="4EDFDCB0">
      <w:pPr>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①为本项目至少配备1辆工程抢险用随车吊货车（按需服务）。供应商应配备不少于1辆举升车（按需服务），日常巡查车应至少配备4辆（只服务于该项目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六标段至少配备2辆</w:t>
      </w:r>
      <w:r>
        <w:rPr>
          <w:rFonts w:hint="eastAsia" w:ascii="宋体" w:hAnsi="宋体" w:eastAsia="宋体" w:cs="宋体"/>
          <w:color w:val="auto"/>
          <w:sz w:val="24"/>
          <w:szCs w:val="24"/>
        </w:rPr>
        <w:t>）。</w:t>
      </w:r>
    </w:p>
    <w:p w14:paraId="459E2C10">
      <w:pPr>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②要求备用自有220V发电机组</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六标段5台</w:t>
      </w:r>
      <w:r>
        <w:rPr>
          <w:rFonts w:hint="eastAsia" w:ascii="宋体" w:hAnsi="宋体" w:eastAsia="宋体" w:cs="宋体"/>
          <w:color w:val="auto"/>
          <w:sz w:val="24"/>
          <w:szCs w:val="24"/>
        </w:rPr>
        <w:t>），太阳能信号灯</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台（六标段5台</w:t>
      </w:r>
      <w:r>
        <w:rPr>
          <w:rFonts w:hint="eastAsia" w:ascii="宋体" w:hAnsi="宋体" w:eastAsia="宋体" w:cs="宋体"/>
          <w:color w:val="auto"/>
          <w:sz w:val="24"/>
          <w:szCs w:val="24"/>
          <w:lang w:val="en-US" w:eastAsia="zh-CN"/>
        </w:rPr>
        <w:t>声光报警一体机</w:t>
      </w:r>
      <w:r>
        <w:rPr>
          <w:rFonts w:hint="eastAsia" w:ascii="宋体" w:hAnsi="宋体" w:eastAsia="宋体" w:cs="宋体"/>
          <w:color w:val="auto"/>
          <w:sz w:val="24"/>
          <w:szCs w:val="24"/>
        </w:rPr>
        <w:t>）。</w:t>
      </w:r>
    </w:p>
    <w:p w14:paraId="25112386">
      <w:pPr>
        <w:pageBreakBefore w:val="0"/>
        <w:widowControl w:val="0"/>
        <w:kinsoku/>
        <w:wordWrap/>
        <w:overflowPunct/>
        <w:topLinePunct w:val="0"/>
        <w:autoSpaceDE/>
        <w:autoSpaceDN/>
        <w:bidi w:val="0"/>
        <w:adjustRightInd/>
        <w:snapToGrid/>
        <w:spacing w:line="480" w:lineRule="exact"/>
        <w:ind w:firstLine="645"/>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3.工作内容要求</w:t>
      </w:r>
    </w:p>
    <w:p w14:paraId="2029BB55">
      <w:pPr>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维护期间，需满足以下基本要求；</w:t>
      </w:r>
    </w:p>
    <w:p w14:paraId="0107CEC3">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服务期限：维护期限自合同约定维护之日起</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 xml:space="preserve">个月。   </w:t>
      </w:r>
    </w:p>
    <w:p w14:paraId="6F14E83C">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服务范围：视频、卡警、布控球、诱导屏及交通信号灯等内外场设备维护。</w:t>
      </w:r>
    </w:p>
    <w:p w14:paraId="2C3B8B40">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专业运维队伍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具备开展维护施工必要的车辆、发电机、施工工具、仪表等（所有各类维护工作人员，需购买相应的人身意外保险）。明确分工，具备相应资质，接受支队各类考核。</w:t>
      </w:r>
    </w:p>
    <w:p w14:paraId="1F602EE3">
      <w:pPr>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（4）服务期内提供7*24不间断运维服务。</w:t>
      </w:r>
    </w:p>
    <w:p w14:paraId="3298D18D">
      <w:pPr>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）负责备品、备件的采购，安装及调试。</w:t>
      </w:r>
    </w:p>
    <w:p w14:paraId="0FF89EE9">
      <w:pPr>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）部分设备进行拆除及主动迁移，工程符合</w:t>
      </w:r>
      <w:r>
        <w:rPr>
          <w:rFonts w:hint="eastAsia" w:ascii="宋体" w:hAnsi="宋体" w:eastAsia="宋体" w:cs="宋体"/>
          <w:color w:val="auto"/>
          <w:sz w:val="24"/>
          <w:szCs w:val="24"/>
          <w:lang w:eastAsia="zh-CN"/>
        </w:rPr>
        <w:t>相关</w:t>
      </w:r>
      <w:r>
        <w:rPr>
          <w:rFonts w:hint="eastAsia" w:ascii="宋体" w:hAnsi="宋体" w:eastAsia="宋体" w:cs="宋体"/>
          <w:color w:val="auto"/>
          <w:sz w:val="24"/>
          <w:szCs w:val="24"/>
        </w:rPr>
        <w:t>标准</w:t>
      </w:r>
      <w:r>
        <w:rPr>
          <w:rFonts w:hint="eastAsia" w:ascii="宋体" w:hAnsi="宋体" w:eastAsia="宋体" w:cs="宋体"/>
          <w:color w:val="auto"/>
          <w:sz w:val="24"/>
          <w:szCs w:val="24"/>
          <w:lang w:eastAsia="zh-CN"/>
        </w:rPr>
        <w:t>要求</w:t>
      </w:r>
      <w:r>
        <w:rPr>
          <w:rFonts w:hint="eastAsia" w:ascii="宋体" w:hAnsi="宋体" w:eastAsia="宋体" w:cs="宋体"/>
          <w:color w:val="auto"/>
          <w:sz w:val="24"/>
          <w:szCs w:val="24"/>
        </w:rPr>
        <w:t>。</w:t>
      </w:r>
    </w:p>
    <w:p w14:paraId="0BE1EBEA">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道路交安设施日常维护巡查及检修要求</w:t>
      </w:r>
      <w:r>
        <w:rPr>
          <w:rFonts w:hint="eastAsia" w:ascii="宋体" w:hAnsi="宋体" w:eastAsia="宋体" w:cs="宋体"/>
          <w:b/>
          <w:bCs/>
          <w:color w:val="auto"/>
          <w:sz w:val="24"/>
          <w:szCs w:val="24"/>
          <w:highlight w:val="none"/>
          <w:lang w:eastAsia="zh-CN"/>
        </w:rPr>
        <w:t>（包括但不限于以下内容）：</w:t>
      </w:r>
    </w:p>
    <w:p w14:paraId="52264058">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维护服务涵盖各合同包区域运维基础所需全费用的综合单价，下列服务内容涉及的人工费、材料费、机械使用费、措施项目费、管理费、规费、利润和税金等均包含在该综合单价中。</w:t>
      </w:r>
    </w:p>
    <w:p w14:paraId="50BB3776">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1、常态化开展日常巡查</w:t>
      </w:r>
    </w:p>
    <w:p w14:paraId="3D2AA093">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信号灯部分：开展对前端系统的运行检查、维护保养、优化调试、故障维修，配合支队做好设备升级、改造以及设备现场配套交通安全设施、交通标线与标牌的规范性、安全性检查和安装工作。</w:t>
      </w:r>
    </w:p>
    <w:p w14:paraId="79BD5F1F">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卡警部分：开展对前端系统的运行检查、维护保养、优化调试、故障维修。配合支队做好设备升级、改造以及设备现场配套交通安全设施、交通标线与标牌的规范性、安全性检查和安装工作，以及配合超速设备的年度标定、备案工作等。</w:t>
      </w:r>
    </w:p>
    <w:p w14:paraId="1A3B4D8E">
      <w:pPr>
        <w:numPr>
          <w:ilvl w:val="0"/>
          <w:numId w:val="3"/>
        </w:num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视频监控部分：开展对前端系统设备的运行检查、维护保养、优化调试、故障维修。配合交警支队做好设备维修维护及设备内场安全性检查和大型活动视频预设位调试、编组，备案等工作。</w:t>
      </w:r>
    </w:p>
    <w:p w14:paraId="22EF7B6F">
      <w:pPr>
        <w:numPr>
          <w:ilvl w:val="0"/>
          <w:numId w:val="3"/>
        </w:num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诱导屏设备：开展设备前端设备进行维护，做好大型活动的技术保障及指令性工作。</w:t>
      </w:r>
    </w:p>
    <w:p w14:paraId="051E2662">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要求：服务期内每个工作日7时至21时，安排信号灯巡查维护小组，周末及节假日安排巡查维护小组；常态化开展日常巡查及检修工作，包括但不限于合同包内所有“交安设施”的日常巡检、日常维护、电费缴纳，应急抢修、设备安装更换及现场施工；节假日、恶</w:t>
      </w:r>
      <w:r>
        <w:rPr>
          <w:rFonts w:hint="eastAsia" w:ascii="宋体" w:hAnsi="宋体" w:eastAsia="宋体" w:cs="宋体"/>
          <w:color w:val="auto"/>
          <w:sz w:val="24"/>
          <w:szCs w:val="24"/>
          <w:highlight w:val="none"/>
          <w:lang w:eastAsia="zh-CN"/>
        </w:rPr>
        <w:t>劣</w:t>
      </w:r>
      <w:r>
        <w:rPr>
          <w:rFonts w:hint="eastAsia" w:ascii="宋体" w:hAnsi="宋体" w:eastAsia="宋体" w:cs="宋体"/>
          <w:color w:val="auto"/>
          <w:sz w:val="24"/>
          <w:szCs w:val="24"/>
          <w:highlight w:val="none"/>
        </w:rPr>
        <w:t>天气、突发情况及重大活动交通“交安设施”的控制维护工作；以及辖区内所有有关于“交安设施”的所有有关工作，以及采购人临时安排“交安设施”的相关工作。同时要求每7天需要完成一次区域内信号灯运行情况检查，及时发现灯具不亮、杆件歪斜、机柜外观等目视可见的信号灯故障。全年每天晚上21时至次日早7时安排1组信号灯维修小组，应急响应各类信号灯故障需求。（维修小组不得少于1车及2名技术电工）</w:t>
      </w:r>
    </w:p>
    <w:p w14:paraId="2C4C0B94">
      <w:pPr>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2、交安设施及其附属设施调查及数据更新</w:t>
      </w:r>
    </w:p>
    <w:p w14:paraId="162512EB">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对维护范围内交通设施进行全面排查及安全性检查，包括交安设施主体及其附属设施（路口、杆件、窨井、管线、信号机、信号灯倒计时器、待行提示屏、电子可变标志、无线信号发射（接收）机）、卡警、视频监控、诱导屏等基础数据调查、采集和信号灯运维平台录入，并根据动态变化实时更新，具体内容包括：维护服务区域所有交安设施所处地理位置、名称及编号、路口类型、信号机的类型及组件(含数量)序列号、杆件类型及编号、灯具类型、线缆走向情况（需绘制图纸）、异常线缆情况、窨井的位置（需绘制图纸）及窨井开井检查、数量及铭牌编号等；数据更新对交安设施及附属设施所有的动态变化（位置变化、编号变化、管线变化、性能变化以及设备变换等）数据进行采集、统计、相关电子档案和纸质资料的更新，并上报采购人。</w:t>
      </w:r>
    </w:p>
    <w:p w14:paraId="6DE0E0CE">
      <w:pPr>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3、按照采购人安排，协助采购人做好对新改扩建道路交安设施及其附属设施的移交、接收工作。</w:t>
      </w:r>
    </w:p>
    <w:p w14:paraId="361FD6FC">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①按照采购人安排对将要进行移交的交安设施及其附属设施进行梳理清点，并逐一登记拍照。</w:t>
      </w:r>
    </w:p>
    <w:p w14:paraId="5A92CF95">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②按照采购人安排对计划进行接收的交安设施及其附属设施进行全面彻底的检查验收，并对发现的问题提出书面整改意见。</w:t>
      </w:r>
    </w:p>
    <w:p w14:paraId="49A7D734">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③按照采购人要求参与施工道路交安设施迁改建指导及其它相关工作。</w:t>
      </w:r>
    </w:p>
    <w:p w14:paraId="365899CF">
      <w:pPr>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4、按照采购人要求，对管道进行调查，并提出管道埋设需求意见。</w:t>
      </w:r>
    </w:p>
    <w:p w14:paraId="118DED90">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按照采购人要求对指定区域的交安设施路口、路段及计划安装的交安设施的路口、路段提交现有管线情况，提出管线重新敷设需求或预埋需求。</w:t>
      </w:r>
    </w:p>
    <w:p w14:paraId="1B3A8B8C">
      <w:pPr>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5、交安设施及其附属设施的安全性检查。</w:t>
      </w:r>
    </w:p>
    <w:p w14:paraId="0FFE33A6">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按要求对交安设施及其附属设施进行安全性检查，检查内容包含但不仅限于线缆、连接件（螺栓、螺母、抱箍等）、杆件（含杆件基础）、悬臂、灯具（含灯盘、外壳、遮沿等）、信号灯倒计时器、待行提示屏、电子可变标志、无线信号发射（接收）机、窨井（含井圈、井盖等）、防雷接地等，供应商需确保维护范围内交通设施及其附属设施不因本身质量及老化锈蚀等问题出现坠落、倒伏、塌陷、漏电等安全性事故。</w:t>
      </w:r>
    </w:p>
    <w:p w14:paraId="227C1561">
      <w:pPr>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6、交安设施保洁</w:t>
      </w:r>
    </w:p>
    <w:p w14:paraId="773EE4FE">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对交安设施机柜、灯具、灯杆内部灰尘、垃圾的清扫清理，含小广告等牛皮廯清理，信号机柜内部保洁。每季度全面擦洗一次灯具、灯杆、机柜等附属设施。</w:t>
      </w:r>
    </w:p>
    <w:p w14:paraId="57E6400C">
      <w:pPr>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7、停电路口的应急措施</w:t>
      </w:r>
    </w:p>
    <w:p w14:paraId="6305021D">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主干道沿线信号灯故障路口安置发电机临时带动，非主干道沿线信号灯路口，摆放移动信号灯。</w:t>
      </w:r>
    </w:p>
    <w:p w14:paraId="1CD9C949">
      <w:pPr>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9、特殊节日、重大活动、恶劣天气维护要求</w:t>
      </w:r>
    </w:p>
    <w:p w14:paraId="2C9356A4">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在节假日（元旦、春节、清明、五一、端午、中秋、十一等）和等重大交通安保工作（由采购单位指定）前及其期间，根据采购单位的要求，对设备进行额外的巡检和养护工作。重点检查设备安装牢固性及灯具清晰度、卡警视频及诱导屏的应用完好率。同时，做好维护人员、备品备件的即时实战响应，按照采购单位明确的时间、地点等要求派专业维护人员做好现场保障工作，最少增加2组车辆及维护人员，尤其重点位置保证1组定点待命。</w:t>
      </w:r>
    </w:p>
    <w:p w14:paraId="5C6719A8">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②恶劣天气（台风、暴雨、极端高温、极寒等）应急处突方案设置要求</w:t>
      </w:r>
    </w:p>
    <w:p w14:paraId="07E6A327">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遭遇恶劣天气时，供应商须按照气象预警等级（黄色、橙色、红色）制定应急处置方案：</w:t>
      </w:r>
    </w:p>
    <w:p w14:paraId="7B40797B">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黄色预警时，外场应配备不少于两组（每组不少于2人）应急人员，两台应急车辆，并至少配备两台应急电源，对管辖区域内所有交通设施进行巡查维护，发现问题及时处置，并将相关情况及时反馈采购人。遇迁改（移交）或新建路口信号灯熄灯的情况，须查明原因上报采购人。</w:t>
      </w:r>
    </w:p>
    <w:p w14:paraId="1D868923">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橙色预警时，外场应配备不少于四组（每组不少于2人）应急人员，四台应急车辆，并至少配备四台应急电源，对管辖区域内所有交通设施进行巡查维护，发现问题及时处置，并将相关情况及时反馈采购人。遇迁改（移交）或新建路口信号灯熄灯的情况，须查明原因上报采购人。</w:t>
      </w:r>
    </w:p>
    <w:p w14:paraId="217C8E52">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红色预警时，外场应配备不少于六组（每组不少于2人）应急人员，六台应急车辆，并至少配备六台应急电源，对管辖区域内所有交通设施进行巡查维护，发现问题及时处置，并将相关情况及时反馈采购人。遇迁改（移交）或新建路口信号灯熄灯的情况，须查明原因上报采购人。</w:t>
      </w:r>
    </w:p>
    <w:p w14:paraId="6EF4D341">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D.应急处置人员应为除日常维护人员以外的增派人手。</w:t>
      </w:r>
    </w:p>
    <w:p w14:paraId="5E645C03">
      <w:pPr>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10、不涉及材料的包干维护工程内容</w:t>
      </w:r>
    </w:p>
    <w:p w14:paraId="63AFB230">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A.设施故障误报导致的无效往返。</w:t>
      </w:r>
    </w:p>
    <w:p w14:paraId="617CE024">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B.信号机保护熄灯,清错后恢复。</w:t>
      </w:r>
    </w:p>
    <w:p w14:paraId="1AD1CFB8">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C.非自身原因的停电，上报取电处权属单位、位置、原因。</w:t>
      </w:r>
    </w:p>
    <w:p w14:paraId="114E234E">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D.信号机、灯具更换保险后恢复。</w:t>
      </w:r>
    </w:p>
    <w:p w14:paraId="59AA8754">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E.对（非结构性损坏）歪、倒、斜的灯杆、灯具进行校正。</w:t>
      </w:r>
    </w:p>
    <w:p w14:paraId="1841E7F0">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F.线缆故障，换用备用芯线恢复。</w:t>
      </w:r>
    </w:p>
    <w:p w14:paraId="0D3CB684">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G.同一根灯杆上灯具位置调整。</w:t>
      </w:r>
    </w:p>
    <w:p w14:paraId="250E33F5">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H.其他简单的处置工作.</w:t>
      </w:r>
    </w:p>
    <w:p w14:paraId="2517EA35">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铝制铭牌制作及安装。尺寸：长90mm、宽70mm、厚0.3mm。安装方式：信号机、灯杆上铭牌采用粘贴方式，窨井内的铭牌用水泥钉固定，线缆上的铭牌采用悬挂方式。铭牌的字体大小、设置位置以及编号规则由采购人确定。铭牌内容包括名称、编号、维护电话等由采购人确定。</w:t>
      </w:r>
    </w:p>
    <w:p w14:paraId="72B773E2">
      <w:pPr>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11、零散耗材</w:t>
      </w:r>
    </w:p>
    <w:p w14:paraId="2A95F739">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交安设施及其附属设施的材料及施工费清单”以外的零散耗材也包含在日常维护巡查及检修费中，包括且不限于灯具帽檐、灯具LED电源、杆件检修饰板等零散耗材及确保信号灯运行正常所需的各类耗材。</w:t>
      </w:r>
    </w:p>
    <w:p w14:paraId="3A7E0274">
      <w:pPr>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12、道路交安设施维护工作施工要求</w:t>
      </w:r>
    </w:p>
    <w:p w14:paraId="00107357">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因交通设施故障无法修理需要土建作业的情况，及交通设施涉及的附属设施的迁移，以及西安市公安局交通管理局管辖的交通设施建设，因交通管理需要或交通组织发生变化的，对涉及的交通设施及其附属设施进行改建工作。</w:t>
      </w:r>
    </w:p>
    <w:p w14:paraId="61690ED8">
      <w:pPr>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13、施工步骤要求</w:t>
      </w:r>
    </w:p>
    <w:p w14:paraId="5FE943D5">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在接到相关任务后，供应商应服从采购人和监理的工作安排，在工程实施前由采购人或监理单位组织做好现场踏勘，供应商制作现场踏勘记录表、施工方案（含施工现场交通组织方案、施工工程计划安排、施工时间、施工材料、施工机具机械、人员安排、施工工艺、施工方式等，以下统称：施工方案）、施工图，经监理单位审核后上报采购人审批（临时性应急工程由采购人和监理公司确定工作范围后立即施工，所需施工资料后期及时进行完善）。</w:t>
      </w:r>
    </w:p>
    <w:p w14:paraId="16F6C450">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②审批通过后，供应商应及时前往相关道路或绿化管养单位办理道路挖占手续，并在规定时限内完成相关工作。供应商进场施工前，应提前通知监理到场，提供相关资料，接受监理、审计单位的现场监督、检查。</w:t>
      </w:r>
    </w:p>
    <w:p w14:paraId="24484B47">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③供应商应确保相关工作符合国标及合同要求，所制作的施工方案要主动借用施工区域能够借用的杆件、管道等设施,确保方案最优。对未予有效利用既有设施或刻意瞒报的情况，一经查实，将予以处罚。</w:t>
      </w:r>
    </w:p>
    <w:p w14:paraId="19B1336E">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供应商施工完成后，车行道、人行道、绿化带的基础应由供应商及时通知市政管养单位进行路面恢复，并在市政部门恢复前，基础应采用围板打围，直至路面恢复完毕后撤场。自行恢复的标准要达到市政道路建设同级标准要求，保证恢复质量能通过市政管理部门验收通过。</w:t>
      </w:r>
    </w:p>
    <w:p w14:paraId="736196BE">
      <w:pPr>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14、施工工艺要求</w:t>
      </w:r>
    </w:p>
    <w:p w14:paraId="099DCB8C">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①监控杆、灯杆、信号机基础要求</w:t>
      </w:r>
    </w:p>
    <w:p w14:paraId="0E5CE3FE">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灯杆基础位置应远离电力浅沟、窨井等，并与路灯杆、行道树等相协调；信号灯灯杆基础开挖尺寸由设计确定。</w:t>
      </w:r>
    </w:p>
    <w:p w14:paraId="5087CA62">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供应商应办理相关挖占手续。</w:t>
      </w:r>
    </w:p>
    <w:p w14:paraId="4A2EC7C5">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基础浇筑前车行道用钢板（3cm厚）覆盖，人行道、绿化带用围板打围。</w:t>
      </w:r>
    </w:p>
    <w:p w14:paraId="3D6A6EAF">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灯杆地脚连接加劲肋以及地脚螺栓应安装在地平面以下，外露的地脚螺栓需进行混凝土包封处理。人行道上开挖的基础浇筑后回填至距路平面25cm处，地脚连接加劲肋顶点距路平面8cm；车行道上开挖的基础浇筑后回填至距路平面40cm处，地脚连接加劲肋顶点距路平面12cm；绿化带内开挖的基础浇筑后回填至距地平面60cm处。</w:t>
      </w:r>
    </w:p>
    <w:p w14:paraId="61006D8C">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②沟槽开挖及管线敷设要求</w:t>
      </w:r>
    </w:p>
    <w:p w14:paraId="6B1CADAA">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沟槽开挖深度要求穿线管顶部距路面的距离不小于40cm,宽度根据穿线管数量、管径及布放方式由设计单位确定。遇地下障碍，无法按要求开挖，以监理和设计单位确定的方案为准。</w:t>
      </w:r>
    </w:p>
    <w:p w14:paraId="0F093114">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车行道沟槽埋管后回填至距路面10cm深， 距路面深10cm以上部分路面由市政管养单位恢复或自行恢复的要保证路面的平整；人行道沟槽埋管后回填至距路面10cm深，距路面深10cm以上部分路面由市政管养单位恢复或自行恢复的要保证路人行道平整；绿化带内开挖的沟槽埋管后回填至距路面10cm深。</w:t>
      </w:r>
    </w:p>
    <w:p w14:paraId="25AC92A0">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③井的施工要求</w:t>
      </w:r>
    </w:p>
    <w:p w14:paraId="3355653B">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手井内净尺寸长宽高尺寸为0.6m×0.6m×0.8m，做手井的同时铺设好穿线管。施工包括周边路面的开挖(切割、凿除）砌砖、抹面、井框井盖安装等工作，井应满足嵌入深度不小于30mm，井座高度不小于80mm，支承面宽度≥20mm，总间隙≤8mm，井框高差不大于5mm的要求，且不得有震响现象。</w:t>
      </w:r>
    </w:p>
    <w:p w14:paraId="2504AB97">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B.轴线、位置、标高复测：砌筑前，应先检查井的位置是否符合设计要求，标高是否准确，管井、检查井、砖砌体开挖宽度是否符合设计要求及操作规程。</w:t>
      </w:r>
    </w:p>
    <w:p w14:paraId="0E87D064">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C.砖的选用，应选几何尺寸标准、外观整洁，颜色一致，打击有清脆声，并经监理检查合格的方可使用。应对进场的砖事先发水，发水深度以砖的周边湿润15mm为宜，不能边浇水边砌筑。</w:t>
      </w:r>
    </w:p>
    <w:p w14:paraId="5C81B72A">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砂浆标号必须符合设计强度要求，把握好配合比，水泥、砂和水不能过多或过少，要拌合均匀，稠度要适当，抹灰厚度20mm。抹灰时，要先将砖砌体表面清扫干净，湿度不够时应先浇适当的水湿润，以保证砂浆和砖砌体粘接牢固，避免脱落、空鼓。抹灰要分层进行，一次打底、二次找平、三次而成，这样才能保证抹灰的质量。手井底部应设有渗水孔。</w:t>
      </w:r>
    </w:p>
    <w:p w14:paraId="68F57337">
      <w:pPr>
        <w:spacing w:line="4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15、隐蔽工程施工要求</w:t>
      </w:r>
    </w:p>
    <w:p w14:paraId="5E6CEA2C">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①接报故障后涉及隐蔽工程的，维护单位应立即通知采购人及采购人委托的监理单位，并在12小时内约请监理单位现场确认维护方案。</w:t>
      </w:r>
    </w:p>
    <w:p w14:paraId="4D477DFE">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②隐蔽工程施工前，维护单位应提前通知采购人及采购人委托的监理单位，并提交施工图纸等相关资料，接受采购人及采购人委托的监理的现场监督。</w:t>
      </w:r>
    </w:p>
    <w:p w14:paraId="1241570E">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③做好隐蔽工程施工前后的现场照片工作，存档备查。</w:t>
      </w:r>
    </w:p>
    <w:p w14:paraId="79E8F107">
      <w:pPr>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16、工期要求</w:t>
      </w:r>
    </w:p>
    <w:p w14:paraId="6DF7846D">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供应商应严格按照规定或甲方要求的时限完成施工工作。</w:t>
      </w:r>
    </w:p>
    <w:p w14:paraId="29A97EFE">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①维护工程量较大、施工难度较大的任务由监理单位确定工期，供应商按期完成。</w:t>
      </w:r>
    </w:p>
    <w:p w14:paraId="4B42FD6B">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②采购人安排的专项任务，供应商须在采购人规定的时限内完成。</w:t>
      </w:r>
    </w:p>
    <w:p w14:paraId="50EC9868">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占道施工需严格按照建委及市城管委批示时限进行，遇特殊情况在规定时限内不能完成的，需及时上报采购人，并及时前往相关部门办理道路挖占延期手续，相关延期手续办理工作须在既有审批时限到期前完成。</w:t>
      </w:r>
    </w:p>
    <w:p w14:paraId="03E4039E">
      <w:pPr>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17、施工质量保证要求</w:t>
      </w:r>
    </w:p>
    <w:p w14:paraId="730DECF1">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①施工工程质保期为</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年，以监理单位验收合格时间起开始计算质保期。</w:t>
      </w:r>
    </w:p>
    <w:p w14:paraId="6523C45A">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②供应商应对隐蔽工程及产品在正常使用期限内的质量和安全负责。</w:t>
      </w:r>
    </w:p>
    <w:p w14:paraId="277228AF">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③若由于施工质量引起灯杆倾倒、路面塌陷，等情况造成人员伤亡、财产损失均由供应商承担一切法律、经济责任。</w:t>
      </w:r>
    </w:p>
    <w:p w14:paraId="48A8DE57">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④质保期内安装发生质量问题，由采购人通知供应商负责维修与整改, 供应商应在</w:t>
      </w:r>
      <w:r>
        <w:rPr>
          <w:rFonts w:hint="eastAsia" w:ascii="宋体" w:hAnsi="宋体" w:eastAsia="宋体" w:cs="宋体"/>
          <w:color w:val="auto"/>
          <w:sz w:val="24"/>
          <w:szCs w:val="24"/>
          <w:highlight w:val="none"/>
          <w:lang w:val="en-US" w:eastAsia="zh-CN"/>
        </w:rPr>
        <w:t>收到通知的</w:t>
      </w:r>
      <w:r>
        <w:rPr>
          <w:rFonts w:hint="eastAsia" w:ascii="宋体" w:hAnsi="宋体" w:eastAsia="宋体" w:cs="宋体"/>
          <w:color w:val="auto"/>
          <w:sz w:val="24"/>
          <w:szCs w:val="24"/>
          <w:highlight w:val="none"/>
        </w:rPr>
        <w:t>24小时内进行处置,由此产生的各项费用由供应商承担,且质保期应延长6个月。</w:t>
      </w:r>
    </w:p>
    <w:p w14:paraId="1FF45425">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供应商应按国家标准或行业标准规定以及本合同的要求，主要材料、设备进场前，应提供主要产品合格证书、检测报告、产品质量证明书、信号机说明书等相关资料，由监理审核合格后填报《材料进场申报表》方可投入使用。</w:t>
      </w:r>
    </w:p>
    <w:p w14:paraId="6118C16F">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供应商应保证所提供的产品、材料是全新的，并完全符合技术参数中规定的质量、规格和性能要求。供应商应保证其产品、材料在正确安装、正常使用期限内均具有合格的性能。在合同规定的质量保证期内，供应商应对由于工艺、材料或安装缺陷而引发的故障，无条件进行免费维修。</w:t>
      </w:r>
    </w:p>
    <w:p w14:paraId="77ACF9BC">
      <w:pPr>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18、安全、文明施工要求</w:t>
      </w:r>
    </w:p>
    <w:p w14:paraId="5E31000D">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①维护作业现场应落实文明生产措施。作业开始前，向设施分控中心报备，作业结束后，保持现场清爽、干净，不得遗留垃圾、作业工具等物品。</w:t>
      </w:r>
    </w:p>
    <w:p w14:paraId="7A9D15B0">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②施工时间：维护作业不得妨碍和阻断交通，应尽量避开交通高峰时段，使用噪音较大的施工机械应尽量避开居民夜间休息时间。</w:t>
      </w:r>
    </w:p>
    <w:p w14:paraId="1CD2FAD8">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涉及道路开挖时，必须办理相关手续。开挖路面需设置围板打围、铺设钢板，围板需两两联接，呈闭环式设置，防止倒伏，围板外必须张贴由市城管委或相关道路管理部门发放的“占道施工信息公示牌”，路面铺设钢板下需铺垫麻袋等软质物品，防止钢板滑动及噪音，同时指派人员进行日常巡查，及时发现上述情况并恢复。施工点位还需配合设置诱导标志、警示标志，提示过往行人、车辆，最大限度减少对交通影响。</w:t>
      </w:r>
    </w:p>
    <w:p w14:paraId="4E05E478">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④在道路上施工时，应在作业点前合适的距离摆放警示标志，高峰时段应安排专人配合交警疏导交通。</w:t>
      </w:r>
    </w:p>
    <w:p w14:paraId="2917CBED">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⑤维护作业人员应严格按操作规程、规范、安全进行维护作业，严禁违规作业。</w:t>
      </w:r>
    </w:p>
    <w:p w14:paraId="31926E8C">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供应商在组织实施安装施工、维修等施工过程中的施工人员须按采购人规定的标准统一工作服装（背面喷涂白色“交通设施维护”字样），并穿戴反光背心（背面喷涂白色“交通设施维护”字样），施工车辆按采购人规定的标准统一颜色，在两侧车门上喷涂“交通设施维护”字样。同时，必须严格按照安全施工的相关要求穿戴工作帽等安全防护配备，严格按要求做好安全防护技术措施。</w:t>
      </w:r>
    </w:p>
    <w:p w14:paraId="433B3BF9">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⑦供应商应按国家要求定时对公司维护人员进行交通安全、用电安全、高空作业安全等方面教育。一旦发生人员、设备及第三方安全事故等, 所有责任及经济赔偿均应由供应商承担，采购人将不承担任何责任。</w:t>
      </w:r>
    </w:p>
    <w:p w14:paraId="4D91983D">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⑧供应商应规范施工，严格按照环保或城管部门要求进行维护施工作业。</w:t>
      </w:r>
    </w:p>
    <w:p w14:paraId="122BB51E">
      <w:pPr>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19、前端设备运行费</w:t>
      </w:r>
    </w:p>
    <w:p w14:paraId="3839E01C">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警部门的外场设备设置位置因工作需要，设备就近取电，因各种原因无法全部开具电费发票，无发票电费根据电费台账及实际发生金额，据实结算。电费结算单价参考市场标准。高出部分运维单位自行承担。本项目电费包含所有外场设备点位。可超出运维区域缴纳。</w:t>
      </w:r>
    </w:p>
    <w:p w14:paraId="4C055DA7">
      <w:pPr>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20、迁移、拆除内容</w:t>
      </w:r>
      <w:r>
        <w:rPr>
          <w:rFonts w:hint="eastAsia" w:ascii="宋体" w:hAnsi="宋体" w:eastAsia="宋体" w:cs="宋体"/>
          <w:color w:val="auto"/>
          <w:sz w:val="24"/>
          <w:szCs w:val="24"/>
          <w:highlight w:val="none"/>
        </w:rPr>
        <w:t>:</w:t>
      </w:r>
    </w:p>
    <w:p w14:paraId="2ED861F2">
      <w:pPr>
        <w:spacing w:line="48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项目支队拟队外场设备进行拆除迁移，确保三环合围，高发重点事故线路得到整治。维护单位需积极配合工作，进行设备运行状态检查、新选点位的勘察、迁移或拆除工作的实施等工作。运行状态检查后(有电，有数据回传，备案设备符合样张要求)，运行状态需用制式表格进行登记，且三方需签字确认。</w:t>
      </w:r>
      <w:r>
        <w:rPr>
          <w:rFonts w:hint="eastAsia" w:ascii="宋体" w:hAnsi="宋体" w:eastAsia="宋体" w:cs="宋体"/>
          <w:b/>
          <w:color w:val="auto"/>
          <w:sz w:val="24"/>
          <w:szCs w:val="24"/>
          <w:highlight w:val="none"/>
        </w:rPr>
        <w:t>符合国家标准。签订质保承诺书。</w:t>
      </w:r>
      <w:r>
        <w:rPr>
          <w:rFonts w:hint="eastAsia" w:ascii="宋体" w:hAnsi="宋体" w:eastAsia="宋体" w:cs="宋体"/>
          <w:color w:val="auto"/>
          <w:sz w:val="24"/>
          <w:szCs w:val="24"/>
          <w:highlight w:val="none"/>
        </w:rPr>
        <w:t>运维范围内的设备迁移、拆除、围挡期间不予支付维护费用。</w:t>
      </w:r>
    </w:p>
    <w:p w14:paraId="1AF49B12">
      <w:pPr>
        <w:spacing w:line="4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21、备品备件使用要求</w:t>
      </w:r>
    </w:p>
    <w:p w14:paraId="4CC91236">
      <w:pPr>
        <w:spacing w:line="4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备品备件更换后需要支队进行验收，保证设备使用符合执法取证设备要求，能够接入运维平台。</w:t>
      </w:r>
    </w:p>
    <w:p w14:paraId="07558DCC">
      <w:pPr>
        <w:keepNext w:val="0"/>
        <w:keepLines w:val="0"/>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五、</w:t>
      </w:r>
      <w:r>
        <w:rPr>
          <w:rFonts w:hint="eastAsia" w:ascii="宋体" w:hAnsi="宋体" w:eastAsia="宋体" w:cs="宋体"/>
          <w:b/>
          <w:bCs/>
          <w:color w:val="auto"/>
          <w:kern w:val="2"/>
          <w:sz w:val="24"/>
          <w:szCs w:val="24"/>
          <w:lang w:val="en-US" w:eastAsia="zh-CN" w:bidi="ar-SA"/>
        </w:rPr>
        <w:t>故障响应要求</w:t>
      </w:r>
    </w:p>
    <w:p w14:paraId="256C4051">
      <w:pPr>
        <w:spacing w:line="480" w:lineRule="exact"/>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5.1维护响应时间要求</w:t>
      </w:r>
    </w:p>
    <w:p w14:paraId="57926183">
      <w:pPr>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①必须安排人员实施24小时值班制度（含法定节假日)，接报故障。设立24小时服务专用电话及对口人员，接受应急抢修指令，电话必须保持畅通。</w:t>
      </w:r>
    </w:p>
    <w:p w14:paraId="26118227">
      <w:pPr>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对于各种原因引起的信号灯故障，巡查时段1分钟内响应，30分钟内到达现场，非巡查时段5分钟内响应，1小时内到达现场，摆放紧急抢修指示牌，进行故障处理，到达现场如有必要，启用临时交通信号灯。对于各种原因引起的</w:t>
      </w:r>
      <w:r>
        <w:rPr>
          <w:rFonts w:hint="eastAsia" w:ascii="宋体" w:hAnsi="宋体" w:eastAsia="宋体" w:cs="宋体"/>
          <w:color w:val="auto"/>
          <w:sz w:val="24"/>
          <w:szCs w:val="24"/>
          <w:lang w:val="en-US" w:eastAsia="zh-CN"/>
        </w:rPr>
        <w:t>交通技术监控</w:t>
      </w:r>
      <w:r>
        <w:rPr>
          <w:rFonts w:hint="eastAsia" w:ascii="宋体" w:hAnsi="宋体" w:eastAsia="宋体" w:cs="宋体"/>
          <w:color w:val="auto"/>
          <w:sz w:val="24"/>
          <w:szCs w:val="24"/>
        </w:rPr>
        <w:t>故障，巡查时段</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分钟内响应，</w:t>
      </w:r>
      <w:r>
        <w:rPr>
          <w:rFonts w:hint="eastAsia" w:ascii="宋体" w:hAnsi="宋体" w:eastAsia="宋体" w:cs="宋体"/>
          <w:color w:val="auto"/>
          <w:sz w:val="24"/>
          <w:szCs w:val="24"/>
          <w:lang w:val="en-US" w:eastAsia="zh-CN"/>
        </w:rPr>
        <w:t>2小时</w:t>
      </w:r>
      <w:r>
        <w:rPr>
          <w:rFonts w:hint="eastAsia" w:ascii="宋体" w:hAnsi="宋体" w:eastAsia="宋体" w:cs="宋体"/>
          <w:color w:val="auto"/>
          <w:sz w:val="24"/>
          <w:szCs w:val="24"/>
        </w:rPr>
        <w:t>内到达现场，摆放紧急抢修指示牌，进行故障处理。</w:t>
      </w:r>
    </w:p>
    <w:p w14:paraId="365B37DB">
      <w:pPr>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③</w:t>
      </w:r>
      <w:r>
        <w:rPr>
          <w:rFonts w:hint="eastAsia" w:ascii="宋体" w:hAnsi="宋体" w:eastAsia="宋体" w:cs="宋体"/>
          <w:color w:val="auto"/>
          <w:sz w:val="24"/>
          <w:szCs w:val="24"/>
          <w:lang w:eastAsia="zh-CN"/>
        </w:rPr>
        <w:t>简单</w:t>
      </w:r>
      <w:r>
        <w:rPr>
          <w:rFonts w:hint="eastAsia" w:ascii="宋体" w:hAnsi="宋体" w:eastAsia="宋体" w:cs="宋体"/>
          <w:color w:val="auto"/>
          <w:sz w:val="24"/>
          <w:szCs w:val="24"/>
        </w:rPr>
        <w:t>故障处理要求一次性解决，如无法一次性抢修解决</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信号灯故障需悬挂故障提示牌</w:t>
      </w:r>
      <w:r>
        <w:rPr>
          <w:rFonts w:hint="eastAsia" w:ascii="宋体" w:hAnsi="宋体" w:eastAsia="宋体" w:cs="宋体"/>
          <w:color w:val="auto"/>
          <w:sz w:val="24"/>
          <w:szCs w:val="24"/>
          <w:lang w:eastAsia="zh-CN"/>
        </w:rPr>
        <w:t>、放置临时信号灯，发电机等措施）</w:t>
      </w:r>
      <w:r>
        <w:rPr>
          <w:rFonts w:hint="eastAsia" w:ascii="宋体" w:hAnsi="宋体" w:eastAsia="宋体" w:cs="宋体"/>
          <w:color w:val="auto"/>
          <w:sz w:val="24"/>
          <w:szCs w:val="24"/>
        </w:rPr>
        <w:t>并及时向监理</w:t>
      </w:r>
      <w:r>
        <w:rPr>
          <w:rFonts w:hint="eastAsia" w:ascii="宋体" w:hAnsi="宋体" w:eastAsia="宋体" w:cs="宋体"/>
          <w:color w:val="auto"/>
          <w:sz w:val="24"/>
          <w:szCs w:val="24"/>
          <w:lang w:eastAsia="zh-CN"/>
        </w:rPr>
        <w:t>或甲方人员</w:t>
      </w:r>
      <w:r>
        <w:rPr>
          <w:rFonts w:hint="eastAsia" w:ascii="宋体" w:hAnsi="宋体" w:eastAsia="宋体" w:cs="宋体"/>
          <w:color w:val="auto"/>
          <w:sz w:val="24"/>
          <w:szCs w:val="24"/>
        </w:rPr>
        <w:t>立刻汇报进行信息报备</w:t>
      </w:r>
      <w:r>
        <w:rPr>
          <w:rFonts w:hint="eastAsia" w:ascii="宋体" w:hAnsi="宋体" w:eastAsia="宋体" w:cs="宋体"/>
          <w:color w:val="auto"/>
          <w:sz w:val="24"/>
          <w:szCs w:val="24"/>
          <w:lang w:eastAsia="zh-CN"/>
        </w:rPr>
        <w:t>。</w:t>
      </w:r>
    </w:p>
    <w:p w14:paraId="67EF2A6C">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④针对大型活动、法定假日、突发事件等情况，在中标后1 个月内制定维护工程应急处突预案上报采购人。预案中需明确处突人员、车辆、机具配置等保障措施，并按采购人要求按时到达处置现场。（一月内上报）</w:t>
      </w:r>
    </w:p>
    <w:p w14:paraId="4F5A71D2">
      <w:pPr>
        <w:spacing w:line="480" w:lineRule="exact"/>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5.2特殊节日、重大活动、恶劣天气维护要求</w:t>
      </w:r>
    </w:p>
    <w:p w14:paraId="28AFC0D0">
      <w:pPr>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在节假日（元旦、春节、清明、五一、端午、中秋、十一等）和等重大交通安保工作（由采购单位指定）前及其期间，根据采购单位的要求，对设备进行额外的巡检和养护工作。重点检查设备安装牢固性及灯具清晰度、卡警视频及诱导屏的应用完好率。同时，做好维护人员、备品备件的即时实战响应，按照采购单位明确的时间、地点等要求派专业维护人员做好现场保障工作，最少增加2组车辆及维护人员，尤其重点位置保证1组定点待命。</w:t>
      </w:r>
    </w:p>
    <w:p w14:paraId="74C6FE40">
      <w:pPr>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②恶劣天气（</w:t>
      </w:r>
      <w:r>
        <w:rPr>
          <w:rFonts w:hint="eastAsia" w:ascii="宋体" w:hAnsi="宋体" w:eastAsia="宋体" w:cs="宋体"/>
          <w:color w:val="auto"/>
          <w:sz w:val="24"/>
          <w:szCs w:val="24"/>
          <w:lang w:eastAsia="zh-CN"/>
        </w:rPr>
        <w:t>强</w:t>
      </w:r>
      <w:r>
        <w:rPr>
          <w:rFonts w:hint="eastAsia" w:ascii="宋体" w:hAnsi="宋体" w:eastAsia="宋体" w:cs="宋体"/>
          <w:color w:val="auto"/>
          <w:sz w:val="24"/>
          <w:szCs w:val="24"/>
        </w:rPr>
        <w:t>风、暴雨、极端高温、极寒等）应急处突方案设置要求</w:t>
      </w:r>
    </w:p>
    <w:p w14:paraId="325E274D">
      <w:pPr>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遭遇恶劣天气时，供应商须按照气象预警等级（黄色、橙色、红色）制定应急处置方案：</w:t>
      </w:r>
    </w:p>
    <w:p w14:paraId="322AE49F">
      <w:pPr>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黄色预警时，外场应配备不少于两组（每组不少于2人）应急人员，两台应急车辆，并至少配备两台应急电源，对管辖区域内所有交通设施进行巡查维护，发现问题及时处置，并将相关情况及时反馈采购人。遇迁改（移交）或新建路口信号灯熄灯的情况，须查明原因上报采购人。</w:t>
      </w:r>
    </w:p>
    <w:p w14:paraId="4BD64B18">
      <w:pPr>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橙色预警时，外场应配备不少于四组（每组不少于2人）应急人员，四台应急车辆，并至少配备四台应急电源，对管辖区域内所有交通设施进行巡查维护，发现问题及时处置，并将相关情况及时反馈采购人。遇迁改（移交）或新建路口信号灯熄灯的情况，须查明原因上报采购人。</w:t>
      </w:r>
    </w:p>
    <w:p w14:paraId="44F5A214">
      <w:pPr>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红色预警时，外场应配备不少于六组（每组不少于2人）应急人员，六台应急车辆，并至少配备六台应急电源，对管辖区域内所有交通设施进行巡查维护，发现问题及时处置，并将相关情况及时反馈采购人。遇迁改（移交）或新建路口信号灯熄灯的情况，须查明原因上报采购人。</w:t>
      </w:r>
    </w:p>
    <w:p w14:paraId="3CF1E7AD">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D.应急处置人员应为除日常维护人员以外的增派人手。</w:t>
      </w:r>
    </w:p>
    <w:p w14:paraId="60FEDE19">
      <w:pPr>
        <w:spacing w:line="480" w:lineRule="exact"/>
        <w:ind w:firstLine="482" w:firstLineChars="20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lang w:val="en-US" w:eastAsia="zh-CN"/>
        </w:rPr>
        <w:t>5.3</w:t>
      </w:r>
      <w:r>
        <w:rPr>
          <w:rFonts w:hint="eastAsia" w:ascii="宋体" w:hAnsi="宋体" w:eastAsia="宋体" w:cs="宋体"/>
          <w:b/>
          <w:bCs/>
          <w:color w:val="auto"/>
          <w:kern w:val="2"/>
          <w:sz w:val="24"/>
          <w:szCs w:val="24"/>
          <w:lang w:val="en-US" w:eastAsia="zh-CN" w:bidi="ar-SA"/>
        </w:rPr>
        <w:t>备品备件方案</w:t>
      </w:r>
    </w:p>
    <w:p w14:paraId="3A8BA2EC">
      <w:pPr>
        <w:spacing w:line="48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备品备件更换后需要支队进行验收，保证设备使用符合执法取证设备要求，能够接入运维平台。</w:t>
      </w:r>
    </w:p>
    <w:p w14:paraId="429F9D1D">
      <w:pPr>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5.4运维考核机制（运维费）</w:t>
      </w:r>
    </w:p>
    <w:p w14:paraId="54F217F1">
      <w:pPr>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甲方（监理负责具体实施）负责考核维护公司的履约性及维护工作的规范性及合规性。确保信号灯月通电率（每日平均）达到99%以上，卡警、高清监控设备月通电率（每日平均）及月设备正常率（每日平均）达到98%以上；诱导屏月正常显示率（每日平均）85%以上；低于指标的按比例据实结算。联网联控国省道点位、地磁和雷视等设备按照相关考核要求进行运行维护。单点设备通电率按月据实结算（按月考核，每周提供不少于1次的佐证，佐证缺失或无法提供等扣除当月绩效）。第三方原因（拆除迁移，平台级联，停电等非维护方原因）需要提供经甲方认可的佐证，可认定为通电率或正常率考核合格。无绩效设备也要求对设备全量承担维护责任，全量巡查巡检并做好相关资料。通讯故障须当天报网络运营商，及时报修、报停。设备正常率考核规则，每日监理抽查，每周汇总，抽查合格数及整改合格数。对维护公司的履约过程实行三单制考核，视发现问题的轻重对应下达提示单、整改单和督办单。每张提示单扣减当月绩效考核1分，每张整改单扣减当月绩效考核3分，每张督办单扣减当月绩效考核5分，1分为合同约定的月维护总费用的1%。三单制使用原则如下：</w:t>
      </w:r>
    </w:p>
    <w:p w14:paraId="0D0F4DCD">
      <w:pPr>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1.提示单：考核内容所列问题被甲方发现，未造成舆情等后果，未造成甲方资产流失，经提示可快速整改到位的情形。</w:t>
      </w:r>
    </w:p>
    <w:p w14:paraId="2FE17AEF">
      <w:pPr>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2.整改单：一是因维护工作不力，被媒体舆情关注，造成影响，经整改可快速恢复。二是维护工作不实不细，整体工作没有改观。</w:t>
      </w:r>
    </w:p>
    <w:p w14:paraId="273D83E4">
      <w:pPr>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lang w:val="en-US" w:eastAsia="zh-CN"/>
        </w:rPr>
        <w:t>3.督办单：一是因维护工作不力，被媒体舆情关注或网络炒作影响较大；二是信号灯维护工作被上级通报批评；三是因信号灯维护工作，产生交通安全或安全生产隐患。</w:t>
      </w:r>
    </w:p>
    <w:p w14:paraId="7257BA95">
      <w:pPr>
        <w:spacing w:line="48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highlight w:val="none"/>
          <w:lang w:val="en-US" w:eastAsia="zh-CN"/>
        </w:rPr>
        <w:t>5.5</w:t>
      </w:r>
      <w:r>
        <w:rPr>
          <w:rFonts w:hint="eastAsia" w:ascii="宋体" w:hAnsi="宋体" w:eastAsia="宋体" w:cs="宋体"/>
          <w:b/>
          <w:bCs/>
          <w:color w:val="auto"/>
          <w:sz w:val="24"/>
          <w:szCs w:val="24"/>
        </w:rPr>
        <w:t>考核内容</w:t>
      </w:r>
    </w:p>
    <w:p w14:paraId="105ABE6D">
      <w:pPr>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以招标文件与合同条款为依据，对维护工作进行监督考核，主要内容有：</w:t>
      </w:r>
    </w:p>
    <w:p w14:paraId="143C71C2">
      <w:pPr>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5.5.1</w:t>
      </w:r>
      <w:r>
        <w:rPr>
          <w:rFonts w:hint="eastAsia" w:ascii="宋体" w:hAnsi="宋体" w:eastAsia="宋体" w:cs="宋体"/>
          <w:color w:val="auto"/>
          <w:sz w:val="24"/>
          <w:szCs w:val="24"/>
        </w:rPr>
        <w:t>工作数据上报情况</w:t>
      </w:r>
    </w:p>
    <w:p w14:paraId="04675857">
      <w:pPr>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每月按时上报工作数据，当月工作小结，节假日重大活动及其他相关工作数据。</w:t>
      </w:r>
    </w:p>
    <w:p w14:paraId="1469C24A">
      <w:pPr>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5.5.2</w:t>
      </w:r>
      <w:r>
        <w:rPr>
          <w:rFonts w:hint="eastAsia" w:ascii="宋体" w:hAnsi="宋体" w:eastAsia="宋体" w:cs="宋体"/>
          <w:color w:val="auto"/>
          <w:sz w:val="24"/>
          <w:szCs w:val="24"/>
        </w:rPr>
        <w:t>交办工作完成情况(设备接入，备案等工作)</w:t>
      </w:r>
    </w:p>
    <w:p w14:paraId="78C76121">
      <w:pPr>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按任务单内容要求办理，按交办期限保质保量完成工作。</w:t>
      </w:r>
    </w:p>
    <w:p w14:paraId="66685EFE">
      <w:pPr>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5.5.3</w:t>
      </w:r>
      <w:r>
        <w:rPr>
          <w:rFonts w:hint="eastAsia" w:ascii="宋体" w:hAnsi="宋体" w:eastAsia="宋体" w:cs="宋体"/>
          <w:color w:val="auto"/>
          <w:sz w:val="24"/>
          <w:szCs w:val="24"/>
        </w:rPr>
        <w:t>维修时效考核</w:t>
      </w:r>
    </w:p>
    <w:p w14:paraId="0755D340">
      <w:pPr>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对维修设备时效要求进行考核，甲方（监理负责具体实施）根据实际需求。设备维修时效（每月抽查）、设备通电率（</w:t>
      </w:r>
      <w:r>
        <w:rPr>
          <w:rFonts w:hint="eastAsia" w:ascii="宋体" w:hAnsi="宋体" w:eastAsia="宋体" w:cs="宋体"/>
          <w:color w:val="auto"/>
          <w:sz w:val="24"/>
          <w:szCs w:val="24"/>
          <w:lang w:val="en-US" w:eastAsia="zh-CN"/>
        </w:rPr>
        <w:t>每天</w:t>
      </w:r>
      <w:r>
        <w:rPr>
          <w:rFonts w:hint="eastAsia" w:ascii="宋体" w:hAnsi="宋体" w:eastAsia="宋体" w:cs="宋体"/>
          <w:color w:val="auto"/>
          <w:sz w:val="24"/>
          <w:szCs w:val="24"/>
        </w:rPr>
        <w:t>），设备正常率考核（</w:t>
      </w:r>
      <w:r>
        <w:rPr>
          <w:rFonts w:hint="eastAsia" w:ascii="宋体" w:hAnsi="宋体" w:eastAsia="宋体" w:cs="宋体"/>
          <w:color w:val="auto"/>
          <w:sz w:val="24"/>
          <w:szCs w:val="24"/>
          <w:lang w:val="en-US" w:eastAsia="zh-CN"/>
        </w:rPr>
        <w:t>每天</w:t>
      </w:r>
      <w:r>
        <w:rPr>
          <w:rFonts w:hint="eastAsia" w:ascii="宋体" w:hAnsi="宋体" w:eastAsia="宋体" w:cs="宋体"/>
          <w:color w:val="auto"/>
          <w:sz w:val="24"/>
          <w:szCs w:val="24"/>
        </w:rPr>
        <w:t>）</w:t>
      </w:r>
    </w:p>
    <w:p w14:paraId="39295F08">
      <w:pPr>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5.5.4</w:t>
      </w:r>
      <w:r>
        <w:rPr>
          <w:rFonts w:hint="eastAsia" w:ascii="宋体" w:hAnsi="宋体" w:eastAsia="宋体" w:cs="宋体"/>
          <w:color w:val="auto"/>
          <w:sz w:val="24"/>
          <w:szCs w:val="24"/>
        </w:rPr>
        <w:t>指令性工作考核</w:t>
      </w:r>
    </w:p>
    <w:p w14:paraId="12CFCDC8">
      <w:pPr>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因重大交通事故预防及不可抗力等特殊原因，采购方可指定乙方超出维护范围进行维护维修更换及迁移外场设备，供应方不得拒绝</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适用于三单制考核</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14:paraId="62D063FE">
      <w:pPr>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满分100分。月得分低于60分，本月扣除全部运维费用，两次月得分低于60分，可解除合同。</w:t>
      </w:r>
      <w:r>
        <w:rPr>
          <w:rFonts w:hint="eastAsia" w:ascii="宋体" w:hAnsi="宋体" w:eastAsia="宋体" w:cs="宋体"/>
          <w:color w:val="auto"/>
          <w:sz w:val="24"/>
          <w:szCs w:val="24"/>
          <w:lang w:eastAsia="zh-CN"/>
        </w:rPr>
        <w:t>考核分数保留小数点一位（四合五入），佐证的规则制定由采购方制定。</w:t>
      </w:r>
    </w:p>
    <w:p w14:paraId="20C51F77">
      <w:pPr>
        <w:keepNext w:val="0"/>
        <w:keepLines w:val="0"/>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lang w:eastAsia="zh-CN"/>
        </w:rPr>
        <w:t>、</w:t>
      </w:r>
      <w:r>
        <w:rPr>
          <w:rFonts w:hint="eastAsia" w:ascii="宋体" w:hAnsi="宋体" w:eastAsia="宋体" w:cs="宋体"/>
          <w:b/>
          <w:bCs/>
          <w:color w:val="auto"/>
          <w:kern w:val="2"/>
          <w:sz w:val="24"/>
          <w:szCs w:val="24"/>
          <w:lang w:val="en-US" w:eastAsia="zh-CN" w:bidi="ar-SA"/>
        </w:rPr>
        <w:t>验收标准</w:t>
      </w:r>
    </w:p>
    <w:p w14:paraId="2E271382">
      <w:pPr>
        <w:spacing w:line="480" w:lineRule="exact"/>
        <w:ind w:firstLine="482" w:firstLineChars="200"/>
        <w:rPr>
          <w:rFonts w:hint="eastAsia" w:ascii="宋体" w:hAnsi="宋体" w:eastAsia="宋体" w:cs="宋体"/>
          <w:b/>
          <w:bCs/>
          <w:color w:val="auto"/>
          <w:sz w:val="24"/>
          <w:szCs w:val="21"/>
        </w:rPr>
      </w:pPr>
      <w:r>
        <w:rPr>
          <w:rFonts w:hint="eastAsia" w:ascii="宋体" w:hAnsi="宋体" w:eastAsia="宋体" w:cs="宋体"/>
          <w:b/>
          <w:bCs/>
          <w:color w:val="auto"/>
          <w:sz w:val="24"/>
          <w:szCs w:val="21"/>
          <w:lang w:eastAsia="zh-CN"/>
        </w:rPr>
        <w:t>6</w:t>
      </w:r>
      <w:r>
        <w:rPr>
          <w:rFonts w:hint="eastAsia" w:ascii="宋体" w:hAnsi="宋体" w:eastAsia="宋体" w:cs="宋体"/>
          <w:b/>
          <w:bCs/>
          <w:color w:val="auto"/>
          <w:sz w:val="24"/>
          <w:szCs w:val="21"/>
        </w:rPr>
        <w:t>.1交通信号灯验收标准</w:t>
      </w:r>
    </w:p>
    <w:p w14:paraId="7A9D2980">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验收依据主要为设计文件、国家行业标准、招投标文件等。</w:t>
      </w:r>
    </w:p>
    <w:p w14:paraId="545B3D33">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（1）设计图、竣工图、现场交安设施是否一致。</w:t>
      </w:r>
    </w:p>
    <w:p w14:paraId="56C00F7A">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（2）灯具部分</w:t>
      </w:r>
    </w:p>
    <w:p w14:paraId="4ECC1A4E">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①灯具图案是否符合国标灯标准；对于采用发光二极管（LED）光源和透明面罩的无图案信号灯，其发光二极管（LED）应排列成同心圆形。</w:t>
      </w:r>
    </w:p>
    <w:p w14:paraId="37B90AA4">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②灯具几何位置分布是否正确；</w:t>
      </w:r>
    </w:p>
    <w:p w14:paraId="33030148">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③灯盘有无缺色、目视灯盘有无频闪等；</w:t>
      </w:r>
    </w:p>
    <w:p w14:paraId="7E8C84D5">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④灯具正面是否与地面垂直；</w:t>
      </w:r>
    </w:p>
    <w:p w14:paraId="2D093243">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⑤信号灯设置点位是否便于交通参与者观察：在机动车停车线看机动车灯、在非机动车停车线看非机动车灯、在行人等待区看人行横道灯；</w:t>
      </w:r>
    </w:p>
    <w:p w14:paraId="7FFE9981">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⑥信号灯是否存在遮挡；</w:t>
      </w:r>
    </w:p>
    <w:p w14:paraId="6B0A360A">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⑦信号灯设置是否与标线或标志存在矛盾冲突。</w:t>
      </w:r>
    </w:p>
    <w:p w14:paraId="1AB582F8">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⑧灯具红、黄、绿三个灯色的排列顺序是否符合国家标准。</w:t>
      </w:r>
    </w:p>
    <w:p w14:paraId="470A7AF0">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（3）杆件部分</w:t>
      </w:r>
    </w:p>
    <w:p w14:paraId="132AC24B">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①杆件高度和净空高度是否符合设计：悬臂安装机动车灯具净空高度须在5.5-7 米、立柱式安装机动车灯具（含倒计时器）净空高度须在3 米以上、非机动车灯具（含倒计时器）净空高度须在2.5-3 米、人行横道灯具（含倒计时器）净空高度须在2-2.5 米。</w:t>
      </w:r>
    </w:p>
    <w:p w14:paraId="0D341A26">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②悬臂的长度是否符合设计标准；</w:t>
      </w:r>
    </w:p>
    <w:p w14:paraId="02D81881">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③灯杆的直径是否符合设计标准；</w:t>
      </w:r>
    </w:p>
    <w:p w14:paraId="108E6E74">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④杆件立杆是否与地面保持垂直，横杆是否与地面保持平行；</w:t>
      </w:r>
    </w:p>
    <w:p w14:paraId="51C6C96B">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⑤设计为无缝钢管、不允许拼接的杆件是否存在焊缝的问题；</w:t>
      </w:r>
    </w:p>
    <w:p w14:paraId="15BE968A">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⑥杆件颜色是否符合标准。</w:t>
      </w:r>
    </w:p>
    <w:p w14:paraId="6AD9A4E5">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⑦杆件是否有锈蚀。</w:t>
      </w:r>
    </w:p>
    <w:p w14:paraId="7C53365D">
      <w:pPr>
        <w:spacing w:line="480" w:lineRule="exact"/>
        <w:ind w:firstLine="600"/>
        <w:rPr>
          <w:rFonts w:hint="eastAsia" w:ascii="宋体" w:hAnsi="宋体" w:eastAsia="宋体" w:cs="宋体"/>
          <w:color w:val="auto"/>
          <w:sz w:val="24"/>
          <w:szCs w:val="21"/>
        </w:rPr>
      </w:pPr>
      <w:r>
        <w:rPr>
          <w:rFonts w:hint="eastAsia" w:ascii="宋体" w:hAnsi="宋体" w:eastAsia="宋体" w:cs="宋体"/>
          <w:color w:val="auto"/>
          <w:sz w:val="24"/>
          <w:szCs w:val="21"/>
        </w:rPr>
        <w:t>（4）基础部分</w:t>
      </w:r>
    </w:p>
    <w:p w14:paraId="3882AD2A">
      <w:pPr>
        <w:spacing w:line="480" w:lineRule="exact"/>
        <w:ind w:firstLine="600"/>
        <w:rPr>
          <w:rFonts w:hint="eastAsia" w:ascii="宋体" w:hAnsi="宋体" w:eastAsia="宋体" w:cs="宋体"/>
          <w:color w:val="auto"/>
          <w:sz w:val="24"/>
          <w:szCs w:val="21"/>
        </w:rPr>
      </w:pPr>
      <w:r>
        <w:rPr>
          <w:rFonts w:hint="eastAsia" w:ascii="宋体" w:hAnsi="宋体" w:eastAsia="宋体" w:cs="宋体"/>
          <w:color w:val="auto"/>
          <w:sz w:val="24"/>
          <w:szCs w:val="21"/>
        </w:rPr>
        <w:t>基础是否按设计标准将杆件加筋肋预埋在地平面以下。</w:t>
      </w:r>
    </w:p>
    <w:p w14:paraId="7A8F57DE">
      <w:pPr>
        <w:spacing w:line="480" w:lineRule="exact"/>
        <w:ind w:firstLine="600"/>
        <w:rPr>
          <w:rFonts w:hint="eastAsia" w:ascii="宋体" w:hAnsi="宋体" w:eastAsia="宋体" w:cs="宋体"/>
          <w:color w:val="auto"/>
          <w:sz w:val="24"/>
          <w:szCs w:val="21"/>
        </w:rPr>
      </w:pPr>
      <w:r>
        <w:rPr>
          <w:rFonts w:hint="eastAsia" w:ascii="宋体" w:hAnsi="宋体" w:eastAsia="宋体" w:cs="宋体"/>
          <w:color w:val="auto"/>
          <w:sz w:val="24"/>
          <w:szCs w:val="21"/>
        </w:rPr>
        <w:t>（5）窨井部分</w:t>
      </w:r>
    </w:p>
    <w:p w14:paraId="2E993A56">
      <w:pPr>
        <w:spacing w:line="480" w:lineRule="exact"/>
        <w:ind w:firstLine="600"/>
        <w:rPr>
          <w:rFonts w:hint="eastAsia" w:ascii="宋体" w:hAnsi="宋体" w:eastAsia="宋体" w:cs="宋体"/>
          <w:color w:val="auto"/>
          <w:sz w:val="24"/>
          <w:szCs w:val="21"/>
        </w:rPr>
      </w:pPr>
      <w:r>
        <w:rPr>
          <w:rFonts w:hint="eastAsia" w:ascii="宋体" w:hAnsi="宋体" w:eastAsia="宋体" w:cs="宋体"/>
          <w:color w:val="auto"/>
          <w:sz w:val="24"/>
          <w:szCs w:val="21"/>
        </w:rPr>
        <w:t>①井盖与地面有无高差（井与边缘路面高差不能大于5 毫米，井盖与井圈之间不能大于5 毫米）、井盖有无跛跷，有无响动等；</w:t>
      </w:r>
    </w:p>
    <w:p w14:paraId="2A9EAA00">
      <w:pPr>
        <w:spacing w:line="480" w:lineRule="exact"/>
        <w:ind w:firstLine="600"/>
        <w:rPr>
          <w:rFonts w:hint="eastAsia" w:ascii="宋体" w:hAnsi="宋体" w:eastAsia="宋体" w:cs="宋体"/>
          <w:color w:val="auto"/>
          <w:sz w:val="24"/>
          <w:szCs w:val="21"/>
        </w:rPr>
      </w:pPr>
      <w:r>
        <w:rPr>
          <w:rFonts w:hint="eastAsia" w:ascii="宋体" w:hAnsi="宋体" w:eastAsia="宋体" w:cs="宋体"/>
          <w:color w:val="auto"/>
          <w:sz w:val="24"/>
          <w:szCs w:val="21"/>
        </w:rPr>
        <w:t>②井盖型号是否与设计图、工程建设资料上的检测报告、合格证一致；</w:t>
      </w:r>
    </w:p>
    <w:p w14:paraId="3DAA846C">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③井的直径、深度是否符合设计标准,井底是否设有渗水孔；</w:t>
      </w:r>
    </w:p>
    <w:p w14:paraId="26A4741F">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④井周是否为砖砌或混凝土浇筑、井内壁是否光滑；</w:t>
      </w:r>
    </w:p>
    <w:p w14:paraId="2C1C6C55">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⑤井内是否有建渣等异物。</w:t>
      </w:r>
    </w:p>
    <w:p w14:paraId="541C3E2D">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（6）管道部分</w:t>
      </w:r>
    </w:p>
    <w:p w14:paraId="4507FED3">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①管道的埋深是否达到设计标准；</w:t>
      </w:r>
    </w:p>
    <w:p w14:paraId="67377DCA">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②井内的钢管、内套PVC 管、PE 管的直径和壁厚是否符合设计标准；</w:t>
      </w:r>
    </w:p>
    <w:p w14:paraId="2CE869D1">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③管件探出窨井或检查井内壁部分是否过长（不超过5 公分）；</w:t>
      </w:r>
    </w:p>
    <w:p w14:paraId="7CC107F4">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④管道是否有效贯通，通过拖动线缆、穿管器检查；</w:t>
      </w:r>
    </w:p>
    <w:p w14:paraId="49B1379C">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⑤管道数量、长度是否按要求埋设。</w:t>
      </w:r>
    </w:p>
    <w:p w14:paraId="0724FA5D">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（7）线缆部分</w:t>
      </w:r>
    </w:p>
    <w:p w14:paraId="37752830">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①是否为一根灯杆对应一根电缆线；</w:t>
      </w:r>
    </w:p>
    <w:p w14:paraId="35B89EC2">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②线缆芯数和横截面积是否符合设计标准；</w:t>
      </w:r>
    </w:p>
    <w:p w14:paraId="5BC57B0F">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③窨井或检查井内的线缆有无接头（不能有接头）；</w:t>
      </w:r>
    </w:p>
    <w:p w14:paraId="3C33BA91">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④线缆涉及的窨井是否进行有效清掏；窨井内的管道口是否进行有效封堵。</w:t>
      </w:r>
    </w:p>
    <w:p w14:paraId="5C5C4556">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⑤线缆长度是否与竣工文件一致。</w:t>
      </w:r>
    </w:p>
    <w:p w14:paraId="05B33774">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⑥线缆的计量办法：</w:t>
      </w:r>
    </w:p>
    <w:p w14:paraId="4AD517AE">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A.更换、新增线缆路径中，</w:t>
      </w:r>
    </w:p>
    <w:p w14:paraId="454C71C7">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管道线缆部分：机箱内按1.6 米计量；第一口窨井和最后一口窨井按照每口井2 米预留计量，其余井按0.5 米计量（每个井中至少盘留0.3m，低于0.3 米工程属质量不合格，多出部分不计量）；在灯杆接线孔内连接线端按预留0.5 米计量；</w:t>
      </w:r>
    </w:p>
    <w:p w14:paraId="5E1EB7ED">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上杆线部分：在灯杆接线孔内连接线端各按预留0.5 米计量；在上杆线灯具接线端按1 米计量。</w:t>
      </w:r>
    </w:p>
    <w:p w14:paraId="474E7761">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架空线缆部分：按现场实际架空长度计量。</w:t>
      </w:r>
    </w:p>
    <w:p w14:paraId="7E79F676">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B.相邻窨井之间的距离从窨井中心进行测量；信号机机柜与就近窨井之间的距离从机柜中心至窨井中心进行测量；灯杆与窨井之间的距离从灯杆中心至窨井中心进行测量；上杆线按实际上杆长度计量；</w:t>
      </w:r>
    </w:p>
    <w:p w14:paraId="75329534">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C.计算公式：</w:t>
      </w:r>
    </w:p>
    <w:p w14:paraId="03868D9F">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线缆总长=管道长度+上杆线长度+架空线长度</w:t>
      </w:r>
    </w:p>
    <w:p w14:paraId="349F2057">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管道长度=1.6 米（机箱线缆计量长度）+管道距离（井中心到井中心距离）+4 米（第一口井和最后一口井的计量长度）+中间井的个数×0.5 米（每个井计量长度）+0.5 米（灯杆接线孔连接线两端各预留计量长度）上杆线长度=0.5 米（灯杆接线孔连接线两端各预留计量长度）+1 米（上杆灯具连接线计量长度）+现场实际线缆杆内长度</w:t>
      </w:r>
    </w:p>
    <w:p w14:paraId="6CD598F2">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架空线长度按现场实际架空长度计算</w:t>
      </w:r>
    </w:p>
    <w:p w14:paraId="34D9C8C1">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计量范围外的部分由承建方自行承担</w:t>
      </w:r>
    </w:p>
    <w:p w14:paraId="11664215">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⑦线缆品牌、型号、规格是否与检测报告一致。</w:t>
      </w:r>
    </w:p>
    <w:p w14:paraId="6FA50A1A">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 xml:space="preserve"> (8)信号机部分</w:t>
      </w:r>
    </w:p>
    <w:p w14:paraId="28F18A1B">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①机箱内线缆布线是否整齐；</w:t>
      </w:r>
    </w:p>
    <w:p w14:paraId="06C36B1C">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②机箱进线孔是否进行了封堵；</w:t>
      </w:r>
    </w:p>
    <w:p w14:paraId="56842F83">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③机箱内线缆是否进行编号并挂铭牌；</w:t>
      </w:r>
    </w:p>
    <w:p w14:paraId="19C88643">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④机箱内是否有配时方案图、接线图、信号配时优化记录表、信号机校时记录表、日常维护记录表、安全检查记录表、基础数据登记表、基础数据调查变更表等相关图表；</w:t>
      </w:r>
    </w:p>
    <w:p w14:paraId="7D1BEB77">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⑤机箱内信号机品牌、型号以及组件数量是否与设计文件一致。</w:t>
      </w:r>
    </w:p>
    <w:p w14:paraId="70283438">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(9)地面部分</w:t>
      </w:r>
    </w:p>
    <w:p w14:paraId="1D44C712">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①绿化是否原状恢复。</w:t>
      </w:r>
    </w:p>
    <w:p w14:paraId="48218C45">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②信号机机柜基础、窨井周边的地面是否按要求施工。</w:t>
      </w:r>
    </w:p>
    <w:p w14:paraId="1E69FCDD">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(10)信号配时部分</w:t>
      </w:r>
    </w:p>
    <w:p w14:paraId="3430E04A">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①信号配时方案是否合理；</w:t>
      </w:r>
    </w:p>
    <w:p w14:paraId="6A32E008">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②相位之间是否存在冲突现象；</w:t>
      </w:r>
    </w:p>
    <w:p w14:paraId="75E9EABA">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③绿闪、黄灯是否有效设置；</w:t>
      </w:r>
    </w:p>
    <w:p w14:paraId="35905BEC">
      <w:pPr>
        <w:spacing w:line="48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④倒计时器与信号灯显示是否一致。</w:t>
      </w:r>
    </w:p>
    <w:p w14:paraId="17E81DF3">
      <w:pPr>
        <w:spacing w:line="480" w:lineRule="exact"/>
        <w:ind w:firstLine="482" w:firstLineChars="200"/>
        <w:rPr>
          <w:rFonts w:hint="eastAsia" w:ascii="宋体" w:hAnsi="宋体" w:eastAsia="宋体" w:cs="宋体"/>
          <w:b/>
          <w:bCs/>
          <w:color w:val="auto"/>
          <w:sz w:val="24"/>
          <w:szCs w:val="21"/>
        </w:rPr>
      </w:pPr>
      <w:r>
        <w:rPr>
          <w:rFonts w:hint="eastAsia" w:ascii="宋体" w:hAnsi="宋体" w:eastAsia="宋体" w:cs="宋体"/>
          <w:b/>
          <w:bCs/>
          <w:color w:val="auto"/>
          <w:sz w:val="24"/>
          <w:szCs w:val="21"/>
          <w:lang w:eastAsia="zh-CN"/>
        </w:rPr>
        <w:t>6</w:t>
      </w:r>
      <w:r>
        <w:rPr>
          <w:rFonts w:hint="eastAsia" w:ascii="宋体" w:hAnsi="宋体" w:eastAsia="宋体" w:cs="宋体"/>
          <w:b/>
          <w:bCs/>
          <w:color w:val="auto"/>
          <w:sz w:val="24"/>
          <w:szCs w:val="21"/>
        </w:rPr>
        <w:t>.2交通技术监控等设备验收标准</w:t>
      </w:r>
    </w:p>
    <w:p w14:paraId="13B703EA">
      <w:pPr>
        <w:spacing w:line="480" w:lineRule="exact"/>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1"/>
        </w:rPr>
        <w:t>交通技术监控等设备需按照投标型号入场，安装完成后必须接入海康平台</w:t>
      </w:r>
      <w:r>
        <w:rPr>
          <w:rFonts w:hint="eastAsia" w:ascii="宋体" w:hAnsi="宋体" w:eastAsia="宋体" w:cs="宋体"/>
          <w:color w:val="auto"/>
          <w:sz w:val="24"/>
          <w:szCs w:val="21"/>
          <w:lang w:eastAsia="zh-CN"/>
        </w:rPr>
        <w:t>（</w:t>
      </w:r>
      <w:r>
        <w:rPr>
          <w:rFonts w:hint="eastAsia" w:ascii="宋体" w:hAnsi="宋体" w:eastAsia="宋体" w:cs="宋体"/>
          <w:color w:val="auto"/>
          <w:sz w:val="24"/>
          <w:szCs w:val="21"/>
          <w:lang w:val="en-US" w:eastAsia="zh-CN"/>
        </w:rPr>
        <w:t>无通讯资源除外</w:t>
      </w:r>
      <w:r>
        <w:rPr>
          <w:rFonts w:hint="eastAsia" w:ascii="宋体" w:hAnsi="宋体" w:eastAsia="宋体" w:cs="宋体"/>
          <w:color w:val="auto"/>
          <w:sz w:val="24"/>
          <w:szCs w:val="21"/>
          <w:lang w:eastAsia="zh-CN"/>
        </w:rPr>
        <w:t>）</w:t>
      </w:r>
      <w:r>
        <w:rPr>
          <w:rFonts w:hint="eastAsia" w:ascii="宋体" w:hAnsi="宋体" w:eastAsia="宋体" w:cs="宋体"/>
          <w:color w:val="auto"/>
          <w:sz w:val="24"/>
          <w:szCs w:val="21"/>
        </w:rPr>
        <w:t>，满足交警使用要求，基础、线缆、杆体、窨井等参见红绿灯验收标准及相应国标。</w:t>
      </w:r>
    </w:p>
    <w:p w14:paraId="512626F6">
      <w:pPr>
        <w:keepNext w:val="0"/>
        <w:keepLines w:val="0"/>
        <w:pageBreakBefore w:val="0"/>
        <w:widowControl/>
        <w:kinsoku/>
        <w:wordWrap/>
        <w:overflowPunct/>
        <w:topLinePunct w:val="0"/>
        <w:autoSpaceDE/>
        <w:autoSpaceDN/>
        <w:bidi w:val="0"/>
        <w:adjustRightInd/>
        <w:snapToGrid/>
        <w:spacing w:line="480" w:lineRule="exact"/>
        <w:ind w:firstLine="516"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color w:val="auto"/>
          <w:spacing w:val="9"/>
          <w:sz w:val="24"/>
          <w:szCs w:val="21"/>
        </w:rPr>
        <w:t>备</w:t>
      </w:r>
      <w:r>
        <w:rPr>
          <w:rFonts w:hint="eastAsia" w:ascii="宋体" w:hAnsi="宋体" w:eastAsia="宋体" w:cs="宋体"/>
          <w:color w:val="auto"/>
          <w:spacing w:val="7"/>
          <w:sz w:val="24"/>
          <w:szCs w:val="21"/>
        </w:rPr>
        <w:t>注：合同执行期间，</w:t>
      </w:r>
      <w:r>
        <w:rPr>
          <w:rFonts w:hint="eastAsia" w:ascii="宋体" w:hAnsi="宋体" w:eastAsia="宋体" w:cs="宋体"/>
          <w:color w:val="auto"/>
          <w:spacing w:val="7"/>
          <w:sz w:val="24"/>
          <w:szCs w:val="21"/>
          <w:lang w:val="en-US" w:eastAsia="zh-CN"/>
        </w:rPr>
        <w:t>如涉及迁移、拆除、开挖等对原有设备位置及其他进行更改时，运维单位需提供有设计资质单位出具的设计图报监理审核</w:t>
      </w:r>
      <w:r>
        <w:rPr>
          <w:rFonts w:hint="eastAsia" w:ascii="宋体" w:hAnsi="宋体" w:eastAsia="宋体" w:cs="宋体"/>
          <w:color w:val="auto"/>
          <w:spacing w:val="9"/>
          <w:sz w:val="24"/>
          <w:szCs w:val="21"/>
        </w:rPr>
        <w:t>。</w:t>
      </w:r>
    </w:p>
    <w:p w14:paraId="501367CC">
      <w:pPr>
        <w:spacing w:before="0" w:line="480" w:lineRule="exact"/>
        <w:ind w:left="0" w:right="262" w:firstLine="482" w:firstLineChars="200"/>
        <w:rPr>
          <w:rFonts w:hint="eastAsia" w:ascii="宋体" w:hAnsi="宋体" w:eastAsia="宋体" w:cs="宋体"/>
          <w:color w:val="auto"/>
          <w:spacing w:val="9"/>
          <w:sz w:val="24"/>
          <w:szCs w:val="21"/>
        </w:rPr>
      </w:pPr>
      <w:r>
        <w:rPr>
          <w:rFonts w:hint="eastAsia" w:ascii="宋体" w:hAnsi="宋体" w:eastAsia="宋体" w:cs="宋体"/>
          <w:b/>
          <w:bCs/>
          <w:color w:val="auto"/>
          <w:sz w:val="24"/>
          <w:szCs w:val="24"/>
          <w:lang w:val="en-US" w:eastAsia="zh-CN"/>
        </w:rPr>
        <w:t>七</w:t>
      </w:r>
      <w:r>
        <w:rPr>
          <w:rFonts w:hint="eastAsia" w:ascii="宋体" w:hAnsi="宋体" w:eastAsia="宋体" w:cs="宋体"/>
          <w:b/>
          <w:bCs/>
          <w:color w:val="auto"/>
          <w:sz w:val="24"/>
          <w:szCs w:val="24"/>
          <w:lang w:eastAsia="zh-CN"/>
        </w:rPr>
        <w:t>、</w:t>
      </w:r>
      <w:r>
        <w:rPr>
          <w:rFonts w:hint="eastAsia" w:ascii="宋体" w:hAnsi="宋体" w:eastAsia="宋体" w:cs="宋体"/>
          <w:b/>
          <w:bCs/>
          <w:color w:val="auto"/>
          <w:kern w:val="2"/>
          <w:sz w:val="24"/>
          <w:szCs w:val="24"/>
          <w:lang w:val="en-US" w:eastAsia="zh-CN" w:bidi="ar-SA"/>
        </w:rPr>
        <w:t>其他要求</w:t>
      </w:r>
    </w:p>
    <w:p w14:paraId="196FC0CA">
      <w:pPr>
        <w:keepNext w:val="0"/>
        <w:keepLines w:val="0"/>
        <w:pageBreakBefore w:val="0"/>
        <w:widowControl w:val="0"/>
        <w:kinsoku/>
        <w:wordWrap/>
        <w:overflowPunct/>
        <w:topLinePunct w:val="0"/>
        <w:autoSpaceDE/>
        <w:autoSpaceDN/>
        <w:bidi w:val="0"/>
        <w:adjustRightInd/>
        <w:snapToGrid/>
        <w:spacing w:before="0" w:line="460" w:lineRule="exact"/>
        <w:ind w:left="0" w:right="0" w:firstLine="516" w:firstLineChars="200"/>
        <w:textAlignment w:val="auto"/>
        <w:rPr>
          <w:rFonts w:hint="eastAsia" w:ascii="宋体" w:hAnsi="宋体" w:eastAsia="宋体" w:cs="宋体"/>
          <w:color w:val="auto"/>
          <w:spacing w:val="9"/>
          <w:sz w:val="24"/>
          <w:szCs w:val="21"/>
        </w:rPr>
      </w:pPr>
      <w:r>
        <w:rPr>
          <w:rFonts w:hint="eastAsia" w:ascii="宋体" w:hAnsi="宋体" w:eastAsia="宋体" w:cs="宋体"/>
          <w:color w:val="auto"/>
          <w:spacing w:val="9"/>
          <w:sz w:val="24"/>
          <w:szCs w:val="21"/>
          <w:lang w:val="en-US" w:eastAsia="zh-CN"/>
        </w:rPr>
        <w:t>7</w:t>
      </w:r>
      <w:r>
        <w:rPr>
          <w:rFonts w:hint="eastAsia" w:ascii="宋体" w:hAnsi="宋体" w:eastAsia="宋体" w:cs="宋体"/>
          <w:color w:val="auto"/>
          <w:spacing w:val="9"/>
          <w:sz w:val="24"/>
          <w:szCs w:val="21"/>
        </w:rPr>
        <w:t>.1</w:t>
      </w:r>
      <w:r>
        <w:rPr>
          <w:rFonts w:hint="eastAsia" w:ascii="宋体" w:hAnsi="宋体" w:eastAsia="宋体" w:cs="宋体"/>
          <w:color w:val="auto"/>
          <w:spacing w:val="9"/>
          <w:sz w:val="24"/>
          <w:szCs w:val="21"/>
          <w:lang w:eastAsia="zh-CN"/>
        </w:rPr>
        <w:t>运维</w:t>
      </w:r>
      <w:r>
        <w:rPr>
          <w:rFonts w:hint="eastAsia" w:ascii="宋体" w:hAnsi="宋体" w:eastAsia="宋体" w:cs="宋体"/>
          <w:color w:val="auto"/>
          <w:spacing w:val="9"/>
          <w:sz w:val="24"/>
          <w:szCs w:val="21"/>
        </w:rPr>
        <w:t>单位应依据系统运行维护工作规范，结合交警业务工作需求和系统运行保障要求，制定系统运行维护制度，明确人员和职责，强化考核与监督，并建立台账管理机制，落实各项维护工作事项。</w:t>
      </w:r>
    </w:p>
    <w:p w14:paraId="58DBFBFE">
      <w:pPr>
        <w:keepNext w:val="0"/>
        <w:keepLines w:val="0"/>
        <w:pageBreakBefore w:val="0"/>
        <w:widowControl w:val="0"/>
        <w:kinsoku/>
        <w:wordWrap/>
        <w:overflowPunct/>
        <w:topLinePunct w:val="0"/>
        <w:autoSpaceDE/>
        <w:autoSpaceDN/>
        <w:bidi w:val="0"/>
        <w:adjustRightInd/>
        <w:snapToGrid/>
        <w:spacing w:before="0" w:line="460" w:lineRule="exact"/>
        <w:ind w:left="0" w:right="0" w:firstLine="516" w:firstLineChars="200"/>
        <w:textAlignment w:val="auto"/>
        <w:rPr>
          <w:rFonts w:hint="eastAsia" w:ascii="宋体" w:hAnsi="宋体" w:eastAsia="宋体" w:cs="宋体"/>
          <w:color w:val="auto"/>
          <w:spacing w:val="9"/>
          <w:sz w:val="24"/>
          <w:szCs w:val="21"/>
        </w:rPr>
      </w:pPr>
      <w:r>
        <w:rPr>
          <w:rFonts w:hint="eastAsia" w:ascii="宋体" w:hAnsi="宋体" w:eastAsia="宋体" w:cs="宋体"/>
          <w:color w:val="auto"/>
          <w:spacing w:val="9"/>
          <w:sz w:val="24"/>
          <w:szCs w:val="21"/>
          <w:lang w:val="en-US" w:eastAsia="zh-CN"/>
        </w:rPr>
        <w:t>7</w:t>
      </w:r>
      <w:r>
        <w:rPr>
          <w:rFonts w:hint="eastAsia" w:ascii="宋体" w:hAnsi="宋体" w:eastAsia="宋体" w:cs="宋体"/>
          <w:color w:val="auto"/>
          <w:spacing w:val="9"/>
          <w:sz w:val="24"/>
          <w:szCs w:val="21"/>
        </w:rPr>
        <w:t>.2</w:t>
      </w:r>
      <w:r>
        <w:rPr>
          <w:rFonts w:hint="eastAsia" w:ascii="宋体" w:hAnsi="宋体" w:eastAsia="宋体" w:cs="宋体"/>
          <w:color w:val="auto"/>
          <w:spacing w:val="9"/>
          <w:sz w:val="24"/>
          <w:szCs w:val="21"/>
          <w:lang w:eastAsia="zh-CN"/>
        </w:rPr>
        <w:t>运维</w:t>
      </w:r>
      <w:r>
        <w:rPr>
          <w:rFonts w:hint="eastAsia" w:ascii="宋体" w:hAnsi="宋体" w:eastAsia="宋体" w:cs="宋体"/>
          <w:color w:val="auto"/>
          <w:spacing w:val="9"/>
          <w:sz w:val="24"/>
          <w:szCs w:val="21"/>
        </w:rPr>
        <w:t>单位应严格管理所有的维护工作人员，严格遵守交警部门办公场所秩序。</w:t>
      </w:r>
    </w:p>
    <w:p w14:paraId="53AA93AD">
      <w:pPr>
        <w:keepNext w:val="0"/>
        <w:keepLines w:val="0"/>
        <w:pageBreakBefore w:val="0"/>
        <w:widowControl w:val="0"/>
        <w:kinsoku/>
        <w:wordWrap/>
        <w:overflowPunct/>
        <w:topLinePunct w:val="0"/>
        <w:autoSpaceDE/>
        <w:autoSpaceDN/>
        <w:bidi w:val="0"/>
        <w:adjustRightInd/>
        <w:snapToGrid/>
        <w:spacing w:before="0" w:line="460" w:lineRule="exact"/>
        <w:ind w:left="0" w:right="0" w:firstLine="516" w:firstLineChars="200"/>
        <w:textAlignment w:val="auto"/>
        <w:rPr>
          <w:rFonts w:hint="eastAsia" w:ascii="宋体" w:hAnsi="宋体" w:eastAsia="宋体" w:cs="宋体"/>
          <w:color w:val="auto"/>
          <w:spacing w:val="9"/>
          <w:sz w:val="24"/>
          <w:szCs w:val="21"/>
        </w:rPr>
      </w:pPr>
      <w:r>
        <w:rPr>
          <w:rFonts w:hint="eastAsia" w:ascii="宋体" w:hAnsi="宋体" w:eastAsia="宋体" w:cs="宋体"/>
          <w:color w:val="auto"/>
          <w:spacing w:val="9"/>
          <w:sz w:val="24"/>
          <w:szCs w:val="21"/>
          <w:lang w:val="en-US" w:eastAsia="zh-CN"/>
        </w:rPr>
        <w:t>7</w:t>
      </w:r>
      <w:r>
        <w:rPr>
          <w:rFonts w:hint="eastAsia" w:ascii="宋体" w:hAnsi="宋体" w:eastAsia="宋体" w:cs="宋体"/>
          <w:color w:val="auto"/>
          <w:spacing w:val="9"/>
          <w:sz w:val="24"/>
          <w:szCs w:val="21"/>
        </w:rPr>
        <w:t>.3前端系统维护工作中，由</w:t>
      </w:r>
      <w:r>
        <w:rPr>
          <w:rFonts w:hint="eastAsia" w:ascii="宋体" w:hAnsi="宋体" w:eastAsia="宋体" w:cs="宋体"/>
          <w:color w:val="auto"/>
          <w:spacing w:val="9"/>
          <w:sz w:val="24"/>
          <w:szCs w:val="21"/>
          <w:lang w:eastAsia="zh-CN"/>
        </w:rPr>
        <w:t>运维</w:t>
      </w:r>
      <w:r>
        <w:rPr>
          <w:rFonts w:hint="eastAsia" w:ascii="宋体" w:hAnsi="宋体" w:eastAsia="宋体" w:cs="宋体"/>
          <w:color w:val="auto"/>
          <w:spacing w:val="9"/>
          <w:sz w:val="24"/>
          <w:szCs w:val="21"/>
        </w:rPr>
        <w:t>单位提供辅件辅材，数量见项目工程清单且据实计量。前端系统所有器件（含摄像机、镜头、控制主机、补光装置等）人为损坏或被盗、遗失的，</w:t>
      </w:r>
      <w:r>
        <w:rPr>
          <w:rFonts w:hint="eastAsia" w:ascii="宋体" w:hAnsi="宋体" w:eastAsia="宋体" w:cs="宋体"/>
          <w:color w:val="auto"/>
          <w:spacing w:val="9"/>
          <w:sz w:val="24"/>
          <w:szCs w:val="21"/>
          <w:lang w:eastAsia="zh-CN"/>
        </w:rPr>
        <w:t>运维</w:t>
      </w:r>
      <w:r>
        <w:rPr>
          <w:rFonts w:hint="eastAsia" w:ascii="宋体" w:hAnsi="宋体" w:eastAsia="宋体" w:cs="宋体"/>
          <w:color w:val="auto"/>
          <w:spacing w:val="9"/>
          <w:sz w:val="24"/>
          <w:szCs w:val="21"/>
        </w:rPr>
        <w:t>单位须提供设备丢失地所属公安机关盖章的报案材料，更换补充的器件及相关更换费用由交警承担，否则</w:t>
      </w:r>
      <w:r>
        <w:rPr>
          <w:rFonts w:hint="eastAsia" w:ascii="宋体" w:hAnsi="宋体" w:eastAsia="宋体" w:cs="宋体"/>
          <w:color w:val="auto"/>
          <w:spacing w:val="9"/>
          <w:sz w:val="24"/>
          <w:szCs w:val="21"/>
          <w:lang w:eastAsia="zh-CN"/>
        </w:rPr>
        <w:t>运维</w:t>
      </w:r>
      <w:r>
        <w:rPr>
          <w:rFonts w:hint="eastAsia" w:ascii="宋体" w:hAnsi="宋体" w:eastAsia="宋体" w:cs="宋体"/>
          <w:color w:val="auto"/>
          <w:spacing w:val="9"/>
          <w:sz w:val="24"/>
          <w:szCs w:val="21"/>
        </w:rPr>
        <w:t>单位负责无偿恢复。</w:t>
      </w:r>
    </w:p>
    <w:p w14:paraId="1B871B31">
      <w:pPr>
        <w:keepNext w:val="0"/>
        <w:keepLines w:val="0"/>
        <w:pageBreakBefore w:val="0"/>
        <w:widowControl w:val="0"/>
        <w:kinsoku/>
        <w:wordWrap/>
        <w:overflowPunct/>
        <w:topLinePunct w:val="0"/>
        <w:autoSpaceDE/>
        <w:autoSpaceDN/>
        <w:bidi w:val="0"/>
        <w:adjustRightInd/>
        <w:snapToGrid/>
        <w:spacing w:before="0" w:line="460" w:lineRule="exact"/>
        <w:ind w:left="0" w:right="0" w:firstLine="516" w:firstLineChars="200"/>
        <w:textAlignment w:val="auto"/>
        <w:rPr>
          <w:rFonts w:hint="eastAsia" w:ascii="宋体" w:hAnsi="宋体" w:eastAsia="宋体" w:cs="宋体"/>
          <w:color w:val="auto"/>
          <w:spacing w:val="9"/>
          <w:sz w:val="24"/>
          <w:szCs w:val="21"/>
        </w:rPr>
      </w:pPr>
      <w:r>
        <w:rPr>
          <w:rFonts w:hint="eastAsia" w:ascii="宋体" w:hAnsi="宋体" w:eastAsia="宋体" w:cs="宋体"/>
          <w:color w:val="auto"/>
          <w:spacing w:val="9"/>
          <w:sz w:val="24"/>
          <w:szCs w:val="21"/>
          <w:lang w:val="en-US" w:eastAsia="zh-CN"/>
        </w:rPr>
        <w:t>7</w:t>
      </w:r>
      <w:r>
        <w:rPr>
          <w:rFonts w:hint="eastAsia" w:ascii="宋体" w:hAnsi="宋体" w:eastAsia="宋体" w:cs="宋体"/>
          <w:color w:val="auto"/>
          <w:spacing w:val="9"/>
          <w:sz w:val="24"/>
          <w:szCs w:val="21"/>
        </w:rPr>
        <w:t>.4</w:t>
      </w:r>
      <w:r>
        <w:rPr>
          <w:rFonts w:hint="eastAsia" w:ascii="宋体" w:hAnsi="宋体" w:eastAsia="宋体" w:cs="宋体"/>
          <w:color w:val="auto"/>
          <w:spacing w:val="9"/>
          <w:sz w:val="24"/>
          <w:szCs w:val="21"/>
          <w:lang w:eastAsia="zh-CN"/>
        </w:rPr>
        <w:t>运维</w:t>
      </w:r>
      <w:r>
        <w:rPr>
          <w:rFonts w:hint="eastAsia" w:ascii="宋体" w:hAnsi="宋体" w:eastAsia="宋体" w:cs="宋体"/>
          <w:color w:val="auto"/>
          <w:spacing w:val="9"/>
          <w:sz w:val="24"/>
          <w:szCs w:val="21"/>
        </w:rPr>
        <w:t>单位负责配合采购人对项目资料、库存物品等进行移交。</w:t>
      </w:r>
    </w:p>
    <w:p w14:paraId="79784B5F">
      <w:pPr>
        <w:keepNext w:val="0"/>
        <w:keepLines w:val="0"/>
        <w:pageBreakBefore w:val="0"/>
        <w:widowControl w:val="0"/>
        <w:kinsoku/>
        <w:wordWrap/>
        <w:overflowPunct/>
        <w:topLinePunct w:val="0"/>
        <w:autoSpaceDE/>
        <w:autoSpaceDN/>
        <w:bidi w:val="0"/>
        <w:adjustRightInd/>
        <w:snapToGrid/>
        <w:spacing w:before="0" w:line="460" w:lineRule="exact"/>
        <w:ind w:left="0" w:right="0" w:firstLine="516" w:firstLineChars="200"/>
        <w:textAlignment w:val="auto"/>
        <w:rPr>
          <w:rFonts w:hint="eastAsia" w:ascii="宋体" w:hAnsi="宋体" w:eastAsia="宋体" w:cs="宋体"/>
          <w:color w:val="auto"/>
          <w:spacing w:val="9"/>
          <w:sz w:val="24"/>
          <w:szCs w:val="21"/>
        </w:rPr>
      </w:pPr>
      <w:r>
        <w:rPr>
          <w:rFonts w:hint="eastAsia" w:ascii="宋体" w:hAnsi="宋体" w:eastAsia="宋体" w:cs="宋体"/>
          <w:color w:val="auto"/>
          <w:spacing w:val="9"/>
          <w:sz w:val="24"/>
          <w:szCs w:val="21"/>
          <w:lang w:val="en-US" w:eastAsia="zh-CN"/>
        </w:rPr>
        <w:t>7</w:t>
      </w:r>
      <w:r>
        <w:rPr>
          <w:rFonts w:hint="eastAsia" w:ascii="宋体" w:hAnsi="宋体" w:eastAsia="宋体" w:cs="宋体"/>
          <w:color w:val="auto"/>
          <w:spacing w:val="9"/>
          <w:sz w:val="24"/>
          <w:szCs w:val="21"/>
        </w:rPr>
        <w:t>.5</w:t>
      </w:r>
      <w:r>
        <w:rPr>
          <w:rFonts w:hint="eastAsia" w:ascii="宋体" w:hAnsi="宋体" w:eastAsia="宋体" w:cs="宋体"/>
          <w:color w:val="auto"/>
          <w:spacing w:val="9"/>
          <w:sz w:val="24"/>
          <w:szCs w:val="21"/>
          <w:lang w:eastAsia="zh-CN"/>
        </w:rPr>
        <w:t>运维</w:t>
      </w:r>
      <w:r>
        <w:rPr>
          <w:rFonts w:hint="eastAsia" w:ascii="宋体" w:hAnsi="宋体" w:eastAsia="宋体" w:cs="宋体"/>
          <w:color w:val="auto"/>
          <w:spacing w:val="9"/>
          <w:sz w:val="24"/>
          <w:szCs w:val="21"/>
        </w:rPr>
        <w:t>单位负责运行维护期间的生产安全工作，因</w:t>
      </w:r>
      <w:r>
        <w:rPr>
          <w:rFonts w:hint="eastAsia" w:ascii="宋体" w:hAnsi="宋体" w:eastAsia="宋体" w:cs="宋体"/>
          <w:color w:val="auto"/>
          <w:spacing w:val="9"/>
          <w:sz w:val="24"/>
          <w:szCs w:val="21"/>
          <w:lang w:eastAsia="zh-CN"/>
        </w:rPr>
        <w:t>运维</w:t>
      </w:r>
      <w:r>
        <w:rPr>
          <w:rFonts w:hint="eastAsia" w:ascii="宋体" w:hAnsi="宋体" w:eastAsia="宋体" w:cs="宋体"/>
          <w:color w:val="auto"/>
          <w:spacing w:val="9"/>
          <w:sz w:val="24"/>
          <w:szCs w:val="21"/>
        </w:rPr>
        <w:t>单位的责任所造成的火灾、财产毁损、人员伤亡等安全事故，由</w:t>
      </w:r>
      <w:r>
        <w:rPr>
          <w:rFonts w:hint="eastAsia" w:ascii="宋体" w:hAnsi="宋体" w:eastAsia="宋体" w:cs="宋体"/>
          <w:color w:val="auto"/>
          <w:spacing w:val="9"/>
          <w:sz w:val="24"/>
          <w:szCs w:val="21"/>
          <w:lang w:eastAsia="zh-CN"/>
        </w:rPr>
        <w:t>运维</w:t>
      </w:r>
      <w:r>
        <w:rPr>
          <w:rFonts w:hint="eastAsia" w:ascii="宋体" w:hAnsi="宋体" w:eastAsia="宋体" w:cs="宋体"/>
          <w:color w:val="auto"/>
          <w:spacing w:val="9"/>
          <w:sz w:val="24"/>
          <w:szCs w:val="21"/>
        </w:rPr>
        <w:t>单位自行负责，采购人对此不承担一切责任和义务。</w:t>
      </w:r>
    </w:p>
    <w:p w14:paraId="1439C7BD">
      <w:pPr>
        <w:keepNext w:val="0"/>
        <w:keepLines w:val="0"/>
        <w:pageBreakBefore w:val="0"/>
        <w:widowControl w:val="0"/>
        <w:kinsoku/>
        <w:wordWrap/>
        <w:overflowPunct/>
        <w:topLinePunct w:val="0"/>
        <w:autoSpaceDE/>
        <w:autoSpaceDN/>
        <w:bidi w:val="0"/>
        <w:adjustRightInd/>
        <w:snapToGrid/>
        <w:spacing w:before="0" w:line="460" w:lineRule="exact"/>
        <w:ind w:left="0" w:right="0" w:firstLine="516" w:firstLineChars="200"/>
        <w:textAlignment w:val="auto"/>
        <w:rPr>
          <w:rFonts w:hint="eastAsia" w:ascii="宋体" w:hAnsi="宋体" w:eastAsia="宋体" w:cs="宋体"/>
          <w:color w:val="auto"/>
          <w:spacing w:val="9"/>
          <w:sz w:val="24"/>
          <w:szCs w:val="21"/>
        </w:rPr>
      </w:pPr>
      <w:r>
        <w:rPr>
          <w:rFonts w:hint="eastAsia" w:ascii="宋体" w:hAnsi="宋体" w:eastAsia="宋体" w:cs="宋体"/>
          <w:color w:val="auto"/>
          <w:spacing w:val="9"/>
          <w:sz w:val="24"/>
          <w:szCs w:val="21"/>
          <w:lang w:val="en-US" w:eastAsia="zh-CN"/>
        </w:rPr>
        <w:t>7</w:t>
      </w:r>
      <w:r>
        <w:rPr>
          <w:rFonts w:hint="eastAsia" w:ascii="宋体" w:hAnsi="宋体" w:eastAsia="宋体" w:cs="宋体"/>
          <w:color w:val="auto"/>
          <w:spacing w:val="9"/>
          <w:sz w:val="24"/>
          <w:szCs w:val="21"/>
        </w:rPr>
        <w:t>.6由于火灾原因导致的设备破坏：责任划分以消防部门出具的关于火灾的鉴定报告为准，若因火灾发现不及时导致无法出具该报告或报告显示为设备自身原因的，不属于非质量问题与不可抗力因素的范畴，维修费用由</w:t>
      </w:r>
      <w:r>
        <w:rPr>
          <w:rFonts w:hint="eastAsia" w:ascii="宋体" w:hAnsi="宋体" w:eastAsia="宋体" w:cs="宋体"/>
          <w:color w:val="auto"/>
          <w:spacing w:val="9"/>
          <w:sz w:val="24"/>
          <w:szCs w:val="21"/>
          <w:lang w:eastAsia="zh-CN"/>
        </w:rPr>
        <w:t>运维</w:t>
      </w:r>
      <w:r>
        <w:rPr>
          <w:rFonts w:hint="eastAsia" w:ascii="宋体" w:hAnsi="宋体" w:eastAsia="宋体" w:cs="宋体"/>
          <w:color w:val="auto"/>
          <w:spacing w:val="9"/>
          <w:sz w:val="24"/>
          <w:szCs w:val="21"/>
        </w:rPr>
        <w:t>单位自行承担。</w:t>
      </w:r>
    </w:p>
    <w:p w14:paraId="0DB601E9">
      <w:pPr>
        <w:keepNext w:val="0"/>
        <w:keepLines w:val="0"/>
        <w:pageBreakBefore w:val="0"/>
        <w:widowControl w:val="0"/>
        <w:kinsoku/>
        <w:wordWrap/>
        <w:overflowPunct/>
        <w:topLinePunct w:val="0"/>
        <w:autoSpaceDE/>
        <w:autoSpaceDN/>
        <w:bidi w:val="0"/>
        <w:adjustRightInd/>
        <w:snapToGrid/>
        <w:spacing w:before="0" w:line="460" w:lineRule="exact"/>
        <w:ind w:left="0" w:right="0" w:firstLine="516" w:firstLineChars="200"/>
        <w:textAlignment w:val="auto"/>
        <w:rPr>
          <w:rFonts w:hint="eastAsia" w:ascii="宋体" w:hAnsi="宋体" w:eastAsia="宋体" w:cs="宋体"/>
          <w:color w:val="auto"/>
          <w:spacing w:val="9"/>
          <w:sz w:val="24"/>
          <w:szCs w:val="21"/>
        </w:rPr>
      </w:pPr>
      <w:r>
        <w:rPr>
          <w:rFonts w:hint="eastAsia" w:ascii="宋体" w:hAnsi="宋体" w:eastAsia="宋体" w:cs="宋体"/>
          <w:color w:val="auto"/>
          <w:spacing w:val="9"/>
          <w:sz w:val="24"/>
          <w:szCs w:val="21"/>
          <w:lang w:val="en-US" w:eastAsia="zh-CN"/>
        </w:rPr>
        <w:t>7</w:t>
      </w:r>
      <w:r>
        <w:rPr>
          <w:rFonts w:hint="eastAsia" w:ascii="宋体" w:hAnsi="宋体" w:eastAsia="宋体" w:cs="宋体"/>
          <w:color w:val="auto"/>
          <w:spacing w:val="9"/>
          <w:sz w:val="24"/>
          <w:szCs w:val="21"/>
        </w:rPr>
        <w:t>.7</w:t>
      </w:r>
      <w:r>
        <w:rPr>
          <w:rFonts w:hint="eastAsia" w:ascii="宋体" w:hAnsi="宋体" w:eastAsia="宋体" w:cs="宋体"/>
          <w:color w:val="auto"/>
          <w:spacing w:val="9"/>
          <w:sz w:val="24"/>
          <w:szCs w:val="21"/>
          <w:lang w:eastAsia="zh-CN"/>
        </w:rPr>
        <w:t>运维</w:t>
      </w:r>
      <w:r>
        <w:rPr>
          <w:rFonts w:hint="eastAsia" w:ascii="宋体" w:hAnsi="宋体" w:eastAsia="宋体" w:cs="宋体"/>
          <w:color w:val="auto"/>
          <w:spacing w:val="9"/>
          <w:sz w:val="24"/>
          <w:szCs w:val="21"/>
        </w:rPr>
        <w:t>单位预期无法完场工作任务，采购人可指定其他标段</w:t>
      </w:r>
      <w:r>
        <w:rPr>
          <w:rFonts w:hint="eastAsia" w:ascii="宋体" w:hAnsi="宋体" w:eastAsia="宋体" w:cs="宋体"/>
          <w:color w:val="auto"/>
          <w:spacing w:val="9"/>
          <w:sz w:val="24"/>
          <w:szCs w:val="21"/>
          <w:lang w:eastAsia="zh-CN"/>
        </w:rPr>
        <w:t>运维</w:t>
      </w:r>
      <w:r>
        <w:rPr>
          <w:rFonts w:hint="eastAsia" w:ascii="宋体" w:hAnsi="宋体" w:eastAsia="宋体" w:cs="宋体"/>
          <w:color w:val="auto"/>
          <w:spacing w:val="9"/>
          <w:sz w:val="24"/>
          <w:szCs w:val="21"/>
        </w:rPr>
        <w:t>单位协助完成工作。</w:t>
      </w:r>
    </w:p>
    <w:p w14:paraId="4415A812">
      <w:pPr>
        <w:keepNext w:val="0"/>
        <w:keepLines w:val="0"/>
        <w:pageBreakBefore w:val="0"/>
        <w:widowControl w:val="0"/>
        <w:kinsoku/>
        <w:wordWrap/>
        <w:overflowPunct/>
        <w:topLinePunct w:val="0"/>
        <w:autoSpaceDE/>
        <w:autoSpaceDN/>
        <w:bidi w:val="0"/>
        <w:adjustRightInd/>
        <w:snapToGrid/>
        <w:spacing w:before="0" w:line="460" w:lineRule="exact"/>
        <w:ind w:right="0"/>
        <w:textAlignment w:val="auto"/>
        <w:rPr>
          <w:rFonts w:hint="eastAsia" w:ascii="宋体" w:hAnsi="宋体" w:eastAsia="宋体" w:cs="宋体"/>
          <w:color w:val="auto"/>
          <w:spacing w:val="9"/>
          <w:sz w:val="24"/>
          <w:szCs w:val="21"/>
          <w:lang w:val="en-US" w:eastAsia="zh-CN"/>
        </w:rPr>
      </w:pPr>
    </w:p>
    <w:p w14:paraId="4B796810">
      <w:pPr>
        <w:keepNext w:val="0"/>
        <w:keepLines w:val="0"/>
        <w:pageBreakBefore w:val="0"/>
        <w:widowControl w:val="0"/>
        <w:kinsoku/>
        <w:wordWrap/>
        <w:overflowPunct/>
        <w:topLinePunct w:val="0"/>
        <w:autoSpaceDE/>
        <w:autoSpaceDN/>
        <w:bidi w:val="0"/>
        <w:adjustRightInd/>
        <w:snapToGrid/>
        <w:spacing w:before="0" w:line="460" w:lineRule="exact"/>
        <w:ind w:right="0"/>
        <w:textAlignment w:val="auto"/>
        <w:rPr>
          <w:rFonts w:hint="eastAsia" w:ascii="宋体" w:hAnsi="宋体" w:eastAsia="宋体" w:cs="宋体"/>
          <w:color w:val="auto"/>
          <w:spacing w:val="9"/>
          <w:sz w:val="24"/>
          <w:szCs w:val="21"/>
          <w:lang w:val="en-US" w:eastAsia="zh-CN"/>
        </w:rPr>
      </w:pPr>
    </w:p>
    <w:p w14:paraId="306FE627">
      <w:pPr>
        <w:keepNext w:val="0"/>
        <w:keepLines w:val="0"/>
        <w:pageBreakBefore w:val="0"/>
        <w:widowControl w:val="0"/>
        <w:kinsoku/>
        <w:wordWrap/>
        <w:overflowPunct/>
        <w:topLinePunct w:val="0"/>
        <w:autoSpaceDE/>
        <w:autoSpaceDN/>
        <w:bidi w:val="0"/>
        <w:adjustRightInd/>
        <w:snapToGrid/>
        <w:spacing w:before="0" w:line="460" w:lineRule="exact"/>
        <w:ind w:right="0"/>
        <w:textAlignment w:val="auto"/>
        <w:rPr>
          <w:rFonts w:hint="eastAsia" w:ascii="宋体" w:hAnsi="宋体" w:eastAsia="宋体" w:cs="宋体"/>
          <w:color w:val="auto"/>
          <w:spacing w:val="9"/>
          <w:sz w:val="24"/>
          <w:szCs w:val="21"/>
          <w:lang w:val="en-US" w:eastAsia="zh-CN"/>
        </w:rPr>
      </w:pPr>
    </w:p>
    <w:p w14:paraId="79DF1D2E">
      <w:pPr>
        <w:keepNext w:val="0"/>
        <w:keepLines w:val="0"/>
        <w:pageBreakBefore w:val="0"/>
        <w:widowControl w:val="0"/>
        <w:kinsoku/>
        <w:wordWrap/>
        <w:overflowPunct/>
        <w:topLinePunct w:val="0"/>
        <w:autoSpaceDE/>
        <w:autoSpaceDN/>
        <w:bidi w:val="0"/>
        <w:adjustRightInd/>
        <w:snapToGrid/>
        <w:spacing w:before="0" w:line="460" w:lineRule="exact"/>
        <w:ind w:right="0"/>
        <w:textAlignment w:val="auto"/>
        <w:rPr>
          <w:rFonts w:hint="eastAsia" w:ascii="宋体" w:hAnsi="宋体" w:eastAsia="宋体" w:cs="宋体"/>
          <w:color w:val="auto"/>
          <w:spacing w:val="9"/>
          <w:sz w:val="24"/>
          <w:szCs w:val="21"/>
          <w:lang w:val="en-US" w:eastAsia="zh-CN"/>
        </w:rPr>
      </w:pPr>
      <w:r>
        <w:rPr>
          <w:rFonts w:hint="eastAsia" w:ascii="宋体" w:hAnsi="宋体" w:eastAsia="宋体" w:cs="宋体"/>
          <w:color w:val="auto"/>
          <w:spacing w:val="9"/>
          <w:sz w:val="24"/>
          <w:szCs w:val="21"/>
          <w:lang w:val="en-US" w:eastAsia="zh-CN"/>
        </w:rPr>
        <w:t>7-8标段：</w:t>
      </w:r>
    </w:p>
    <w:p w14:paraId="21DD78E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一、项目概况</w:t>
      </w:r>
    </w:p>
    <w:p w14:paraId="24D6241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为进一步加强西安市交通信号控制在交通管理工作中的应用能力，充分发挥道路交通信号控制对于缓堵保畅的重要支撑作用，结合公安部交通管理局《关于进一步加强城市道路交通信号控制应用工作的指导意见》（公交管〔2020〕302 号）提出关于信号控制配时服务意见。西安市交通警察支队经过信号灯智能化改造提升建设，全市大部分路口配备有流量检测设备实现智能化管控，为确保项目建设完成后，持续发挥信号控制的效果，对管理使用人员的专业化提出了更高的要求。根据西安市地域交通特色，制定信号控制策略优化方案，推进信号控制精细化，提升专业管理能力，建立完善信号配时工作制度机制等方面，需要作为交通管理一项重要、常态化的工作，进一步推进西安城市道路在交通信号配时服务工作方面科学化、精细化、规范化，充分发挥交通信号控制对交通行为的规范、引导和约束作用，做好维护道路交通秩序，提高通行效率的“守护者”，因此，本次项目针对西安市区碑林、新城、莲湖、雁塔、未央、灞桥、高新、经开、曲江、长安、港浐十一个大队辖区及经开泾渭新城辖区，全市2719个路口，进行为期10个月的信号配时服务，项目分为两个标段，其中标段七负责未央、经开（含经开泾渭新城）、港浐、灞桥、曲江，共五个大队</w:t>
      </w:r>
      <w:r>
        <w:rPr>
          <w:rFonts w:hint="eastAsia" w:ascii="宋体" w:hAnsi="宋体" w:eastAsia="宋体" w:cs="宋体"/>
          <w:color w:val="auto"/>
          <w:sz w:val="24"/>
          <w:szCs w:val="24"/>
        </w:rPr>
        <w:t>，标段八负责新城、碑林、莲湖、雁塔、长安、高新共六个大队。</w:t>
      </w:r>
    </w:p>
    <w:p w14:paraId="66174C4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二、服务内容</w:t>
      </w:r>
    </w:p>
    <w:p w14:paraId="43009EC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kern w:val="2"/>
          <w:sz w:val="24"/>
          <w:szCs w:val="24"/>
          <w:lang w:val="en-GB" w:eastAsia="zh-CN" w:bidi="ar-SA"/>
        </w:rPr>
      </w:pPr>
      <w:r>
        <w:rPr>
          <w:rFonts w:hint="eastAsia" w:ascii="宋体" w:hAnsi="宋体" w:eastAsia="宋体" w:cs="宋体"/>
          <w:b/>
          <w:bCs/>
          <w:color w:val="auto"/>
          <w:kern w:val="2"/>
          <w:sz w:val="24"/>
          <w:szCs w:val="24"/>
          <w:lang w:val="en-US" w:eastAsia="zh-CN" w:bidi="ar-SA"/>
        </w:rPr>
        <w:t>1.</w:t>
      </w:r>
      <w:r>
        <w:rPr>
          <w:rFonts w:hint="eastAsia" w:ascii="宋体" w:hAnsi="宋体" w:eastAsia="宋体" w:cs="宋体"/>
          <w:b/>
          <w:bCs/>
          <w:color w:val="auto"/>
          <w:kern w:val="2"/>
          <w:sz w:val="24"/>
          <w:szCs w:val="24"/>
          <w:lang w:val="en-GB" w:eastAsia="zh-CN" w:bidi="ar-SA"/>
        </w:rPr>
        <w:t>项目内容</w:t>
      </w:r>
    </w:p>
    <w:p w14:paraId="09D86156">
      <w:pPr>
        <w:widowControl w:val="0"/>
        <w:spacing w:after="0" w:line="360" w:lineRule="auto"/>
        <w:ind w:left="0" w:firstLine="480" w:firstLineChars="200"/>
        <w:jc w:val="both"/>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本项目根据各大队辖区划分为东区、西区两个标段进行信号配时服务，具体划分内容如下：</w:t>
      </w:r>
    </w:p>
    <w:p w14:paraId="4D1ACB53">
      <w:pPr>
        <w:widowControl w:val="0"/>
        <w:spacing w:after="0" w:line="360" w:lineRule="auto"/>
        <w:ind w:left="0" w:firstLine="480" w:firstLineChars="200"/>
        <w:jc w:val="both"/>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（1）标段七：负责范围包括</w:t>
      </w:r>
      <w:bookmarkStart w:id="0" w:name="_Hlk108536863"/>
      <w:r>
        <w:rPr>
          <w:rFonts w:hint="eastAsia" w:ascii="宋体" w:hAnsi="宋体" w:eastAsia="宋体" w:cs="宋体"/>
          <w:color w:val="000000"/>
          <w:sz w:val="24"/>
          <w:szCs w:val="24"/>
          <w:lang w:val="zh-CN" w:eastAsia="zh-CN" w:bidi="zh-CN"/>
        </w:rPr>
        <w:t>未央、经开（含经开泾渭新城）、港浐、灞桥、曲江五个大队，不少于1364个路口</w:t>
      </w:r>
      <w:bookmarkEnd w:id="0"/>
      <w:r>
        <w:rPr>
          <w:rFonts w:hint="eastAsia" w:ascii="宋体" w:hAnsi="宋体" w:eastAsia="宋体" w:cs="宋体"/>
          <w:color w:val="000000"/>
          <w:sz w:val="24"/>
          <w:szCs w:val="24"/>
          <w:lang w:val="zh-CN" w:eastAsia="zh-CN" w:bidi="zh-CN"/>
        </w:rPr>
        <w:t>。并负责西安市东区智能信号控制系统维护工作，以及现有运维平台升级服务。</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1"/>
        <w:gridCol w:w="1173"/>
        <w:gridCol w:w="677"/>
        <w:gridCol w:w="801"/>
        <w:gridCol w:w="3063"/>
        <w:gridCol w:w="647"/>
      </w:tblGrid>
      <w:tr w14:paraId="5FE41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14:paraId="17F71A01">
            <w:pPr>
              <w:widowControl w:val="0"/>
              <w:spacing w:after="0" w:line="360" w:lineRule="auto"/>
              <w:ind w:left="0" w:firstLine="0"/>
              <w:jc w:val="center"/>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项目名称</w:t>
            </w:r>
          </w:p>
        </w:tc>
        <w:tc>
          <w:tcPr>
            <w:tcW w:w="1276" w:type="dxa"/>
            <w:vAlign w:val="center"/>
          </w:tcPr>
          <w:p w14:paraId="7DAD4C96">
            <w:pPr>
              <w:widowControl w:val="0"/>
              <w:spacing w:after="0" w:line="360" w:lineRule="auto"/>
              <w:ind w:left="0" w:firstLine="0"/>
              <w:jc w:val="center"/>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标段</w:t>
            </w:r>
          </w:p>
        </w:tc>
        <w:tc>
          <w:tcPr>
            <w:tcW w:w="709" w:type="dxa"/>
            <w:vAlign w:val="center"/>
          </w:tcPr>
          <w:p w14:paraId="7C60077B">
            <w:pPr>
              <w:widowControl w:val="0"/>
              <w:spacing w:after="0" w:line="360" w:lineRule="auto"/>
              <w:ind w:left="0" w:firstLine="0"/>
              <w:jc w:val="center"/>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数量</w:t>
            </w:r>
          </w:p>
        </w:tc>
        <w:tc>
          <w:tcPr>
            <w:tcW w:w="850" w:type="dxa"/>
            <w:vAlign w:val="center"/>
          </w:tcPr>
          <w:p w14:paraId="0B0BF698">
            <w:pPr>
              <w:widowControl w:val="0"/>
              <w:spacing w:after="0" w:line="360" w:lineRule="auto"/>
              <w:ind w:left="0" w:firstLine="0"/>
              <w:jc w:val="center"/>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单位</w:t>
            </w:r>
          </w:p>
        </w:tc>
        <w:tc>
          <w:tcPr>
            <w:tcW w:w="3402" w:type="dxa"/>
            <w:vAlign w:val="center"/>
          </w:tcPr>
          <w:p w14:paraId="64FFD0E6">
            <w:pPr>
              <w:widowControl w:val="0"/>
              <w:spacing w:after="0" w:line="360" w:lineRule="auto"/>
              <w:ind w:left="0" w:firstLine="0"/>
              <w:jc w:val="center"/>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服务需求</w:t>
            </w:r>
          </w:p>
        </w:tc>
        <w:tc>
          <w:tcPr>
            <w:tcW w:w="673" w:type="dxa"/>
            <w:vAlign w:val="center"/>
          </w:tcPr>
          <w:p w14:paraId="44FE03C9">
            <w:pPr>
              <w:widowControl w:val="0"/>
              <w:spacing w:after="0" w:line="360" w:lineRule="auto"/>
              <w:ind w:left="0" w:firstLine="0"/>
              <w:jc w:val="center"/>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备注</w:t>
            </w:r>
          </w:p>
        </w:tc>
      </w:tr>
      <w:tr w14:paraId="54286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14:paraId="4C2CF1FD">
            <w:pPr>
              <w:widowControl w:val="0"/>
              <w:spacing w:after="0" w:line="360" w:lineRule="auto"/>
              <w:ind w:left="0" w:firstLine="0"/>
              <w:jc w:val="center"/>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西安市信号灯配时及智能信控平台维护服务</w:t>
            </w:r>
          </w:p>
        </w:tc>
        <w:tc>
          <w:tcPr>
            <w:tcW w:w="1276" w:type="dxa"/>
            <w:vAlign w:val="center"/>
          </w:tcPr>
          <w:p w14:paraId="734C57A4">
            <w:pPr>
              <w:widowControl w:val="0"/>
              <w:spacing w:after="0" w:line="360" w:lineRule="auto"/>
              <w:ind w:left="0" w:firstLine="0"/>
              <w:jc w:val="center"/>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标段七</w:t>
            </w:r>
          </w:p>
        </w:tc>
        <w:tc>
          <w:tcPr>
            <w:tcW w:w="709" w:type="dxa"/>
            <w:vAlign w:val="center"/>
          </w:tcPr>
          <w:p w14:paraId="52CB1B86">
            <w:pPr>
              <w:widowControl w:val="0"/>
              <w:spacing w:after="0" w:line="360" w:lineRule="auto"/>
              <w:ind w:left="0" w:firstLine="0"/>
              <w:jc w:val="center"/>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1</w:t>
            </w:r>
          </w:p>
        </w:tc>
        <w:tc>
          <w:tcPr>
            <w:tcW w:w="850" w:type="dxa"/>
            <w:vAlign w:val="center"/>
          </w:tcPr>
          <w:p w14:paraId="54EBC1B7">
            <w:pPr>
              <w:widowControl w:val="0"/>
              <w:spacing w:after="0" w:line="360" w:lineRule="auto"/>
              <w:ind w:left="0" w:firstLine="0"/>
              <w:jc w:val="center"/>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项</w:t>
            </w:r>
          </w:p>
        </w:tc>
        <w:tc>
          <w:tcPr>
            <w:tcW w:w="3402" w:type="dxa"/>
            <w:vAlign w:val="center"/>
          </w:tcPr>
          <w:p w14:paraId="737361BE">
            <w:pPr>
              <w:widowControl w:val="0"/>
              <w:spacing w:after="0" w:line="360" w:lineRule="auto"/>
              <w:ind w:left="0" w:firstLine="0"/>
              <w:jc w:val="center"/>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提供信号配时优化服务、智能信控平台维护服务，以及智能运维平台升级服务，具体详见采购需求</w:t>
            </w:r>
          </w:p>
        </w:tc>
        <w:tc>
          <w:tcPr>
            <w:tcW w:w="673" w:type="dxa"/>
            <w:vAlign w:val="center"/>
          </w:tcPr>
          <w:p w14:paraId="2C79B52E">
            <w:pPr>
              <w:widowControl w:val="0"/>
              <w:spacing w:after="0" w:line="360" w:lineRule="auto"/>
              <w:ind w:left="0" w:firstLine="0"/>
              <w:jc w:val="center"/>
              <w:rPr>
                <w:rFonts w:hint="eastAsia" w:ascii="宋体" w:hAnsi="宋体" w:eastAsia="宋体" w:cs="宋体"/>
                <w:color w:val="000000"/>
                <w:sz w:val="24"/>
                <w:szCs w:val="24"/>
                <w:lang w:val="zh-CN" w:eastAsia="zh-CN" w:bidi="zh-CN"/>
              </w:rPr>
            </w:pPr>
          </w:p>
        </w:tc>
      </w:tr>
    </w:tbl>
    <w:p w14:paraId="2C5C87D1">
      <w:pPr>
        <w:widowControl w:val="0"/>
        <w:spacing w:after="0" w:line="360" w:lineRule="auto"/>
        <w:ind w:left="0" w:firstLine="480" w:firstLineChars="200"/>
        <w:jc w:val="both"/>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（2）</w:t>
      </w:r>
      <w:bookmarkStart w:id="1" w:name="_Hlk108537016"/>
      <w:r>
        <w:rPr>
          <w:rFonts w:hint="eastAsia" w:ascii="宋体" w:hAnsi="宋体" w:eastAsia="宋体" w:cs="宋体"/>
          <w:color w:val="000000"/>
          <w:sz w:val="24"/>
          <w:szCs w:val="24"/>
          <w:lang w:val="zh-CN" w:eastAsia="zh-CN" w:bidi="zh-CN"/>
        </w:rPr>
        <w:t>标段八：负责范围包括新城、碑林、莲湖、雁塔、长安、高新六个大队，不少于1355个路口。并负责西安市西区智能信号控制系统维护工作。</w:t>
      </w:r>
    </w:p>
    <w:bookmarkEnd w:id="1"/>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1"/>
        <w:gridCol w:w="1173"/>
        <w:gridCol w:w="677"/>
        <w:gridCol w:w="801"/>
        <w:gridCol w:w="3063"/>
        <w:gridCol w:w="647"/>
      </w:tblGrid>
      <w:tr w14:paraId="4356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14:paraId="74D321C8">
            <w:pPr>
              <w:widowControl w:val="0"/>
              <w:spacing w:after="0" w:line="360" w:lineRule="auto"/>
              <w:ind w:left="0" w:firstLine="0"/>
              <w:jc w:val="center"/>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项目名称</w:t>
            </w:r>
          </w:p>
        </w:tc>
        <w:tc>
          <w:tcPr>
            <w:tcW w:w="1276" w:type="dxa"/>
            <w:vAlign w:val="center"/>
          </w:tcPr>
          <w:p w14:paraId="62C3F316">
            <w:pPr>
              <w:widowControl w:val="0"/>
              <w:spacing w:after="0" w:line="360" w:lineRule="auto"/>
              <w:ind w:left="0" w:firstLine="0"/>
              <w:jc w:val="center"/>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标段</w:t>
            </w:r>
          </w:p>
        </w:tc>
        <w:tc>
          <w:tcPr>
            <w:tcW w:w="709" w:type="dxa"/>
            <w:vAlign w:val="center"/>
          </w:tcPr>
          <w:p w14:paraId="12516F88">
            <w:pPr>
              <w:widowControl w:val="0"/>
              <w:spacing w:after="0" w:line="360" w:lineRule="auto"/>
              <w:ind w:left="0" w:firstLine="0"/>
              <w:jc w:val="center"/>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数量</w:t>
            </w:r>
          </w:p>
        </w:tc>
        <w:tc>
          <w:tcPr>
            <w:tcW w:w="850" w:type="dxa"/>
            <w:vAlign w:val="center"/>
          </w:tcPr>
          <w:p w14:paraId="59307465">
            <w:pPr>
              <w:widowControl w:val="0"/>
              <w:spacing w:after="0" w:line="360" w:lineRule="auto"/>
              <w:ind w:left="0" w:firstLine="0"/>
              <w:jc w:val="center"/>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单位</w:t>
            </w:r>
          </w:p>
        </w:tc>
        <w:tc>
          <w:tcPr>
            <w:tcW w:w="3402" w:type="dxa"/>
            <w:vAlign w:val="center"/>
          </w:tcPr>
          <w:p w14:paraId="32EE252D">
            <w:pPr>
              <w:widowControl w:val="0"/>
              <w:spacing w:after="0" w:line="360" w:lineRule="auto"/>
              <w:ind w:left="0" w:firstLine="0"/>
              <w:jc w:val="center"/>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服务需求</w:t>
            </w:r>
          </w:p>
        </w:tc>
        <w:tc>
          <w:tcPr>
            <w:tcW w:w="673" w:type="dxa"/>
            <w:vAlign w:val="center"/>
          </w:tcPr>
          <w:p w14:paraId="75150B0F">
            <w:pPr>
              <w:widowControl w:val="0"/>
              <w:spacing w:after="0" w:line="360" w:lineRule="auto"/>
              <w:ind w:left="0" w:firstLine="0"/>
              <w:jc w:val="center"/>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备注</w:t>
            </w:r>
          </w:p>
        </w:tc>
      </w:tr>
      <w:tr w14:paraId="2DDD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14:paraId="5AD18AE7">
            <w:pPr>
              <w:widowControl w:val="0"/>
              <w:spacing w:after="0" w:line="360" w:lineRule="auto"/>
              <w:ind w:left="0" w:firstLine="0"/>
              <w:jc w:val="center"/>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西安市信号灯配时及智能信控平台维护服务</w:t>
            </w:r>
          </w:p>
        </w:tc>
        <w:tc>
          <w:tcPr>
            <w:tcW w:w="1276" w:type="dxa"/>
            <w:vAlign w:val="center"/>
          </w:tcPr>
          <w:p w14:paraId="33CA9E7B">
            <w:pPr>
              <w:widowControl w:val="0"/>
              <w:spacing w:after="0" w:line="360" w:lineRule="auto"/>
              <w:ind w:left="0" w:firstLine="0"/>
              <w:jc w:val="center"/>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标段八</w:t>
            </w:r>
          </w:p>
        </w:tc>
        <w:tc>
          <w:tcPr>
            <w:tcW w:w="709" w:type="dxa"/>
            <w:vAlign w:val="center"/>
          </w:tcPr>
          <w:p w14:paraId="7F2E90FF">
            <w:pPr>
              <w:widowControl w:val="0"/>
              <w:spacing w:after="0" w:line="360" w:lineRule="auto"/>
              <w:ind w:left="0" w:firstLine="0"/>
              <w:jc w:val="center"/>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1</w:t>
            </w:r>
          </w:p>
        </w:tc>
        <w:tc>
          <w:tcPr>
            <w:tcW w:w="850" w:type="dxa"/>
            <w:vAlign w:val="center"/>
          </w:tcPr>
          <w:p w14:paraId="387D8F4F">
            <w:pPr>
              <w:widowControl w:val="0"/>
              <w:spacing w:after="0" w:line="360" w:lineRule="auto"/>
              <w:ind w:left="0" w:firstLine="0"/>
              <w:jc w:val="center"/>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项</w:t>
            </w:r>
          </w:p>
        </w:tc>
        <w:tc>
          <w:tcPr>
            <w:tcW w:w="3402" w:type="dxa"/>
            <w:vAlign w:val="center"/>
          </w:tcPr>
          <w:p w14:paraId="43EF892A">
            <w:pPr>
              <w:widowControl w:val="0"/>
              <w:spacing w:after="0" w:line="360" w:lineRule="auto"/>
              <w:ind w:left="0" w:firstLine="0"/>
              <w:jc w:val="center"/>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提供信号配时优化服务、智能信控平台维护服务，具体详见采购需求</w:t>
            </w:r>
          </w:p>
        </w:tc>
        <w:tc>
          <w:tcPr>
            <w:tcW w:w="673" w:type="dxa"/>
            <w:vAlign w:val="center"/>
          </w:tcPr>
          <w:p w14:paraId="576DE454">
            <w:pPr>
              <w:widowControl w:val="0"/>
              <w:spacing w:after="0" w:line="360" w:lineRule="auto"/>
              <w:ind w:left="0" w:firstLine="0"/>
              <w:jc w:val="center"/>
              <w:rPr>
                <w:rFonts w:hint="eastAsia" w:ascii="宋体" w:hAnsi="宋体" w:eastAsia="宋体" w:cs="宋体"/>
                <w:color w:val="000000"/>
                <w:sz w:val="24"/>
                <w:szCs w:val="24"/>
                <w:lang w:val="zh-CN" w:eastAsia="zh-CN" w:bidi="zh-CN"/>
              </w:rPr>
            </w:pPr>
          </w:p>
        </w:tc>
      </w:tr>
    </w:tbl>
    <w:p w14:paraId="1B6EF5ED">
      <w:pPr>
        <w:widowControl w:val="0"/>
        <w:spacing w:after="0" w:line="360" w:lineRule="auto"/>
        <w:ind w:left="0" w:firstLine="480" w:firstLineChars="200"/>
        <w:jc w:val="both"/>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标段七和标段八均按照本项目的服务内容执行，主要完成以下6大类共28项工作内容，两个标段服务范围由中标单位负责范围内600个重点路口信号配时方案更新，并指导辖区交警大队做好剩余信号灯路口配时方案更新工作。具体如下表所示：</w:t>
      </w:r>
    </w:p>
    <w:tbl>
      <w:tblPr>
        <w:tblStyle w:val="3"/>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2693"/>
        <w:gridCol w:w="4536"/>
      </w:tblGrid>
      <w:tr w14:paraId="584B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9" w:type="dxa"/>
            <w:vAlign w:val="center"/>
          </w:tcPr>
          <w:p w14:paraId="6B57EAB3">
            <w:pPr>
              <w:spacing w:line="360" w:lineRule="auto"/>
              <w:jc w:val="center"/>
              <w:rPr>
                <w:rFonts w:hint="eastAsia" w:ascii="宋体" w:hAnsi="宋体" w:eastAsia="宋体" w:cs="宋体"/>
                <w:b/>
                <w:color w:val="000000"/>
                <w:kern w:val="0"/>
                <w:sz w:val="24"/>
                <w:szCs w:val="24"/>
                <w:lang w:eastAsia="en-US" w:bidi="en-US"/>
              </w:rPr>
            </w:pPr>
            <w:r>
              <w:rPr>
                <w:rFonts w:hint="eastAsia" w:ascii="宋体" w:hAnsi="宋体" w:eastAsia="宋体" w:cs="宋体"/>
                <w:b/>
                <w:color w:val="000000"/>
                <w:kern w:val="0"/>
                <w:sz w:val="24"/>
                <w:szCs w:val="24"/>
                <w:lang w:eastAsia="en-US" w:bidi="en-US"/>
              </w:rPr>
              <w:t>序号</w:t>
            </w:r>
          </w:p>
        </w:tc>
        <w:tc>
          <w:tcPr>
            <w:tcW w:w="1276" w:type="dxa"/>
            <w:vAlign w:val="center"/>
          </w:tcPr>
          <w:p w14:paraId="26D3B9F5">
            <w:pPr>
              <w:spacing w:line="360" w:lineRule="auto"/>
              <w:jc w:val="center"/>
              <w:rPr>
                <w:rFonts w:hint="eastAsia" w:ascii="宋体" w:hAnsi="宋体" w:eastAsia="宋体" w:cs="宋体"/>
                <w:b/>
                <w:color w:val="000000"/>
                <w:kern w:val="0"/>
                <w:sz w:val="24"/>
                <w:szCs w:val="24"/>
                <w:lang w:eastAsia="en-US" w:bidi="en-US"/>
              </w:rPr>
            </w:pPr>
            <w:r>
              <w:rPr>
                <w:rFonts w:hint="eastAsia" w:ascii="宋体" w:hAnsi="宋体" w:eastAsia="宋体" w:cs="宋体"/>
                <w:b/>
                <w:color w:val="000000"/>
                <w:kern w:val="0"/>
                <w:sz w:val="24"/>
                <w:szCs w:val="24"/>
                <w:lang w:eastAsia="en-US" w:bidi="en-US"/>
              </w:rPr>
              <w:t>大类</w:t>
            </w:r>
          </w:p>
        </w:tc>
        <w:tc>
          <w:tcPr>
            <w:tcW w:w="2693" w:type="dxa"/>
            <w:vAlign w:val="center"/>
          </w:tcPr>
          <w:p w14:paraId="2391B942">
            <w:pPr>
              <w:spacing w:line="360" w:lineRule="auto"/>
              <w:jc w:val="center"/>
              <w:rPr>
                <w:rFonts w:hint="eastAsia" w:ascii="宋体" w:hAnsi="宋体" w:eastAsia="宋体" w:cs="宋体"/>
                <w:b/>
                <w:color w:val="000000"/>
                <w:kern w:val="0"/>
                <w:sz w:val="24"/>
                <w:szCs w:val="24"/>
                <w:lang w:eastAsia="en-US" w:bidi="en-US"/>
              </w:rPr>
            </w:pPr>
            <w:r>
              <w:rPr>
                <w:rFonts w:hint="eastAsia" w:ascii="宋体" w:hAnsi="宋体" w:eastAsia="宋体" w:cs="宋体"/>
                <w:b/>
                <w:color w:val="000000"/>
                <w:kern w:val="0"/>
                <w:sz w:val="24"/>
                <w:szCs w:val="24"/>
                <w:lang w:eastAsia="en-US" w:bidi="en-US"/>
              </w:rPr>
              <w:t>小类</w:t>
            </w:r>
          </w:p>
        </w:tc>
        <w:tc>
          <w:tcPr>
            <w:tcW w:w="4536" w:type="dxa"/>
            <w:vAlign w:val="center"/>
          </w:tcPr>
          <w:p w14:paraId="287CD6DE">
            <w:pPr>
              <w:spacing w:line="360" w:lineRule="auto"/>
              <w:jc w:val="center"/>
              <w:rPr>
                <w:rFonts w:hint="eastAsia" w:ascii="宋体" w:hAnsi="宋体" w:eastAsia="宋体" w:cs="宋体"/>
                <w:b/>
                <w:color w:val="000000"/>
                <w:kern w:val="0"/>
                <w:sz w:val="24"/>
                <w:szCs w:val="24"/>
                <w:lang w:eastAsia="en-US" w:bidi="en-US"/>
              </w:rPr>
            </w:pPr>
            <w:r>
              <w:rPr>
                <w:rFonts w:hint="eastAsia" w:ascii="宋体" w:hAnsi="宋体" w:eastAsia="宋体" w:cs="宋体"/>
                <w:b/>
                <w:color w:val="000000"/>
                <w:kern w:val="0"/>
                <w:sz w:val="24"/>
                <w:szCs w:val="24"/>
                <w:lang w:eastAsia="en-US" w:bidi="en-US"/>
              </w:rPr>
              <w:t>主要内容</w:t>
            </w:r>
          </w:p>
        </w:tc>
      </w:tr>
      <w:tr w14:paraId="70EFF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18A36C0">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1</w:t>
            </w:r>
          </w:p>
        </w:tc>
        <w:tc>
          <w:tcPr>
            <w:tcW w:w="1276" w:type="dxa"/>
            <w:vMerge w:val="restart"/>
            <w:vAlign w:val="center"/>
          </w:tcPr>
          <w:p w14:paraId="5E63660C">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配时优化</w:t>
            </w:r>
          </w:p>
        </w:tc>
        <w:tc>
          <w:tcPr>
            <w:tcW w:w="2693" w:type="dxa"/>
            <w:vMerge w:val="restart"/>
            <w:vAlign w:val="center"/>
          </w:tcPr>
          <w:p w14:paraId="264ED5C5">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档案管理</w:t>
            </w:r>
          </w:p>
        </w:tc>
        <w:tc>
          <w:tcPr>
            <w:tcW w:w="4536" w:type="dxa"/>
            <w:vAlign w:val="center"/>
          </w:tcPr>
          <w:p w14:paraId="396BA043">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采集新增信号控制交叉口基础信息，按统一格式建立完善的路口电子档案。</w:t>
            </w:r>
          </w:p>
        </w:tc>
      </w:tr>
      <w:tr w14:paraId="67EF5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213F370">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2</w:t>
            </w:r>
          </w:p>
        </w:tc>
        <w:tc>
          <w:tcPr>
            <w:tcW w:w="1276" w:type="dxa"/>
            <w:vMerge w:val="continue"/>
            <w:vAlign w:val="center"/>
          </w:tcPr>
          <w:p w14:paraId="126ED6A6">
            <w:pPr>
              <w:spacing w:line="360" w:lineRule="auto"/>
              <w:jc w:val="center"/>
              <w:rPr>
                <w:rFonts w:hint="eastAsia" w:ascii="宋体" w:hAnsi="宋体" w:eastAsia="宋体" w:cs="宋体"/>
                <w:color w:val="000000"/>
                <w:kern w:val="0"/>
                <w:sz w:val="24"/>
                <w:szCs w:val="24"/>
                <w:lang w:eastAsia="en-US" w:bidi="en-US"/>
              </w:rPr>
            </w:pPr>
          </w:p>
        </w:tc>
        <w:tc>
          <w:tcPr>
            <w:tcW w:w="2693" w:type="dxa"/>
            <w:vMerge w:val="continue"/>
            <w:vAlign w:val="center"/>
          </w:tcPr>
          <w:p w14:paraId="412D524E">
            <w:pPr>
              <w:spacing w:line="360" w:lineRule="auto"/>
              <w:jc w:val="center"/>
              <w:rPr>
                <w:rFonts w:hint="eastAsia" w:ascii="宋体" w:hAnsi="宋体" w:eastAsia="宋体" w:cs="宋体"/>
                <w:color w:val="000000"/>
                <w:kern w:val="0"/>
                <w:sz w:val="24"/>
                <w:szCs w:val="24"/>
                <w:lang w:eastAsia="en-US" w:bidi="en-US"/>
              </w:rPr>
            </w:pPr>
          </w:p>
        </w:tc>
        <w:tc>
          <w:tcPr>
            <w:tcW w:w="4536" w:type="dxa"/>
            <w:vAlign w:val="center"/>
          </w:tcPr>
          <w:p w14:paraId="02BB566D">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对因施工等造成路口基础信息变更的路口进行基础数据更新录入。</w:t>
            </w:r>
          </w:p>
        </w:tc>
      </w:tr>
      <w:tr w14:paraId="1CD68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2E245ED">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3</w:t>
            </w:r>
          </w:p>
        </w:tc>
        <w:tc>
          <w:tcPr>
            <w:tcW w:w="1276" w:type="dxa"/>
            <w:vMerge w:val="continue"/>
            <w:vAlign w:val="center"/>
          </w:tcPr>
          <w:p w14:paraId="1DA18591">
            <w:pPr>
              <w:spacing w:line="360" w:lineRule="auto"/>
              <w:jc w:val="center"/>
              <w:rPr>
                <w:rFonts w:hint="eastAsia" w:ascii="宋体" w:hAnsi="宋体" w:eastAsia="宋体" w:cs="宋体"/>
                <w:color w:val="000000"/>
                <w:kern w:val="0"/>
                <w:sz w:val="24"/>
                <w:szCs w:val="24"/>
                <w:lang w:eastAsia="en-US" w:bidi="en-US"/>
              </w:rPr>
            </w:pPr>
          </w:p>
        </w:tc>
        <w:tc>
          <w:tcPr>
            <w:tcW w:w="2693" w:type="dxa"/>
            <w:vMerge w:val="restart"/>
            <w:vAlign w:val="center"/>
          </w:tcPr>
          <w:p w14:paraId="588DD7CD">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路口常态巡查优化</w:t>
            </w:r>
          </w:p>
        </w:tc>
        <w:tc>
          <w:tcPr>
            <w:tcW w:w="4536" w:type="dxa"/>
            <w:vAlign w:val="center"/>
          </w:tcPr>
          <w:p w14:paraId="549CC24A">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重点路口巡查1轮/季度，满足全年四轮现场或视频巡查的要求。</w:t>
            </w:r>
          </w:p>
        </w:tc>
      </w:tr>
      <w:tr w14:paraId="2533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C808212">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4</w:t>
            </w:r>
          </w:p>
        </w:tc>
        <w:tc>
          <w:tcPr>
            <w:tcW w:w="1276" w:type="dxa"/>
            <w:vMerge w:val="continue"/>
            <w:vAlign w:val="center"/>
          </w:tcPr>
          <w:p w14:paraId="190AD6F1">
            <w:pPr>
              <w:spacing w:line="360" w:lineRule="auto"/>
              <w:jc w:val="center"/>
              <w:rPr>
                <w:rFonts w:hint="eastAsia" w:ascii="宋体" w:hAnsi="宋体" w:eastAsia="宋体" w:cs="宋体"/>
                <w:color w:val="000000"/>
                <w:kern w:val="0"/>
                <w:sz w:val="24"/>
                <w:szCs w:val="24"/>
                <w:lang w:eastAsia="en-US" w:bidi="en-US"/>
              </w:rPr>
            </w:pPr>
          </w:p>
        </w:tc>
        <w:tc>
          <w:tcPr>
            <w:tcW w:w="2693" w:type="dxa"/>
            <w:vMerge w:val="continue"/>
            <w:vAlign w:val="center"/>
          </w:tcPr>
          <w:p w14:paraId="4FE48C54">
            <w:pPr>
              <w:spacing w:line="360" w:lineRule="auto"/>
              <w:jc w:val="center"/>
              <w:rPr>
                <w:rFonts w:hint="eastAsia" w:ascii="宋体" w:hAnsi="宋体" w:eastAsia="宋体" w:cs="宋体"/>
                <w:color w:val="000000"/>
                <w:kern w:val="0"/>
                <w:sz w:val="24"/>
                <w:szCs w:val="24"/>
                <w:lang w:eastAsia="en-US" w:bidi="en-US"/>
              </w:rPr>
            </w:pPr>
          </w:p>
        </w:tc>
        <w:tc>
          <w:tcPr>
            <w:tcW w:w="4536" w:type="dxa"/>
            <w:vAlign w:val="center"/>
          </w:tcPr>
          <w:p w14:paraId="0DE855E0">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根据交通特征及交通组织变化，对全市灯控路口配时进行持续滚动优化，主要工作为现状分析、制定控制目标和控制策略、信号控制参数设计、分析优化并实施，同时对实施方案进行跟踪和修正。</w:t>
            </w:r>
          </w:p>
        </w:tc>
      </w:tr>
      <w:tr w14:paraId="04248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56B3770">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5</w:t>
            </w:r>
          </w:p>
        </w:tc>
        <w:tc>
          <w:tcPr>
            <w:tcW w:w="1276" w:type="dxa"/>
            <w:vMerge w:val="continue"/>
            <w:vAlign w:val="center"/>
          </w:tcPr>
          <w:p w14:paraId="6D3A9B20">
            <w:pPr>
              <w:spacing w:line="360" w:lineRule="auto"/>
              <w:jc w:val="center"/>
              <w:rPr>
                <w:rFonts w:hint="eastAsia" w:ascii="宋体" w:hAnsi="宋体" w:eastAsia="宋体" w:cs="宋体"/>
                <w:color w:val="000000"/>
                <w:kern w:val="0"/>
                <w:sz w:val="24"/>
                <w:szCs w:val="24"/>
                <w:lang w:eastAsia="en-US" w:bidi="en-US"/>
              </w:rPr>
            </w:pPr>
          </w:p>
        </w:tc>
        <w:tc>
          <w:tcPr>
            <w:tcW w:w="2693" w:type="dxa"/>
            <w:vMerge w:val="restart"/>
            <w:vAlign w:val="center"/>
          </w:tcPr>
          <w:p w14:paraId="7C5E19DA">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协调子区巡查优化</w:t>
            </w:r>
          </w:p>
        </w:tc>
        <w:tc>
          <w:tcPr>
            <w:tcW w:w="4536" w:type="dxa"/>
            <w:vAlign w:val="center"/>
          </w:tcPr>
          <w:p w14:paraId="4112AA85">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每月完成15条协调子区巡检，保障在线的绿波路段运行效果</w:t>
            </w:r>
          </w:p>
        </w:tc>
      </w:tr>
      <w:tr w14:paraId="64B3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76502C3">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6</w:t>
            </w:r>
          </w:p>
        </w:tc>
        <w:tc>
          <w:tcPr>
            <w:tcW w:w="1276" w:type="dxa"/>
            <w:vMerge w:val="continue"/>
            <w:vAlign w:val="center"/>
          </w:tcPr>
          <w:p w14:paraId="49279C46">
            <w:pPr>
              <w:spacing w:line="360" w:lineRule="auto"/>
              <w:jc w:val="center"/>
              <w:rPr>
                <w:rFonts w:hint="eastAsia" w:ascii="宋体" w:hAnsi="宋体" w:eastAsia="宋体" w:cs="宋体"/>
                <w:color w:val="000000"/>
                <w:kern w:val="0"/>
                <w:sz w:val="24"/>
                <w:szCs w:val="24"/>
                <w:lang w:eastAsia="en-US" w:bidi="en-US"/>
              </w:rPr>
            </w:pPr>
          </w:p>
        </w:tc>
        <w:tc>
          <w:tcPr>
            <w:tcW w:w="2693" w:type="dxa"/>
            <w:vMerge w:val="continue"/>
            <w:vAlign w:val="center"/>
          </w:tcPr>
          <w:p w14:paraId="0FA3146E">
            <w:pPr>
              <w:spacing w:line="360" w:lineRule="auto"/>
              <w:jc w:val="center"/>
              <w:rPr>
                <w:rFonts w:hint="eastAsia" w:ascii="宋体" w:hAnsi="宋体" w:eastAsia="宋体" w:cs="宋体"/>
                <w:color w:val="000000"/>
                <w:kern w:val="0"/>
                <w:sz w:val="24"/>
                <w:szCs w:val="24"/>
                <w:lang w:eastAsia="en-US" w:bidi="en-US"/>
              </w:rPr>
            </w:pPr>
          </w:p>
        </w:tc>
        <w:tc>
          <w:tcPr>
            <w:tcW w:w="4536" w:type="dxa"/>
            <w:vAlign w:val="center"/>
          </w:tcPr>
          <w:p w14:paraId="7E53821F">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结合目标路段交通运行特征，对目标路段进行绿波控制优化或新增。</w:t>
            </w:r>
          </w:p>
        </w:tc>
      </w:tr>
      <w:tr w14:paraId="521BF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00CF288">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7</w:t>
            </w:r>
          </w:p>
        </w:tc>
        <w:tc>
          <w:tcPr>
            <w:tcW w:w="1276" w:type="dxa"/>
            <w:vMerge w:val="continue"/>
            <w:vAlign w:val="center"/>
          </w:tcPr>
          <w:p w14:paraId="6BC12445">
            <w:pPr>
              <w:spacing w:line="360" w:lineRule="auto"/>
              <w:jc w:val="center"/>
              <w:rPr>
                <w:rFonts w:hint="eastAsia" w:ascii="宋体" w:hAnsi="宋体" w:eastAsia="宋体" w:cs="宋体"/>
                <w:color w:val="000000"/>
                <w:kern w:val="0"/>
                <w:sz w:val="24"/>
                <w:szCs w:val="24"/>
                <w:lang w:eastAsia="en-US" w:bidi="en-US"/>
              </w:rPr>
            </w:pPr>
          </w:p>
        </w:tc>
        <w:tc>
          <w:tcPr>
            <w:tcW w:w="2693" w:type="dxa"/>
            <w:vMerge w:val="restart"/>
            <w:vAlign w:val="center"/>
          </w:tcPr>
          <w:p w14:paraId="6B99553D">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保障工作</w:t>
            </w:r>
          </w:p>
        </w:tc>
        <w:tc>
          <w:tcPr>
            <w:tcW w:w="4536" w:type="dxa"/>
            <w:vAlign w:val="center"/>
          </w:tcPr>
          <w:p w14:paraId="7467EDD5">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高峰安排专人值班，关注交通运行，主动做好常态配时问题优化，配合辖区大队做好交通异常疏解。</w:t>
            </w:r>
          </w:p>
        </w:tc>
      </w:tr>
      <w:tr w14:paraId="4B3B8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67E6A2C">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8</w:t>
            </w:r>
          </w:p>
        </w:tc>
        <w:tc>
          <w:tcPr>
            <w:tcW w:w="1276" w:type="dxa"/>
            <w:vMerge w:val="continue"/>
            <w:vAlign w:val="center"/>
          </w:tcPr>
          <w:p w14:paraId="0ABBE883">
            <w:pPr>
              <w:spacing w:line="360" w:lineRule="auto"/>
              <w:jc w:val="center"/>
              <w:rPr>
                <w:rFonts w:hint="eastAsia" w:ascii="宋体" w:hAnsi="宋体" w:eastAsia="宋体" w:cs="宋体"/>
                <w:color w:val="000000"/>
                <w:kern w:val="0"/>
                <w:sz w:val="24"/>
                <w:szCs w:val="24"/>
                <w:lang w:eastAsia="en-US" w:bidi="en-US"/>
              </w:rPr>
            </w:pPr>
          </w:p>
        </w:tc>
        <w:tc>
          <w:tcPr>
            <w:tcW w:w="2693" w:type="dxa"/>
            <w:vMerge w:val="continue"/>
            <w:vAlign w:val="center"/>
          </w:tcPr>
          <w:p w14:paraId="65D3AADA">
            <w:pPr>
              <w:spacing w:line="360" w:lineRule="auto"/>
              <w:jc w:val="center"/>
              <w:rPr>
                <w:rFonts w:hint="eastAsia" w:ascii="宋体" w:hAnsi="宋体" w:eastAsia="宋体" w:cs="宋体"/>
                <w:color w:val="000000"/>
                <w:kern w:val="0"/>
                <w:sz w:val="24"/>
                <w:szCs w:val="24"/>
                <w:lang w:eastAsia="en-US" w:bidi="en-US"/>
              </w:rPr>
            </w:pPr>
          </w:p>
        </w:tc>
        <w:tc>
          <w:tcPr>
            <w:tcW w:w="4536" w:type="dxa"/>
            <w:vAlign w:val="center"/>
          </w:tcPr>
          <w:p w14:paraId="044E4F0E">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对重大活动、恶劣天气等可预见交通突变制定配时预案和值班疏解。</w:t>
            </w:r>
          </w:p>
        </w:tc>
      </w:tr>
      <w:tr w14:paraId="368E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5E13A3E">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9</w:t>
            </w:r>
          </w:p>
        </w:tc>
        <w:tc>
          <w:tcPr>
            <w:tcW w:w="1276" w:type="dxa"/>
            <w:vMerge w:val="continue"/>
            <w:vAlign w:val="center"/>
          </w:tcPr>
          <w:p w14:paraId="6C842C78">
            <w:pPr>
              <w:spacing w:line="360" w:lineRule="auto"/>
              <w:jc w:val="center"/>
              <w:rPr>
                <w:rFonts w:hint="eastAsia" w:ascii="宋体" w:hAnsi="宋体" w:eastAsia="宋体" w:cs="宋体"/>
                <w:color w:val="000000"/>
                <w:kern w:val="0"/>
                <w:sz w:val="24"/>
                <w:szCs w:val="24"/>
                <w:lang w:eastAsia="en-US" w:bidi="en-US"/>
              </w:rPr>
            </w:pPr>
          </w:p>
        </w:tc>
        <w:tc>
          <w:tcPr>
            <w:tcW w:w="2693" w:type="dxa"/>
            <w:vMerge w:val="restart"/>
            <w:vAlign w:val="center"/>
          </w:tcPr>
          <w:p w14:paraId="25AAF088">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协助工作</w:t>
            </w:r>
          </w:p>
        </w:tc>
        <w:tc>
          <w:tcPr>
            <w:tcW w:w="4536" w:type="dxa"/>
            <w:vAlign w:val="center"/>
          </w:tcPr>
          <w:p w14:paraId="29DA4B7A">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每季度走访一轮辖区大队，展开座谈，深入基层开展信号配时相关业务交流。</w:t>
            </w:r>
          </w:p>
        </w:tc>
      </w:tr>
      <w:tr w14:paraId="4AA76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DE1E2B3">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10</w:t>
            </w:r>
          </w:p>
        </w:tc>
        <w:tc>
          <w:tcPr>
            <w:tcW w:w="1276" w:type="dxa"/>
            <w:vMerge w:val="continue"/>
            <w:vAlign w:val="center"/>
          </w:tcPr>
          <w:p w14:paraId="2DC2B5DC">
            <w:pPr>
              <w:spacing w:line="360" w:lineRule="auto"/>
              <w:jc w:val="center"/>
              <w:rPr>
                <w:rFonts w:hint="eastAsia" w:ascii="宋体" w:hAnsi="宋体" w:eastAsia="宋体" w:cs="宋体"/>
                <w:color w:val="000000"/>
                <w:kern w:val="0"/>
                <w:sz w:val="24"/>
                <w:szCs w:val="24"/>
                <w:lang w:eastAsia="en-US" w:bidi="en-US"/>
              </w:rPr>
            </w:pPr>
          </w:p>
        </w:tc>
        <w:tc>
          <w:tcPr>
            <w:tcW w:w="2693" w:type="dxa"/>
            <w:vMerge w:val="continue"/>
            <w:vAlign w:val="center"/>
          </w:tcPr>
          <w:p w14:paraId="21C781AE">
            <w:pPr>
              <w:spacing w:line="360" w:lineRule="auto"/>
              <w:jc w:val="center"/>
              <w:rPr>
                <w:rFonts w:hint="eastAsia" w:ascii="宋体" w:hAnsi="宋体" w:eastAsia="宋体" w:cs="宋体"/>
                <w:color w:val="000000"/>
                <w:kern w:val="0"/>
                <w:sz w:val="24"/>
                <w:szCs w:val="24"/>
                <w:lang w:eastAsia="en-US" w:bidi="en-US"/>
              </w:rPr>
            </w:pPr>
          </w:p>
        </w:tc>
        <w:tc>
          <w:tcPr>
            <w:tcW w:w="4536" w:type="dxa"/>
            <w:vAlign w:val="center"/>
          </w:tcPr>
          <w:p w14:paraId="7DC6B1FF">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协助辖区大队开展微治堵，围绕信号配时提出相关改善意见并配合推动实施。</w:t>
            </w:r>
          </w:p>
        </w:tc>
      </w:tr>
      <w:tr w14:paraId="7EC43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47D0342">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11</w:t>
            </w:r>
          </w:p>
        </w:tc>
        <w:tc>
          <w:tcPr>
            <w:tcW w:w="1276" w:type="dxa"/>
            <w:vMerge w:val="continue"/>
            <w:vAlign w:val="center"/>
          </w:tcPr>
          <w:p w14:paraId="1AF2A4A4">
            <w:pPr>
              <w:spacing w:line="360" w:lineRule="auto"/>
              <w:jc w:val="center"/>
              <w:rPr>
                <w:rFonts w:hint="eastAsia" w:ascii="宋体" w:hAnsi="宋体" w:eastAsia="宋体" w:cs="宋体"/>
                <w:color w:val="000000"/>
                <w:kern w:val="0"/>
                <w:sz w:val="24"/>
                <w:szCs w:val="24"/>
                <w:lang w:eastAsia="en-US" w:bidi="en-US"/>
              </w:rPr>
            </w:pPr>
          </w:p>
        </w:tc>
        <w:tc>
          <w:tcPr>
            <w:tcW w:w="2693" w:type="dxa"/>
            <w:vMerge w:val="continue"/>
            <w:vAlign w:val="center"/>
          </w:tcPr>
          <w:p w14:paraId="69A2DAC0">
            <w:pPr>
              <w:spacing w:line="360" w:lineRule="auto"/>
              <w:jc w:val="center"/>
              <w:rPr>
                <w:rFonts w:hint="eastAsia" w:ascii="宋体" w:hAnsi="宋体" w:eastAsia="宋体" w:cs="宋体"/>
                <w:color w:val="000000"/>
                <w:kern w:val="0"/>
                <w:sz w:val="24"/>
                <w:szCs w:val="24"/>
                <w:lang w:eastAsia="en-US" w:bidi="en-US"/>
              </w:rPr>
            </w:pPr>
          </w:p>
        </w:tc>
        <w:tc>
          <w:tcPr>
            <w:tcW w:w="4536" w:type="dxa"/>
            <w:vAlign w:val="center"/>
          </w:tcPr>
          <w:p w14:paraId="27AEFA47">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协助甲方做好项目范围内路口事故协查、相关的信号配时参数、历史灯态回溯等资料的调取分析工作。</w:t>
            </w:r>
          </w:p>
        </w:tc>
      </w:tr>
      <w:tr w14:paraId="5EA6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8D73210">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12</w:t>
            </w:r>
          </w:p>
        </w:tc>
        <w:tc>
          <w:tcPr>
            <w:tcW w:w="1276" w:type="dxa"/>
            <w:vMerge w:val="restart"/>
            <w:vAlign w:val="center"/>
          </w:tcPr>
          <w:p w14:paraId="02A869A8">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业务支撑</w:t>
            </w:r>
          </w:p>
        </w:tc>
        <w:tc>
          <w:tcPr>
            <w:tcW w:w="2693" w:type="dxa"/>
            <w:vMerge w:val="restart"/>
            <w:vAlign w:val="center"/>
          </w:tcPr>
          <w:p w14:paraId="11E9FD58">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工作统筹</w:t>
            </w:r>
          </w:p>
        </w:tc>
        <w:tc>
          <w:tcPr>
            <w:tcW w:w="4536" w:type="dxa"/>
            <w:vAlign w:val="center"/>
          </w:tcPr>
          <w:p w14:paraId="58A8CBFF">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拟定全市年度信号配时工作方案、协调组织推进、成果总结报送。</w:t>
            </w:r>
          </w:p>
        </w:tc>
      </w:tr>
      <w:tr w14:paraId="79CB5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2273956">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13</w:t>
            </w:r>
          </w:p>
        </w:tc>
        <w:tc>
          <w:tcPr>
            <w:tcW w:w="1276" w:type="dxa"/>
            <w:vMerge w:val="continue"/>
            <w:vAlign w:val="center"/>
          </w:tcPr>
          <w:p w14:paraId="75CF650A">
            <w:pPr>
              <w:spacing w:line="360" w:lineRule="auto"/>
              <w:jc w:val="center"/>
              <w:rPr>
                <w:rFonts w:hint="eastAsia" w:ascii="宋体" w:hAnsi="宋体" w:eastAsia="宋体" w:cs="宋体"/>
                <w:color w:val="000000"/>
                <w:kern w:val="0"/>
                <w:sz w:val="24"/>
                <w:szCs w:val="24"/>
                <w:lang w:eastAsia="en-US" w:bidi="en-US"/>
              </w:rPr>
            </w:pPr>
          </w:p>
        </w:tc>
        <w:tc>
          <w:tcPr>
            <w:tcW w:w="2693" w:type="dxa"/>
            <w:vMerge w:val="continue"/>
            <w:vAlign w:val="center"/>
          </w:tcPr>
          <w:p w14:paraId="306437CE">
            <w:pPr>
              <w:spacing w:line="360" w:lineRule="auto"/>
              <w:jc w:val="center"/>
              <w:rPr>
                <w:rFonts w:hint="eastAsia" w:ascii="宋体" w:hAnsi="宋体" w:eastAsia="宋体" w:cs="宋体"/>
                <w:color w:val="000000"/>
                <w:kern w:val="0"/>
                <w:sz w:val="24"/>
                <w:szCs w:val="24"/>
                <w:lang w:eastAsia="en-US" w:bidi="en-US"/>
              </w:rPr>
            </w:pPr>
          </w:p>
        </w:tc>
        <w:tc>
          <w:tcPr>
            <w:tcW w:w="4536" w:type="dxa"/>
            <w:vAlign w:val="center"/>
          </w:tcPr>
          <w:p w14:paraId="0FBDA764">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制定各类排查整治、特殊节假日、重大活动保障等全市性专项工作的实施标准、实施要求、实施计划等。</w:t>
            </w:r>
          </w:p>
        </w:tc>
      </w:tr>
      <w:tr w14:paraId="3638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96482A4">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14</w:t>
            </w:r>
          </w:p>
        </w:tc>
        <w:tc>
          <w:tcPr>
            <w:tcW w:w="1276" w:type="dxa"/>
            <w:vMerge w:val="continue"/>
            <w:vAlign w:val="center"/>
          </w:tcPr>
          <w:p w14:paraId="6FF484CC">
            <w:pPr>
              <w:spacing w:line="360" w:lineRule="auto"/>
              <w:jc w:val="center"/>
              <w:rPr>
                <w:rFonts w:hint="eastAsia" w:ascii="宋体" w:hAnsi="宋体" w:eastAsia="宋体" w:cs="宋体"/>
                <w:color w:val="000000"/>
                <w:kern w:val="0"/>
                <w:sz w:val="24"/>
                <w:szCs w:val="24"/>
                <w:lang w:eastAsia="en-US" w:bidi="en-US"/>
              </w:rPr>
            </w:pPr>
          </w:p>
        </w:tc>
        <w:tc>
          <w:tcPr>
            <w:tcW w:w="2693" w:type="dxa"/>
            <w:vMerge w:val="continue"/>
            <w:vAlign w:val="center"/>
          </w:tcPr>
          <w:p w14:paraId="1297814B">
            <w:pPr>
              <w:spacing w:line="360" w:lineRule="auto"/>
              <w:jc w:val="center"/>
              <w:rPr>
                <w:rFonts w:hint="eastAsia" w:ascii="宋体" w:hAnsi="宋体" w:eastAsia="宋体" w:cs="宋体"/>
                <w:color w:val="000000"/>
                <w:kern w:val="0"/>
                <w:sz w:val="24"/>
                <w:szCs w:val="24"/>
                <w:lang w:eastAsia="en-US" w:bidi="en-US"/>
              </w:rPr>
            </w:pPr>
          </w:p>
        </w:tc>
        <w:tc>
          <w:tcPr>
            <w:tcW w:w="4536" w:type="dxa"/>
            <w:vAlign w:val="center"/>
          </w:tcPr>
          <w:p w14:paraId="5947E566">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协助甲方制定全市信号配时工作日常成果汇总分析模板，组织各辖区按时按标准积累、提交分项成果，将分项成果汇编为全市性的日常工作成果后提交给甲方。</w:t>
            </w:r>
          </w:p>
        </w:tc>
      </w:tr>
      <w:tr w14:paraId="75B9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B085D94">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15</w:t>
            </w:r>
          </w:p>
        </w:tc>
        <w:tc>
          <w:tcPr>
            <w:tcW w:w="1276" w:type="dxa"/>
            <w:vMerge w:val="continue"/>
            <w:vAlign w:val="center"/>
          </w:tcPr>
          <w:p w14:paraId="7AFAC849">
            <w:pPr>
              <w:spacing w:line="360" w:lineRule="auto"/>
              <w:jc w:val="center"/>
              <w:rPr>
                <w:rFonts w:hint="eastAsia" w:ascii="宋体" w:hAnsi="宋体" w:eastAsia="宋体" w:cs="宋体"/>
                <w:color w:val="000000"/>
                <w:kern w:val="0"/>
                <w:sz w:val="24"/>
                <w:szCs w:val="24"/>
                <w:lang w:eastAsia="en-US" w:bidi="en-US"/>
              </w:rPr>
            </w:pPr>
          </w:p>
        </w:tc>
        <w:tc>
          <w:tcPr>
            <w:tcW w:w="2693" w:type="dxa"/>
            <w:vMerge w:val="restart"/>
            <w:vAlign w:val="center"/>
          </w:tcPr>
          <w:p w14:paraId="01E28A57">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全链管理</w:t>
            </w:r>
          </w:p>
        </w:tc>
        <w:tc>
          <w:tcPr>
            <w:tcW w:w="4536" w:type="dxa"/>
            <w:vAlign w:val="center"/>
          </w:tcPr>
          <w:p w14:paraId="6AE1DBC8">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针对新改建的路口，统筹制定路口基础配时方案、提出整改建议及方案试运行调试，促进路口渠化-设施-配时高效协同。</w:t>
            </w:r>
          </w:p>
        </w:tc>
      </w:tr>
      <w:tr w14:paraId="184A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8701940">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16</w:t>
            </w:r>
          </w:p>
        </w:tc>
        <w:tc>
          <w:tcPr>
            <w:tcW w:w="1276" w:type="dxa"/>
            <w:vMerge w:val="continue"/>
            <w:vAlign w:val="center"/>
          </w:tcPr>
          <w:p w14:paraId="2F858E55">
            <w:pPr>
              <w:spacing w:line="360" w:lineRule="auto"/>
              <w:jc w:val="center"/>
              <w:rPr>
                <w:rFonts w:hint="eastAsia" w:ascii="宋体" w:hAnsi="宋体" w:eastAsia="宋体" w:cs="宋体"/>
                <w:color w:val="000000"/>
                <w:kern w:val="0"/>
                <w:sz w:val="24"/>
                <w:szCs w:val="24"/>
                <w:lang w:eastAsia="en-US" w:bidi="en-US"/>
              </w:rPr>
            </w:pPr>
          </w:p>
        </w:tc>
        <w:tc>
          <w:tcPr>
            <w:tcW w:w="2693" w:type="dxa"/>
            <w:vMerge w:val="continue"/>
            <w:vAlign w:val="center"/>
          </w:tcPr>
          <w:p w14:paraId="31B223CD">
            <w:pPr>
              <w:spacing w:line="360" w:lineRule="auto"/>
              <w:jc w:val="center"/>
              <w:rPr>
                <w:rFonts w:hint="eastAsia" w:ascii="宋体" w:hAnsi="宋体" w:eastAsia="宋体" w:cs="宋体"/>
                <w:color w:val="000000"/>
                <w:kern w:val="0"/>
                <w:sz w:val="24"/>
                <w:szCs w:val="24"/>
                <w:lang w:eastAsia="en-US" w:bidi="en-US"/>
              </w:rPr>
            </w:pPr>
          </w:p>
        </w:tc>
        <w:tc>
          <w:tcPr>
            <w:tcW w:w="4536" w:type="dxa"/>
            <w:vAlign w:val="center"/>
          </w:tcPr>
          <w:p w14:paraId="1A144FE8">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协助开展智能控制应用，对车检器正常接入的路口进行智能控制参数设计、运行跟踪调试等。</w:t>
            </w:r>
          </w:p>
        </w:tc>
      </w:tr>
      <w:tr w14:paraId="5911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4C69310">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17</w:t>
            </w:r>
          </w:p>
        </w:tc>
        <w:tc>
          <w:tcPr>
            <w:tcW w:w="1276" w:type="dxa"/>
            <w:vMerge w:val="continue"/>
            <w:vAlign w:val="center"/>
          </w:tcPr>
          <w:p w14:paraId="0104BC03">
            <w:pPr>
              <w:spacing w:line="360" w:lineRule="auto"/>
              <w:jc w:val="center"/>
              <w:rPr>
                <w:rFonts w:hint="eastAsia" w:ascii="宋体" w:hAnsi="宋体" w:eastAsia="宋体" w:cs="宋体"/>
                <w:color w:val="000000"/>
                <w:kern w:val="0"/>
                <w:sz w:val="24"/>
                <w:szCs w:val="24"/>
                <w:lang w:eastAsia="en-US" w:bidi="en-US"/>
              </w:rPr>
            </w:pPr>
          </w:p>
        </w:tc>
        <w:tc>
          <w:tcPr>
            <w:tcW w:w="2693" w:type="dxa"/>
            <w:vMerge w:val="restart"/>
            <w:vAlign w:val="center"/>
          </w:tcPr>
          <w:p w14:paraId="2DAD617C">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构建长效管理机制</w:t>
            </w:r>
          </w:p>
        </w:tc>
        <w:tc>
          <w:tcPr>
            <w:tcW w:w="4536" w:type="dxa"/>
            <w:vAlign w:val="center"/>
          </w:tcPr>
          <w:p w14:paraId="6F8193D5">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对信号配时业务实施过程中已发生或潜在的风险进行研究，协助甲方制定可行的风险防范措施和流程机制。</w:t>
            </w:r>
          </w:p>
        </w:tc>
      </w:tr>
      <w:tr w14:paraId="3A51B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7568E77">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18</w:t>
            </w:r>
          </w:p>
        </w:tc>
        <w:tc>
          <w:tcPr>
            <w:tcW w:w="1276" w:type="dxa"/>
            <w:vMerge w:val="continue"/>
            <w:vAlign w:val="center"/>
          </w:tcPr>
          <w:p w14:paraId="1EA42BF9">
            <w:pPr>
              <w:spacing w:line="360" w:lineRule="auto"/>
              <w:jc w:val="center"/>
              <w:rPr>
                <w:rFonts w:hint="eastAsia" w:ascii="宋体" w:hAnsi="宋体" w:eastAsia="宋体" w:cs="宋体"/>
                <w:color w:val="000000"/>
                <w:kern w:val="0"/>
                <w:sz w:val="24"/>
                <w:szCs w:val="24"/>
                <w:lang w:eastAsia="en-US" w:bidi="en-US"/>
              </w:rPr>
            </w:pPr>
          </w:p>
        </w:tc>
        <w:tc>
          <w:tcPr>
            <w:tcW w:w="2693" w:type="dxa"/>
            <w:vMerge w:val="continue"/>
            <w:vAlign w:val="center"/>
          </w:tcPr>
          <w:p w14:paraId="1B37A08A">
            <w:pPr>
              <w:spacing w:line="360" w:lineRule="auto"/>
              <w:jc w:val="center"/>
              <w:rPr>
                <w:rFonts w:hint="eastAsia" w:ascii="宋体" w:hAnsi="宋体" w:eastAsia="宋体" w:cs="宋体"/>
                <w:color w:val="000000"/>
                <w:kern w:val="0"/>
                <w:sz w:val="24"/>
                <w:szCs w:val="24"/>
                <w:lang w:eastAsia="en-US" w:bidi="en-US"/>
              </w:rPr>
            </w:pPr>
          </w:p>
        </w:tc>
        <w:tc>
          <w:tcPr>
            <w:tcW w:w="4536" w:type="dxa"/>
            <w:vAlign w:val="center"/>
          </w:tcPr>
          <w:p w14:paraId="401680A3">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协助甲方制定配时业务管理和技术提升的相关指导意见。</w:t>
            </w:r>
          </w:p>
        </w:tc>
      </w:tr>
      <w:tr w14:paraId="0B99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B011BC7">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19</w:t>
            </w:r>
          </w:p>
        </w:tc>
        <w:tc>
          <w:tcPr>
            <w:tcW w:w="1276" w:type="dxa"/>
            <w:vMerge w:val="continue"/>
            <w:vAlign w:val="center"/>
          </w:tcPr>
          <w:p w14:paraId="24939103">
            <w:pPr>
              <w:spacing w:line="360" w:lineRule="auto"/>
              <w:jc w:val="center"/>
              <w:rPr>
                <w:rFonts w:hint="eastAsia" w:ascii="宋体" w:hAnsi="宋体" w:eastAsia="宋体" w:cs="宋体"/>
                <w:color w:val="000000"/>
                <w:kern w:val="0"/>
                <w:sz w:val="24"/>
                <w:szCs w:val="24"/>
                <w:lang w:eastAsia="en-US" w:bidi="en-US"/>
              </w:rPr>
            </w:pPr>
          </w:p>
        </w:tc>
        <w:tc>
          <w:tcPr>
            <w:tcW w:w="2693" w:type="dxa"/>
            <w:vMerge w:val="continue"/>
            <w:vAlign w:val="center"/>
          </w:tcPr>
          <w:p w14:paraId="4C2EF356">
            <w:pPr>
              <w:spacing w:line="360" w:lineRule="auto"/>
              <w:jc w:val="center"/>
              <w:rPr>
                <w:rFonts w:hint="eastAsia" w:ascii="宋体" w:hAnsi="宋体" w:eastAsia="宋体" w:cs="宋体"/>
                <w:color w:val="000000"/>
                <w:kern w:val="0"/>
                <w:sz w:val="24"/>
                <w:szCs w:val="24"/>
                <w:lang w:eastAsia="en-US" w:bidi="en-US"/>
              </w:rPr>
            </w:pPr>
          </w:p>
        </w:tc>
        <w:tc>
          <w:tcPr>
            <w:tcW w:w="4536" w:type="dxa"/>
            <w:vAlign w:val="center"/>
          </w:tcPr>
          <w:p w14:paraId="4039FC84">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针对各大队或支队，组织开展3场技术讲座或实操培训。</w:t>
            </w:r>
          </w:p>
        </w:tc>
      </w:tr>
      <w:tr w14:paraId="608D6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B487B69">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20</w:t>
            </w:r>
          </w:p>
        </w:tc>
        <w:tc>
          <w:tcPr>
            <w:tcW w:w="1276" w:type="dxa"/>
            <w:vMerge w:val="restart"/>
            <w:vAlign w:val="center"/>
          </w:tcPr>
          <w:p w14:paraId="76B31387">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专项分析</w:t>
            </w:r>
          </w:p>
        </w:tc>
        <w:tc>
          <w:tcPr>
            <w:tcW w:w="2693" w:type="dxa"/>
            <w:vMerge w:val="restart"/>
            <w:vAlign w:val="center"/>
          </w:tcPr>
          <w:p w14:paraId="4F011E93">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热点分析</w:t>
            </w:r>
          </w:p>
        </w:tc>
        <w:tc>
          <w:tcPr>
            <w:tcW w:w="4536" w:type="dxa"/>
            <w:vAlign w:val="center"/>
          </w:tcPr>
          <w:p w14:paraId="78FEC30B">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对常态溢流、排队失衡等仅优化信号配时改善效果有限的路口、路段或区域，提出时空一体优化改造建议。</w:t>
            </w:r>
          </w:p>
        </w:tc>
      </w:tr>
      <w:tr w14:paraId="0A848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CD298D4">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21</w:t>
            </w:r>
          </w:p>
        </w:tc>
        <w:tc>
          <w:tcPr>
            <w:tcW w:w="1276" w:type="dxa"/>
            <w:vMerge w:val="continue"/>
            <w:vAlign w:val="center"/>
          </w:tcPr>
          <w:p w14:paraId="263DC433">
            <w:pPr>
              <w:spacing w:line="360" w:lineRule="auto"/>
              <w:jc w:val="center"/>
              <w:rPr>
                <w:rFonts w:hint="eastAsia" w:ascii="宋体" w:hAnsi="宋体" w:eastAsia="宋体" w:cs="宋体"/>
                <w:color w:val="000000"/>
                <w:kern w:val="0"/>
                <w:sz w:val="24"/>
                <w:szCs w:val="24"/>
                <w:lang w:eastAsia="en-US" w:bidi="en-US"/>
              </w:rPr>
            </w:pPr>
          </w:p>
        </w:tc>
        <w:tc>
          <w:tcPr>
            <w:tcW w:w="2693" w:type="dxa"/>
            <w:vMerge w:val="continue"/>
            <w:vAlign w:val="center"/>
          </w:tcPr>
          <w:p w14:paraId="2A9CA16F">
            <w:pPr>
              <w:spacing w:line="360" w:lineRule="auto"/>
              <w:jc w:val="center"/>
              <w:rPr>
                <w:rFonts w:hint="eastAsia" w:ascii="宋体" w:hAnsi="宋体" w:eastAsia="宋体" w:cs="宋体"/>
                <w:color w:val="000000"/>
                <w:kern w:val="0"/>
                <w:sz w:val="24"/>
                <w:szCs w:val="24"/>
                <w:lang w:eastAsia="en-US" w:bidi="en-US"/>
              </w:rPr>
            </w:pPr>
          </w:p>
        </w:tc>
        <w:tc>
          <w:tcPr>
            <w:tcW w:w="4536" w:type="dxa"/>
            <w:vAlign w:val="center"/>
          </w:tcPr>
          <w:p w14:paraId="55E9EF0C">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主动识别具备实施动态车道管控技术条件的点位，并协调推动实施和效果评估。</w:t>
            </w:r>
          </w:p>
        </w:tc>
      </w:tr>
      <w:tr w14:paraId="2CFF2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8B1599D">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22</w:t>
            </w:r>
          </w:p>
        </w:tc>
        <w:tc>
          <w:tcPr>
            <w:tcW w:w="1276" w:type="dxa"/>
            <w:vMerge w:val="continue"/>
            <w:vAlign w:val="center"/>
          </w:tcPr>
          <w:p w14:paraId="66C79E0C">
            <w:pPr>
              <w:spacing w:line="360" w:lineRule="auto"/>
              <w:jc w:val="center"/>
              <w:rPr>
                <w:rFonts w:hint="eastAsia" w:ascii="宋体" w:hAnsi="宋体" w:eastAsia="宋体" w:cs="宋体"/>
                <w:color w:val="000000"/>
                <w:kern w:val="0"/>
                <w:sz w:val="24"/>
                <w:szCs w:val="24"/>
                <w:lang w:eastAsia="en-US" w:bidi="en-US"/>
              </w:rPr>
            </w:pPr>
          </w:p>
        </w:tc>
        <w:tc>
          <w:tcPr>
            <w:tcW w:w="2693" w:type="dxa"/>
            <w:vAlign w:val="center"/>
          </w:tcPr>
          <w:p w14:paraId="13070D2D">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交通运行分析</w:t>
            </w:r>
          </w:p>
        </w:tc>
        <w:tc>
          <w:tcPr>
            <w:tcW w:w="4536" w:type="dxa"/>
            <w:vAlign w:val="center"/>
          </w:tcPr>
          <w:p w14:paraId="10913085">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应用多源数据对特定活动、特定措施、假日等期间的交通运行情况进行分析，并提出信号配时应对策略。</w:t>
            </w:r>
          </w:p>
        </w:tc>
      </w:tr>
      <w:tr w14:paraId="2A93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3C1633B">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23</w:t>
            </w:r>
          </w:p>
        </w:tc>
        <w:tc>
          <w:tcPr>
            <w:tcW w:w="1276" w:type="dxa"/>
            <w:vMerge w:val="restart"/>
            <w:vAlign w:val="center"/>
          </w:tcPr>
          <w:p w14:paraId="3D08B922">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系统维护</w:t>
            </w:r>
          </w:p>
        </w:tc>
        <w:tc>
          <w:tcPr>
            <w:tcW w:w="2693" w:type="dxa"/>
            <w:vMerge w:val="restart"/>
            <w:vAlign w:val="center"/>
          </w:tcPr>
          <w:p w14:paraId="12B31A02">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信号控制系统维护</w:t>
            </w:r>
          </w:p>
        </w:tc>
        <w:tc>
          <w:tcPr>
            <w:tcW w:w="4536" w:type="dxa"/>
            <w:vAlign w:val="center"/>
          </w:tcPr>
          <w:p w14:paraId="7BF96B3B">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对信号控制系统进行日常维护、定期巡检。</w:t>
            </w:r>
          </w:p>
        </w:tc>
      </w:tr>
      <w:tr w14:paraId="09148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F3723F1">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24</w:t>
            </w:r>
          </w:p>
        </w:tc>
        <w:tc>
          <w:tcPr>
            <w:tcW w:w="1276" w:type="dxa"/>
            <w:vMerge w:val="continue"/>
            <w:vAlign w:val="center"/>
          </w:tcPr>
          <w:p w14:paraId="016AD3A2">
            <w:pPr>
              <w:spacing w:line="360" w:lineRule="auto"/>
              <w:jc w:val="center"/>
              <w:rPr>
                <w:rFonts w:hint="eastAsia" w:ascii="宋体" w:hAnsi="宋体" w:eastAsia="宋体" w:cs="宋体"/>
                <w:color w:val="000000"/>
                <w:kern w:val="0"/>
                <w:sz w:val="24"/>
                <w:szCs w:val="24"/>
                <w:lang w:eastAsia="en-US" w:bidi="en-US"/>
              </w:rPr>
            </w:pPr>
          </w:p>
        </w:tc>
        <w:tc>
          <w:tcPr>
            <w:tcW w:w="2693" w:type="dxa"/>
            <w:vMerge w:val="continue"/>
            <w:vAlign w:val="center"/>
          </w:tcPr>
          <w:p w14:paraId="7A45A3B9">
            <w:pPr>
              <w:spacing w:line="360" w:lineRule="auto"/>
              <w:jc w:val="center"/>
              <w:rPr>
                <w:rFonts w:hint="eastAsia" w:ascii="宋体" w:hAnsi="宋体" w:eastAsia="宋体" w:cs="宋体"/>
                <w:color w:val="000000"/>
                <w:kern w:val="0"/>
                <w:sz w:val="24"/>
                <w:szCs w:val="24"/>
                <w:lang w:eastAsia="en-US" w:bidi="en-US"/>
              </w:rPr>
            </w:pPr>
          </w:p>
        </w:tc>
        <w:tc>
          <w:tcPr>
            <w:tcW w:w="4536" w:type="dxa"/>
            <w:vAlign w:val="center"/>
          </w:tcPr>
          <w:p w14:paraId="5CA6E10C">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对信号控制系统数据库进行巡检，确保系统及数据稳定。</w:t>
            </w:r>
          </w:p>
        </w:tc>
      </w:tr>
      <w:tr w14:paraId="5A2F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313B4CF">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25</w:t>
            </w:r>
          </w:p>
        </w:tc>
        <w:tc>
          <w:tcPr>
            <w:tcW w:w="1276" w:type="dxa"/>
            <w:vMerge w:val="continue"/>
            <w:vAlign w:val="center"/>
          </w:tcPr>
          <w:p w14:paraId="560C6F3F">
            <w:pPr>
              <w:spacing w:line="360" w:lineRule="auto"/>
              <w:jc w:val="center"/>
              <w:rPr>
                <w:rFonts w:hint="eastAsia" w:ascii="宋体" w:hAnsi="宋体" w:eastAsia="宋体" w:cs="宋体"/>
                <w:color w:val="000000"/>
                <w:kern w:val="0"/>
                <w:sz w:val="24"/>
                <w:szCs w:val="24"/>
                <w:lang w:eastAsia="en-US" w:bidi="en-US"/>
              </w:rPr>
            </w:pPr>
          </w:p>
        </w:tc>
        <w:tc>
          <w:tcPr>
            <w:tcW w:w="2693" w:type="dxa"/>
            <w:vMerge w:val="continue"/>
            <w:vAlign w:val="center"/>
          </w:tcPr>
          <w:p w14:paraId="36149C14">
            <w:pPr>
              <w:spacing w:line="360" w:lineRule="auto"/>
              <w:jc w:val="center"/>
              <w:rPr>
                <w:rFonts w:hint="eastAsia" w:ascii="宋体" w:hAnsi="宋体" w:eastAsia="宋体" w:cs="宋体"/>
                <w:color w:val="000000"/>
                <w:kern w:val="0"/>
                <w:sz w:val="24"/>
                <w:szCs w:val="24"/>
                <w:lang w:eastAsia="en-US" w:bidi="en-US"/>
              </w:rPr>
            </w:pPr>
          </w:p>
        </w:tc>
        <w:tc>
          <w:tcPr>
            <w:tcW w:w="4536" w:type="dxa"/>
            <w:vAlign w:val="center"/>
          </w:tcPr>
          <w:p w14:paraId="4FB47D16">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控制系统信号控制方案运行异常监测及跟进。</w:t>
            </w:r>
          </w:p>
        </w:tc>
      </w:tr>
      <w:tr w14:paraId="6B5B5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D11770E">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26</w:t>
            </w:r>
          </w:p>
        </w:tc>
        <w:tc>
          <w:tcPr>
            <w:tcW w:w="1276" w:type="dxa"/>
            <w:vMerge w:val="restart"/>
            <w:vAlign w:val="center"/>
          </w:tcPr>
          <w:p w14:paraId="42110D68">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舆情引导</w:t>
            </w:r>
          </w:p>
        </w:tc>
        <w:tc>
          <w:tcPr>
            <w:tcW w:w="2693" w:type="dxa"/>
            <w:vAlign w:val="center"/>
          </w:tcPr>
          <w:p w14:paraId="233C26E6">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宣传策划</w:t>
            </w:r>
          </w:p>
        </w:tc>
        <w:tc>
          <w:tcPr>
            <w:tcW w:w="4536" w:type="dxa"/>
            <w:vAlign w:val="center"/>
          </w:tcPr>
          <w:p w14:paraId="55AD1068">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积极策划6篇信号配时服务工作亮点宣传或科普宣传，提升信号配时社会参与度，主动营造良好的信号配时舆论氛围。</w:t>
            </w:r>
          </w:p>
        </w:tc>
      </w:tr>
      <w:tr w14:paraId="59CC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9480A0B">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27</w:t>
            </w:r>
          </w:p>
        </w:tc>
        <w:tc>
          <w:tcPr>
            <w:tcW w:w="1276" w:type="dxa"/>
            <w:vMerge w:val="continue"/>
            <w:vAlign w:val="center"/>
          </w:tcPr>
          <w:p w14:paraId="4BB61818">
            <w:pPr>
              <w:spacing w:line="360" w:lineRule="auto"/>
              <w:jc w:val="center"/>
              <w:rPr>
                <w:rFonts w:hint="eastAsia" w:ascii="宋体" w:hAnsi="宋体" w:eastAsia="宋体" w:cs="宋体"/>
                <w:color w:val="000000"/>
                <w:kern w:val="0"/>
                <w:sz w:val="24"/>
                <w:szCs w:val="24"/>
                <w:lang w:eastAsia="en-US" w:bidi="en-US"/>
              </w:rPr>
            </w:pPr>
          </w:p>
        </w:tc>
        <w:tc>
          <w:tcPr>
            <w:tcW w:w="2693" w:type="dxa"/>
            <w:vAlign w:val="center"/>
          </w:tcPr>
          <w:p w14:paraId="23C7313A">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意见处置</w:t>
            </w:r>
          </w:p>
        </w:tc>
        <w:tc>
          <w:tcPr>
            <w:tcW w:w="4536" w:type="dxa"/>
            <w:vAlign w:val="center"/>
          </w:tcPr>
          <w:p w14:paraId="2BB8561D">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按要求及时、合理处置不同来源信号配时相关投诉建议。</w:t>
            </w:r>
          </w:p>
        </w:tc>
      </w:tr>
      <w:tr w14:paraId="065BE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FB5AA71">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28</w:t>
            </w:r>
          </w:p>
        </w:tc>
        <w:tc>
          <w:tcPr>
            <w:tcW w:w="1276" w:type="dxa"/>
            <w:vAlign w:val="center"/>
          </w:tcPr>
          <w:p w14:paraId="47587649">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中心值守</w:t>
            </w:r>
          </w:p>
        </w:tc>
        <w:tc>
          <w:tcPr>
            <w:tcW w:w="2693" w:type="dxa"/>
            <w:vAlign w:val="center"/>
          </w:tcPr>
          <w:p w14:paraId="27BEA211">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中心值守</w:t>
            </w:r>
          </w:p>
        </w:tc>
        <w:tc>
          <w:tcPr>
            <w:tcW w:w="4536" w:type="dxa"/>
            <w:vAlign w:val="center"/>
          </w:tcPr>
          <w:p w14:paraId="575C2DF5">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日常勤务保障，包括勤务方案制定，包括安排人员夜间值守。</w:t>
            </w:r>
          </w:p>
        </w:tc>
      </w:tr>
    </w:tbl>
    <w:p w14:paraId="0F38145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kern w:val="2"/>
          <w:sz w:val="24"/>
          <w:szCs w:val="24"/>
          <w:lang w:val="en-GB" w:eastAsia="zh-CN" w:bidi="ar-SA"/>
        </w:rPr>
      </w:pPr>
      <w:bookmarkStart w:id="2" w:name="_Toc176948808"/>
      <w:r>
        <w:rPr>
          <w:rFonts w:hint="eastAsia" w:ascii="宋体" w:hAnsi="宋体" w:eastAsia="宋体" w:cs="宋体"/>
          <w:b/>
          <w:bCs/>
          <w:color w:val="auto"/>
          <w:kern w:val="2"/>
          <w:sz w:val="24"/>
          <w:szCs w:val="24"/>
          <w:lang w:val="en-US" w:eastAsia="zh-CN" w:bidi="ar-SA"/>
        </w:rPr>
        <w:t>1.1</w:t>
      </w:r>
      <w:r>
        <w:rPr>
          <w:rFonts w:hint="eastAsia" w:ascii="宋体" w:hAnsi="宋体" w:eastAsia="宋体" w:cs="宋体"/>
          <w:b/>
          <w:bCs/>
          <w:color w:val="auto"/>
          <w:kern w:val="2"/>
          <w:sz w:val="24"/>
          <w:szCs w:val="24"/>
          <w:lang w:val="en-GB" w:eastAsia="zh-CN" w:bidi="ar-SA"/>
        </w:rPr>
        <w:t>信号配时优化</w:t>
      </w:r>
      <w:bookmarkEnd w:id="2"/>
    </w:p>
    <w:p w14:paraId="75721ACF">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持续采集更新路口基础信息，持续开展路口巡查及路口控制策略优化，持续开展协调子区建设和跟踪调试，持续进行交通突变疏解，兼顾常发信号配时问题与突发信号配时问题，在巩固既有信号配时优化成果的基础上不断建设新成果，保障服务范围内信号控制路口持续稳定高效运行。</w:t>
      </w:r>
    </w:p>
    <w:p w14:paraId="357B6E0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color w:val="auto"/>
          <w:kern w:val="2"/>
          <w:sz w:val="24"/>
          <w:szCs w:val="24"/>
          <w:lang w:val="en-GB" w:eastAsia="zh-CN" w:bidi="ar-SA"/>
        </w:rPr>
      </w:pPr>
      <w:r>
        <w:rPr>
          <w:rFonts w:hint="eastAsia" w:ascii="宋体" w:hAnsi="宋体" w:eastAsia="宋体" w:cs="宋体"/>
          <w:b/>
          <w:color w:val="auto"/>
          <w:kern w:val="2"/>
          <w:sz w:val="24"/>
          <w:szCs w:val="24"/>
          <w:lang w:val="en-US" w:eastAsia="zh-CN" w:bidi="ar-SA"/>
        </w:rPr>
        <w:t>1.1.1</w:t>
      </w:r>
      <w:r>
        <w:rPr>
          <w:rFonts w:hint="eastAsia" w:ascii="宋体" w:hAnsi="宋体" w:eastAsia="宋体" w:cs="宋体"/>
          <w:b/>
          <w:color w:val="auto"/>
          <w:kern w:val="2"/>
          <w:sz w:val="24"/>
          <w:szCs w:val="24"/>
          <w:lang w:val="en-GB" w:eastAsia="zh-CN" w:bidi="ar-SA"/>
        </w:rPr>
        <w:t>路口档案管理</w:t>
      </w:r>
    </w:p>
    <w:p w14:paraId="5B392C67">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项目范围内现有路口已建立较为完备的电子化基础信息档案，档案数据包括路口车道分配、信号灯类型、有无二次过街信号灯等设施设备数据。主要工作内容含两部分，一是对受道路改造、地铁施工等导致交通信号基础信息发生改变的路口进行数据变更；二是对新建路口基础信息档案进行增补。主要内容如下：</w:t>
      </w:r>
    </w:p>
    <w:p w14:paraId="3B696327">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（1）新增及变更的路口基础信息与现有档案的数据类型、格式一致，并进行电子化存档；</w:t>
      </w:r>
    </w:p>
    <w:p w14:paraId="550DB30C">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（2）对服务期内静态资料发生改变的路口，及时完成路口基础信息的更新工作。</w:t>
      </w:r>
    </w:p>
    <w:p w14:paraId="099AB21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val="0"/>
          <w:bCs/>
          <w:color w:val="auto"/>
          <w:kern w:val="2"/>
          <w:sz w:val="24"/>
          <w:szCs w:val="24"/>
          <w:lang w:val="en-GB" w:eastAsia="zh-CN" w:bidi="ar-SA"/>
        </w:rPr>
      </w:pPr>
      <w:r>
        <w:rPr>
          <w:rFonts w:hint="eastAsia" w:ascii="宋体" w:hAnsi="宋体" w:eastAsia="宋体" w:cs="宋体"/>
          <w:b w:val="0"/>
          <w:bCs/>
          <w:color w:val="auto"/>
          <w:kern w:val="2"/>
          <w:sz w:val="24"/>
          <w:szCs w:val="24"/>
          <w:lang w:val="en-US" w:eastAsia="zh-CN" w:bidi="ar-SA"/>
        </w:rPr>
        <w:t>1.1.2</w:t>
      </w:r>
      <w:r>
        <w:rPr>
          <w:rFonts w:hint="eastAsia" w:ascii="宋体" w:hAnsi="宋体" w:eastAsia="宋体" w:cs="宋体"/>
          <w:b w:val="0"/>
          <w:bCs/>
          <w:color w:val="auto"/>
          <w:kern w:val="2"/>
          <w:sz w:val="24"/>
          <w:szCs w:val="24"/>
          <w:lang w:val="en-GB" w:eastAsia="zh-CN" w:bidi="ar-SA"/>
        </w:rPr>
        <w:t>路口常态巡查优化</w:t>
      </w:r>
    </w:p>
    <w:p w14:paraId="0EAE26C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val="0"/>
          <w:bCs/>
          <w:color w:val="auto"/>
          <w:kern w:val="2"/>
          <w:sz w:val="24"/>
          <w:szCs w:val="24"/>
          <w:lang w:val="en-GB" w:eastAsia="zh-CN" w:bidi="ar-SA"/>
        </w:rPr>
      </w:pPr>
      <w:r>
        <w:rPr>
          <w:rFonts w:hint="eastAsia" w:ascii="宋体" w:hAnsi="宋体" w:eastAsia="宋体" w:cs="宋体"/>
          <w:b w:val="0"/>
          <w:bCs/>
          <w:color w:val="auto"/>
          <w:kern w:val="2"/>
          <w:sz w:val="24"/>
          <w:szCs w:val="24"/>
          <w:lang w:val="en-US" w:eastAsia="zh-CN" w:bidi="ar-SA"/>
        </w:rPr>
        <w:t>1.1.2.1</w:t>
      </w:r>
      <w:r>
        <w:rPr>
          <w:rFonts w:hint="eastAsia" w:ascii="宋体" w:hAnsi="宋体" w:eastAsia="宋体" w:cs="宋体"/>
          <w:b w:val="0"/>
          <w:bCs/>
          <w:color w:val="auto"/>
          <w:kern w:val="2"/>
          <w:sz w:val="24"/>
          <w:szCs w:val="24"/>
          <w:lang w:val="en-GB" w:eastAsia="zh-CN" w:bidi="ar-SA"/>
        </w:rPr>
        <w:t>路口巡查</w:t>
      </w:r>
    </w:p>
    <w:p w14:paraId="4A1313C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为提高对信号控制系统运行状态的动态把握和快速反应，定期对所有路口进行巡查，及时发现责任区域内信号配时存在的问题，为信号配时参数优化调整提供依据。</w:t>
      </w:r>
    </w:p>
    <w:p w14:paraId="58EBD2C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（1）巡查内容</w:t>
      </w:r>
    </w:p>
    <w:p w14:paraId="6A01E951">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对路口交通信号控制方案运行情况（进口排队拥堵、进口空放）、路口交通冲突情况（人车冲突、车流之间的冲突）、配套设施等信号配时相关要素进行巡查。</w:t>
      </w:r>
    </w:p>
    <w:p w14:paraId="6660BE23">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交通信号配时情况：配时方案、相位相序是否合理等情况；</w:t>
      </w:r>
    </w:p>
    <w:p w14:paraId="286B2C44">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交通冲突情况：行人与车辆之间的冲突问题、转弯信号与行人之间的冲突问题、车辆与车辆全屏灯冲突问题、车辆汇流冲突等问题；</w:t>
      </w:r>
    </w:p>
    <w:p w14:paraId="328E0798">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交通安全情况：行人过街时间是否足够和相位清空时间是否充足，是否存在安全隐患；</w:t>
      </w:r>
    </w:p>
    <w:p w14:paraId="0DC6125C">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渠化设施情况：交通标志标线、二次过街岛、车道划分等是否影响控制目标的实现。</w:t>
      </w:r>
    </w:p>
    <w:p w14:paraId="02BB197C">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（2）巡查方式</w:t>
      </w:r>
    </w:p>
    <w:p w14:paraId="5ECD5727">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巡查以线上巡查为主、线下巡查为辅。线上巡查是在控制中心或辖区分控中心利用信号控制系统状态监视功能、报障系统、交通监控视频进行交叉口及路段交通运行状态识别，主要应用于视频覆盖较全面的路口。线下巡查主要是对辖区路口进行实地调查，主要应用于视频覆盖不足的路口。</w:t>
      </w:r>
    </w:p>
    <w:p w14:paraId="06955A5A">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（3）巡查时间</w:t>
      </w:r>
    </w:p>
    <w:p w14:paraId="2AB7D762">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日常巡视：巡视时间涵盖全天，20：00至次日8:00时段的巡视以工作时间视频回放为主；</w:t>
      </w:r>
    </w:p>
    <w:p w14:paraId="69CE9647">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临时任务巡视：接到甲方指派的临时任务，在2小时内到现场。</w:t>
      </w:r>
    </w:p>
    <w:p w14:paraId="35680D2B">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针对没有视频的路口，采用人员现场调查或者流量后台采集的方式开展数据调查工作。</w:t>
      </w:r>
    </w:p>
    <w:p w14:paraId="73CDE942">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（4）巡查频率</w:t>
      </w:r>
    </w:p>
    <w:p w14:paraId="3D7A837C">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根据甲方要求的巡查内容，重点路口作为主要巡查路口，每季度巡查1轮。</w:t>
      </w:r>
    </w:p>
    <w:p w14:paraId="2013054A">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r>
        <w:rPr>
          <w:rFonts w:hint="eastAsia" w:ascii="宋体" w:hAnsi="宋体" w:eastAsia="宋体" w:cs="宋体"/>
          <w:b/>
          <w:bCs/>
          <w:color w:val="auto"/>
          <w:kern w:val="2"/>
          <w:sz w:val="24"/>
          <w:szCs w:val="24"/>
          <w:lang w:val="en-US" w:eastAsia="zh-CN" w:bidi="ar-SA"/>
        </w:rPr>
        <w:t>1.1.2.2</w:t>
      </w:r>
      <w:r>
        <w:rPr>
          <w:rFonts w:hint="eastAsia" w:ascii="宋体" w:hAnsi="宋体" w:eastAsia="宋体" w:cs="宋体"/>
          <w:b/>
          <w:bCs/>
          <w:color w:val="auto"/>
          <w:kern w:val="2"/>
          <w:sz w:val="24"/>
          <w:szCs w:val="24"/>
          <w:lang w:val="en-GB" w:eastAsia="zh-CN" w:bidi="ar-SA"/>
        </w:rPr>
        <w:t>路口信号控制方案优化</w:t>
      </w:r>
    </w:p>
    <w:p w14:paraId="14BEA82D">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结合路口交通特征时变、日变及季节性变化、交通组织变化等，持续优化路口信号配时参数提升配时方案与交通特征的匹配度。同时针对市民、媒体等反映的配时不合理路口，进行必要的补充调查，并根据实际情况对路口信号控制方案进行优化或重新设计。</w:t>
      </w:r>
    </w:p>
    <w:p w14:paraId="714673FA">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（1）工作内容</w:t>
      </w:r>
    </w:p>
    <w:p w14:paraId="36DC2F6A">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1）现状调查：路口信号控制方案优化或重新设计需要综合考虑路口的渠化、信号灯组合形式、交通流运行特征以及特殊交通管控需求等内容；</w:t>
      </w:r>
    </w:p>
    <w:p w14:paraId="3813B712">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控制目标分析：每个路口现状不同，要实现的控制目标也会存在一定的差异，在进行信号控制方案优化设计之前根据现状调查情况明确路口控制目标，以实现有的放矢。一般控制目标围绕安全提升、秩序提升、效率提升三个层面，如机动车延误最小、通行能力最大，人均延误最小等；</w:t>
      </w:r>
    </w:p>
    <w:p w14:paraId="676304E7">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3）控制策略制定：控制策略是控制目标的实现路径，结合控制目标因地制宜的制定相应控制策略；</w:t>
      </w:r>
    </w:p>
    <w:p w14:paraId="5CC00A2D">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4）信号控制参数设计：信号控制参数设计内容包含时段设计、相位相序设计、绿信比设计、清空时间设计、周期设计、相位差设计、最大绿/最小绿/单位绿设计等；</w:t>
      </w:r>
    </w:p>
    <w:p w14:paraId="4E534EA4">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5）方案实施：对信号控制参数进行下发、核对、跟踪，确保信号控制方案按设计无偏差运行；</w:t>
      </w:r>
    </w:p>
    <w:p w14:paraId="6CFCD1CD">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6）方案评估修正：方案实施后持续跟踪一周，对方案运行效果进行评估，根据评估结果对方案进行微调修正，直至方案稳定高效运行。</w:t>
      </w:r>
    </w:p>
    <w:p w14:paraId="3A0998B7">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（2）按工作要求执行以下内容</w:t>
      </w:r>
    </w:p>
    <w:p w14:paraId="1D34660C">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1）绿信比、临时方案、时段表等可根据路口需求即时调整，相位方案更改需上报甲方知悉，并逐步逐灯观察确保路口运行正常、合理；</w:t>
      </w:r>
    </w:p>
    <w:p w14:paraId="7E3B8B5C">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2）根据季节、用地开发等引起的交通规律变化及时调整路口控制策略；</w:t>
      </w:r>
    </w:p>
    <w:p w14:paraId="4D5E40AE">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3）积极主动跟踪优化问题路口控制策略。</w:t>
      </w:r>
    </w:p>
    <w:p w14:paraId="33E44195">
      <w:pPr>
        <w:tabs>
          <w:tab w:val="left" w:pos="980"/>
        </w:tabs>
        <w:kinsoku w:val="0"/>
        <w:spacing w:line="460" w:lineRule="exact"/>
        <w:ind w:firstLine="480"/>
        <w:jc w:val="left"/>
        <w:rPr>
          <w:rFonts w:hint="eastAsia" w:ascii="宋体" w:hAnsi="宋体" w:eastAsia="宋体" w:cs="宋体"/>
          <w:color w:val="000000"/>
          <w:kern w:val="0"/>
          <w:sz w:val="24"/>
          <w:szCs w:val="24"/>
          <w:lang w:val="en-GB" w:eastAsia="zh-CN" w:bidi="en-US"/>
        </w:rPr>
      </w:pPr>
      <w:r>
        <w:rPr>
          <w:rFonts w:hint="eastAsia" w:ascii="宋体" w:hAnsi="宋体" w:eastAsia="宋体" w:cs="宋体"/>
          <w:color w:val="000000"/>
          <w:kern w:val="0"/>
          <w:sz w:val="24"/>
          <w:szCs w:val="24"/>
          <w:lang w:val="en-US" w:eastAsia="zh-CN" w:bidi="en-US"/>
        </w:rPr>
        <w:t>1.1.3</w:t>
      </w:r>
      <w:r>
        <w:rPr>
          <w:rFonts w:hint="eastAsia" w:ascii="宋体" w:hAnsi="宋体" w:eastAsia="宋体" w:cs="宋体"/>
          <w:color w:val="000000"/>
          <w:kern w:val="0"/>
          <w:sz w:val="24"/>
          <w:szCs w:val="24"/>
          <w:lang w:val="en-GB" w:eastAsia="zh-CN" w:bidi="en-US"/>
        </w:rPr>
        <w:t>协调子区巡查及方案优化</w:t>
      </w:r>
    </w:p>
    <w:p w14:paraId="56B4B9F5">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（1）工作内容</w:t>
      </w:r>
    </w:p>
    <w:p w14:paraId="6E4EDB1F">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现有协调子区跟踪优化：对现有协调子区运行情况进行巡查，主要通过浮动车法跟踪协调子区停车次数和旅行时间，对在线运行但效果欠佳的协调子区进行协调参数优化、进一步细化协调子区时段划分、对具备条件的子区进行连接以提升协调子区道路长度；</w:t>
      </w:r>
    </w:p>
    <w:p w14:paraId="62391C69">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2）新增协调子区：将新增的路口纳入干线协调控制，同时对现状不适合纳入干线协调子区的路口提出更换信号灯、渠化改造、更换信号机、联网接入等建议，主动创造条件扩大协调子区覆盖路口和联网协调率。</w:t>
      </w:r>
    </w:p>
    <w:p w14:paraId="4403D491">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（2）按工作要求执行以下内容</w:t>
      </w:r>
    </w:p>
    <w:p w14:paraId="61FE9225">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1）每月完成15条协调子区巡检，并按规范表格填写子区运行跟踪表，发现在线运行的协调子区效果发生变化的，完成对现有方案参数进行调整，保证已有子区能够维持良好的协调子区控制效果；</w:t>
      </w:r>
    </w:p>
    <w:p w14:paraId="7E397C9D">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新增的干线协调子区采集路口间距、路口渠化、路口交通运行情况及路口不同时段控制方案等信息，时段含平、假日早高峰、晚高峰、平峰，并提供协调子区时距图，时距图一般包含协调子区公共周期、协调设计车速、相位差、相序、带宽等协调控制基本参数；</w:t>
      </w:r>
    </w:p>
    <w:p w14:paraId="7E6E97CE">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3）绿波带新增或优化后，现场跟踪对协调子区参数进行调试，效果稳定后采集前后的双向行程时间、停车次数、排队长度变化情况等指标进行协调子区效果评估。</w:t>
      </w:r>
    </w:p>
    <w:p w14:paraId="73C2B4F1">
      <w:pPr>
        <w:bidi w:val="0"/>
        <w:spacing w:line="460" w:lineRule="exact"/>
        <w:rPr>
          <w:rFonts w:hint="eastAsia" w:ascii="宋体" w:hAnsi="宋体" w:eastAsia="宋体" w:cs="宋体"/>
          <w:sz w:val="24"/>
          <w:szCs w:val="24"/>
          <w:lang w:val="en-GB" w:eastAsia="zh-CN"/>
        </w:rPr>
      </w:pPr>
      <w:r>
        <w:rPr>
          <w:rFonts w:hint="eastAsia" w:ascii="宋体" w:hAnsi="宋体" w:eastAsia="宋体" w:cs="宋体"/>
          <w:sz w:val="24"/>
          <w:szCs w:val="24"/>
          <w:lang w:val="en-US" w:eastAsia="zh-CN"/>
        </w:rPr>
        <w:t>1.1.4</w:t>
      </w:r>
      <w:r>
        <w:rPr>
          <w:rFonts w:hint="eastAsia" w:ascii="宋体" w:hAnsi="宋体" w:eastAsia="宋体" w:cs="宋体"/>
          <w:sz w:val="24"/>
          <w:szCs w:val="24"/>
          <w:lang w:val="en-GB" w:eastAsia="zh-CN"/>
        </w:rPr>
        <w:t>交通保障</w:t>
      </w:r>
    </w:p>
    <w:p w14:paraId="0FA46C2D">
      <w:pPr>
        <w:tabs>
          <w:tab w:val="left" w:pos="980"/>
        </w:tabs>
        <w:kinsoku w:val="0"/>
        <w:spacing w:line="460" w:lineRule="exact"/>
        <w:ind w:firstLine="480"/>
        <w:jc w:val="left"/>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（1）工作内容</w:t>
      </w:r>
    </w:p>
    <w:p w14:paraId="31D6C01B">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交通保障主要面向可预见的交通突变和偶发交通突变,两类交通突变的主要工作内容分别为：</w:t>
      </w:r>
    </w:p>
    <w:p w14:paraId="1694A9C6">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偶发交通突变：主要针对突发事件（如事故、红绿灯故障、流量突变等）引起的交通拥堵或空放，尤其是高峰期，因交通过饱和，路网较为脆弱，局部偶发交通突变极易引发区域性拥堵，需要及时发现、及时通过人工干预、临时方案等手段快速疏解，以降低偶发交通突变对交通运行稳定性的影响；</w:t>
      </w:r>
    </w:p>
    <w:p w14:paraId="6041BBDD">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可预见的交通突变：主要针对提前预知会发生的交通变化情况（如春节、清明、寒暑假等特殊节假日、暴雨等恶劣天气、施工占道、马拉松等大型活动以及特勤保障等），提前制定信号控制预案，并根据甲方要求派员到指挥中心或大队指挥中心值班保障，及时根据交通流情况调整交通信号预案，保障特殊情况下信号配时保持平稳运行。</w:t>
      </w:r>
    </w:p>
    <w:p w14:paraId="54D0EA32">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（2）按工作要求执行以下内容</w:t>
      </w:r>
    </w:p>
    <w:p w14:paraId="6DB562FE">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1）工作日早晚高峰安排专人驻点指挥中心值班保障，关注交通运行情况，主动优化常发配时问题，及时发现交通异常并配合辖区大队进行疏解。值班保障时间一般为早高峰 7:00~9:00、晚高峰18:00~21:00；</w:t>
      </w:r>
    </w:p>
    <w:p w14:paraId="62A39A84">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2）特殊节假日提前1日做好信号配时参数预案调整，并安排专人值班跟踪运行；</w:t>
      </w:r>
    </w:p>
    <w:p w14:paraId="396B97B0">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3）恶劣天气根据不同预警等级做不同层级应对，橙色及以上预警专人全程跟踪保障至高峰结束；</w:t>
      </w:r>
    </w:p>
    <w:p w14:paraId="6FA71DB1">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4）施工占道及大型活动影响提前1日做好疏解预案，并安排专人跟进实际进度同步执行并修正预案。</w:t>
      </w:r>
    </w:p>
    <w:p w14:paraId="792AF892">
      <w:pPr>
        <w:tabs>
          <w:tab w:val="left" w:pos="980"/>
        </w:tabs>
        <w:kinsoku w:val="0"/>
        <w:spacing w:line="460" w:lineRule="exact"/>
        <w:ind w:firstLine="480"/>
        <w:jc w:val="left"/>
        <w:rPr>
          <w:rFonts w:hint="eastAsia" w:ascii="宋体" w:hAnsi="宋体" w:eastAsia="宋体" w:cs="宋体"/>
          <w:color w:val="000000"/>
          <w:kern w:val="0"/>
          <w:sz w:val="24"/>
          <w:szCs w:val="24"/>
          <w:lang w:val="en-GB" w:eastAsia="zh-CN" w:bidi="en-US"/>
        </w:rPr>
      </w:pPr>
      <w:r>
        <w:rPr>
          <w:rFonts w:hint="eastAsia" w:ascii="宋体" w:hAnsi="宋体" w:eastAsia="宋体" w:cs="宋体"/>
          <w:color w:val="000000"/>
          <w:kern w:val="0"/>
          <w:sz w:val="24"/>
          <w:szCs w:val="24"/>
          <w:lang w:val="en-US" w:eastAsia="zh-CN" w:bidi="en-US"/>
        </w:rPr>
        <w:t>1.1.5</w:t>
      </w:r>
      <w:r>
        <w:rPr>
          <w:rFonts w:hint="eastAsia" w:ascii="宋体" w:hAnsi="宋体" w:eastAsia="宋体" w:cs="宋体"/>
          <w:color w:val="000000"/>
          <w:kern w:val="0"/>
          <w:sz w:val="24"/>
          <w:szCs w:val="24"/>
          <w:lang w:val="en-GB" w:eastAsia="zh-CN" w:bidi="en-US"/>
        </w:rPr>
        <w:t>协助工作</w:t>
      </w:r>
    </w:p>
    <w:p w14:paraId="008F0130">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r>
        <w:rPr>
          <w:rFonts w:hint="eastAsia" w:ascii="宋体" w:hAnsi="宋体" w:eastAsia="宋体" w:cs="宋体"/>
          <w:b/>
          <w:bCs/>
          <w:color w:val="auto"/>
          <w:kern w:val="2"/>
          <w:sz w:val="24"/>
          <w:szCs w:val="24"/>
          <w:lang w:val="en-US" w:eastAsia="zh-CN" w:bidi="ar-SA"/>
        </w:rPr>
        <w:t>1.1.5.1</w:t>
      </w:r>
      <w:r>
        <w:rPr>
          <w:rFonts w:hint="eastAsia" w:ascii="宋体" w:hAnsi="宋体" w:eastAsia="宋体" w:cs="宋体"/>
          <w:b/>
          <w:bCs/>
          <w:color w:val="auto"/>
          <w:kern w:val="2"/>
          <w:sz w:val="24"/>
          <w:szCs w:val="24"/>
          <w:lang w:val="en-GB" w:eastAsia="zh-CN" w:bidi="ar-SA"/>
        </w:rPr>
        <w:t>大队走访座谈</w:t>
      </w:r>
    </w:p>
    <w:p w14:paraId="092D4391">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积极开展基层走访交流，深入基层了解信号配时诉求、展示信号配时成果，推动基层信号配时问题短平快处置，强化大队对信号配时工作的参与和认同。工作内容：</w:t>
      </w:r>
    </w:p>
    <w:p w14:paraId="2885BCD6">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1）走访按要求填写走访登记表，并由被走访大队签字确认；</w:t>
      </w:r>
    </w:p>
    <w:p w14:paraId="2DAA34B3">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2）大队反映的信号配时相关问题在5个工作日内处置完备并反馈；</w:t>
      </w:r>
    </w:p>
    <w:p w14:paraId="75B475C7">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3）每个季度完成1轮辖区大队走访。</w:t>
      </w:r>
    </w:p>
    <w:p w14:paraId="27174513">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r>
        <w:rPr>
          <w:rFonts w:hint="eastAsia" w:ascii="宋体" w:hAnsi="宋体" w:eastAsia="宋体" w:cs="宋体"/>
          <w:b/>
          <w:bCs/>
          <w:color w:val="auto"/>
          <w:kern w:val="2"/>
          <w:sz w:val="24"/>
          <w:szCs w:val="24"/>
          <w:lang w:val="en-US" w:eastAsia="zh-CN" w:bidi="ar-SA"/>
        </w:rPr>
        <w:t>1.1.5.2</w:t>
      </w:r>
      <w:r>
        <w:rPr>
          <w:rFonts w:hint="eastAsia" w:ascii="宋体" w:hAnsi="宋体" w:eastAsia="宋体" w:cs="宋体"/>
          <w:b/>
          <w:bCs/>
          <w:color w:val="auto"/>
          <w:kern w:val="2"/>
          <w:sz w:val="24"/>
          <w:szCs w:val="24"/>
          <w:lang w:val="en-GB" w:eastAsia="zh-CN" w:bidi="ar-SA"/>
        </w:rPr>
        <w:t>协助大队微治堵</w:t>
      </w:r>
    </w:p>
    <w:p w14:paraId="42C1A9D1">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协助辖区大队开展微治堵，围绕信号配时提出相关改善意见并配合推动实施。工作内容包括：</w:t>
      </w:r>
    </w:p>
    <w:p w14:paraId="1A9C8E72">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1）协助辖区大队开展堵点排查和调研；</w:t>
      </w:r>
    </w:p>
    <w:p w14:paraId="031164E3">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2）围绕信号控制效益提升目标提出堵点改善建议并配合辖区大队推动；</w:t>
      </w:r>
    </w:p>
    <w:p w14:paraId="4D581827">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3）配合辖区大队总结微治堵典型案例。</w:t>
      </w:r>
    </w:p>
    <w:p w14:paraId="47A37925">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r>
        <w:rPr>
          <w:rFonts w:hint="eastAsia" w:ascii="宋体" w:hAnsi="宋体" w:eastAsia="宋体" w:cs="宋体"/>
          <w:b/>
          <w:bCs/>
          <w:color w:val="auto"/>
          <w:kern w:val="2"/>
          <w:sz w:val="24"/>
          <w:szCs w:val="24"/>
          <w:lang w:val="en-US" w:eastAsia="zh-CN" w:bidi="ar-SA"/>
        </w:rPr>
        <w:t>1.1.5.3</w:t>
      </w:r>
      <w:r>
        <w:rPr>
          <w:rFonts w:hint="eastAsia" w:ascii="宋体" w:hAnsi="宋体" w:eastAsia="宋体" w:cs="宋体"/>
          <w:b/>
          <w:bCs/>
          <w:color w:val="auto"/>
          <w:kern w:val="2"/>
          <w:sz w:val="24"/>
          <w:szCs w:val="24"/>
          <w:lang w:val="en-GB" w:eastAsia="zh-CN" w:bidi="ar-SA"/>
        </w:rPr>
        <w:t>事故协查</w:t>
      </w:r>
    </w:p>
    <w:p w14:paraId="656B5D47">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协助甲方做好项目范围内路口事故协查、相关的信号配时参数、执行报表等资料的调取分析工作。对外提供的信号控制参数需征得甲方同意，且严格遵循公安机关的保密要求。</w:t>
      </w:r>
    </w:p>
    <w:p w14:paraId="62E648A7">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r>
        <w:rPr>
          <w:rFonts w:hint="eastAsia" w:ascii="宋体" w:hAnsi="宋体" w:eastAsia="宋体" w:cs="宋体"/>
          <w:b/>
          <w:bCs/>
          <w:color w:val="auto"/>
          <w:kern w:val="2"/>
          <w:sz w:val="24"/>
          <w:szCs w:val="24"/>
          <w:lang w:val="en-US" w:eastAsia="zh-CN" w:bidi="ar-SA"/>
        </w:rPr>
        <w:t>1.1.5.4</w:t>
      </w:r>
      <w:r>
        <w:rPr>
          <w:rFonts w:hint="eastAsia" w:ascii="宋体" w:hAnsi="宋体" w:eastAsia="宋体" w:cs="宋体"/>
          <w:b/>
          <w:bCs/>
          <w:color w:val="auto"/>
          <w:kern w:val="2"/>
          <w:sz w:val="24"/>
          <w:szCs w:val="24"/>
          <w:lang w:val="en-GB" w:eastAsia="zh-CN" w:bidi="ar-SA"/>
        </w:rPr>
        <w:t>配时业务支撑</w:t>
      </w:r>
    </w:p>
    <w:p w14:paraId="377E2308">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支撑辖区交警大队辖区内信号灯路口配时方案更新工作，工作内容包括：</w:t>
      </w:r>
    </w:p>
    <w:p w14:paraId="7D12C71D">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1）每季度走访一次，展开座谈，深入交流信号配时相关工作情况，对大队提出的配时相关问题进行处理并反馈；</w:t>
      </w:r>
    </w:p>
    <w:p w14:paraId="546DA23D">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2）结合日常辖区大队反馈的有关信号配时优化需求，指导和支持大队开展有关信号配时优化工作。</w:t>
      </w:r>
    </w:p>
    <w:p w14:paraId="0CF5DDFF">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bookmarkStart w:id="3" w:name="_Toc176948809"/>
      <w:r>
        <w:rPr>
          <w:rFonts w:hint="eastAsia" w:ascii="宋体" w:hAnsi="宋体" w:eastAsia="宋体" w:cs="宋体"/>
          <w:b/>
          <w:bCs/>
          <w:color w:val="auto"/>
          <w:kern w:val="2"/>
          <w:sz w:val="24"/>
          <w:szCs w:val="24"/>
          <w:lang w:val="en-US" w:eastAsia="zh-CN" w:bidi="ar-SA"/>
        </w:rPr>
        <w:t>1.2</w:t>
      </w:r>
      <w:r>
        <w:rPr>
          <w:rFonts w:hint="eastAsia" w:ascii="宋体" w:hAnsi="宋体" w:eastAsia="宋体" w:cs="宋体"/>
          <w:b/>
          <w:bCs/>
          <w:color w:val="auto"/>
          <w:kern w:val="2"/>
          <w:sz w:val="24"/>
          <w:szCs w:val="24"/>
          <w:lang w:val="en-GB" w:eastAsia="zh-CN" w:bidi="ar-SA"/>
        </w:rPr>
        <w:t>业务支撑</w:t>
      </w:r>
      <w:bookmarkEnd w:id="3"/>
    </w:p>
    <w:p w14:paraId="4F523F53">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结合信号配时业务特点和工作思路的变化，为强化信号配时业务的整体统筹和技术力量对科技处、辖区大队的支撑，促进灯控路口从建设-运营-升级的闭环管理，协助甲方统筹全市信号配时业务组织、提供技术支持、开展全链管理并持续推动基层交通信号控制管理和应用水平提升。</w:t>
      </w:r>
    </w:p>
    <w:p w14:paraId="379383D3">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r>
        <w:rPr>
          <w:rFonts w:hint="eastAsia" w:ascii="宋体" w:hAnsi="宋体" w:eastAsia="宋体" w:cs="宋体"/>
          <w:b/>
          <w:bCs/>
          <w:color w:val="auto"/>
          <w:kern w:val="2"/>
          <w:sz w:val="24"/>
          <w:szCs w:val="24"/>
          <w:lang w:val="en-US" w:eastAsia="zh-CN" w:bidi="ar-SA"/>
        </w:rPr>
        <w:t>1.2.1.1</w:t>
      </w:r>
      <w:r>
        <w:rPr>
          <w:rFonts w:hint="eastAsia" w:ascii="宋体" w:hAnsi="宋体" w:eastAsia="宋体" w:cs="宋体"/>
          <w:b/>
          <w:bCs/>
          <w:color w:val="auto"/>
          <w:kern w:val="2"/>
          <w:sz w:val="24"/>
          <w:szCs w:val="24"/>
          <w:lang w:val="en-GB" w:eastAsia="zh-CN" w:bidi="ar-SA"/>
        </w:rPr>
        <w:t>整体方案制定</w:t>
      </w:r>
    </w:p>
    <w:p w14:paraId="3134F438">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协助甲方拟定涉及本项目服务范围内信号配时业务的工作方案，协调组织项目团队按方案要求推进，并整合报送相关总结性成果。</w:t>
      </w:r>
    </w:p>
    <w:p w14:paraId="5789D585">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制定并推进年度信号配时总体工作方案：结合合同内容、年度信号配时工作重心和支队整体工作部署，协助甲方制定面向全市的信号配时总体工作方案，以指导各辖区大队深化对信号配时业务的理解、强化对驻点服务人员的管理、规范项目实施。具体内容如下：</w:t>
      </w:r>
    </w:p>
    <w:p w14:paraId="5DD12C9A">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1）年度信号配时总体工作方案在项目开展初期制定，经甲方审核后实施；</w:t>
      </w:r>
    </w:p>
    <w:p w14:paraId="3CA8EF41">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2）整体工作方案内容包含工作目标、工作组织、工作内容、进度计划、阶段成果提交计划等；</w:t>
      </w:r>
    </w:p>
    <w:p w14:paraId="37EF6C40">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3）协助甲方根据方案要求组织任务推进和阶段成果搜集。</w:t>
      </w:r>
    </w:p>
    <w:p w14:paraId="7718B2B5">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（2）制定并实施重大活动信号配时保障方案，制定信号配时保障方案并组织实施，以保障重大活动期间交通平稳有序。具体内容包括：</w:t>
      </w:r>
    </w:p>
    <w:p w14:paraId="098CB355">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1）重大活动信号配时保障方案于重大活动开始之前制定并报甲方审定；</w:t>
      </w:r>
    </w:p>
    <w:p w14:paraId="75C874CE">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2）信号配时保障方案按公文格式编制，内容包含活动概况、保障措施、人力组织等；</w:t>
      </w:r>
    </w:p>
    <w:p w14:paraId="2635F421">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3)重大活动开始前组织对应辖区按保障方案提前设置好预案，并对预案进行校核；</w:t>
      </w:r>
    </w:p>
    <w:p w14:paraId="7EE36209">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4）重大活动开始后组织对应辖区按保障方案要求实时跟进优化受影响路口信号配时。</w:t>
      </w:r>
    </w:p>
    <w:p w14:paraId="7435017B">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r>
        <w:rPr>
          <w:rFonts w:hint="eastAsia" w:ascii="宋体" w:hAnsi="宋体" w:eastAsia="宋体" w:cs="宋体"/>
          <w:b/>
          <w:bCs/>
          <w:color w:val="auto"/>
          <w:kern w:val="2"/>
          <w:sz w:val="24"/>
          <w:szCs w:val="24"/>
          <w:lang w:val="en-US" w:eastAsia="zh-CN" w:bidi="ar-SA"/>
        </w:rPr>
        <w:t>1.2.1.2</w:t>
      </w:r>
      <w:r>
        <w:rPr>
          <w:rFonts w:hint="eastAsia" w:ascii="宋体" w:hAnsi="宋体" w:eastAsia="宋体" w:cs="宋体"/>
          <w:b/>
          <w:bCs/>
          <w:color w:val="auto"/>
          <w:kern w:val="2"/>
          <w:sz w:val="24"/>
          <w:szCs w:val="24"/>
          <w:lang w:val="en-GB" w:eastAsia="zh-CN" w:bidi="ar-SA"/>
        </w:rPr>
        <w:t>专项工作组织</w:t>
      </w:r>
    </w:p>
    <w:p w14:paraId="3086C299">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协助甲方组织各类专项排查整治、各类专项保障等。</w:t>
      </w:r>
    </w:p>
    <w:p w14:paraId="3CE42540">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（1）组织专项排查整治：协助甲方制定排查策略和标准，组织推进实施，并进行排查结果分析，具体内容如下：</w:t>
      </w:r>
    </w:p>
    <w:p w14:paraId="1775CE89">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 xml:space="preserve">1）专项排查整治需求由甲方根据实际业务需求指定， </w:t>
      </w:r>
    </w:p>
    <w:p w14:paraId="1D811FC9">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2）专项排查治理内容围绕信号配时，如大周期排查、全市各路口转向控制策略、全市路口时段精细化情况、全市行人二次过街设施及信号、全市校园周边路口排查等；</w:t>
      </w:r>
    </w:p>
    <w:p w14:paraId="7DAD1677">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3）在充分调研分析甲方需求和目的前提下，研究达成排查目的策略，针对策略制定相应的排查子项、排查标准、排查任务分解、排查结果归集要求等，并组织推进；</w:t>
      </w:r>
    </w:p>
    <w:p w14:paraId="7443D920">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4）对排查数据进行分析，结合数据特征和甲方排查需求和目标，提出可行治理建议或意见。</w:t>
      </w:r>
    </w:p>
    <w:p w14:paraId="69ED913D">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（2）组织专项保障：因特殊节假日、特殊天气等全市性专项保障需求，协助甲方进行保障组织，具体内容包括：</w:t>
      </w:r>
    </w:p>
    <w:p w14:paraId="59E9D1A9">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1）提前1天制定保障组织计划并报甲方核准；</w:t>
      </w:r>
    </w:p>
    <w:p w14:paraId="7A1D2DF0">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2）保障组织计划包括保障内容及重点、保障措施、保障时间、人力配置等，协助甲方传达到各个辖区并组织实施。</w:t>
      </w:r>
    </w:p>
    <w:p w14:paraId="4C783F75">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r>
        <w:rPr>
          <w:rFonts w:hint="eastAsia" w:ascii="宋体" w:hAnsi="宋体" w:eastAsia="宋体" w:cs="宋体"/>
          <w:b/>
          <w:bCs/>
          <w:color w:val="auto"/>
          <w:kern w:val="2"/>
          <w:sz w:val="24"/>
          <w:szCs w:val="24"/>
          <w:lang w:val="en-US" w:eastAsia="zh-CN" w:bidi="ar-SA"/>
        </w:rPr>
        <w:t>1.2.1.3</w:t>
      </w:r>
      <w:r>
        <w:rPr>
          <w:rFonts w:hint="eastAsia" w:ascii="宋体" w:hAnsi="宋体" w:eastAsia="宋体" w:cs="宋体"/>
          <w:b/>
          <w:bCs/>
          <w:color w:val="auto"/>
          <w:kern w:val="2"/>
          <w:sz w:val="24"/>
          <w:szCs w:val="24"/>
          <w:lang w:val="en-GB" w:eastAsia="zh-CN" w:bidi="ar-SA"/>
        </w:rPr>
        <w:t>日常成果汇编</w:t>
      </w:r>
    </w:p>
    <w:p w14:paraId="3C273B4E">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协助甲方制定全市信号配时工作日常成果汇总分析模板，组织各辖区按时按标准积累、提交辖区日常成果，将分项成果汇编为全市性的日常工作成果后提交给甲方。</w:t>
      </w:r>
    </w:p>
    <w:p w14:paraId="481AE3F8">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（1）日常成果报告：协助甲方制定本项目范围内的信号配时工作日常成果汇总分析模板，呈现日常工作进展和效果，具体工作内容包括：</w:t>
      </w:r>
    </w:p>
    <w:p w14:paraId="4AA8899E">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1）项目启动后立即根据甲方需求编制信号配时工作日常成果汇总分析模板，经甲方核定后作为全市信号配时工作统一模板；</w:t>
      </w:r>
    </w:p>
    <w:p w14:paraId="3EB45B26">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2）日常成果报告根据需要采用简讯等形式编制，内容涵盖全市信号配时优化总体情况和重点工作内容；</w:t>
      </w:r>
    </w:p>
    <w:p w14:paraId="78ECC202">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3）甲方可根据实际需要调整日常成果汇编要求。</w:t>
      </w:r>
    </w:p>
    <w:p w14:paraId="2DDBB925">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（2）信号配时月报：制定全市统一的信号配时月报模板，具体工作内容包括：</w:t>
      </w:r>
    </w:p>
    <w:p w14:paraId="615A8201">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1）合同签订1个月内制定信号配时月报模板，经甲方核定后作为全市信号配时工作统一模板；</w:t>
      </w:r>
    </w:p>
    <w:p w14:paraId="683A37BA">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2）信号配时月报以电子文档形式编制，总结展现各辖区月度信号配时服务工作成效，图文并茂、内容全面成体系且突出重点；</w:t>
      </w:r>
    </w:p>
    <w:p w14:paraId="1C78D2D5">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4）信号配时月报每月10日前完成上月报告编制，报送主管部门。</w:t>
      </w:r>
    </w:p>
    <w:p w14:paraId="623CFD4F">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（3）其他信号配时相关成果编制：根据甲方需求，搜集并编制信号配时业务相关总结报告等。</w:t>
      </w:r>
    </w:p>
    <w:p w14:paraId="58CEA7EC">
      <w:pPr>
        <w:tabs>
          <w:tab w:val="left" w:pos="980"/>
        </w:tabs>
        <w:kinsoku w:val="0"/>
        <w:spacing w:line="460" w:lineRule="exact"/>
        <w:ind w:firstLine="480"/>
        <w:jc w:val="left"/>
        <w:rPr>
          <w:rFonts w:hint="eastAsia" w:ascii="宋体" w:hAnsi="宋体" w:eastAsia="宋体" w:cs="宋体"/>
          <w:b/>
          <w:color w:val="auto"/>
          <w:kern w:val="2"/>
          <w:sz w:val="24"/>
          <w:szCs w:val="24"/>
          <w:lang w:val="en-GB" w:eastAsia="zh-CN" w:bidi="ar-SA"/>
        </w:rPr>
      </w:pPr>
      <w:r>
        <w:rPr>
          <w:rFonts w:hint="eastAsia" w:ascii="宋体" w:hAnsi="宋体" w:eastAsia="宋体" w:cs="宋体"/>
          <w:b/>
          <w:color w:val="auto"/>
          <w:kern w:val="2"/>
          <w:sz w:val="24"/>
          <w:szCs w:val="24"/>
          <w:lang w:val="en-US" w:eastAsia="zh-CN" w:bidi="ar-SA"/>
        </w:rPr>
        <w:t>1.2.2</w:t>
      </w:r>
      <w:r>
        <w:rPr>
          <w:rFonts w:hint="eastAsia" w:ascii="宋体" w:hAnsi="宋体" w:eastAsia="宋体" w:cs="宋体"/>
          <w:b/>
          <w:color w:val="auto"/>
          <w:kern w:val="2"/>
          <w:sz w:val="24"/>
          <w:szCs w:val="24"/>
          <w:lang w:val="en-GB" w:eastAsia="zh-CN" w:bidi="ar-SA"/>
        </w:rPr>
        <w:t>技术支持</w:t>
      </w:r>
    </w:p>
    <w:p w14:paraId="0B0CFBFA">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为甲方提供信号配时相关决策咨询服务，具体内容如下：</w:t>
      </w:r>
    </w:p>
    <w:p w14:paraId="0C2B673C">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决策咨询服务内容涵盖信号配时业务相关的来访座谈、协同现场踏勘、施工疏解建议、交通组织改善建议、会议研讨、内外部汇报的意见建议等。</w:t>
      </w:r>
    </w:p>
    <w:p w14:paraId="78243239">
      <w:pPr>
        <w:tabs>
          <w:tab w:val="left" w:pos="980"/>
        </w:tabs>
        <w:kinsoku w:val="0"/>
        <w:spacing w:line="460" w:lineRule="exact"/>
        <w:ind w:firstLine="480"/>
        <w:jc w:val="left"/>
        <w:rPr>
          <w:rFonts w:hint="eastAsia" w:ascii="宋体" w:hAnsi="宋体" w:eastAsia="宋体" w:cs="宋体"/>
          <w:b/>
          <w:color w:val="auto"/>
          <w:kern w:val="2"/>
          <w:sz w:val="24"/>
          <w:szCs w:val="24"/>
          <w:lang w:val="en-GB" w:eastAsia="zh-CN" w:bidi="ar-SA"/>
        </w:rPr>
      </w:pPr>
      <w:r>
        <w:rPr>
          <w:rFonts w:hint="eastAsia" w:ascii="宋体" w:hAnsi="宋体" w:eastAsia="宋体" w:cs="宋体"/>
          <w:b/>
          <w:color w:val="auto"/>
          <w:kern w:val="2"/>
          <w:sz w:val="24"/>
          <w:szCs w:val="24"/>
          <w:lang w:val="en-US" w:eastAsia="zh-CN" w:bidi="ar-SA"/>
        </w:rPr>
        <w:t>1.2.3</w:t>
      </w:r>
      <w:r>
        <w:rPr>
          <w:rFonts w:hint="eastAsia" w:ascii="宋体" w:hAnsi="宋体" w:eastAsia="宋体" w:cs="宋体"/>
          <w:b/>
          <w:color w:val="auto"/>
          <w:kern w:val="2"/>
          <w:sz w:val="24"/>
          <w:szCs w:val="24"/>
          <w:lang w:val="en-GB" w:eastAsia="zh-CN" w:bidi="ar-SA"/>
        </w:rPr>
        <w:t>全链管理</w:t>
      </w:r>
    </w:p>
    <w:p w14:paraId="1FA7B536">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r>
        <w:rPr>
          <w:rFonts w:hint="eastAsia" w:ascii="宋体" w:hAnsi="宋体" w:eastAsia="宋体" w:cs="宋体"/>
          <w:b/>
          <w:bCs/>
          <w:color w:val="auto"/>
          <w:kern w:val="2"/>
          <w:sz w:val="24"/>
          <w:szCs w:val="24"/>
          <w:lang w:val="en-US" w:eastAsia="zh-CN" w:bidi="ar-SA"/>
        </w:rPr>
        <w:t>1.2.3.1</w:t>
      </w:r>
      <w:r>
        <w:rPr>
          <w:rFonts w:hint="eastAsia" w:ascii="宋体" w:hAnsi="宋体" w:eastAsia="宋体" w:cs="宋体"/>
          <w:b/>
          <w:bCs/>
          <w:color w:val="auto"/>
          <w:kern w:val="2"/>
          <w:sz w:val="24"/>
          <w:szCs w:val="24"/>
          <w:lang w:val="en-GB" w:eastAsia="zh-CN" w:bidi="ar-SA"/>
        </w:rPr>
        <w:t>新改建亮灯</w:t>
      </w:r>
    </w:p>
    <w:p w14:paraId="7FDF9FDF">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配合甲方处理亮灯申请，对具备条件的路口进行调试试运行，通过提前介入规范路口建设，筑牢信号控制优化基础。工作内容如下：</w:t>
      </w:r>
    </w:p>
    <w:p w14:paraId="41052440">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（1）主要工作内容为：</w:t>
      </w:r>
    </w:p>
    <w:p w14:paraId="7D4C7700">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1）图纸复核：对新改建亮灯路口图纸中影响信号配时的内容进行复核，识别路口信号灯类型、车道划分是否与管控目标、管控策略相匹配，若不匹配则向甲方提出建议；</w:t>
      </w:r>
    </w:p>
    <w:p w14:paraId="797E2D56">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2）制定基础方案：结合路口信号灯类型、交通组织等设计路口初始化控制方案，控制方案包括平日和假日方案、绿冲突表、调度计划等；</w:t>
      </w:r>
    </w:p>
    <w:p w14:paraId="789E43A2">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3）调试试运行：核实路口是否具备试运行条件，若具备则下载进行调试，确保每套方案运行正常；</w:t>
      </w:r>
    </w:p>
    <w:p w14:paraId="6A95A6BE">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（2）执行工作要求如下：</w:t>
      </w:r>
    </w:p>
    <w:p w14:paraId="0A2AC1D6">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1）接亮灯申请后立即配合甲方开展路口亮灯条件核实，具备条件的在10个工作日内完成调试试运行；</w:t>
      </w:r>
    </w:p>
    <w:p w14:paraId="255AD70E">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2）对于不具备试运行条件的路口，及时向甲方反馈，提出整改建议；</w:t>
      </w:r>
    </w:p>
    <w:p w14:paraId="73FFE122">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3）调试现场进行，对各套控制方案都进行调试，确保无误后方可试运行。</w:t>
      </w:r>
    </w:p>
    <w:p w14:paraId="3A6CB87B">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r>
        <w:rPr>
          <w:rFonts w:hint="eastAsia" w:ascii="宋体" w:hAnsi="宋体" w:eastAsia="宋体" w:cs="宋体"/>
          <w:b/>
          <w:bCs/>
          <w:color w:val="auto"/>
          <w:kern w:val="2"/>
          <w:sz w:val="24"/>
          <w:szCs w:val="24"/>
          <w:lang w:val="en-US" w:eastAsia="zh-CN" w:bidi="ar-SA"/>
        </w:rPr>
        <w:t>1.2.3.2</w:t>
      </w:r>
      <w:r>
        <w:rPr>
          <w:rFonts w:hint="eastAsia" w:ascii="宋体" w:hAnsi="宋体" w:eastAsia="宋体" w:cs="宋体"/>
          <w:b/>
          <w:bCs/>
          <w:color w:val="auto"/>
          <w:kern w:val="2"/>
          <w:sz w:val="24"/>
          <w:szCs w:val="24"/>
          <w:lang w:val="en-GB" w:eastAsia="zh-CN" w:bidi="ar-SA"/>
        </w:rPr>
        <w:t>智能控制应用</w:t>
      </w:r>
    </w:p>
    <w:p w14:paraId="77EE2C82">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为发挥数据价值，对布设有车检器且达到应用条件的路口逐步推行智能控制模式，提升控制参数与交通特征的匹配度。</w:t>
      </w:r>
    </w:p>
    <w:p w14:paraId="072E71AA">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（1）主要工作内容为：</w:t>
      </w:r>
    </w:p>
    <w:p w14:paraId="1BCB32BE">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1）智能控制模式参数设置。</w:t>
      </w:r>
    </w:p>
    <w:p w14:paraId="5D666E66">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结合路口车检器布设、渠化组织、交通流特征、信号控制系统控制模式算法等关键因素，为路口选定合适的智能控制模式，如感应控制、自适应控制、动态绿波等；</w:t>
      </w:r>
    </w:p>
    <w:p w14:paraId="3DA634EB">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选定智能控制模式后，对智能控制模式的控制参数进行设置，含初始相位方案、最小绿、最大绿、单位绿、最大周期、最小周期等参数的设计。</w:t>
      </w:r>
    </w:p>
    <w:p w14:paraId="2C48EA7F">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2）智能控制模式的跟踪调试。</w:t>
      </w:r>
    </w:p>
    <w:p w14:paraId="0458DCC9">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对路口的交通数据进行统计和多种手段分析，如流量-占有率关系曲线、流量-时间关系曲线、占有率-时间关系曲线、周期-时间关系曲线等，研判控制是否高效，对运行效果不理想的路口逐步优化控制参数，逐步达到适应路口运行的控制效果。</w:t>
      </w:r>
    </w:p>
    <w:p w14:paraId="04B42E60">
      <w:pPr>
        <w:tabs>
          <w:tab w:val="left" w:pos="980"/>
        </w:tabs>
        <w:kinsoku w:val="0"/>
        <w:spacing w:line="460" w:lineRule="exact"/>
        <w:ind w:firstLine="480"/>
        <w:jc w:val="left"/>
        <w:rPr>
          <w:rFonts w:hint="eastAsia" w:ascii="宋体" w:hAnsi="宋体" w:eastAsia="宋体" w:cs="宋体"/>
          <w:b/>
          <w:color w:val="auto"/>
          <w:kern w:val="2"/>
          <w:sz w:val="24"/>
          <w:szCs w:val="24"/>
          <w:lang w:val="en-GB" w:eastAsia="zh-CN" w:bidi="ar-SA"/>
        </w:rPr>
      </w:pPr>
      <w:r>
        <w:rPr>
          <w:rFonts w:hint="eastAsia" w:ascii="宋体" w:hAnsi="宋体" w:eastAsia="宋体" w:cs="宋体"/>
          <w:b/>
          <w:color w:val="auto"/>
          <w:kern w:val="2"/>
          <w:sz w:val="24"/>
          <w:szCs w:val="24"/>
          <w:lang w:val="en-US" w:eastAsia="zh-CN" w:bidi="ar-SA"/>
        </w:rPr>
        <w:t>1.2.4</w:t>
      </w:r>
      <w:r>
        <w:rPr>
          <w:rFonts w:hint="eastAsia" w:ascii="宋体" w:hAnsi="宋体" w:eastAsia="宋体" w:cs="宋体"/>
          <w:b/>
          <w:color w:val="auto"/>
          <w:kern w:val="2"/>
          <w:sz w:val="24"/>
          <w:szCs w:val="24"/>
          <w:lang w:val="en-GB" w:eastAsia="zh-CN" w:bidi="ar-SA"/>
        </w:rPr>
        <w:t>构建长效管理机制</w:t>
      </w:r>
    </w:p>
    <w:p w14:paraId="0F63C7EF">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r>
        <w:rPr>
          <w:rFonts w:hint="eastAsia" w:ascii="宋体" w:hAnsi="宋体" w:eastAsia="宋体" w:cs="宋体"/>
          <w:b/>
          <w:bCs/>
          <w:color w:val="auto"/>
          <w:kern w:val="2"/>
          <w:sz w:val="24"/>
          <w:szCs w:val="24"/>
          <w:lang w:val="en-US" w:eastAsia="zh-CN" w:bidi="ar-SA"/>
        </w:rPr>
        <w:t>1.2.4.1</w:t>
      </w:r>
      <w:r>
        <w:rPr>
          <w:rFonts w:hint="eastAsia" w:ascii="宋体" w:hAnsi="宋体" w:eastAsia="宋体" w:cs="宋体"/>
          <w:b/>
          <w:bCs/>
          <w:color w:val="auto"/>
          <w:kern w:val="2"/>
          <w:sz w:val="24"/>
          <w:szCs w:val="24"/>
          <w:lang w:val="en-GB" w:eastAsia="zh-CN" w:bidi="ar-SA"/>
        </w:rPr>
        <w:t>风险防范</w:t>
      </w:r>
    </w:p>
    <w:p w14:paraId="01F9D200">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对信号配时业务实施过程中已发生或潜在的风险进行研究，协助甲方制定可行的风险防范措施和流程机制，具体工作如下：</w:t>
      </w:r>
    </w:p>
    <w:p w14:paraId="67FA09FD">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1）协助甲方梳理、排查信号配时业务开展中存在的风险，如控制系统漏洞、灯色长时间不跳转等，研究制定可行的风险防范措施、协助甲方建立风险防范机制；</w:t>
      </w:r>
    </w:p>
    <w:p w14:paraId="7E5E0D65">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2）协助甲方完善信号配时业务相关工作流程，建立科学、合理、严谨的对内、对外工作流程，以规范工作开展、提高工作效率、降低实施风险。</w:t>
      </w:r>
    </w:p>
    <w:p w14:paraId="79DF4937">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r>
        <w:rPr>
          <w:rFonts w:hint="eastAsia" w:ascii="宋体" w:hAnsi="宋体" w:eastAsia="宋体" w:cs="宋体"/>
          <w:b/>
          <w:bCs/>
          <w:color w:val="auto"/>
          <w:kern w:val="2"/>
          <w:sz w:val="24"/>
          <w:szCs w:val="24"/>
          <w:lang w:val="en-US" w:eastAsia="zh-CN" w:bidi="ar-SA"/>
        </w:rPr>
        <w:t>1.2.4.2</w:t>
      </w:r>
      <w:r>
        <w:rPr>
          <w:rFonts w:hint="eastAsia" w:ascii="宋体" w:hAnsi="宋体" w:eastAsia="宋体" w:cs="宋体"/>
          <w:b/>
          <w:bCs/>
          <w:color w:val="auto"/>
          <w:kern w:val="2"/>
          <w:sz w:val="24"/>
          <w:szCs w:val="24"/>
          <w:lang w:val="en-GB" w:eastAsia="zh-CN" w:bidi="ar-SA"/>
        </w:rPr>
        <w:t>机制研究完善</w:t>
      </w:r>
    </w:p>
    <w:p w14:paraId="0608B04E">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结合甲方配时业务现状和阶段工作重心，协助甲方研究完善信号配时运营管理机制，制定配时业务管理和技术提升的相关指导意见，指导各辖区大队发挥支队-大队-中队三级配时精细化管理模式优势，不断提升西安信号配时实施和管理水平。</w:t>
      </w:r>
    </w:p>
    <w:p w14:paraId="1660546A">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r>
        <w:rPr>
          <w:rFonts w:hint="eastAsia" w:ascii="宋体" w:hAnsi="宋体" w:eastAsia="宋体" w:cs="宋体"/>
          <w:b/>
          <w:bCs/>
          <w:color w:val="auto"/>
          <w:kern w:val="2"/>
          <w:sz w:val="24"/>
          <w:szCs w:val="24"/>
          <w:lang w:val="en-US" w:eastAsia="zh-CN" w:bidi="ar-SA"/>
        </w:rPr>
        <w:t>1.2.4.3</w:t>
      </w:r>
      <w:r>
        <w:rPr>
          <w:rFonts w:hint="eastAsia" w:ascii="宋体" w:hAnsi="宋体" w:eastAsia="宋体" w:cs="宋体"/>
          <w:b/>
          <w:bCs/>
          <w:color w:val="auto"/>
          <w:kern w:val="2"/>
          <w:sz w:val="24"/>
          <w:szCs w:val="24"/>
          <w:lang w:val="en-GB" w:eastAsia="zh-CN" w:bidi="ar-SA"/>
        </w:rPr>
        <w:t>技术培训</w:t>
      </w:r>
    </w:p>
    <w:p w14:paraId="08932334">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定期开展面向各辖区大队民警、辅警的信号配时相关技术培训，全方位提升辖区大队信号配时业务水平和管理水平。工作内容如下：</w:t>
      </w:r>
    </w:p>
    <w:p w14:paraId="0FBA3A51">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1）培训内容包括信号控制相关专业技术、重点问题释疑、典型应用案例、实操演示等。</w:t>
      </w:r>
    </w:p>
    <w:p w14:paraId="765BE048">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2）每期培训提前1周与甲方沟通确定培训大纲、培训计划和培训形式。</w:t>
      </w:r>
    </w:p>
    <w:p w14:paraId="3DB82676">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bookmarkStart w:id="4" w:name="_Toc176948810"/>
      <w:r>
        <w:rPr>
          <w:rFonts w:hint="eastAsia" w:ascii="宋体" w:hAnsi="宋体" w:eastAsia="宋体" w:cs="宋体"/>
          <w:b/>
          <w:bCs/>
          <w:color w:val="auto"/>
          <w:kern w:val="2"/>
          <w:sz w:val="24"/>
          <w:szCs w:val="24"/>
          <w:lang w:val="en-US" w:eastAsia="zh-CN" w:bidi="ar-SA"/>
        </w:rPr>
        <w:t>1.3</w:t>
      </w:r>
      <w:r>
        <w:rPr>
          <w:rFonts w:hint="eastAsia" w:ascii="宋体" w:hAnsi="宋体" w:eastAsia="宋体" w:cs="宋体"/>
          <w:b/>
          <w:bCs/>
          <w:color w:val="auto"/>
          <w:kern w:val="2"/>
          <w:sz w:val="24"/>
          <w:szCs w:val="24"/>
          <w:lang w:val="en-GB" w:eastAsia="zh-CN" w:bidi="ar-SA"/>
        </w:rPr>
        <w:t>专项分析</w:t>
      </w:r>
      <w:bookmarkEnd w:id="4"/>
    </w:p>
    <w:p w14:paraId="5CA863E4">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在开展日常信号配时优化的同时，对存在高频手控、溢流、排队失衡等问题的热点路口加强关注，并对具备改善条件的路口/干线/区域采用专项的形式进行重点研究，通过工匠治理深挖道路时空资源；应用多源数据对特定活动、特定措施、假日等期间的交通运行情况进行分析，并提出信号配时应对策略。</w:t>
      </w:r>
    </w:p>
    <w:p w14:paraId="430D18AA">
      <w:pPr>
        <w:tabs>
          <w:tab w:val="left" w:pos="980"/>
        </w:tabs>
        <w:kinsoku w:val="0"/>
        <w:spacing w:line="460" w:lineRule="exact"/>
        <w:ind w:firstLine="480"/>
        <w:jc w:val="left"/>
        <w:rPr>
          <w:rFonts w:hint="eastAsia" w:ascii="宋体" w:hAnsi="宋体" w:eastAsia="宋体" w:cs="宋体"/>
          <w:b/>
          <w:color w:val="auto"/>
          <w:kern w:val="2"/>
          <w:sz w:val="24"/>
          <w:szCs w:val="24"/>
          <w:lang w:val="en-GB" w:eastAsia="zh-CN" w:bidi="ar-SA"/>
        </w:rPr>
      </w:pPr>
      <w:r>
        <w:rPr>
          <w:rFonts w:hint="eastAsia" w:ascii="宋体" w:hAnsi="宋体" w:eastAsia="宋体" w:cs="宋体"/>
          <w:b/>
          <w:color w:val="auto"/>
          <w:kern w:val="2"/>
          <w:sz w:val="24"/>
          <w:szCs w:val="24"/>
          <w:lang w:val="en-US" w:eastAsia="zh-CN" w:bidi="ar-SA"/>
        </w:rPr>
        <w:t>1.3.1</w:t>
      </w:r>
      <w:r>
        <w:rPr>
          <w:rFonts w:hint="eastAsia" w:ascii="宋体" w:hAnsi="宋体" w:eastAsia="宋体" w:cs="宋体"/>
          <w:b/>
          <w:color w:val="auto"/>
          <w:kern w:val="2"/>
          <w:sz w:val="24"/>
          <w:szCs w:val="24"/>
          <w:lang w:val="en-GB" w:eastAsia="zh-CN" w:bidi="ar-SA"/>
        </w:rPr>
        <w:t>热点分析</w:t>
      </w:r>
    </w:p>
    <w:p w14:paraId="68780EBE">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r>
        <w:rPr>
          <w:rFonts w:hint="eastAsia" w:ascii="宋体" w:hAnsi="宋体" w:eastAsia="宋体" w:cs="宋体"/>
          <w:b/>
          <w:bCs/>
          <w:color w:val="auto"/>
          <w:kern w:val="2"/>
          <w:sz w:val="24"/>
          <w:szCs w:val="24"/>
          <w:lang w:val="en-US" w:eastAsia="zh-CN" w:bidi="ar-SA"/>
        </w:rPr>
        <w:t>1.3.1.1</w:t>
      </w:r>
      <w:r>
        <w:rPr>
          <w:rFonts w:hint="eastAsia" w:ascii="宋体" w:hAnsi="宋体" w:eastAsia="宋体" w:cs="宋体"/>
          <w:b/>
          <w:bCs/>
          <w:color w:val="auto"/>
          <w:kern w:val="2"/>
          <w:sz w:val="24"/>
          <w:szCs w:val="24"/>
          <w:lang w:val="en-GB" w:eastAsia="zh-CN" w:bidi="ar-SA"/>
        </w:rPr>
        <w:t>重要节点/干线/区域时空一体改善</w:t>
      </w:r>
    </w:p>
    <w:p w14:paraId="60DA78D2">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对于单独依靠信号控制策略优化难以解决的问题交叉口、路段或区域，结合交通组织调整、交通设施改造等工程手段，提出时空一体改善建议，并协调推动优化改造。问题不局限于交通拥堵，还包含安全隐患、秩序混乱、效率低下等，主要工作内容为：</w:t>
      </w:r>
    </w:p>
    <w:p w14:paraId="3859FC69">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1）结合投诉、主被动巡查等，对存在问题的节点/干线/区域提出时空一体改善意见；</w:t>
      </w:r>
    </w:p>
    <w:p w14:paraId="6F35261A">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2）对典型问题节点/干线/区域拟写详细的时空一体改善方案，方案包含现状调查、交通运行情况、交通问题、改善措施及效果评估；</w:t>
      </w:r>
    </w:p>
    <w:p w14:paraId="6503AB1B">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3）积极协助甲方协调相关部门，推动时空一体改善建议落地见效。</w:t>
      </w:r>
    </w:p>
    <w:p w14:paraId="56FB5088">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r>
        <w:rPr>
          <w:rFonts w:hint="eastAsia" w:ascii="宋体" w:hAnsi="宋体" w:eastAsia="宋体" w:cs="宋体"/>
          <w:b/>
          <w:bCs/>
          <w:color w:val="auto"/>
          <w:kern w:val="2"/>
          <w:sz w:val="24"/>
          <w:szCs w:val="24"/>
          <w:lang w:val="en-US" w:eastAsia="zh-CN" w:bidi="ar-SA"/>
        </w:rPr>
        <w:t>1.3.2</w:t>
      </w:r>
      <w:r>
        <w:rPr>
          <w:rFonts w:hint="eastAsia" w:ascii="宋体" w:hAnsi="宋体" w:eastAsia="宋体" w:cs="宋体"/>
          <w:b/>
          <w:bCs/>
          <w:color w:val="auto"/>
          <w:kern w:val="2"/>
          <w:sz w:val="24"/>
          <w:szCs w:val="24"/>
          <w:lang w:val="en-GB" w:eastAsia="zh-CN" w:bidi="ar-SA"/>
        </w:rPr>
        <w:t>交通运行分析</w:t>
      </w:r>
    </w:p>
    <w:p w14:paraId="024D4EFF">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以多源数据为基础，对特定活动、特定措施、假日等期间的交通运行情况或道路、区域的活跃车辆数进行分析。具体内容包括：</w:t>
      </w:r>
    </w:p>
    <w:p w14:paraId="6ADC3B17">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1）数据来源：可采用的数据包括自主采集的路口电子台账数据、交警高清电警/路段卡口数据、互联网公司的浮动车数据等；</w:t>
      </w:r>
    </w:p>
    <w:p w14:paraId="1DD3D2E0">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2）交通运行分析：分析范围选择关联区域；分析对象包含区域、区域内干线、典型路口等；分析指标包含指数、车速同比或环比变化等。</w:t>
      </w:r>
    </w:p>
    <w:p w14:paraId="58F19EE1">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bookmarkStart w:id="5" w:name="_Toc176948811"/>
      <w:r>
        <w:rPr>
          <w:rFonts w:hint="eastAsia" w:ascii="宋体" w:hAnsi="宋体" w:eastAsia="宋体" w:cs="宋体"/>
          <w:b/>
          <w:bCs/>
          <w:color w:val="auto"/>
          <w:kern w:val="2"/>
          <w:sz w:val="24"/>
          <w:szCs w:val="24"/>
          <w:lang w:val="en-US" w:eastAsia="zh-CN" w:bidi="ar-SA"/>
        </w:rPr>
        <w:t>1.4</w:t>
      </w:r>
      <w:r>
        <w:rPr>
          <w:rFonts w:hint="eastAsia" w:ascii="宋体" w:hAnsi="宋体" w:eastAsia="宋体" w:cs="宋体"/>
          <w:b/>
          <w:bCs/>
          <w:color w:val="auto"/>
          <w:kern w:val="2"/>
          <w:sz w:val="24"/>
          <w:szCs w:val="24"/>
          <w:lang w:val="en-GB" w:eastAsia="zh-CN" w:bidi="ar-SA"/>
        </w:rPr>
        <w:t>系统维护</w:t>
      </w:r>
      <w:bookmarkEnd w:id="5"/>
    </w:p>
    <w:p w14:paraId="4868F016">
      <w:pPr>
        <w:tabs>
          <w:tab w:val="left" w:pos="980"/>
        </w:tabs>
        <w:kinsoku w:val="0"/>
        <w:spacing w:line="460" w:lineRule="exact"/>
        <w:ind w:firstLine="480"/>
        <w:jc w:val="left"/>
        <w:rPr>
          <w:rFonts w:hint="eastAsia" w:ascii="宋体" w:hAnsi="宋体" w:eastAsia="宋体" w:cs="宋体"/>
          <w:b/>
          <w:color w:val="auto"/>
          <w:kern w:val="2"/>
          <w:sz w:val="24"/>
          <w:szCs w:val="24"/>
          <w:lang w:val="en-GB" w:eastAsia="zh-CN" w:bidi="ar-SA"/>
        </w:rPr>
      </w:pPr>
      <w:r>
        <w:rPr>
          <w:rFonts w:hint="eastAsia" w:ascii="宋体" w:hAnsi="宋体" w:eastAsia="宋体" w:cs="宋体"/>
          <w:b/>
          <w:color w:val="auto"/>
          <w:kern w:val="2"/>
          <w:sz w:val="24"/>
          <w:szCs w:val="24"/>
          <w:lang w:val="en-US" w:eastAsia="zh-CN" w:bidi="ar-SA"/>
        </w:rPr>
        <w:t>1.4.1</w:t>
      </w:r>
      <w:r>
        <w:rPr>
          <w:rFonts w:hint="eastAsia" w:ascii="宋体" w:hAnsi="宋体" w:eastAsia="宋体" w:cs="宋体"/>
          <w:b/>
          <w:color w:val="auto"/>
          <w:kern w:val="2"/>
          <w:sz w:val="24"/>
          <w:szCs w:val="24"/>
          <w:lang w:val="en-GB" w:eastAsia="zh-CN" w:bidi="ar-SA"/>
        </w:rPr>
        <w:t>信号控制系统维护</w:t>
      </w:r>
    </w:p>
    <w:p w14:paraId="7CCF475E">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信号控制系统维护主要工作内容为信号系统的日常维护、巡检、抢修、清洁、定期检修保养、保障及运行监测等。</w:t>
      </w:r>
    </w:p>
    <w:p w14:paraId="36F1D703">
      <w:pPr>
        <w:tabs>
          <w:tab w:val="left" w:pos="980"/>
        </w:tabs>
        <w:kinsoku w:val="0"/>
        <w:spacing w:line="460" w:lineRule="exact"/>
        <w:ind w:firstLine="480"/>
        <w:jc w:val="left"/>
        <w:rPr>
          <w:rFonts w:hint="eastAsia" w:ascii="宋体" w:hAnsi="宋体" w:eastAsia="宋体" w:cs="宋体"/>
          <w:b/>
          <w:color w:val="auto"/>
          <w:kern w:val="2"/>
          <w:sz w:val="24"/>
          <w:szCs w:val="24"/>
          <w:lang w:val="en-GB" w:eastAsia="zh-CN" w:bidi="ar-SA"/>
        </w:rPr>
      </w:pPr>
      <w:r>
        <w:rPr>
          <w:rFonts w:hint="eastAsia" w:ascii="宋体" w:hAnsi="宋体" w:eastAsia="宋体" w:cs="宋体"/>
          <w:b/>
          <w:color w:val="auto"/>
          <w:kern w:val="2"/>
          <w:sz w:val="24"/>
          <w:szCs w:val="24"/>
          <w:lang w:val="en-US" w:eastAsia="zh-CN" w:bidi="ar-SA"/>
        </w:rPr>
        <w:t>1.4.2</w:t>
      </w:r>
      <w:r>
        <w:rPr>
          <w:rFonts w:hint="eastAsia" w:ascii="宋体" w:hAnsi="宋体" w:eastAsia="宋体" w:cs="宋体"/>
          <w:b/>
          <w:color w:val="auto"/>
          <w:kern w:val="2"/>
          <w:sz w:val="24"/>
          <w:szCs w:val="24"/>
          <w:lang w:val="en-GB" w:eastAsia="zh-CN" w:bidi="ar-SA"/>
        </w:rPr>
        <w:t>服务器操作系统维护</w:t>
      </w:r>
    </w:p>
    <w:p w14:paraId="76D25D49">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对信号控制系统布设的服务器上的操作系统进行维护，具体内容如下：</w:t>
      </w:r>
    </w:p>
    <w:p w14:paraId="7F51B97E">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1）查看操作系统运行日志是否有错误产生；</w:t>
      </w:r>
    </w:p>
    <w:p w14:paraId="7D462043">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2）对半年来产生的系统日志进行转存等；</w:t>
      </w:r>
    </w:p>
    <w:p w14:paraId="0650B689">
      <w:pPr>
        <w:tabs>
          <w:tab w:val="left" w:pos="980"/>
        </w:tabs>
        <w:kinsoku w:val="0"/>
        <w:spacing w:line="460" w:lineRule="exact"/>
        <w:ind w:firstLine="480"/>
        <w:jc w:val="left"/>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3）查看操作系统补丁。</w:t>
      </w:r>
    </w:p>
    <w:p w14:paraId="6177538D">
      <w:pPr>
        <w:tabs>
          <w:tab w:val="left" w:pos="980"/>
        </w:tabs>
        <w:kinsoku w:val="0"/>
        <w:spacing w:line="460" w:lineRule="exact"/>
        <w:ind w:firstLine="480"/>
        <w:jc w:val="left"/>
        <w:rPr>
          <w:rFonts w:hint="eastAsia" w:ascii="宋体" w:hAnsi="宋体" w:eastAsia="宋体" w:cs="宋体"/>
          <w:b/>
          <w:color w:val="auto"/>
          <w:kern w:val="2"/>
          <w:sz w:val="24"/>
          <w:szCs w:val="24"/>
          <w:lang w:val="en-GB" w:eastAsia="zh-CN" w:bidi="ar-SA"/>
        </w:rPr>
      </w:pPr>
      <w:r>
        <w:rPr>
          <w:rFonts w:hint="eastAsia" w:ascii="宋体" w:hAnsi="宋体" w:eastAsia="宋体" w:cs="宋体"/>
          <w:b/>
          <w:color w:val="auto"/>
          <w:kern w:val="2"/>
          <w:sz w:val="24"/>
          <w:szCs w:val="24"/>
          <w:lang w:val="en-US" w:eastAsia="zh-CN" w:bidi="ar-SA"/>
        </w:rPr>
        <w:t>1.4.3</w:t>
      </w:r>
      <w:r>
        <w:rPr>
          <w:rFonts w:hint="eastAsia" w:ascii="宋体" w:hAnsi="宋体" w:eastAsia="宋体" w:cs="宋体"/>
          <w:b/>
          <w:color w:val="auto"/>
          <w:kern w:val="2"/>
          <w:sz w:val="24"/>
          <w:szCs w:val="24"/>
          <w:lang w:val="en-GB" w:eastAsia="zh-CN" w:bidi="ar-SA"/>
        </w:rPr>
        <w:t>信号控制控制方案运行核查</w:t>
      </w:r>
    </w:p>
    <w:p w14:paraId="39CD2163">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定期巡检控制系统日志及故障信息，识别信号方案运行异常情况并跟进处置。主要内容如下：</w:t>
      </w:r>
    </w:p>
    <w:p w14:paraId="0D86B2A7">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每月核查信号控制系统中通讯异常、灯色不一致、故障黄闪、信号机时钟偏差、未配置单点优化参数、平台配平周期不满足最小周期/最大周期要求等控制方案运行异常情况，并反馈对应责任人处置。</w:t>
      </w:r>
    </w:p>
    <w:p w14:paraId="0380626D">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bookmarkStart w:id="6" w:name="_Toc176948812"/>
      <w:r>
        <w:rPr>
          <w:rFonts w:hint="eastAsia" w:ascii="宋体" w:hAnsi="宋体" w:eastAsia="宋体" w:cs="宋体"/>
          <w:b/>
          <w:bCs/>
          <w:color w:val="auto"/>
          <w:kern w:val="2"/>
          <w:sz w:val="24"/>
          <w:szCs w:val="24"/>
          <w:lang w:val="en-US" w:eastAsia="zh-CN" w:bidi="ar-SA"/>
        </w:rPr>
        <w:t>1.5</w:t>
      </w:r>
      <w:r>
        <w:rPr>
          <w:rFonts w:hint="eastAsia" w:ascii="宋体" w:hAnsi="宋体" w:eastAsia="宋体" w:cs="宋体"/>
          <w:b/>
          <w:bCs/>
          <w:color w:val="auto"/>
          <w:kern w:val="2"/>
          <w:sz w:val="24"/>
          <w:szCs w:val="24"/>
          <w:lang w:val="en-GB" w:eastAsia="zh-CN" w:bidi="ar-SA"/>
        </w:rPr>
        <w:t>舆情引导</w:t>
      </w:r>
      <w:bookmarkEnd w:id="6"/>
    </w:p>
    <w:p w14:paraId="6F4C9416">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积极策划宣传亮点及科普宣传，提升信号配时社会参与度，主动营造良好的信号配时社会舆论氛围；对信号控制管理动态和全市交通运行态势进行分析，为各部门提供决策参考和支撑。</w:t>
      </w:r>
    </w:p>
    <w:p w14:paraId="150EAE02">
      <w:pPr>
        <w:tabs>
          <w:tab w:val="left" w:pos="980"/>
        </w:tabs>
        <w:kinsoku w:val="0"/>
        <w:spacing w:line="460" w:lineRule="exact"/>
        <w:ind w:firstLine="480"/>
        <w:jc w:val="left"/>
        <w:rPr>
          <w:rFonts w:hint="eastAsia" w:ascii="宋体" w:hAnsi="宋体" w:eastAsia="宋体" w:cs="宋体"/>
          <w:b/>
          <w:color w:val="auto"/>
          <w:kern w:val="2"/>
          <w:sz w:val="24"/>
          <w:szCs w:val="24"/>
          <w:lang w:val="en-GB" w:eastAsia="zh-CN" w:bidi="ar-SA"/>
        </w:rPr>
      </w:pPr>
      <w:r>
        <w:rPr>
          <w:rFonts w:hint="eastAsia" w:ascii="宋体" w:hAnsi="宋体" w:eastAsia="宋体" w:cs="宋体"/>
          <w:b/>
          <w:color w:val="auto"/>
          <w:kern w:val="2"/>
          <w:sz w:val="24"/>
          <w:szCs w:val="24"/>
          <w:lang w:val="en-US" w:eastAsia="zh-CN" w:bidi="ar-SA"/>
        </w:rPr>
        <w:t>1.5.1</w:t>
      </w:r>
      <w:r>
        <w:rPr>
          <w:rFonts w:hint="eastAsia" w:ascii="宋体" w:hAnsi="宋体" w:eastAsia="宋体" w:cs="宋体"/>
          <w:b/>
          <w:color w:val="auto"/>
          <w:kern w:val="2"/>
          <w:sz w:val="24"/>
          <w:szCs w:val="24"/>
          <w:lang w:val="en-GB" w:eastAsia="zh-CN" w:bidi="ar-SA"/>
        </w:rPr>
        <w:t>宣传策划</w:t>
      </w:r>
    </w:p>
    <w:p w14:paraId="6F362EB5">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以社会媒体、西安交警权威发布为主要宣传阵地，针对市民关注的信号配时问题、信号配时工作动态、信号配时成效、信号配时误区等开展宣传策划，提升信号配时社会参与度，主动营造良好的信号配时社会舆论氛围。工作内容如下：</w:t>
      </w:r>
    </w:p>
    <w:p w14:paraId="0CAAC780">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1）宣传策划聚焦信号配时业务，以新媒体风格为主，要求活泼生动、图文并茂、通俗易懂；</w:t>
      </w:r>
    </w:p>
    <w:p w14:paraId="0EB422CA">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2）所有宣传稿件由甲方审核后方可发布；</w:t>
      </w:r>
    </w:p>
    <w:p w14:paraId="2FA75615">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3）全年发布6篇配时科普或亮点工作宣传。</w:t>
      </w:r>
    </w:p>
    <w:p w14:paraId="419E2E08">
      <w:pPr>
        <w:tabs>
          <w:tab w:val="left" w:pos="980"/>
        </w:tabs>
        <w:kinsoku w:val="0"/>
        <w:spacing w:line="460" w:lineRule="exact"/>
        <w:ind w:firstLine="480"/>
        <w:jc w:val="left"/>
        <w:rPr>
          <w:rFonts w:hint="eastAsia" w:ascii="宋体" w:hAnsi="宋体" w:eastAsia="宋体" w:cs="宋体"/>
          <w:b/>
          <w:color w:val="auto"/>
          <w:kern w:val="2"/>
          <w:sz w:val="24"/>
          <w:szCs w:val="24"/>
          <w:lang w:val="en-GB" w:eastAsia="zh-CN" w:bidi="ar-SA"/>
        </w:rPr>
      </w:pPr>
      <w:r>
        <w:rPr>
          <w:rFonts w:hint="eastAsia" w:ascii="宋体" w:hAnsi="宋体" w:eastAsia="宋体" w:cs="宋体"/>
          <w:b/>
          <w:color w:val="auto"/>
          <w:kern w:val="2"/>
          <w:sz w:val="24"/>
          <w:szCs w:val="24"/>
          <w:lang w:val="en-US" w:eastAsia="zh-CN" w:bidi="ar-SA"/>
        </w:rPr>
        <w:t>1.5.2</w:t>
      </w:r>
      <w:r>
        <w:rPr>
          <w:rFonts w:hint="eastAsia" w:ascii="宋体" w:hAnsi="宋体" w:eastAsia="宋体" w:cs="宋体"/>
          <w:b/>
          <w:color w:val="auto"/>
          <w:kern w:val="2"/>
          <w:sz w:val="24"/>
          <w:szCs w:val="24"/>
          <w:lang w:val="en-GB" w:eastAsia="zh-CN" w:bidi="ar-SA"/>
        </w:rPr>
        <w:t>意见处置</w:t>
      </w:r>
    </w:p>
    <w:p w14:paraId="6C58D0E8">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积极应对互联网新媒体及传统媒体的信号配时相关问题，广泛采集社会各界信号配时相关意见和建议，建立信号配时舆情主动发现、积极响应、快速处置机制，解决现实信号配时问题、化解市民误解，形成社会共治局面。工作包括：</w:t>
      </w:r>
    </w:p>
    <w:p w14:paraId="2653329E">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1）核实的信号配时问题组织专业技术人员快速优化，非信号配时问题或失实信号配时问题向市民耐心解答并征得理解；</w:t>
      </w:r>
    </w:p>
    <w:p w14:paraId="60C9A53F">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及时回复，在工作时间内接到投诉后及时做出响应，2个工作日内核实完毕，5个工作日内答复完毕（特殊情况或有注明办结时限除外）。对报纸、电视、微博、电话、微信、邮件、信访等各种渠道反映的问题，安排专门人员进行统计处理、快速跟进处置，及时回复；</w:t>
      </w:r>
    </w:p>
    <w:p w14:paraId="32D55786">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3）每月汇总投诉处置信息，报甲方存档备案。</w:t>
      </w:r>
    </w:p>
    <w:p w14:paraId="3D8B9043">
      <w:pPr>
        <w:tabs>
          <w:tab w:val="left" w:pos="980"/>
        </w:tabs>
        <w:kinsoku w:val="0"/>
        <w:spacing w:line="460" w:lineRule="exact"/>
        <w:ind w:firstLine="480"/>
        <w:jc w:val="left"/>
        <w:rPr>
          <w:rFonts w:hint="eastAsia" w:ascii="宋体" w:hAnsi="宋体" w:eastAsia="宋体" w:cs="宋体"/>
          <w:b/>
          <w:color w:val="auto"/>
          <w:kern w:val="2"/>
          <w:sz w:val="24"/>
          <w:szCs w:val="24"/>
          <w:lang w:val="en-GB" w:eastAsia="zh-CN" w:bidi="ar-SA"/>
        </w:rPr>
      </w:pPr>
      <w:r>
        <w:rPr>
          <w:rFonts w:hint="eastAsia" w:ascii="宋体" w:hAnsi="宋体" w:eastAsia="宋体" w:cs="宋体"/>
          <w:b/>
          <w:color w:val="auto"/>
          <w:kern w:val="2"/>
          <w:sz w:val="24"/>
          <w:szCs w:val="24"/>
          <w:lang w:val="en-US" w:eastAsia="zh-CN" w:bidi="ar-SA"/>
        </w:rPr>
        <w:t>1.5.3</w:t>
      </w:r>
      <w:r>
        <w:rPr>
          <w:rFonts w:hint="eastAsia" w:ascii="宋体" w:hAnsi="宋体" w:eastAsia="宋体" w:cs="宋体"/>
          <w:b/>
          <w:color w:val="auto"/>
          <w:kern w:val="2"/>
          <w:sz w:val="24"/>
          <w:szCs w:val="24"/>
          <w:lang w:val="en-GB" w:eastAsia="zh-CN" w:bidi="ar-SA"/>
        </w:rPr>
        <w:t>其他工作支持</w:t>
      </w:r>
    </w:p>
    <w:p w14:paraId="2E2A395A">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在用户需要信号平台上云部署时，按照要求进行平台上云部署服务，并进行信号平台授权接入扩容。</w:t>
      </w:r>
    </w:p>
    <w:p w14:paraId="24E6F176">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bookmarkStart w:id="7" w:name="_Toc176948820"/>
      <w:bookmarkStart w:id="8" w:name="_Toc176948813"/>
      <w:r>
        <w:rPr>
          <w:rFonts w:hint="eastAsia" w:ascii="宋体" w:hAnsi="宋体" w:eastAsia="宋体" w:cs="宋体"/>
          <w:b/>
          <w:bCs/>
          <w:color w:val="auto"/>
          <w:kern w:val="2"/>
          <w:sz w:val="24"/>
          <w:szCs w:val="24"/>
          <w:lang w:val="en-US" w:eastAsia="zh-CN" w:bidi="ar-SA"/>
        </w:rPr>
        <w:t>2、</w:t>
      </w:r>
      <w:r>
        <w:rPr>
          <w:rFonts w:hint="eastAsia" w:ascii="宋体" w:hAnsi="宋体" w:eastAsia="宋体" w:cs="宋体"/>
          <w:b/>
          <w:bCs/>
          <w:color w:val="auto"/>
          <w:kern w:val="2"/>
          <w:sz w:val="24"/>
          <w:szCs w:val="24"/>
          <w:lang w:val="en-GB" w:eastAsia="zh-CN" w:bidi="ar-SA"/>
        </w:rPr>
        <w:t>配时调优工作流程</w:t>
      </w:r>
      <w:bookmarkEnd w:id="7"/>
    </w:p>
    <w:p w14:paraId="4ACA0572">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深入分析西安市交通规律，诊断交通拥堵问题，从宏观、中观、微观等不同维度对西安市交通信号控制策略进行整体设计和效果评估。主要包括城市交通现状分析、城市交通问题分析、城市信号控制策略设计、效果评估等内容，信号控制策略设计严格按照技术路线进行。</w:t>
      </w:r>
    </w:p>
    <w:p w14:paraId="433FCE7D">
      <w:pPr>
        <w:tabs>
          <w:tab w:val="left" w:pos="980"/>
        </w:tabs>
        <w:kinsoku w:val="0"/>
        <w:spacing w:line="240" w:lineRule="auto"/>
        <w:ind w:firstLine="0"/>
        <w:jc w:val="both"/>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zh-CN" w:bidi="ar-SA"/>
        </w:rPr>
        <w:drawing>
          <wp:inline distT="0" distB="0" distL="0" distR="0">
            <wp:extent cx="5746115" cy="4907915"/>
            <wp:effectExtent l="0" t="0" r="6985" b="6985"/>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pic:cNvPicPr>
                  </pic:nvPicPr>
                  <pic:blipFill>
                    <a:blip r:embed="rId4">
                      <a:extLst>
                        <a:ext uri="{28A0092B-C50C-407E-A947-70E740481C1C}">
                          <a14:useLocalDpi xmlns:a14="http://schemas.microsoft.com/office/drawing/2010/main" val="0"/>
                        </a:ext>
                      </a:extLst>
                    </a:blip>
                    <a:srcRect t="1341" b="-1"/>
                    <a:stretch>
                      <a:fillRect/>
                    </a:stretch>
                  </pic:blipFill>
                  <pic:spPr>
                    <a:xfrm>
                      <a:off x="0" y="0"/>
                      <a:ext cx="5746115" cy="4907915"/>
                    </a:xfrm>
                    <a:prstGeom prst="rect">
                      <a:avLst/>
                    </a:prstGeom>
                    <a:ln>
                      <a:noFill/>
                    </a:ln>
                  </pic:spPr>
                </pic:pic>
              </a:graphicData>
            </a:graphic>
          </wp:inline>
        </w:drawing>
      </w:r>
    </w:p>
    <w:bookmarkEnd w:id="8"/>
    <w:p w14:paraId="01E176B8">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bookmarkStart w:id="9" w:name="_Toc176948821"/>
      <w:r>
        <w:rPr>
          <w:rFonts w:hint="eastAsia" w:ascii="宋体" w:hAnsi="宋体" w:eastAsia="宋体" w:cs="宋体"/>
          <w:b/>
          <w:bCs/>
          <w:color w:val="auto"/>
          <w:kern w:val="2"/>
          <w:sz w:val="24"/>
          <w:szCs w:val="24"/>
          <w:lang w:val="en-US" w:eastAsia="zh-CN" w:bidi="ar-SA"/>
        </w:rPr>
        <w:t>3、</w:t>
      </w:r>
      <w:r>
        <w:rPr>
          <w:rFonts w:hint="eastAsia" w:ascii="宋体" w:hAnsi="宋体" w:eastAsia="宋体" w:cs="宋体"/>
          <w:b/>
          <w:bCs/>
          <w:color w:val="auto"/>
          <w:kern w:val="2"/>
          <w:sz w:val="24"/>
          <w:szCs w:val="24"/>
          <w:lang w:val="en-GB" w:eastAsia="zh-CN" w:bidi="ar-SA"/>
        </w:rPr>
        <w:t>维护响应及应急处理服务</w:t>
      </w:r>
      <w:bookmarkEnd w:id="9"/>
    </w:p>
    <w:p w14:paraId="41941423">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（1）维护响应</w:t>
      </w:r>
    </w:p>
    <w:p w14:paraId="68D54B65">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提供全年365*24电话响应，随时接受来自业主的优化通知，针对节假日、重大活动保障，安排专人专岗进行保障。</w:t>
      </w:r>
    </w:p>
    <w:p w14:paraId="59BA59E0">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（2）应急处理方案</w:t>
      </w:r>
    </w:p>
    <w:p w14:paraId="5D16CDB3">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为保障节假日、重大事件以及公安特勤任务以及雨、雪、雾等恶劣天气时的正常顺利实施，进行全程应急服务的预案。</w:t>
      </w:r>
    </w:p>
    <w:p w14:paraId="4EDE3860">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1）事件分析</w:t>
      </w:r>
    </w:p>
    <w:p w14:paraId="3E258761">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节假日指国家法定节日、周末休假等休假期间，主要存在问题是，维护服务人员休假、支队系统操作人员休假，对于系统存在的问题无法实时反馈，对于存在的问题无法及时处理，造成系统短期性无法正常运行。</w:t>
      </w:r>
    </w:p>
    <w:p w14:paraId="40C7592C">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重大事件指政府部门或其他社会团体组织的重大活动或事件（例如：演唱会、西安国际马拉松赛等），为了实时监控事件发生的过程、保障公众的安全、防止群体事件的发生，而进行的事件区域或周围系统的集中维护服务。</w:t>
      </w:r>
    </w:p>
    <w:p w14:paraId="3AB4CB05">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公安特勤任务指公安集中稽查、办案或由于其他原因而进行的任务，为了保证特勤任务的顺利实施，而进行的有针对性的系统维护服务。（例如：勤务路线保障、临时接电或发电等）、雪、雾等恶劣天气，极易导致信号控制系统故障，引发路口交通拥堵和交通事故，要及时修复系统，保障交通畅通及安全。</w:t>
      </w:r>
    </w:p>
    <w:p w14:paraId="44DD5715">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在以上各类应急事件发生时，增加人员，保障各项应急事件顺利有效开展。</w:t>
      </w:r>
    </w:p>
    <w:p w14:paraId="7A62996A">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2）节假日维护应急预案</w:t>
      </w:r>
    </w:p>
    <w:p w14:paraId="33A48114">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在服务人员上，各专业维护组分别安排倒班，及时响应处理系统出现各类问题。对于现场可以处理的问题，及时处理恢复，对于现场暂时无法处理的问题做好检修记录，保障系统的正常运行。</w:t>
      </w:r>
    </w:p>
    <w:p w14:paraId="48F8A2A0">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节假日重点考虑主干线控制，巡检过程中重点检查主干线设备运行效果与工作状态，发现设备故障及时上报中心值班人员及业主单位责任人，并根据实际情况及时修复，确保系统正常运行。</w:t>
      </w:r>
    </w:p>
    <w:p w14:paraId="05839D1C">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3）重大事件维护应急预案</w:t>
      </w:r>
    </w:p>
    <w:p w14:paraId="252EEB81">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遇重大事件，临时安排人员提前巡检事件范围路段的交通安全设备及设施，消除可能存在的隐患。在重大事件期间，加强巡检力度，尤其加强事件沿线的维护工作，为各类重大事件保驾护航。</w:t>
      </w:r>
    </w:p>
    <w:p w14:paraId="140D6D69">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4）公安特勤任务维护应急预案</w:t>
      </w:r>
    </w:p>
    <w:p w14:paraId="622B1BCD">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遇公安特勤任务，将按特勤任务的具体要求，安排人员集中及时处理任务内系统存在问题。现场无法处理的，及时协调解决，保障系统的正常运行。</w:t>
      </w:r>
    </w:p>
    <w:p w14:paraId="2AD66C54">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特勤任务保证道路交通畅通，并按照业主及监理单位要求优化调整配时方案，并且对于与周边道路交叉口关联密切的出入口，考虑协调联动控制，提高区域道路通行能力。</w:t>
      </w:r>
    </w:p>
    <w:p w14:paraId="7F0698B8">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5）雨、雪、雾等恶劣天气维护应急预案</w:t>
      </w:r>
    </w:p>
    <w:p w14:paraId="3B1DD29D">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雨、雪、雾等恶劣天气，加强辖区内拥堵路段的监测，并及时反馈大面积信号灯掉线情况。</w:t>
      </w:r>
    </w:p>
    <w:p w14:paraId="6E905BAE">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r>
        <w:rPr>
          <w:rFonts w:hint="eastAsia" w:ascii="宋体" w:hAnsi="宋体" w:eastAsia="宋体" w:cs="宋体"/>
          <w:b/>
          <w:bCs/>
          <w:color w:val="auto"/>
          <w:kern w:val="2"/>
          <w:sz w:val="24"/>
          <w:szCs w:val="24"/>
          <w:lang w:val="en-US" w:eastAsia="zh-CN" w:bidi="ar-SA"/>
        </w:rPr>
        <w:t>4、</w:t>
      </w:r>
      <w:r>
        <w:rPr>
          <w:rFonts w:hint="eastAsia" w:ascii="宋体" w:hAnsi="宋体" w:eastAsia="宋体" w:cs="宋体"/>
          <w:b/>
          <w:bCs/>
          <w:color w:val="auto"/>
          <w:kern w:val="2"/>
          <w:sz w:val="24"/>
          <w:szCs w:val="24"/>
          <w:lang w:val="en-GB" w:eastAsia="zh-CN" w:bidi="ar-SA"/>
        </w:rPr>
        <w:t>项目人员及配时优化辅助工具配置</w:t>
      </w:r>
    </w:p>
    <w:p w14:paraId="331A04D1">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本项目配备充足的人员及丰富的配时优化辅助工具。信号控制总工程师1人（高级工程师），配时优化工程师5人，配时研判工程师2人，信号保障工程师2人，中心夜班值守1人、数据工程师（雷视维护）1人、软件工程师1人。同时配时优化辅助工具1套，车辆3辆，以及无人机、笔记本电脑、流量调查计数器、视频录制设备、打印机及耗材等，同时提供便于信号勘察调研的记录工具、信号调优工具软件、绿波调试工具等。</w:t>
      </w:r>
    </w:p>
    <w:p w14:paraId="0837A144">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bookmarkStart w:id="10" w:name="_Toc176948814"/>
      <w:r>
        <w:rPr>
          <w:rFonts w:hint="eastAsia" w:ascii="宋体" w:hAnsi="宋体" w:eastAsia="宋体" w:cs="宋体"/>
          <w:b/>
          <w:bCs/>
          <w:color w:val="auto"/>
          <w:kern w:val="2"/>
          <w:sz w:val="24"/>
          <w:szCs w:val="24"/>
          <w:lang w:val="en-US" w:eastAsia="zh-CN" w:bidi="ar-SA"/>
        </w:rPr>
        <w:t>4.1</w:t>
      </w:r>
      <w:r>
        <w:rPr>
          <w:rFonts w:hint="eastAsia" w:ascii="宋体" w:hAnsi="宋体" w:eastAsia="宋体" w:cs="宋体"/>
          <w:b/>
          <w:bCs/>
          <w:color w:val="auto"/>
          <w:kern w:val="2"/>
          <w:sz w:val="24"/>
          <w:szCs w:val="24"/>
          <w:lang w:val="en-GB" w:eastAsia="zh-CN" w:bidi="ar-SA"/>
        </w:rPr>
        <w:t>配时优化工程师</w:t>
      </w:r>
      <w:bookmarkEnd w:id="10"/>
    </w:p>
    <w:p w14:paraId="5932714A">
      <w:pPr>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从事交通相关信号配时工作，主要针对信号系统外场交叉口问题、路段问题、公共交通问题、交通控制问题、交通组织问题、交通秩序问题等进行调研，并形成问题分析报告，初步制定信号控制方案，正常工作8小时，针对上述问题进行调研，并形成问题分析报告，初步制定信号控制方案。同时配合研判工程师反复对控制方案进行验证评价。</w:t>
      </w:r>
    </w:p>
    <w:p w14:paraId="7F30F793">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bookmarkStart w:id="11" w:name="_Toc176948815"/>
      <w:r>
        <w:rPr>
          <w:rFonts w:hint="eastAsia" w:ascii="宋体" w:hAnsi="宋体" w:eastAsia="宋体" w:cs="宋体"/>
          <w:b/>
          <w:bCs/>
          <w:color w:val="auto"/>
          <w:kern w:val="2"/>
          <w:sz w:val="24"/>
          <w:szCs w:val="24"/>
          <w:lang w:val="en-US" w:eastAsia="zh-CN" w:bidi="ar-SA"/>
        </w:rPr>
        <w:t>4.2</w:t>
      </w:r>
      <w:r>
        <w:rPr>
          <w:rFonts w:hint="eastAsia" w:ascii="宋体" w:hAnsi="宋体" w:eastAsia="宋体" w:cs="宋体"/>
          <w:b/>
          <w:bCs/>
          <w:color w:val="auto"/>
          <w:kern w:val="2"/>
          <w:sz w:val="24"/>
          <w:szCs w:val="24"/>
          <w:lang w:val="en-GB" w:eastAsia="zh-CN" w:bidi="ar-SA"/>
        </w:rPr>
        <w:t>研判工程师</w:t>
      </w:r>
      <w:bookmarkEnd w:id="11"/>
    </w:p>
    <w:p w14:paraId="1496BE7D">
      <w:pPr>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配时研判工程师2名，具备专业的信号配时优化能力，熟悉交通信号理论知识及汇报ppt材料、培训材料编制、汇报能力。主要针对配时优化巡视人员所调研的交通问题进行分类整理，包括对分析报告及初步配时优化方案进行研判修正，并针对信号配时方案设计下发执行，方案执行运行效果持续观察和调整，确保方案执行最优，对于节假日、重大保证以及其他重要性信号控制，整理文档材料，并发送信号控制总工程师进行研判。</w:t>
      </w:r>
    </w:p>
    <w:p w14:paraId="76166D17">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bookmarkStart w:id="12" w:name="_Toc176948816"/>
      <w:r>
        <w:rPr>
          <w:rFonts w:hint="eastAsia" w:ascii="宋体" w:hAnsi="宋体" w:eastAsia="宋体" w:cs="宋体"/>
          <w:b/>
          <w:bCs/>
          <w:color w:val="auto"/>
          <w:kern w:val="2"/>
          <w:sz w:val="24"/>
          <w:szCs w:val="24"/>
          <w:lang w:val="en-US" w:eastAsia="zh-CN" w:bidi="ar-SA"/>
        </w:rPr>
        <w:t>4.3</w:t>
      </w:r>
      <w:r>
        <w:rPr>
          <w:rFonts w:hint="eastAsia" w:ascii="宋体" w:hAnsi="宋体" w:eastAsia="宋体" w:cs="宋体"/>
          <w:b/>
          <w:bCs/>
          <w:color w:val="auto"/>
          <w:kern w:val="2"/>
          <w:sz w:val="24"/>
          <w:szCs w:val="24"/>
          <w:lang w:val="en-GB" w:eastAsia="zh-CN" w:bidi="ar-SA"/>
        </w:rPr>
        <w:t>信号控制总工程师</w:t>
      </w:r>
      <w:bookmarkEnd w:id="12"/>
    </w:p>
    <w:p w14:paraId="55640796">
      <w:pPr>
        <w:spacing w:line="460" w:lineRule="exact"/>
        <w:ind w:firstLine="480"/>
        <w:jc w:val="left"/>
        <w:rPr>
          <w:rFonts w:hint="eastAsia" w:ascii="宋体" w:hAnsi="宋体" w:eastAsia="宋体" w:cs="宋体"/>
          <w:color w:val="000000"/>
          <w:kern w:val="0"/>
          <w:sz w:val="24"/>
          <w:szCs w:val="24"/>
          <w:lang w:eastAsia="zh-CN" w:bidi="en-US"/>
        </w:rPr>
      </w:pPr>
      <w:bookmarkStart w:id="13" w:name="OLE_LINK2"/>
      <w:r>
        <w:rPr>
          <w:rFonts w:hint="eastAsia" w:ascii="宋体" w:hAnsi="宋体" w:eastAsia="宋体" w:cs="宋体"/>
          <w:color w:val="000000"/>
          <w:kern w:val="0"/>
          <w:sz w:val="24"/>
          <w:szCs w:val="24"/>
          <w:lang w:eastAsia="zh-CN" w:bidi="en-US"/>
        </w:rPr>
        <w:t>本项目安排信号控制总工程师1名，统筹项目建设范围内整体信号控制策略设计和执行、维护以及效果保障，包括节假日以及重大活动保障。负责整体项目的执行、涉及信号配时优化工作协调、项目建设效果保障。具备较高的材料编制及培训汇报能力，负责整体信号配时优化的合理化工作安排、计划的执行。</w:t>
      </w:r>
    </w:p>
    <w:bookmarkEnd w:id="13"/>
    <w:p w14:paraId="7983E59F">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bookmarkStart w:id="14" w:name="_Toc176948817"/>
      <w:r>
        <w:rPr>
          <w:rFonts w:hint="eastAsia" w:ascii="宋体" w:hAnsi="宋体" w:eastAsia="宋体" w:cs="宋体"/>
          <w:b/>
          <w:bCs/>
          <w:color w:val="auto"/>
          <w:kern w:val="2"/>
          <w:sz w:val="24"/>
          <w:szCs w:val="24"/>
          <w:lang w:val="en-US" w:eastAsia="zh-CN" w:bidi="ar-SA"/>
        </w:rPr>
        <w:t>4.4</w:t>
      </w:r>
      <w:r>
        <w:rPr>
          <w:rFonts w:hint="eastAsia" w:ascii="宋体" w:hAnsi="宋体" w:eastAsia="宋体" w:cs="宋体"/>
          <w:b/>
          <w:bCs/>
          <w:color w:val="auto"/>
          <w:kern w:val="2"/>
          <w:sz w:val="24"/>
          <w:szCs w:val="24"/>
          <w:lang w:val="en-GB" w:eastAsia="zh-CN" w:bidi="ar-SA"/>
        </w:rPr>
        <w:t>信号保障工程师</w:t>
      </w:r>
      <w:bookmarkEnd w:id="14"/>
    </w:p>
    <w:p w14:paraId="540D06B0">
      <w:pPr>
        <w:tabs>
          <w:tab w:val="left" w:pos="980"/>
        </w:tabs>
        <w:kinsoku w:val="0"/>
        <w:spacing w:line="460" w:lineRule="exact"/>
        <w:ind w:firstLine="480"/>
        <w:jc w:val="left"/>
        <w:rPr>
          <w:rFonts w:hint="eastAsia" w:ascii="宋体" w:hAnsi="宋体" w:eastAsia="宋体" w:cs="宋体"/>
          <w:b/>
          <w:color w:val="auto"/>
          <w:kern w:val="2"/>
          <w:sz w:val="24"/>
          <w:szCs w:val="24"/>
          <w:lang w:val="en-GB" w:eastAsia="zh-CN" w:bidi="ar-SA"/>
        </w:rPr>
      </w:pPr>
      <w:r>
        <w:rPr>
          <w:rFonts w:hint="eastAsia" w:ascii="宋体" w:hAnsi="宋体" w:eastAsia="宋体" w:cs="宋体"/>
          <w:b/>
          <w:color w:val="auto"/>
          <w:kern w:val="2"/>
          <w:sz w:val="24"/>
          <w:szCs w:val="24"/>
          <w:lang w:val="en-US" w:eastAsia="zh-CN" w:bidi="ar-SA"/>
        </w:rPr>
        <w:t>4.4.1</w:t>
      </w:r>
      <w:r>
        <w:rPr>
          <w:rFonts w:hint="eastAsia" w:ascii="宋体" w:hAnsi="宋体" w:eastAsia="宋体" w:cs="宋体"/>
          <w:b/>
          <w:color w:val="auto"/>
          <w:kern w:val="2"/>
          <w:sz w:val="24"/>
          <w:szCs w:val="24"/>
          <w:lang w:val="en-GB" w:eastAsia="zh-CN" w:bidi="ar-SA"/>
        </w:rPr>
        <w:t>人员安排</w:t>
      </w:r>
    </w:p>
    <w:p w14:paraId="12C66695">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信号保障工程师在中心值守，分为两班，每班2人。</w:t>
      </w:r>
    </w:p>
    <w:p w14:paraId="605A1108">
      <w:pPr>
        <w:tabs>
          <w:tab w:val="left" w:pos="980"/>
        </w:tabs>
        <w:kinsoku w:val="0"/>
        <w:spacing w:line="460" w:lineRule="exact"/>
        <w:ind w:firstLine="480"/>
        <w:jc w:val="left"/>
        <w:rPr>
          <w:rFonts w:hint="eastAsia" w:ascii="宋体" w:hAnsi="宋体" w:eastAsia="宋体" w:cs="宋体"/>
          <w:b/>
          <w:color w:val="auto"/>
          <w:kern w:val="2"/>
          <w:sz w:val="24"/>
          <w:szCs w:val="24"/>
          <w:lang w:val="en-GB" w:eastAsia="zh-CN" w:bidi="ar-SA"/>
        </w:rPr>
      </w:pPr>
      <w:r>
        <w:rPr>
          <w:rFonts w:hint="eastAsia" w:ascii="宋体" w:hAnsi="宋体" w:eastAsia="宋体" w:cs="宋体"/>
          <w:b/>
          <w:color w:val="auto"/>
          <w:kern w:val="2"/>
          <w:sz w:val="24"/>
          <w:szCs w:val="24"/>
          <w:lang w:val="en-US" w:eastAsia="zh-CN" w:bidi="ar-SA"/>
        </w:rPr>
        <w:t>4.4.2</w:t>
      </w:r>
      <w:r>
        <w:rPr>
          <w:rFonts w:hint="eastAsia" w:ascii="宋体" w:hAnsi="宋体" w:eastAsia="宋体" w:cs="宋体"/>
          <w:b/>
          <w:color w:val="auto"/>
          <w:kern w:val="2"/>
          <w:sz w:val="24"/>
          <w:szCs w:val="24"/>
          <w:lang w:val="en-GB" w:eastAsia="zh-CN" w:bidi="ar-SA"/>
        </w:rPr>
        <w:t>工作内容</w:t>
      </w:r>
    </w:p>
    <w:p w14:paraId="7A4C54DE">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bookmarkStart w:id="15" w:name="OLE_LINK3"/>
      <w:r>
        <w:rPr>
          <w:rFonts w:hint="eastAsia" w:ascii="宋体" w:hAnsi="宋体" w:eastAsia="宋体" w:cs="宋体"/>
          <w:color w:val="000000"/>
          <w:kern w:val="0"/>
          <w:sz w:val="24"/>
          <w:szCs w:val="24"/>
          <w:lang w:eastAsia="zh-CN" w:bidi="en-US"/>
        </w:rPr>
        <w:t>每天负责保障各单位上报的日常勤务需求，制定勤务方案及下达，做好书面及信息记录，并响应涉及交通信号舆情信息，做好上传下达工作。具体工作内容包括：</w:t>
      </w:r>
    </w:p>
    <w:p w14:paraId="5D60B73E">
      <w:pPr>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视频巡查。通过现有的电警、卡口、高空球机等视频资源进行实时的视频巡检，巡查方式做到有的，针对主干道，学校、医院、商圈等易发生拥堵的区域，加大巡查频次，对于次、支路巡查频次可以适当的减少巡查次数。</w:t>
      </w:r>
    </w:p>
    <w:p w14:paraId="6262A342">
      <w:pPr>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预案调度。在巡查过程中发现路口、路段、区域发生拥堵时要主动作为，快速响应，对于拥堵路口进行手动干预，对于路段及区域发生拥堵，启用拥堵预案，加快拥堵消散。在早晚高峰时段，研判工程师需要进驻指挥中心，就当前的道路拥堵情况，进行分析研判并做出相应的缓堵决策。</w:t>
      </w:r>
    </w:p>
    <w:p w14:paraId="7D1DFDBB">
      <w:pPr>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相互配合。在巡检过程中发现道路拥堵情况，主动上报指挥中心代班长，由代班长与现场执勤民警或铁骑联系，通过后台干预与现场疏导相结合的方式，提升疏导效率，缩短拥堵时长。</w:t>
      </w:r>
    </w:p>
    <w:p w14:paraId="2FC24B09">
      <w:pPr>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协助大队。指导和配合各大队，对各大队基层民辅警进行信控值守的培训，提升各大队民辅警后台操控能力。</w:t>
      </w:r>
    </w:p>
    <w:p w14:paraId="4BC573AF">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每天晚班人员在大楼内备勤，工作内容主要针对查酒驾、大事故、暴雨、暴雪封路等突发事件引发的交通拥堵，进行后台的手动干预，疏导交通；针对夜间的紧急勤务任务，能快速响应，准确保障。</w:t>
      </w:r>
    </w:p>
    <w:bookmarkEnd w:id="15"/>
    <w:p w14:paraId="70F3E221">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bookmarkStart w:id="16" w:name="_Toc176948818"/>
      <w:r>
        <w:rPr>
          <w:rFonts w:hint="eastAsia" w:ascii="宋体" w:hAnsi="宋体" w:eastAsia="宋体" w:cs="宋体"/>
          <w:b/>
          <w:bCs/>
          <w:color w:val="auto"/>
          <w:kern w:val="2"/>
          <w:sz w:val="24"/>
          <w:szCs w:val="24"/>
          <w:lang w:val="en-US" w:eastAsia="zh-CN" w:bidi="ar-SA"/>
        </w:rPr>
        <w:t>4.5</w:t>
      </w:r>
      <w:r>
        <w:rPr>
          <w:rFonts w:hint="eastAsia" w:ascii="宋体" w:hAnsi="宋体" w:eastAsia="宋体" w:cs="宋体"/>
          <w:b/>
          <w:bCs/>
          <w:color w:val="auto"/>
          <w:kern w:val="2"/>
          <w:sz w:val="24"/>
          <w:szCs w:val="24"/>
          <w:lang w:val="en-GB" w:eastAsia="zh-CN" w:bidi="ar-SA"/>
        </w:rPr>
        <w:t>数据工程师</w:t>
      </w:r>
      <w:bookmarkEnd w:id="16"/>
      <w:r>
        <w:rPr>
          <w:rFonts w:hint="eastAsia" w:ascii="宋体" w:hAnsi="宋体" w:eastAsia="宋体" w:cs="宋体"/>
          <w:b/>
          <w:bCs/>
          <w:color w:val="auto"/>
          <w:kern w:val="2"/>
          <w:sz w:val="24"/>
          <w:szCs w:val="24"/>
          <w:lang w:val="en-GB" w:eastAsia="zh-CN" w:bidi="ar-SA"/>
        </w:rPr>
        <w:t>（雷视维护）</w:t>
      </w:r>
    </w:p>
    <w:p w14:paraId="5736F8DC">
      <w:pPr>
        <w:spacing w:line="460" w:lineRule="exact"/>
        <w:ind w:firstLine="480"/>
        <w:jc w:val="left"/>
        <w:rPr>
          <w:rFonts w:hint="eastAsia" w:ascii="宋体" w:hAnsi="宋体" w:eastAsia="宋体" w:cs="宋体"/>
          <w:color w:val="000000"/>
          <w:kern w:val="0"/>
          <w:sz w:val="24"/>
          <w:szCs w:val="24"/>
          <w:lang w:val="en-GB" w:eastAsia="zh-CN" w:bidi="en-US"/>
        </w:rPr>
      </w:pPr>
      <w:r>
        <w:rPr>
          <w:rFonts w:hint="eastAsia" w:ascii="宋体" w:hAnsi="宋体" w:eastAsia="宋体" w:cs="宋体"/>
          <w:color w:val="000000"/>
          <w:kern w:val="0"/>
          <w:sz w:val="24"/>
          <w:szCs w:val="24"/>
          <w:lang w:val="en-GB" w:eastAsia="zh-CN" w:bidi="en-US"/>
        </w:rPr>
        <w:t>对建成并已通过项目验收能正常接入中心使用的雷视设备，依托信号控制系统对已接入系统的雷视设备在线情况进行统计；对雷视回传数据质量进行监测，针对数据异常点位及时报支队安排相关单位排查故障、维修调试设备。</w:t>
      </w:r>
    </w:p>
    <w:p w14:paraId="72F5E6E9">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bookmarkStart w:id="17" w:name="_Toc176948819"/>
      <w:r>
        <w:rPr>
          <w:rFonts w:hint="eastAsia" w:ascii="宋体" w:hAnsi="宋体" w:eastAsia="宋体" w:cs="宋体"/>
          <w:b/>
          <w:bCs/>
          <w:color w:val="auto"/>
          <w:kern w:val="2"/>
          <w:sz w:val="24"/>
          <w:szCs w:val="24"/>
          <w:lang w:val="en-US" w:eastAsia="zh-CN" w:bidi="ar-SA"/>
        </w:rPr>
        <w:t>4.6</w:t>
      </w:r>
      <w:r>
        <w:rPr>
          <w:rFonts w:hint="eastAsia" w:ascii="宋体" w:hAnsi="宋体" w:eastAsia="宋体" w:cs="宋体"/>
          <w:b/>
          <w:bCs/>
          <w:color w:val="auto"/>
          <w:kern w:val="2"/>
          <w:sz w:val="24"/>
          <w:szCs w:val="24"/>
          <w:lang w:val="en-GB" w:eastAsia="zh-CN" w:bidi="ar-SA"/>
        </w:rPr>
        <w:t>软件工程师</w:t>
      </w:r>
      <w:bookmarkEnd w:id="17"/>
    </w:p>
    <w:p w14:paraId="5EA8746D">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软件工程师熟悉数据库、信号平台工作原理，同时具备培训材料编制培训的能力。主要负责处理涉及信号系统故障，每天系统进行巡检运行的日志记录、系统运行状态、数据库数维护（包括每月定期对数据库的清理释放存储空间）、因误操作导致数据错误维护、BUG修复、节假日等大型活动期间系统稳定性保障。</w:t>
      </w:r>
    </w:p>
    <w:p w14:paraId="7F875621">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涉及系统硬件、网络通信，如发现及时根据故障及时上报业主方，并与业主甲方和系统后台相关单位技术衔接，做好系统正常运行技术保障等。</w:t>
      </w:r>
    </w:p>
    <w:p w14:paraId="06003CB5">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具体工作内容包括：</w:t>
      </w:r>
    </w:p>
    <w:p w14:paraId="5225A406">
      <w:pPr>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日常的信号控制平台的运维，问题处理，软件升级，平台的迁移及部署；</w:t>
      </w:r>
    </w:p>
    <w:p w14:paraId="091263D5">
      <w:pPr>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帮助用户解答信号系统相关的各种业务和技术问题，包括技术咨询；</w:t>
      </w:r>
    </w:p>
    <w:p w14:paraId="218C9A34">
      <w:pPr>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进行服务器程序管理工作，按照要求安装部署服务器软件，并确保服务器内部应用程序的正常运行；</w:t>
      </w:r>
    </w:p>
    <w:p w14:paraId="2A047CBB">
      <w:pPr>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实施过程中能与客户有效交流沟通，帮助客户优化业务流程的服务意识；</w:t>
      </w:r>
    </w:p>
    <w:p w14:paraId="0931E27C">
      <w:pPr>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根据实施计划能有效推进并完成项目的培训实施和系统上线工作；</w:t>
      </w:r>
    </w:p>
    <w:p w14:paraId="59CA6CA3">
      <w:pPr>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每月定期清理系统运行过程中生成的生产数据库中的临时表、优化数据库等，提高系统运行速度；</w:t>
      </w:r>
    </w:p>
    <w:p w14:paraId="45B68EE4">
      <w:pPr>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系统突发事件的诊断、排除；</w:t>
      </w:r>
    </w:p>
    <w:p w14:paraId="0794AD54">
      <w:pPr>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配合业主进行系统安全性测试工作。</w:t>
      </w:r>
    </w:p>
    <w:p w14:paraId="049FC231">
      <w:pPr>
        <w:tabs>
          <w:tab w:val="left" w:pos="980"/>
        </w:tabs>
        <w:kinsoku w:val="0"/>
        <w:spacing w:line="460" w:lineRule="exact"/>
        <w:ind w:firstLine="480"/>
        <w:jc w:val="left"/>
        <w:rPr>
          <w:rFonts w:hint="eastAsia" w:ascii="宋体" w:hAnsi="宋体" w:eastAsia="宋体" w:cs="宋体"/>
          <w:b/>
          <w:bCs/>
          <w:color w:val="000000"/>
          <w:kern w:val="0"/>
          <w:sz w:val="24"/>
          <w:szCs w:val="24"/>
          <w:lang w:bidi="en-US"/>
        </w:rPr>
      </w:pPr>
      <w:r>
        <w:rPr>
          <w:rFonts w:hint="eastAsia" w:ascii="宋体" w:hAnsi="宋体" w:eastAsia="宋体" w:cs="宋体"/>
          <w:b/>
          <w:bCs/>
          <w:color w:val="000000"/>
          <w:kern w:val="0"/>
          <w:sz w:val="24"/>
          <w:szCs w:val="24"/>
          <w:lang w:bidi="en-US"/>
        </w:rPr>
        <w:t>4.7项目经理</w:t>
      </w:r>
    </w:p>
    <w:p w14:paraId="7FE99396">
      <w:pPr>
        <w:tabs>
          <w:tab w:val="left" w:pos="980"/>
        </w:tabs>
        <w:kinsoku w:val="0"/>
        <w:spacing w:line="460" w:lineRule="exact"/>
        <w:ind w:firstLine="480"/>
        <w:jc w:val="left"/>
        <w:rPr>
          <w:rFonts w:hint="eastAsia" w:ascii="宋体" w:hAnsi="宋体" w:eastAsia="宋体" w:cs="宋体"/>
          <w:color w:val="000000"/>
          <w:kern w:val="0"/>
          <w:sz w:val="24"/>
          <w:szCs w:val="24"/>
          <w:lang w:bidi="en-US"/>
        </w:rPr>
      </w:pPr>
      <w:r>
        <w:rPr>
          <w:rFonts w:hint="eastAsia" w:ascii="宋体" w:hAnsi="宋体" w:eastAsia="宋体" w:cs="宋体"/>
          <w:color w:val="000000"/>
          <w:kern w:val="0"/>
          <w:sz w:val="24"/>
          <w:szCs w:val="24"/>
          <w:lang w:bidi="en-US"/>
        </w:rPr>
        <w:t>进行项目工作统筹，做好与客户的沟通对接，资源协调等工作；</w:t>
      </w:r>
    </w:p>
    <w:p w14:paraId="3ECFCDC4">
      <w:pPr>
        <w:tabs>
          <w:tab w:val="left" w:pos="980"/>
        </w:tabs>
        <w:kinsoku w:val="0"/>
        <w:spacing w:line="460" w:lineRule="exact"/>
        <w:ind w:firstLine="480"/>
        <w:jc w:val="left"/>
        <w:rPr>
          <w:rFonts w:hint="eastAsia" w:ascii="宋体" w:hAnsi="宋体" w:eastAsia="宋体" w:cs="宋体"/>
          <w:color w:val="000000"/>
          <w:kern w:val="0"/>
          <w:sz w:val="24"/>
          <w:szCs w:val="24"/>
          <w:lang w:bidi="en-US"/>
        </w:rPr>
      </w:pPr>
      <w:r>
        <w:rPr>
          <w:rFonts w:hint="eastAsia" w:ascii="宋体" w:hAnsi="宋体" w:eastAsia="宋体" w:cs="宋体"/>
          <w:color w:val="000000"/>
          <w:kern w:val="0"/>
          <w:sz w:val="24"/>
          <w:szCs w:val="24"/>
          <w:lang w:bidi="en-US"/>
        </w:rPr>
        <w:t>运维单位厂商派驻在西安项目部的管理人员，日常工作地点必须在西安市范围内常驻，甲方业主单位需要协调解决相关问题应在2小时内到场；</w:t>
      </w:r>
    </w:p>
    <w:p w14:paraId="45159DD0">
      <w:pPr>
        <w:tabs>
          <w:tab w:val="left" w:pos="980"/>
        </w:tabs>
        <w:kinsoku w:val="0"/>
        <w:spacing w:line="460" w:lineRule="exact"/>
        <w:ind w:firstLine="480"/>
        <w:jc w:val="left"/>
        <w:rPr>
          <w:rFonts w:hint="eastAsia" w:ascii="宋体" w:hAnsi="宋体" w:eastAsia="宋体" w:cs="宋体"/>
          <w:color w:val="000000"/>
          <w:kern w:val="0"/>
          <w:sz w:val="24"/>
          <w:szCs w:val="24"/>
          <w:lang w:bidi="en-US"/>
        </w:rPr>
      </w:pPr>
      <w:r>
        <w:rPr>
          <w:rFonts w:hint="eastAsia" w:ascii="宋体" w:hAnsi="宋体" w:eastAsia="宋体" w:cs="宋体"/>
          <w:color w:val="000000"/>
          <w:kern w:val="0"/>
          <w:sz w:val="24"/>
          <w:szCs w:val="24"/>
          <w:lang w:bidi="en-US"/>
        </w:rPr>
        <w:t>维护项目经理每周必须参加运维人员现场管理会议和协调会议；</w:t>
      </w:r>
    </w:p>
    <w:p w14:paraId="7283D2E7">
      <w:pPr>
        <w:tabs>
          <w:tab w:val="left" w:pos="980"/>
        </w:tabs>
        <w:kinsoku w:val="0"/>
        <w:spacing w:line="460" w:lineRule="exact"/>
        <w:ind w:firstLine="480"/>
        <w:jc w:val="left"/>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000000"/>
          <w:kern w:val="0"/>
          <w:sz w:val="24"/>
          <w:szCs w:val="24"/>
          <w:lang w:bidi="en-US"/>
        </w:rPr>
        <w:t>负责制定信号调优项目的整体规划，作为项目的主要对外联络人，与支队、监理及其他相关方进行有效的沟通和协调；及时向客户汇报项目进展情况，定期向甲方业主单位和监理单位汇报调优工作情况汇总及问题解决完成情况；协调内部资源，包括技术、人力、物力等，确保调优工作顺利进行。</w:t>
      </w:r>
    </w:p>
    <w:p w14:paraId="3C362FF0">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r>
        <w:rPr>
          <w:rFonts w:hint="eastAsia" w:ascii="宋体" w:hAnsi="宋体" w:eastAsia="宋体" w:cs="宋体"/>
          <w:b/>
          <w:bCs/>
          <w:color w:val="auto"/>
          <w:kern w:val="2"/>
          <w:sz w:val="24"/>
          <w:szCs w:val="24"/>
          <w:lang w:val="en-US" w:eastAsia="zh-CN" w:bidi="ar-SA"/>
        </w:rPr>
        <w:t>5、</w:t>
      </w:r>
      <w:r>
        <w:rPr>
          <w:rFonts w:hint="eastAsia" w:ascii="宋体" w:hAnsi="宋体" w:eastAsia="宋体" w:cs="宋体"/>
          <w:b/>
          <w:bCs/>
          <w:color w:val="auto"/>
          <w:kern w:val="2"/>
          <w:sz w:val="24"/>
          <w:szCs w:val="24"/>
          <w:lang w:val="en-GB" w:eastAsia="zh-CN" w:bidi="ar-SA"/>
        </w:rPr>
        <w:t>维护要求及考核</w:t>
      </w:r>
    </w:p>
    <w:p w14:paraId="05D9E30E">
      <w:pPr>
        <w:widowControl w:val="0"/>
        <w:spacing w:after="0" w:line="460" w:lineRule="exact"/>
        <w:ind w:left="0" w:firstLine="480" w:firstLineChars="200"/>
        <w:jc w:val="both"/>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1）按照西安市公安局和西安市公安局公安交通管理局的相关规定，在项目执行过程中，采购人发现中标人违约失信情况，将记录在案，并向采购人相关审计、管理部门报备。失信企业以及在公安部、西安市公安局和西安市公安局公安交通管理局等单位政府采购活动中存在行贿、弄虚作假等违法违纪行为的企业，再次参与采购人项目投标的，采购人政府采购部门应在评标现场将有关情况向各位评标专家进行披露。</w:t>
      </w:r>
    </w:p>
    <w:p w14:paraId="12E853E6">
      <w:pPr>
        <w:widowControl w:val="0"/>
        <w:spacing w:after="0" w:line="460" w:lineRule="exact"/>
        <w:ind w:left="0" w:firstLine="480" w:firstLineChars="200"/>
        <w:jc w:val="both"/>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（2）根据考核办法对中标人进行工作考核，每项考核内容1次未通过处以相应扣费。考核内容和扣费标准如下：</w:t>
      </w:r>
    </w:p>
    <w:tbl>
      <w:tblPr>
        <w:tblStyle w:val="2"/>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5877"/>
        <w:gridCol w:w="1973"/>
      </w:tblGrid>
      <w:tr w14:paraId="621CA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06" w:type="pct"/>
            <w:vAlign w:val="center"/>
          </w:tcPr>
          <w:p w14:paraId="75E760CA">
            <w:pPr>
              <w:widowControl w:val="0"/>
              <w:spacing w:after="0" w:line="360" w:lineRule="auto"/>
              <w:ind w:left="0" w:firstLine="0"/>
              <w:jc w:val="center"/>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序号</w:t>
            </w:r>
          </w:p>
        </w:tc>
        <w:tc>
          <w:tcPr>
            <w:tcW w:w="3438" w:type="pct"/>
            <w:vAlign w:val="center"/>
          </w:tcPr>
          <w:p w14:paraId="4879151A">
            <w:pPr>
              <w:widowControl w:val="0"/>
              <w:spacing w:after="0" w:line="360" w:lineRule="auto"/>
              <w:ind w:left="0" w:firstLine="0"/>
              <w:jc w:val="center"/>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考核内容</w:t>
            </w:r>
          </w:p>
        </w:tc>
        <w:tc>
          <w:tcPr>
            <w:tcW w:w="1154" w:type="pct"/>
            <w:vAlign w:val="center"/>
          </w:tcPr>
          <w:p w14:paraId="682B59B0">
            <w:pPr>
              <w:widowControl w:val="0"/>
              <w:spacing w:after="0" w:line="360" w:lineRule="auto"/>
              <w:ind w:left="0" w:firstLine="0"/>
              <w:jc w:val="center"/>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扣费标准</w:t>
            </w:r>
          </w:p>
        </w:tc>
      </w:tr>
      <w:tr w14:paraId="3FB0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06" w:type="pct"/>
            <w:vAlign w:val="center"/>
          </w:tcPr>
          <w:p w14:paraId="013BA4D1">
            <w:pPr>
              <w:widowControl w:val="0"/>
              <w:spacing w:after="0" w:line="360" w:lineRule="auto"/>
              <w:ind w:left="0" w:firstLine="0"/>
              <w:jc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1</w:t>
            </w:r>
          </w:p>
        </w:tc>
        <w:tc>
          <w:tcPr>
            <w:tcW w:w="3438" w:type="pct"/>
            <w:vAlign w:val="center"/>
          </w:tcPr>
          <w:p w14:paraId="682E932E">
            <w:pPr>
              <w:widowControl w:val="0"/>
              <w:spacing w:after="0" w:line="360" w:lineRule="auto"/>
              <w:ind w:left="0" w:firstLine="0"/>
              <w:jc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未按要求进行节假日、重大活动保障的</w:t>
            </w:r>
          </w:p>
        </w:tc>
        <w:tc>
          <w:tcPr>
            <w:tcW w:w="1154" w:type="pct"/>
            <w:vAlign w:val="center"/>
          </w:tcPr>
          <w:p w14:paraId="5DD140D3">
            <w:pPr>
              <w:widowControl w:val="0"/>
              <w:spacing w:after="0" w:line="360" w:lineRule="auto"/>
              <w:ind w:left="0" w:firstLine="0"/>
              <w:jc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2271元/次</w:t>
            </w:r>
          </w:p>
        </w:tc>
      </w:tr>
      <w:tr w14:paraId="09EFF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06" w:type="pct"/>
            <w:vAlign w:val="center"/>
          </w:tcPr>
          <w:p w14:paraId="7ACD7DFE">
            <w:pPr>
              <w:widowControl w:val="0"/>
              <w:spacing w:after="0" w:line="360" w:lineRule="auto"/>
              <w:ind w:left="0" w:firstLine="0"/>
              <w:jc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2</w:t>
            </w:r>
          </w:p>
        </w:tc>
        <w:tc>
          <w:tcPr>
            <w:tcW w:w="3438" w:type="pct"/>
            <w:vAlign w:val="center"/>
          </w:tcPr>
          <w:p w14:paraId="3867726F">
            <w:pPr>
              <w:widowControl w:val="0"/>
              <w:spacing w:after="0" w:line="360" w:lineRule="auto"/>
              <w:ind w:left="0" w:firstLine="0"/>
              <w:jc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未按照采购人要求调整配时且无充分理由的</w:t>
            </w:r>
          </w:p>
        </w:tc>
        <w:tc>
          <w:tcPr>
            <w:tcW w:w="1154" w:type="pct"/>
            <w:vAlign w:val="center"/>
          </w:tcPr>
          <w:p w14:paraId="739DDB39">
            <w:pPr>
              <w:widowControl w:val="0"/>
              <w:spacing w:after="0" w:line="360" w:lineRule="auto"/>
              <w:ind w:left="0" w:firstLine="0"/>
              <w:jc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2271元/次</w:t>
            </w:r>
          </w:p>
        </w:tc>
      </w:tr>
      <w:tr w14:paraId="2BCAB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06" w:type="pct"/>
            <w:vAlign w:val="center"/>
          </w:tcPr>
          <w:p w14:paraId="56E8E1D0">
            <w:pPr>
              <w:widowControl w:val="0"/>
              <w:spacing w:after="0" w:line="360" w:lineRule="auto"/>
              <w:ind w:left="0" w:firstLine="0"/>
              <w:jc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3</w:t>
            </w:r>
          </w:p>
        </w:tc>
        <w:tc>
          <w:tcPr>
            <w:tcW w:w="3438" w:type="pct"/>
            <w:vAlign w:val="center"/>
          </w:tcPr>
          <w:p w14:paraId="3F2BCCD1">
            <w:pPr>
              <w:widowControl w:val="0"/>
              <w:spacing w:after="0" w:line="360" w:lineRule="auto"/>
              <w:ind w:left="0" w:firstLine="0"/>
              <w:jc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配时方案存在原则性错误或较大漏洞的</w:t>
            </w:r>
          </w:p>
        </w:tc>
        <w:tc>
          <w:tcPr>
            <w:tcW w:w="1154" w:type="pct"/>
            <w:vAlign w:val="center"/>
          </w:tcPr>
          <w:p w14:paraId="0E5D491E">
            <w:pPr>
              <w:widowControl w:val="0"/>
              <w:spacing w:after="0" w:line="360" w:lineRule="auto"/>
              <w:ind w:left="0" w:firstLine="0"/>
              <w:jc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2271元/次</w:t>
            </w:r>
          </w:p>
        </w:tc>
      </w:tr>
      <w:tr w14:paraId="4CD4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06" w:type="pct"/>
            <w:vAlign w:val="center"/>
          </w:tcPr>
          <w:p w14:paraId="1B3D0BCD">
            <w:pPr>
              <w:widowControl w:val="0"/>
              <w:spacing w:after="0" w:line="360" w:lineRule="auto"/>
              <w:ind w:left="0" w:firstLine="0"/>
              <w:jc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4</w:t>
            </w:r>
          </w:p>
        </w:tc>
        <w:tc>
          <w:tcPr>
            <w:tcW w:w="3438" w:type="pct"/>
            <w:vAlign w:val="center"/>
          </w:tcPr>
          <w:p w14:paraId="0FFA6615">
            <w:pPr>
              <w:widowControl w:val="0"/>
              <w:spacing w:after="0" w:line="360" w:lineRule="auto"/>
              <w:ind w:left="0" w:firstLine="0"/>
              <w:jc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设备安装调试工作不按照相关安全规范进行维护的</w:t>
            </w:r>
          </w:p>
        </w:tc>
        <w:tc>
          <w:tcPr>
            <w:tcW w:w="1154" w:type="pct"/>
            <w:vAlign w:val="center"/>
          </w:tcPr>
          <w:p w14:paraId="142AE65C">
            <w:pPr>
              <w:widowControl w:val="0"/>
              <w:spacing w:after="0" w:line="360" w:lineRule="auto"/>
              <w:ind w:left="0" w:firstLine="0"/>
              <w:jc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2271元/次</w:t>
            </w:r>
          </w:p>
        </w:tc>
      </w:tr>
      <w:tr w14:paraId="262CD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06" w:type="pct"/>
            <w:vAlign w:val="center"/>
          </w:tcPr>
          <w:p w14:paraId="7D87CD2A">
            <w:pPr>
              <w:widowControl w:val="0"/>
              <w:spacing w:after="0" w:line="360" w:lineRule="auto"/>
              <w:ind w:left="0" w:firstLine="0"/>
              <w:jc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5</w:t>
            </w:r>
          </w:p>
        </w:tc>
        <w:tc>
          <w:tcPr>
            <w:tcW w:w="3438" w:type="pct"/>
            <w:vAlign w:val="center"/>
          </w:tcPr>
          <w:p w14:paraId="5DD6B519">
            <w:pPr>
              <w:widowControl w:val="0"/>
              <w:spacing w:after="0" w:line="360" w:lineRule="auto"/>
              <w:ind w:left="0" w:firstLine="0"/>
              <w:jc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未按招标文件要求完成其他相应工作的</w:t>
            </w:r>
          </w:p>
        </w:tc>
        <w:tc>
          <w:tcPr>
            <w:tcW w:w="1154" w:type="pct"/>
            <w:vAlign w:val="center"/>
          </w:tcPr>
          <w:p w14:paraId="10EE6F34">
            <w:pPr>
              <w:widowControl w:val="0"/>
              <w:spacing w:after="0" w:line="360" w:lineRule="auto"/>
              <w:ind w:left="0" w:firstLine="0"/>
              <w:jc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2271元/次</w:t>
            </w:r>
          </w:p>
        </w:tc>
      </w:tr>
      <w:tr w14:paraId="6FE8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06" w:type="pct"/>
            <w:vAlign w:val="center"/>
          </w:tcPr>
          <w:p w14:paraId="228DDC1F">
            <w:pPr>
              <w:widowControl w:val="0"/>
              <w:spacing w:after="0" w:line="360" w:lineRule="auto"/>
              <w:ind w:left="0" w:firstLine="0"/>
              <w:jc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6</w:t>
            </w:r>
          </w:p>
        </w:tc>
        <w:tc>
          <w:tcPr>
            <w:tcW w:w="3438" w:type="pct"/>
            <w:vAlign w:val="center"/>
          </w:tcPr>
          <w:p w14:paraId="374256CC">
            <w:pPr>
              <w:widowControl w:val="0"/>
              <w:spacing w:after="0" w:line="360" w:lineRule="auto"/>
              <w:ind w:left="0" w:firstLine="0"/>
              <w:jc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同一地点在十天内连续两次发生相同负面配时舆情的</w:t>
            </w:r>
          </w:p>
        </w:tc>
        <w:tc>
          <w:tcPr>
            <w:tcW w:w="1154" w:type="pct"/>
            <w:vAlign w:val="center"/>
          </w:tcPr>
          <w:p w14:paraId="0708992B">
            <w:pPr>
              <w:widowControl w:val="0"/>
              <w:spacing w:after="0" w:line="360" w:lineRule="auto"/>
              <w:ind w:left="0" w:firstLine="0"/>
              <w:jc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2271元/次</w:t>
            </w:r>
          </w:p>
        </w:tc>
      </w:tr>
      <w:tr w14:paraId="0825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06" w:type="pct"/>
            <w:vAlign w:val="center"/>
          </w:tcPr>
          <w:p w14:paraId="4ECABC28">
            <w:pPr>
              <w:widowControl w:val="0"/>
              <w:spacing w:after="0" w:line="360" w:lineRule="auto"/>
              <w:ind w:left="0" w:firstLine="0"/>
              <w:jc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7</w:t>
            </w:r>
          </w:p>
        </w:tc>
        <w:tc>
          <w:tcPr>
            <w:tcW w:w="3438" w:type="pct"/>
            <w:vAlign w:val="center"/>
          </w:tcPr>
          <w:p w14:paraId="52A13800">
            <w:pPr>
              <w:widowControl w:val="0"/>
              <w:spacing w:after="0" w:line="360" w:lineRule="auto"/>
              <w:ind w:left="0" w:firstLine="0"/>
              <w:jc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局、支队配时派单工作回复不满意的</w:t>
            </w:r>
          </w:p>
        </w:tc>
        <w:tc>
          <w:tcPr>
            <w:tcW w:w="1154" w:type="pct"/>
            <w:vAlign w:val="center"/>
          </w:tcPr>
          <w:p w14:paraId="0DEE404E">
            <w:pPr>
              <w:widowControl w:val="0"/>
              <w:spacing w:after="0" w:line="360" w:lineRule="auto"/>
              <w:ind w:left="0" w:firstLine="0"/>
              <w:jc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1271元/次</w:t>
            </w:r>
          </w:p>
        </w:tc>
      </w:tr>
      <w:tr w14:paraId="3BB46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406" w:type="pct"/>
            <w:vAlign w:val="center"/>
          </w:tcPr>
          <w:p w14:paraId="26243E95">
            <w:pPr>
              <w:widowControl w:val="0"/>
              <w:spacing w:after="0" w:line="360" w:lineRule="auto"/>
              <w:ind w:left="0" w:firstLine="0"/>
              <w:jc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8</w:t>
            </w:r>
          </w:p>
        </w:tc>
        <w:tc>
          <w:tcPr>
            <w:tcW w:w="3438" w:type="pct"/>
            <w:vAlign w:val="center"/>
          </w:tcPr>
          <w:p w14:paraId="5781A3EF">
            <w:pPr>
              <w:widowControl w:val="0"/>
              <w:spacing w:after="0" w:line="360" w:lineRule="auto"/>
              <w:ind w:left="0" w:firstLine="0"/>
              <w:jc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配时派单完成后，互联网交通数据对路口评价效果出现下降的（例如路口拥堵评级从E降到F）</w:t>
            </w:r>
          </w:p>
        </w:tc>
        <w:tc>
          <w:tcPr>
            <w:tcW w:w="1154" w:type="pct"/>
            <w:vAlign w:val="center"/>
          </w:tcPr>
          <w:p w14:paraId="237ADE72">
            <w:pPr>
              <w:widowControl w:val="0"/>
              <w:spacing w:after="0" w:line="360" w:lineRule="auto"/>
              <w:ind w:left="0" w:firstLine="0"/>
              <w:jc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1271元/次</w:t>
            </w:r>
          </w:p>
        </w:tc>
      </w:tr>
      <w:tr w14:paraId="5636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06" w:type="pct"/>
            <w:vAlign w:val="center"/>
          </w:tcPr>
          <w:p w14:paraId="13EC740E">
            <w:pPr>
              <w:widowControl w:val="0"/>
              <w:spacing w:after="0" w:line="360" w:lineRule="auto"/>
              <w:ind w:left="0" w:firstLine="0"/>
              <w:jc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9</w:t>
            </w:r>
          </w:p>
        </w:tc>
        <w:tc>
          <w:tcPr>
            <w:tcW w:w="3438" w:type="pct"/>
            <w:vAlign w:val="center"/>
          </w:tcPr>
          <w:p w14:paraId="712CFB33">
            <w:pPr>
              <w:widowControl w:val="0"/>
              <w:spacing w:after="0" w:line="360" w:lineRule="auto"/>
              <w:ind w:left="0" w:firstLine="0"/>
              <w:jc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局、支队配时派单后，维护人员未及时反馈的</w:t>
            </w:r>
          </w:p>
        </w:tc>
        <w:tc>
          <w:tcPr>
            <w:tcW w:w="1154" w:type="pct"/>
            <w:vAlign w:val="center"/>
          </w:tcPr>
          <w:p w14:paraId="65ADC39E">
            <w:pPr>
              <w:widowControl w:val="0"/>
              <w:spacing w:after="0" w:line="360" w:lineRule="auto"/>
              <w:ind w:left="0" w:firstLine="0"/>
              <w:jc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500元/次</w:t>
            </w:r>
          </w:p>
        </w:tc>
      </w:tr>
      <w:tr w14:paraId="3CFE3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06" w:type="pct"/>
            <w:vAlign w:val="center"/>
          </w:tcPr>
          <w:p w14:paraId="0302EB36">
            <w:pPr>
              <w:widowControl w:val="0"/>
              <w:spacing w:after="0" w:line="360" w:lineRule="auto"/>
              <w:ind w:left="0" w:firstLine="0"/>
              <w:jc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10</w:t>
            </w:r>
          </w:p>
        </w:tc>
        <w:tc>
          <w:tcPr>
            <w:tcW w:w="3438" w:type="pct"/>
            <w:vAlign w:val="center"/>
          </w:tcPr>
          <w:p w14:paraId="22061AA9">
            <w:pPr>
              <w:widowControl w:val="0"/>
              <w:spacing w:after="0" w:line="360" w:lineRule="auto"/>
              <w:ind w:left="0" w:firstLine="0"/>
              <w:jc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不符合局、支队配时要求的其他情况</w:t>
            </w:r>
          </w:p>
        </w:tc>
        <w:tc>
          <w:tcPr>
            <w:tcW w:w="1154" w:type="pct"/>
            <w:vAlign w:val="center"/>
          </w:tcPr>
          <w:p w14:paraId="5F398708">
            <w:pPr>
              <w:widowControl w:val="0"/>
              <w:spacing w:after="0" w:line="360" w:lineRule="auto"/>
              <w:ind w:left="0" w:firstLine="0"/>
              <w:jc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500元/次</w:t>
            </w:r>
          </w:p>
        </w:tc>
      </w:tr>
    </w:tbl>
    <w:p w14:paraId="7F00BC98">
      <w:pPr>
        <w:spacing w:line="360" w:lineRule="auto"/>
        <w:jc w:val="left"/>
        <w:rPr>
          <w:rFonts w:hint="eastAsia" w:ascii="宋体" w:hAnsi="宋体" w:eastAsia="宋体" w:cs="宋体"/>
          <w:color w:val="000000"/>
          <w:kern w:val="0"/>
          <w:sz w:val="24"/>
          <w:szCs w:val="24"/>
          <w:lang w:eastAsia="en-US" w:bidi="en-US"/>
        </w:rPr>
      </w:pPr>
      <w:bookmarkStart w:id="18" w:name="bookmark69"/>
    </w:p>
    <w:p w14:paraId="5B741F7E">
      <w:pPr>
        <w:tabs>
          <w:tab w:val="left" w:pos="980"/>
        </w:tabs>
        <w:kinsoku w:val="0"/>
        <w:spacing w:line="460" w:lineRule="exact"/>
        <w:jc w:val="left"/>
        <w:rPr>
          <w:rFonts w:hint="eastAsia" w:ascii="宋体" w:hAnsi="宋体" w:eastAsia="宋体" w:cs="宋体"/>
          <w:b/>
          <w:bCs/>
          <w:color w:val="000000"/>
          <w:sz w:val="24"/>
          <w:szCs w:val="24"/>
          <w:lang w:val="zh-CN" w:eastAsia="zh-CN" w:bidi="zh-CN"/>
        </w:rPr>
      </w:pPr>
      <w:r>
        <w:rPr>
          <w:rFonts w:hint="eastAsia" w:ascii="宋体" w:hAnsi="宋体" w:eastAsia="宋体" w:cs="宋体"/>
          <w:b/>
          <w:bCs/>
          <w:color w:val="000000"/>
          <w:sz w:val="24"/>
          <w:szCs w:val="24"/>
          <w:lang w:val="zh-CN" w:eastAsia="zh-CN" w:bidi="zh-CN"/>
        </w:rPr>
        <w:t>三、服务要求</w:t>
      </w:r>
      <w:bookmarkEnd w:id="18"/>
    </w:p>
    <w:p w14:paraId="10E90296">
      <w:pPr>
        <w:widowControl w:val="0"/>
        <w:spacing w:after="0" w:line="460" w:lineRule="exact"/>
        <w:ind w:left="230" w:firstLine="482"/>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1.专业化原则</w:t>
      </w:r>
    </w:p>
    <w:p w14:paraId="5614F7DA">
      <w:pPr>
        <w:widowControl w:val="0"/>
        <w:spacing w:after="0" w:line="460" w:lineRule="exact"/>
        <w:ind w:left="230" w:firstLine="482"/>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服务机构要站在城市道路交通的全局高度上开展工作，投入交通规划、交通政策研究、交通设计、信号控制、交通模型等专业化人才，形成专业工作的闭环链路。</w:t>
      </w:r>
    </w:p>
    <w:p w14:paraId="7D754B58">
      <w:pPr>
        <w:widowControl w:val="0"/>
        <w:spacing w:after="0" w:line="460" w:lineRule="exact"/>
        <w:ind w:left="230" w:firstLine="482"/>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2.智能化原则</w:t>
      </w:r>
    </w:p>
    <w:p w14:paraId="17D8776A">
      <w:pPr>
        <w:widowControl w:val="0"/>
        <w:spacing w:after="0" w:line="460" w:lineRule="exact"/>
        <w:ind w:left="230" w:firstLine="482"/>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服务机构要强化路口时空资源的综合挖潜，深化大数据、仿真模型在管控中的实际应用，不断尝试运用新科技手段、先进设备提升交通信号控制的智能化水平。</w:t>
      </w:r>
    </w:p>
    <w:p w14:paraId="6669EE81">
      <w:pPr>
        <w:widowControl w:val="0"/>
        <w:spacing w:after="0" w:line="460" w:lineRule="exact"/>
        <w:ind w:left="230" w:firstLine="482"/>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3.规范化原则</w:t>
      </w:r>
    </w:p>
    <w:p w14:paraId="08EFB245">
      <w:pPr>
        <w:widowControl w:val="0"/>
        <w:spacing w:after="0" w:line="460" w:lineRule="exact"/>
        <w:ind w:left="230" w:firstLine="482"/>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服务技术人员应严格按照国标相关要求、西安相关规范流程开展工作，严格遵守相关法规和西安市公安局交通警察支队的相关工作要求，并做好工作台账和工作总结。</w:t>
      </w:r>
    </w:p>
    <w:p w14:paraId="6E96A7A7">
      <w:pPr>
        <w:widowControl w:val="0"/>
        <w:spacing w:after="0" w:line="460" w:lineRule="exact"/>
        <w:ind w:left="230" w:firstLine="482"/>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4.高效化原则</w:t>
      </w:r>
    </w:p>
    <w:p w14:paraId="24AAA06A">
      <w:pPr>
        <w:widowControl w:val="0"/>
        <w:spacing w:after="0" w:line="460" w:lineRule="exact"/>
        <w:ind w:left="230" w:firstLine="482"/>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建立系统维护的快速响应机制，保证业务问题解答、系统故障排除、重大故障的现场处理、紧急工作任务处理等在用户要求的时间内完成。</w:t>
      </w:r>
    </w:p>
    <w:p w14:paraId="40D8C7F7">
      <w:pPr>
        <w:widowControl w:val="0"/>
        <w:spacing w:after="0" w:line="460" w:lineRule="exact"/>
        <w:ind w:left="230" w:firstLine="482"/>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5.安全性原则</w:t>
      </w:r>
    </w:p>
    <w:p w14:paraId="1156A77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系统维护要以保证系统数据安全、系统运行安全为前提，严格遵守保密协定，尊重用户利益，外场设备维护工作中，以保证维护人员人身安全为前提，做好防护措施，保证维护工作的顺利进行。</w:t>
      </w:r>
    </w:p>
    <w:p w14:paraId="695A9744">
      <w:pPr>
        <w:keepNext w:val="0"/>
        <w:keepLines w:val="0"/>
        <w:pageBreakBefore w:val="0"/>
        <w:widowControl/>
        <w:tabs>
          <w:tab w:val="left" w:pos="980"/>
        </w:tabs>
        <w:kinsoku w:val="0"/>
        <w:wordWrap/>
        <w:overflowPunct/>
        <w:topLinePunct w:val="0"/>
        <w:autoSpaceDE/>
        <w:autoSpaceDN/>
        <w:bidi w:val="0"/>
        <w:adjustRightInd/>
        <w:snapToGrid/>
        <w:spacing w:line="460" w:lineRule="exact"/>
        <w:ind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四、第七标段运维平台升级功能要求</w:t>
      </w:r>
    </w:p>
    <w:p w14:paraId="5466F056">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1、</w:t>
      </w:r>
      <w:r>
        <w:rPr>
          <w:rFonts w:hint="eastAsia" w:ascii="宋体" w:hAnsi="宋体" w:eastAsia="宋体" w:cs="宋体"/>
          <w:sz w:val="24"/>
          <w:szCs w:val="24"/>
          <w14:ligatures w14:val="standardContextual"/>
        </w:rPr>
        <w:t>备品备件管理</w:t>
      </w:r>
    </w:p>
    <w:p w14:paraId="354C2651">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1.1</w:t>
      </w:r>
      <w:r>
        <w:rPr>
          <w:rFonts w:hint="eastAsia" w:ascii="宋体" w:hAnsi="宋体" w:eastAsia="宋体" w:cs="宋体"/>
          <w:sz w:val="24"/>
          <w:szCs w:val="24"/>
          <w14:ligatures w14:val="standardContextual"/>
        </w:rPr>
        <w:t>备件物资信息统计</w:t>
      </w:r>
    </w:p>
    <w:p w14:paraId="1EE0248C">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对备件物资进行信息盘点和记录，包括备件管理基础数据框架搭建：</w:t>
      </w:r>
    </w:p>
    <w:p w14:paraId="2A45DEF2">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1）备件库管理，包括备件库类型、名称、关联项目、描述等信息管理。</w:t>
      </w:r>
    </w:p>
    <w:p w14:paraId="3700A3CE">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2）备件物资基础数据管理，按材料、人工、机械分类管理，支持编码、单价、名称、型号、供应商、单位的统一配置。</w:t>
      </w:r>
    </w:p>
    <w:p w14:paraId="70DDE616">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3）备件流程配置，支持预设流程模板上传，配置流程人员。</w:t>
      </w:r>
    </w:p>
    <w:p w14:paraId="2EA81498">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1.2</w:t>
      </w:r>
      <w:r>
        <w:rPr>
          <w:rFonts w:hint="eastAsia" w:ascii="宋体" w:hAnsi="宋体" w:eastAsia="宋体" w:cs="宋体"/>
          <w:sz w:val="24"/>
          <w:szCs w:val="24"/>
          <w14:ligatures w14:val="standardContextual"/>
        </w:rPr>
        <w:t>备件物资入库</w:t>
      </w:r>
    </w:p>
    <w:p w14:paraId="79DEB327">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记录设备的唯一标识、SN码等信息，填写入库原因分类，记录设备是否可用，经负责人、相关领导审批后完成入库。入库后该类备件库存数量相应改变。</w:t>
      </w:r>
    </w:p>
    <w:p w14:paraId="102E4829">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1）支持一般入库、调拨入库、采购入库等各种类型入库单的申请。</w:t>
      </w:r>
    </w:p>
    <w:p w14:paraId="73963269">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2）入库明细基于预设的物料基础数据，支持名称、编号、型号的快捷检索。</w:t>
      </w:r>
    </w:p>
    <w:p w14:paraId="0E2A60D2">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3）入库每条物料信息根据物料基础数据，自动确定是否单品，单品备件需填写SN号。</w:t>
      </w:r>
    </w:p>
    <w:p w14:paraId="1F00B5B5">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1.3</w:t>
      </w:r>
      <w:r>
        <w:rPr>
          <w:rFonts w:hint="eastAsia" w:ascii="宋体" w:hAnsi="宋体" w:eastAsia="宋体" w:cs="宋体"/>
          <w:sz w:val="24"/>
          <w:szCs w:val="24"/>
          <w14:ligatures w14:val="standardContextual"/>
        </w:rPr>
        <w:t>备件物资出库</w:t>
      </w:r>
    </w:p>
    <w:p w14:paraId="6DBD7CA6">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对备件库中设备进行出库记录，支持流程化处理，负责审批后形成完整的出库记录。</w:t>
      </w:r>
    </w:p>
    <w:p w14:paraId="6308EEE2">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1）支持一般出库、返修出库、调拨出库、盘亏出库等各种类型出库单的申请。</w:t>
      </w:r>
    </w:p>
    <w:p w14:paraId="0F01617D">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2）处理审批处理人，自动根据所属备件库自动关联填写。</w:t>
      </w:r>
    </w:p>
    <w:p w14:paraId="3C029CA6">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3）出库明细基于所选备件库库存物料存量提供选择，并自动根据物料编号、物料名称、型号组合物料存量供选择。</w:t>
      </w:r>
    </w:p>
    <w:p w14:paraId="6198F0ED">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4）出库物料数量涉及多条入库单物料时，可通过该条物料明细选择关联的出库单人工确认。</w:t>
      </w:r>
    </w:p>
    <w:p w14:paraId="775FB3D6">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1.4</w:t>
      </w:r>
      <w:r>
        <w:rPr>
          <w:rFonts w:hint="eastAsia" w:ascii="宋体" w:hAnsi="宋体" w:eastAsia="宋体" w:cs="宋体"/>
          <w:sz w:val="24"/>
          <w:szCs w:val="24"/>
          <w14:ligatures w14:val="standardContextual"/>
        </w:rPr>
        <w:t>备件物资调拨</w:t>
      </w:r>
    </w:p>
    <w:p w14:paraId="5B3D277B">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系统可实现管理仓库间、货位间调拨、借用导致的库存移动等流程管理。</w:t>
      </w:r>
    </w:p>
    <w:p w14:paraId="7C201C1B">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1）调拨出库单，需要填写备件去向。</w:t>
      </w:r>
    </w:p>
    <w:p w14:paraId="34312B5B">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2）调拨入库单，需要填写备件来源。</w:t>
      </w:r>
    </w:p>
    <w:p w14:paraId="141D83AB">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1.5</w:t>
      </w:r>
      <w:r>
        <w:rPr>
          <w:rFonts w:hint="eastAsia" w:ascii="宋体" w:hAnsi="宋体" w:eastAsia="宋体" w:cs="宋体"/>
          <w:sz w:val="24"/>
          <w:szCs w:val="24"/>
          <w14:ligatures w14:val="standardContextual"/>
        </w:rPr>
        <w:t>备件物资盘点</w:t>
      </w:r>
    </w:p>
    <w:p w14:paraId="5EAAC734">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备料物资定期盘点任务配置，通过制定判定方案，自动生成按月、按季度、按年、自定义盘点周期的盘点计划，自动生成周期性盘点任务。</w:t>
      </w:r>
    </w:p>
    <w:p w14:paraId="5AF31C8D">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1）支持备件方案的制定、修改、废弃。</w:t>
      </w:r>
    </w:p>
    <w:p w14:paraId="0864E136">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2）盘点任务按备件编号、备件名称、倍加型号、生厂商汇总账面数量，由盘点人记录盘存数量。</w:t>
      </w:r>
    </w:p>
    <w:p w14:paraId="5092590E">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3）系统根据账面数量和盘存数量自动计算盘点结果。</w:t>
      </w:r>
    </w:p>
    <w:p w14:paraId="5F2C75CB">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4）支持盘点任务进度的展示，进度条方式直观展示盘点进度。</w:t>
      </w:r>
    </w:p>
    <w:p w14:paraId="4118F58A">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5）盘点结果支持一键盈亏处理，自动生成盘盈出库、盘亏出库备件明细。</w:t>
      </w:r>
    </w:p>
    <w:p w14:paraId="29DECBA6">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1.6</w:t>
      </w:r>
      <w:r>
        <w:rPr>
          <w:rFonts w:hint="eastAsia" w:ascii="宋体" w:hAnsi="宋体" w:eastAsia="宋体" w:cs="宋体"/>
          <w:sz w:val="24"/>
          <w:szCs w:val="24"/>
          <w14:ligatures w14:val="standardContextual"/>
        </w:rPr>
        <w:t>报废停用</w:t>
      </w:r>
    </w:p>
    <w:p w14:paraId="0AE9D4F2">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支持对设备设施等资产的报废停用流程。支持对呆滞、过期物资的处理流程。</w:t>
      </w:r>
    </w:p>
    <w:p w14:paraId="08B28530">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1）支持备件物料报废出库申请及处理流程。</w:t>
      </w:r>
    </w:p>
    <w:p w14:paraId="1211FA5F">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2）支持设备报废资产变更处理流程。</w:t>
      </w:r>
    </w:p>
    <w:p w14:paraId="43212E2C">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3）设备报废记录形成设备履历。</w:t>
      </w:r>
    </w:p>
    <w:p w14:paraId="1178AE24">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2、</w:t>
      </w:r>
      <w:r>
        <w:rPr>
          <w:rFonts w:hint="eastAsia" w:ascii="宋体" w:hAnsi="宋体" w:eastAsia="宋体" w:cs="宋体"/>
          <w:sz w:val="24"/>
          <w:szCs w:val="24"/>
          <w14:ligatures w14:val="standardContextual"/>
        </w:rPr>
        <w:t>项目基础信息管理</w:t>
      </w:r>
    </w:p>
    <w:p w14:paraId="4F9C93E0">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2.1</w:t>
      </w:r>
      <w:r>
        <w:rPr>
          <w:rFonts w:hint="eastAsia" w:ascii="宋体" w:hAnsi="宋体" w:eastAsia="宋体" w:cs="宋体"/>
          <w:sz w:val="24"/>
          <w:szCs w:val="24"/>
          <w14:ligatures w14:val="standardContextual"/>
        </w:rPr>
        <w:t>合同管理</w:t>
      </w:r>
    </w:p>
    <w:p w14:paraId="04DAF39F">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采购合同，租赁合同，主合同，条款和条件等记录功能，实现合同条款的明细及预算管理。</w:t>
      </w:r>
    </w:p>
    <w:p w14:paraId="1D57330E">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2.2</w:t>
      </w:r>
      <w:r>
        <w:rPr>
          <w:rFonts w:hint="eastAsia" w:ascii="宋体" w:hAnsi="宋体" w:eastAsia="宋体" w:cs="宋体"/>
          <w:sz w:val="24"/>
          <w:szCs w:val="24"/>
          <w14:ligatures w14:val="standardContextual"/>
        </w:rPr>
        <w:t>资料管理</w:t>
      </w:r>
    </w:p>
    <w:p w14:paraId="3EDC5521">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实现工程设计图纸存储管理、版本管理、图纸审查、检索等功能。</w:t>
      </w:r>
    </w:p>
    <w:p w14:paraId="1AD54407">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2.3</w:t>
      </w:r>
      <w:r>
        <w:rPr>
          <w:rFonts w:hint="eastAsia" w:ascii="宋体" w:hAnsi="宋体" w:eastAsia="宋体" w:cs="宋体"/>
          <w:sz w:val="24"/>
          <w:szCs w:val="24"/>
          <w14:ligatures w14:val="standardContextual"/>
        </w:rPr>
        <w:t>项目建设管理</w:t>
      </w:r>
    </w:p>
    <w:p w14:paraId="37303CEE">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项目建设的全流程管理，包含以下：</w:t>
      </w:r>
    </w:p>
    <w:p w14:paraId="2A01BDFE">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1）项目立项：在项目规划初期，须进行项目计划编制、完成初步设计后，提交审批，同时实现跟踪、进度异常管理。</w:t>
      </w:r>
    </w:p>
    <w:p w14:paraId="0F41221C">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2）实施过程监控：结合手机APP，管理施工进度、已完成费用统计计算，施工进度可按不同属性统计(如：按设备、按点位、按数量等）。</w:t>
      </w:r>
    </w:p>
    <w:p w14:paraId="6295486D">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3）竣工验收：管理监理、专家、客户等的验收表单、文件，完成项目的决算。</w:t>
      </w:r>
    </w:p>
    <w:p w14:paraId="4C779F6D">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4）资金结算：系统支持与工程建设资金信息的记录与管理。结算金额以验收单统计结果为准，提供验收单的查询、明细查看、金额合计和导出等功能。</w:t>
      </w:r>
    </w:p>
    <w:p w14:paraId="37982CF1">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2.4</w:t>
      </w:r>
      <w:r>
        <w:rPr>
          <w:rFonts w:hint="eastAsia" w:ascii="宋体" w:hAnsi="宋体" w:eastAsia="宋体" w:cs="宋体"/>
          <w:sz w:val="24"/>
          <w:szCs w:val="24"/>
          <w14:ligatures w14:val="standardContextual"/>
        </w:rPr>
        <w:t>临时工程管理</w:t>
      </w:r>
    </w:p>
    <w:p w14:paraId="7BEAE24B">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针对道路维修、大型活动、交通管制等因素，需进行临时交通设备设施的安装、迁改，实现临时工程的流程化管理。</w:t>
      </w:r>
    </w:p>
    <w:p w14:paraId="439A5B3E">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1）支持新安装、拆除、维修等工程申请类型。</w:t>
      </w:r>
    </w:p>
    <w:p w14:paraId="6472B7CA">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2）工程申请填报包括工程区域、工程地点、申请部门、施工方等工程管理信息。</w:t>
      </w:r>
    </w:p>
    <w:p w14:paraId="4CE9091B">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3）工程处理，可填写设备编号、设备名称、安装位置、设备类型等设备信息，并支持地图预览。</w:t>
      </w:r>
    </w:p>
    <w:p w14:paraId="1C579DAE">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4）支持物料列表信息填写，包括物流编号、物流名称、幸好、生产商、数量、金额等信息。</w:t>
      </w:r>
    </w:p>
    <w:p w14:paraId="62F1C29A">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3、</w:t>
      </w:r>
      <w:r>
        <w:rPr>
          <w:rFonts w:hint="eastAsia" w:ascii="宋体" w:hAnsi="宋体" w:eastAsia="宋体" w:cs="宋体"/>
          <w:sz w:val="24"/>
          <w:szCs w:val="24"/>
          <w14:ligatures w14:val="standardContextual"/>
        </w:rPr>
        <w:t>据实结算管理</w:t>
      </w:r>
    </w:p>
    <w:p w14:paraId="00BA9610">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维修人员接到派工单后，根据实际情况判断是否需要新增或更换设备设施，申请据实结算，若需要则进行方案上报，填写物料采购信息，包括物料名称、型号、单价、数量，折扣、总价等，并可添加相关物料附件，供审批人参考。</w:t>
      </w:r>
    </w:p>
    <w:p w14:paraId="52E76EDB">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支持据实结算所需的各处理节点所需的信息及打印：</w:t>
      </w:r>
    </w:p>
    <w:p w14:paraId="3413FCAE">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1）支持施工方案填写物料列表及金额。</w:t>
      </w:r>
    </w:p>
    <w:p w14:paraId="77A835A9">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2）支持施工方案审批，审批通过后生成工程委托单，支持导出word版打印。</w:t>
      </w:r>
    </w:p>
    <w:p w14:paraId="5899BB50">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3）支持施工过程基于施工方案的物料明细，调整补充实际施工物料。</w:t>
      </w:r>
    </w:p>
    <w:p w14:paraId="0E879249">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4）支持工程物料监理验收，验收通过后生成工程验收单，支持导出wor版打印。</w:t>
      </w:r>
    </w:p>
    <w:p w14:paraId="068AD866">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4、</w:t>
      </w:r>
      <w:r>
        <w:rPr>
          <w:rFonts w:hint="eastAsia" w:ascii="宋体" w:hAnsi="宋体" w:eastAsia="宋体" w:cs="宋体"/>
          <w:sz w:val="24"/>
          <w:szCs w:val="24"/>
          <w14:ligatures w14:val="standardContextual"/>
        </w:rPr>
        <w:t>手机APP</w:t>
      </w:r>
    </w:p>
    <w:p w14:paraId="0F606E46">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4.1</w:t>
      </w:r>
      <w:r>
        <w:rPr>
          <w:rFonts w:hint="eastAsia" w:ascii="宋体" w:hAnsi="宋体" w:eastAsia="宋体" w:cs="宋体"/>
          <w:sz w:val="24"/>
          <w:szCs w:val="24"/>
          <w14:ligatures w14:val="standardContextual"/>
        </w:rPr>
        <w:t>故障上报</w:t>
      </w:r>
    </w:p>
    <w:p w14:paraId="4EFAC180">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通过手机APP我要报障功能，实现故障精准报障或快速报障。</w:t>
      </w:r>
    </w:p>
    <w:p w14:paraId="2D399D57">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1）支持快速报障，自动获取当前位置并地图展示，只需要填写问题描述，上传必要的图片，提交后与平台快速报障处理功能联动。</w:t>
      </w:r>
    </w:p>
    <w:p w14:paraId="387E4FC2">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2）精准报障支持设备名称、设备编号、IP的模糊搜索，并优先展示与报障人距离近的设备。</w:t>
      </w:r>
    </w:p>
    <w:p w14:paraId="2A6B33B6">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3）支持语音识别输入搜索设备。</w:t>
      </w:r>
    </w:p>
    <w:p w14:paraId="0E2A290C">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4）支持地图选择附近设备。</w:t>
      </w:r>
    </w:p>
    <w:p w14:paraId="756D1756">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5）按选择设备的设备类型，可便捷选择关联的故障现象。</w:t>
      </w:r>
    </w:p>
    <w:p w14:paraId="2EAD82F2">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4.2</w:t>
      </w:r>
      <w:r>
        <w:rPr>
          <w:rFonts w:hint="eastAsia" w:ascii="宋体" w:hAnsi="宋体" w:eastAsia="宋体" w:cs="宋体"/>
          <w:sz w:val="24"/>
          <w:szCs w:val="24"/>
          <w14:ligatures w14:val="standardContextual"/>
        </w:rPr>
        <w:t>故障维修</w:t>
      </w:r>
    </w:p>
    <w:p w14:paraId="23224B2D">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手机APP故障维修功能，可查看所有人工及系统自动填报的工单信息，包括已完成工单，及待办工单，包括待派工、待接单、待到达、维修中、及待验收工单。</w:t>
      </w:r>
    </w:p>
    <w:p w14:paraId="37303B67">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1）支持语音识别输入，按名称、位置、现象、IP等搜索工单。</w:t>
      </w:r>
    </w:p>
    <w:p w14:paraId="7F4D2AE7">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2）支持全部工单、待办工单两种工单列表的快速切换。</w:t>
      </w:r>
    </w:p>
    <w:p w14:paraId="4B232E6C">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3）支持第三方、非第三方、工单状态的便捷筛选。</w:t>
      </w:r>
    </w:p>
    <w:p w14:paraId="0A952BF0">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4）支持派工、接单、到达、维修、验收等全流程闭环处置。</w:t>
      </w:r>
    </w:p>
    <w:p w14:paraId="2FDA39D8">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4.3</w:t>
      </w:r>
      <w:r>
        <w:rPr>
          <w:rFonts w:hint="eastAsia" w:ascii="宋体" w:hAnsi="宋体" w:eastAsia="宋体" w:cs="宋体"/>
          <w:sz w:val="24"/>
          <w:szCs w:val="24"/>
          <w14:ligatures w14:val="standardContextual"/>
        </w:rPr>
        <w:t>巡检管理</w:t>
      </w:r>
    </w:p>
    <w:p w14:paraId="7D8A5D13">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通过手机APP，快速执行巡检任务，并可对巡检进度进行全过程监管。</w:t>
      </w:r>
    </w:p>
    <w:p w14:paraId="1C16949D">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4.4</w:t>
      </w:r>
      <w:r>
        <w:rPr>
          <w:rFonts w:hint="eastAsia" w:ascii="宋体" w:hAnsi="宋体" w:eastAsia="宋体" w:cs="宋体"/>
          <w:sz w:val="24"/>
          <w:szCs w:val="24"/>
          <w14:ligatures w14:val="standardContextual"/>
        </w:rPr>
        <w:t>资产管理</w:t>
      </w:r>
    </w:p>
    <w:p w14:paraId="76739078">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实现对资产的信息管理和查看。</w:t>
      </w:r>
    </w:p>
    <w:p w14:paraId="4EAB0802">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1）支持设备设施信息检索，查看设备详情。</w:t>
      </w:r>
    </w:p>
    <w:p w14:paraId="6CC12E18">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2）设备状态正常，支持一键报障；维修中设备，支持一键跳转维修处理；巡检中设备，支持一键跳转巡检处置。</w:t>
      </w:r>
    </w:p>
    <w:p w14:paraId="53AE76FD">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3）支持备件出库、备件入库审批处理。</w:t>
      </w:r>
    </w:p>
    <w:p w14:paraId="60FB25FB">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4.5</w:t>
      </w:r>
      <w:r>
        <w:rPr>
          <w:rFonts w:hint="eastAsia" w:ascii="宋体" w:hAnsi="宋体" w:eastAsia="宋体" w:cs="宋体"/>
          <w:sz w:val="24"/>
          <w:szCs w:val="24"/>
          <w14:ligatures w14:val="standardContextual"/>
        </w:rPr>
        <w:t>交办任务</w:t>
      </w:r>
    </w:p>
    <w:p w14:paraId="4C65058B">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手机APP交办任务功能，可实现对日常客户交办任务的管理，记录并查看交办任务各环节处理过程信息，包括任务问题描述、派工及完成时间、照片附件等。</w:t>
      </w:r>
    </w:p>
    <w:p w14:paraId="746DC685">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1）支持交办任务填报，内容包括所需项目、任务描述、开始时间、解决期限、维护单位、处理人、验收人，发生位置可通过地图选择，默认当前用户位置。</w:t>
      </w:r>
    </w:p>
    <w:p w14:paraId="76E6816F">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2）支持全部和待办两种任务列表快速切换，支持任务状态、与我相关筛选，同时支持语音输入的描述和位置的模糊搜索。</w:t>
      </w:r>
    </w:p>
    <w:p w14:paraId="31CA9AD6">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3）支持移动端的派工、执行、确认、验收处理，并通过不同颜色标签区分任务状态。</w:t>
      </w:r>
    </w:p>
    <w:p w14:paraId="183A67CE">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4）支持移动端的任务催办。</w:t>
      </w:r>
    </w:p>
    <w:p w14:paraId="24DB7FB7">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4.6</w:t>
      </w:r>
      <w:r>
        <w:rPr>
          <w:rFonts w:hint="eastAsia" w:ascii="宋体" w:hAnsi="宋体" w:eastAsia="宋体" w:cs="宋体"/>
          <w:sz w:val="24"/>
          <w:szCs w:val="24"/>
          <w14:ligatures w14:val="standardContextual"/>
        </w:rPr>
        <w:t>运维提效</w:t>
      </w:r>
    </w:p>
    <w:p w14:paraId="600A3E55">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通过扫码实现运维流程的快速发起以及完成运维人员的快速考勤。</w:t>
      </w:r>
    </w:p>
    <w:p w14:paraId="12C4EB59">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5、</w:t>
      </w:r>
      <w:r>
        <w:rPr>
          <w:rFonts w:hint="eastAsia" w:ascii="宋体" w:hAnsi="宋体" w:eastAsia="宋体" w:cs="宋体"/>
          <w:sz w:val="24"/>
          <w:szCs w:val="24"/>
          <w14:ligatures w14:val="standardContextual"/>
        </w:rPr>
        <w:t>统计分析</w:t>
      </w:r>
    </w:p>
    <w:p w14:paraId="6798B7D8">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5.1</w:t>
      </w:r>
      <w:r>
        <w:rPr>
          <w:rFonts w:hint="eastAsia" w:ascii="宋体" w:hAnsi="宋体" w:eastAsia="宋体" w:cs="宋体"/>
          <w:sz w:val="24"/>
          <w:szCs w:val="24"/>
          <w14:ligatures w14:val="standardContextual"/>
        </w:rPr>
        <w:t>服务质量分析</w:t>
      </w:r>
    </w:p>
    <w:p w14:paraId="079B6ADA">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5.1.1</w:t>
      </w:r>
      <w:r>
        <w:rPr>
          <w:rFonts w:hint="eastAsia" w:ascii="宋体" w:hAnsi="宋体" w:eastAsia="宋体" w:cs="宋体"/>
          <w:sz w:val="24"/>
          <w:szCs w:val="24"/>
          <w14:ligatures w14:val="standardContextual"/>
        </w:rPr>
        <w:t>维修及时率趋势分析</w:t>
      </w:r>
    </w:p>
    <w:p w14:paraId="0993F0FF">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服务人员维修及时率趋势分析</w:t>
      </w:r>
    </w:p>
    <w:p w14:paraId="51AEEB68">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1）支持按月度查询。</w:t>
      </w:r>
    </w:p>
    <w:p w14:paraId="433DD75C">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2）支持分析数据导出。</w:t>
      </w:r>
    </w:p>
    <w:p w14:paraId="4CBA2940">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3）采用折线图方式展示月度维修及时率趋势。</w:t>
      </w:r>
    </w:p>
    <w:p w14:paraId="1CA5727F">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5.1.2</w:t>
      </w:r>
      <w:r>
        <w:rPr>
          <w:rFonts w:hint="eastAsia" w:ascii="宋体" w:hAnsi="宋体" w:eastAsia="宋体" w:cs="宋体"/>
          <w:sz w:val="24"/>
          <w:szCs w:val="24"/>
          <w14:ligatures w14:val="standardContextual"/>
        </w:rPr>
        <w:t>维修时效性分析</w:t>
      </w:r>
    </w:p>
    <w:p w14:paraId="3C50B9B1">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服务人员响应及时率趋势分析</w:t>
      </w:r>
    </w:p>
    <w:p w14:paraId="736A01C9">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1）支持按月度查询。</w:t>
      </w:r>
    </w:p>
    <w:p w14:paraId="22579454">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2）支持分析数据导出。</w:t>
      </w:r>
    </w:p>
    <w:p w14:paraId="1D569941">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3）采用饼图方式展示按时修复、超期未修复、正常进展、超期修复的占比。</w:t>
      </w:r>
    </w:p>
    <w:p w14:paraId="7E51EB53">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4）采用环形图方式展示及时修复、未及时修复占比。</w:t>
      </w:r>
    </w:p>
    <w:p w14:paraId="50DDDA76">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5.1.3</w:t>
      </w:r>
      <w:r>
        <w:rPr>
          <w:rFonts w:hint="eastAsia" w:ascii="宋体" w:hAnsi="宋体" w:eastAsia="宋体" w:cs="宋体"/>
          <w:sz w:val="24"/>
          <w:szCs w:val="24"/>
          <w14:ligatures w14:val="standardContextual"/>
        </w:rPr>
        <w:t>维修及时率（按人员、按维护单位）</w:t>
      </w:r>
    </w:p>
    <w:p w14:paraId="28449FD5">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服务人员巡检及时率趋势分析</w:t>
      </w:r>
    </w:p>
    <w:p w14:paraId="7E2ABF55">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1）支持按月度、厂商对人员查询，支持按月度对维护单位查询。</w:t>
      </w:r>
    </w:p>
    <w:p w14:paraId="362D59DF">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2）支持分析数据导出。</w:t>
      </w:r>
    </w:p>
    <w:p w14:paraId="6DAD8DCC">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3）采用表格方式对人员、工单数、正常关闭数、闭合率进行统计。</w:t>
      </w:r>
    </w:p>
    <w:p w14:paraId="0CEDFB53">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4）采用表格方式对维护单位、工单数、正常关闭数、闭合率进行统计。</w:t>
      </w:r>
    </w:p>
    <w:p w14:paraId="1182A873">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5.1.4</w:t>
      </w:r>
      <w:r>
        <w:rPr>
          <w:rFonts w:hint="eastAsia" w:ascii="宋体" w:hAnsi="宋体" w:eastAsia="宋体" w:cs="宋体"/>
          <w:sz w:val="24"/>
          <w:szCs w:val="24"/>
          <w14:ligatures w14:val="standardContextual"/>
        </w:rPr>
        <w:t>巡检规范性分析</w:t>
      </w:r>
    </w:p>
    <w:p w14:paraId="38156CFD">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服务人员巡检规范性趋势分析</w:t>
      </w:r>
    </w:p>
    <w:p w14:paraId="701F742E">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1）支持按日查询。</w:t>
      </w:r>
    </w:p>
    <w:p w14:paraId="0D31671B">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2）支持分析数据导出。</w:t>
      </w:r>
    </w:p>
    <w:p w14:paraId="0C6A6C98">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5.1.5</w:t>
      </w:r>
      <w:r>
        <w:rPr>
          <w:rFonts w:hint="eastAsia" w:ascii="宋体" w:hAnsi="宋体" w:eastAsia="宋体" w:cs="宋体"/>
          <w:sz w:val="24"/>
          <w:szCs w:val="24"/>
          <w14:ligatures w14:val="standardContextual"/>
        </w:rPr>
        <w:t>重复维修率分析</w:t>
      </w:r>
    </w:p>
    <w:p w14:paraId="41600DFE">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服务人员重复维修率趋势分析</w:t>
      </w:r>
    </w:p>
    <w:p w14:paraId="1121DECF">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1）支持按日查询。</w:t>
      </w:r>
    </w:p>
    <w:p w14:paraId="78673297">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2）支持分析数据导出。</w:t>
      </w:r>
    </w:p>
    <w:p w14:paraId="457A8E3A">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3）采用表格方式展示设备名称、设备编号、设备服务商、安装位置、维修次数。</w:t>
      </w:r>
    </w:p>
    <w:p w14:paraId="44F36C9A">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5.1.6</w:t>
      </w:r>
      <w:r>
        <w:rPr>
          <w:rFonts w:hint="eastAsia" w:ascii="宋体" w:hAnsi="宋体" w:eastAsia="宋体" w:cs="宋体"/>
          <w:sz w:val="24"/>
          <w:szCs w:val="24"/>
          <w14:ligatures w14:val="standardContextual"/>
        </w:rPr>
        <w:t>响应及时性分析</w:t>
      </w:r>
    </w:p>
    <w:p w14:paraId="29869CC6">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服务人员闭合率趋势分析</w:t>
      </w:r>
    </w:p>
    <w:p w14:paraId="46E95CA5">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1）支持按月度查询。</w:t>
      </w:r>
    </w:p>
    <w:p w14:paraId="76110E5B">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2）支持分析数据导出。</w:t>
      </w:r>
    </w:p>
    <w:p w14:paraId="34CD3A2F">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3）采用环形图方式分析月度响应及时和不及时占比。</w:t>
      </w:r>
    </w:p>
    <w:p w14:paraId="05F977D8">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4）采用折线图方式展示月度响应及时率趋势。</w:t>
      </w:r>
    </w:p>
    <w:p w14:paraId="4B857EF6">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5.2</w:t>
      </w:r>
      <w:r>
        <w:rPr>
          <w:rFonts w:hint="eastAsia" w:ascii="宋体" w:hAnsi="宋体" w:eastAsia="宋体" w:cs="宋体"/>
          <w:sz w:val="24"/>
          <w:szCs w:val="24"/>
          <w14:ligatures w14:val="standardContextual"/>
        </w:rPr>
        <w:t>服务效果分析</w:t>
      </w:r>
    </w:p>
    <w:p w14:paraId="6CA32D6F">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5.2.1</w:t>
      </w:r>
      <w:r>
        <w:rPr>
          <w:rFonts w:hint="eastAsia" w:ascii="宋体" w:hAnsi="宋体" w:eastAsia="宋体" w:cs="宋体"/>
          <w:sz w:val="24"/>
          <w:szCs w:val="24"/>
          <w14:ligatures w14:val="standardContextual"/>
        </w:rPr>
        <w:t>设备在线率趋势分析</w:t>
      </w:r>
    </w:p>
    <w:p w14:paraId="5087914C">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设备在线率趋势分析</w:t>
      </w:r>
    </w:p>
    <w:p w14:paraId="5E4D5B57">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1）支持按日区段查询。</w:t>
      </w:r>
    </w:p>
    <w:p w14:paraId="57705AF8">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2）支持分析数据导出。</w:t>
      </w:r>
    </w:p>
    <w:p w14:paraId="3767022F">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3）采用折线图方式展示每日涉笔在线率趋势。</w:t>
      </w:r>
    </w:p>
    <w:p w14:paraId="1822596E">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5.2.2</w:t>
      </w:r>
      <w:r>
        <w:rPr>
          <w:rFonts w:hint="eastAsia" w:ascii="宋体" w:hAnsi="宋体" w:eastAsia="宋体" w:cs="宋体"/>
          <w:sz w:val="24"/>
          <w:szCs w:val="24"/>
          <w14:ligatures w14:val="standardContextual"/>
        </w:rPr>
        <w:t>设备类型单月可用率分析</w:t>
      </w:r>
    </w:p>
    <w:p w14:paraId="7BEC5F23">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设备类型单月可用率分析</w:t>
      </w:r>
    </w:p>
    <w:p w14:paraId="7C522D11">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1）支持按月度查询。</w:t>
      </w:r>
    </w:p>
    <w:p w14:paraId="5EB743B3">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2）支持分析数据导出。</w:t>
      </w:r>
    </w:p>
    <w:p w14:paraId="21F66E2E">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3）采用表格方式按设备类型统计在线时长、故障时长、可用率。</w:t>
      </w:r>
    </w:p>
    <w:p w14:paraId="30AEB524">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5.3</w:t>
      </w:r>
      <w:r>
        <w:rPr>
          <w:rFonts w:hint="eastAsia" w:ascii="宋体" w:hAnsi="宋体" w:eastAsia="宋体" w:cs="宋体"/>
          <w:sz w:val="24"/>
          <w:szCs w:val="24"/>
          <w14:ligatures w14:val="standardContextual"/>
        </w:rPr>
        <w:t>维修成本分析</w:t>
      </w:r>
    </w:p>
    <w:p w14:paraId="25E10C47">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5.3.1</w:t>
      </w:r>
      <w:r>
        <w:rPr>
          <w:rFonts w:hint="eastAsia" w:ascii="宋体" w:hAnsi="宋体" w:eastAsia="宋体" w:cs="宋体"/>
          <w:sz w:val="24"/>
          <w:szCs w:val="24"/>
          <w14:ligatures w14:val="standardContextual"/>
        </w:rPr>
        <w:t>维修费用统计分析</w:t>
      </w:r>
    </w:p>
    <w:p w14:paraId="5794620F">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支持按日查询。</w:t>
      </w:r>
    </w:p>
    <w:p w14:paraId="5D91002F">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2）支持分析数据导出。</w:t>
      </w:r>
    </w:p>
    <w:p w14:paraId="62DDABAA">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3）采用表格方式展示查询时间段内容维修费用。</w:t>
      </w:r>
    </w:p>
    <w:p w14:paraId="7B5B7BB8">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5.3.2</w:t>
      </w:r>
      <w:r>
        <w:rPr>
          <w:rFonts w:hint="eastAsia" w:ascii="宋体" w:hAnsi="宋体" w:eastAsia="宋体" w:cs="宋体"/>
          <w:sz w:val="24"/>
          <w:szCs w:val="24"/>
          <w14:ligatures w14:val="standardContextual"/>
        </w:rPr>
        <w:t>平均到达现场用时分析</w:t>
      </w:r>
    </w:p>
    <w:p w14:paraId="5FB8F9A3">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服务人员平均到达现场用时分析</w:t>
      </w:r>
    </w:p>
    <w:p w14:paraId="7C6FBA6C">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1）支持按日、按厂家查询。</w:t>
      </w:r>
    </w:p>
    <w:p w14:paraId="7EA40510">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2）支持分析数据导出。</w:t>
      </w:r>
    </w:p>
    <w:p w14:paraId="3A2D4E7A">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3）采用表格方式展示人员、工单数、平均到达用时、总到达用时。</w:t>
      </w:r>
    </w:p>
    <w:p w14:paraId="72B53E1B">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5.3.3</w:t>
      </w:r>
      <w:r>
        <w:rPr>
          <w:rFonts w:hint="eastAsia" w:ascii="宋体" w:hAnsi="宋体" w:eastAsia="宋体" w:cs="宋体"/>
          <w:sz w:val="24"/>
          <w:szCs w:val="24"/>
          <w14:ligatures w14:val="standardContextual"/>
        </w:rPr>
        <w:t>平均接单用时分析</w:t>
      </w:r>
    </w:p>
    <w:p w14:paraId="0D1FEB07">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服务人员平均接单用时分析</w:t>
      </w:r>
    </w:p>
    <w:p w14:paraId="34FBC089">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1）支持按日、按厂家查询。</w:t>
      </w:r>
    </w:p>
    <w:p w14:paraId="3A56C248">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2）支持分析数据导出。</w:t>
      </w:r>
    </w:p>
    <w:p w14:paraId="3CB597AD">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3）采用表格方式展示人员、工单数、平均接单用时、总接单用时。</w:t>
      </w:r>
    </w:p>
    <w:p w14:paraId="455A9A4C">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5.3.4</w:t>
      </w:r>
      <w:r>
        <w:rPr>
          <w:rFonts w:hint="eastAsia" w:ascii="宋体" w:hAnsi="宋体" w:eastAsia="宋体" w:cs="宋体"/>
          <w:sz w:val="24"/>
          <w:szCs w:val="24"/>
          <w14:ligatures w14:val="standardContextual"/>
        </w:rPr>
        <w:t>平均派工用时分析</w:t>
      </w:r>
    </w:p>
    <w:p w14:paraId="75E276FC">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服务人员平均派工用时分析</w:t>
      </w:r>
    </w:p>
    <w:p w14:paraId="4E4572BA">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1）支持按日、按厂家查询。</w:t>
      </w:r>
    </w:p>
    <w:p w14:paraId="0F948E84">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2）支持分析数据导出。</w:t>
      </w:r>
    </w:p>
    <w:p w14:paraId="2F20F314">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3）采用表格方式展示人员、工单数、平均派工用时、总派工用时。</w:t>
      </w:r>
    </w:p>
    <w:p w14:paraId="481C9313">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5.3.5</w:t>
      </w:r>
      <w:r>
        <w:rPr>
          <w:rFonts w:hint="eastAsia" w:ascii="宋体" w:hAnsi="宋体" w:eastAsia="宋体" w:cs="宋体"/>
          <w:sz w:val="24"/>
          <w:szCs w:val="24"/>
          <w14:ligatures w14:val="standardContextual"/>
        </w:rPr>
        <w:t>平均维修用时分析</w:t>
      </w:r>
    </w:p>
    <w:p w14:paraId="1A71B9BF">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服务人员平均维修用时分析</w:t>
      </w:r>
    </w:p>
    <w:p w14:paraId="123A0FD6">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1）支持按日、按厂家查询。</w:t>
      </w:r>
    </w:p>
    <w:p w14:paraId="00BF4322">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2）支持分析数据导出。</w:t>
      </w:r>
    </w:p>
    <w:p w14:paraId="2F1E52D8">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3）采用表格方式展示人员、工单数、平均维修用时、总维修用时。</w:t>
      </w:r>
    </w:p>
    <w:p w14:paraId="0F4E3507">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5.4</w:t>
      </w:r>
      <w:r>
        <w:rPr>
          <w:rFonts w:hint="eastAsia" w:ascii="宋体" w:hAnsi="宋体" w:eastAsia="宋体" w:cs="宋体"/>
          <w:sz w:val="24"/>
          <w:szCs w:val="24"/>
          <w14:ligatures w14:val="standardContextual"/>
        </w:rPr>
        <w:t>设备质量分析</w:t>
      </w:r>
    </w:p>
    <w:p w14:paraId="0B2C614A">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5.4.1</w:t>
      </w:r>
      <w:r>
        <w:rPr>
          <w:rFonts w:hint="eastAsia" w:ascii="宋体" w:hAnsi="宋体" w:eastAsia="宋体" w:cs="宋体"/>
          <w:sz w:val="24"/>
          <w:szCs w:val="24"/>
          <w14:ligatures w14:val="standardContextual"/>
        </w:rPr>
        <w:t>供应商设备类型故障率分析</w:t>
      </w:r>
    </w:p>
    <w:p w14:paraId="7C3E458F">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对各个供应商设备类型故障率统计分析</w:t>
      </w:r>
    </w:p>
    <w:p w14:paraId="71BE8D3E">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1）支持按日查询。</w:t>
      </w:r>
    </w:p>
    <w:p w14:paraId="153E9F7D">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2）支持分析数据导出。</w:t>
      </w:r>
    </w:p>
    <w:p w14:paraId="2F6C408E">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3）采用表格方式统计项目、服务商、设备类型、设备数、工单数、故障率。</w:t>
      </w:r>
    </w:p>
    <w:p w14:paraId="0DB57D73">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5.4.2</w:t>
      </w:r>
      <w:r>
        <w:rPr>
          <w:rFonts w:hint="eastAsia" w:ascii="宋体" w:hAnsi="宋体" w:eastAsia="宋体" w:cs="宋体"/>
          <w:sz w:val="24"/>
          <w:szCs w:val="24"/>
          <w14:ligatures w14:val="standardContextual"/>
        </w:rPr>
        <w:t>设备类型故障现象故障率</w:t>
      </w:r>
    </w:p>
    <w:p w14:paraId="18BF8CD6">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对各个供应商设备易发生故障类型故障率统计分析</w:t>
      </w:r>
    </w:p>
    <w:p w14:paraId="3F28F5FA">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1）支持按日查询。</w:t>
      </w:r>
    </w:p>
    <w:p w14:paraId="4BB89DE5">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2）支持分析数据导出。</w:t>
      </w:r>
    </w:p>
    <w:p w14:paraId="0E036B01">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3）采用表格方式统计项目、设备类型、设备数、故障率。</w:t>
      </w:r>
    </w:p>
    <w:p w14:paraId="0705F5E5">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5.4.3</w:t>
      </w:r>
      <w:r>
        <w:rPr>
          <w:rFonts w:hint="eastAsia" w:ascii="宋体" w:hAnsi="宋体" w:eastAsia="宋体" w:cs="宋体"/>
          <w:sz w:val="24"/>
          <w:szCs w:val="24"/>
          <w14:ligatures w14:val="standardContextual"/>
        </w:rPr>
        <w:t>故障高发点位统计Top10</w:t>
      </w:r>
    </w:p>
    <w:p w14:paraId="57E2936D">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故障高发点位统计Top10统计分析</w:t>
      </w:r>
    </w:p>
    <w:p w14:paraId="117FBA8C">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1）支持近1年、近1月数据统计。</w:t>
      </w:r>
    </w:p>
    <w:p w14:paraId="103FCF60">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2）支持地图热度图方式展示。</w:t>
      </w:r>
    </w:p>
    <w:p w14:paraId="56576D6D">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3）采用列表方式展示点位名称、故障次数，支持切换近1年、近1月。</w:t>
      </w:r>
    </w:p>
    <w:p w14:paraId="0CEB0DA0">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5.4.4</w:t>
      </w:r>
      <w:r>
        <w:rPr>
          <w:rFonts w:hint="eastAsia" w:ascii="宋体" w:hAnsi="宋体" w:eastAsia="宋体" w:cs="宋体"/>
          <w:sz w:val="24"/>
          <w:szCs w:val="24"/>
          <w14:ligatures w14:val="standardContextual"/>
        </w:rPr>
        <w:t>设备类型故障现象故障率分析</w:t>
      </w:r>
    </w:p>
    <w:p w14:paraId="111790CF">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对设备役龄进行提前预警</w:t>
      </w:r>
    </w:p>
    <w:p w14:paraId="52B8E1C6">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1）支持按日查询。</w:t>
      </w:r>
    </w:p>
    <w:p w14:paraId="4AAC8C12">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2）支持分析数据导出。</w:t>
      </w:r>
    </w:p>
    <w:p w14:paraId="5C65DD7B">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3）采用表格方式统计项目、服务商、设备类、故障现象型、设备数、工单数、故障率。</w:t>
      </w:r>
    </w:p>
    <w:p w14:paraId="6782F4DD">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5.4.5</w:t>
      </w:r>
      <w:r>
        <w:rPr>
          <w:rFonts w:hint="eastAsia" w:ascii="宋体" w:hAnsi="宋体" w:eastAsia="宋体" w:cs="宋体"/>
          <w:sz w:val="24"/>
          <w:szCs w:val="24"/>
          <w14:ligatures w14:val="standardContextual"/>
        </w:rPr>
        <w:t>设备故障率趋势分析</w:t>
      </w:r>
    </w:p>
    <w:p w14:paraId="72040A3F">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预警高发点位统计Top10统计分析</w:t>
      </w:r>
    </w:p>
    <w:p w14:paraId="6B3CB13F">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1）支持按月度查询。</w:t>
      </w:r>
    </w:p>
    <w:p w14:paraId="7B0421D4">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2）支持分析数据导出。</w:t>
      </w:r>
    </w:p>
    <w:p w14:paraId="0B0F0EB8">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3）采用折线图方式展示月度故障率趋势。</w:t>
      </w:r>
    </w:p>
    <w:p w14:paraId="08BE4A44">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6、</w:t>
      </w:r>
      <w:r>
        <w:rPr>
          <w:rFonts w:hint="eastAsia" w:ascii="宋体" w:hAnsi="宋体" w:eastAsia="宋体" w:cs="宋体"/>
          <w:sz w:val="24"/>
          <w:szCs w:val="24"/>
          <w14:ligatures w14:val="standardContextual"/>
        </w:rPr>
        <w:t>知识库管理</w:t>
      </w:r>
    </w:p>
    <w:p w14:paraId="76605AD4">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支持维护人员将维护任务过程中有价值的故障维护经验、问题解决方案等根据不同的业务分类、知识分类，提交至知识库，经公司技术管理人员对提交的知识点进行审核通过后，共享给系统所有维护人员参考学习。</w:t>
      </w:r>
    </w:p>
    <w:p w14:paraId="0AA4A7A0">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1）支持知识库多级分类管理。</w:t>
      </w:r>
    </w:p>
    <w:p w14:paraId="6240B61A">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2）支持知识库提报、审批流程。</w:t>
      </w:r>
    </w:p>
    <w:p w14:paraId="69016CDE">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3）知识内容，支持多级目录编辑和展示。</w:t>
      </w:r>
    </w:p>
    <w:p w14:paraId="76ABEF80">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lang w:val="en-GB"/>
          <w14:ligatures w14:val="standardContextual"/>
        </w:rPr>
      </w:pPr>
      <w:r>
        <w:rPr>
          <w:rFonts w:hint="eastAsia" w:ascii="宋体" w:hAnsi="宋体" w:eastAsia="宋体" w:cs="宋体"/>
          <w:sz w:val="24"/>
          <w:szCs w:val="24"/>
          <w:lang w:val="en-GB"/>
          <w14:ligatures w14:val="standardContextual"/>
        </w:rPr>
        <w:t>4）用户可对关注知识进行收藏。</w:t>
      </w:r>
    </w:p>
    <w:p w14:paraId="3F915905">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7、</w:t>
      </w:r>
      <w:r>
        <w:rPr>
          <w:rFonts w:hint="eastAsia" w:ascii="宋体" w:hAnsi="宋体" w:eastAsia="宋体" w:cs="宋体"/>
          <w:sz w:val="24"/>
          <w:szCs w:val="24"/>
          <w14:ligatures w14:val="standardContextual"/>
        </w:rPr>
        <w:t>设备或系统接入</w:t>
      </w:r>
    </w:p>
    <w:p w14:paraId="7DFE908A">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7.1</w:t>
      </w:r>
      <w:r>
        <w:rPr>
          <w:rFonts w:hint="eastAsia" w:ascii="宋体" w:hAnsi="宋体" w:eastAsia="宋体" w:cs="宋体"/>
          <w:sz w:val="24"/>
          <w:szCs w:val="24"/>
          <w14:ligatures w14:val="standardContextual"/>
        </w:rPr>
        <w:t>电子警察接入</w:t>
      </w:r>
    </w:p>
    <w:p w14:paraId="5B6E4BBB">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电子警察接入，支持</w:t>
      </w:r>
      <w:r>
        <w:rPr>
          <w:rFonts w:hint="eastAsia" w:ascii="宋体" w:hAnsi="宋体" w:eastAsia="宋体" w:cs="宋体"/>
          <w:sz w:val="24"/>
          <w:szCs w:val="24"/>
          <w:lang w:eastAsia="zh-CN"/>
          <w14:ligatures w14:val="standardContextual"/>
        </w:rPr>
        <w:t>现有品牌</w:t>
      </w:r>
      <w:r>
        <w:rPr>
          <w:rFonts w:hint="eastAsia" w:ascii="宋体" w:hAnsi="宋体" w:eastAsia="宋体" w:cs="宋体"/>
          <w:sz w:val="24"/>
          <w:szCs w:val="24"/>
          <w14:ligatures w14:val="standardContextual"/>
        </w:rPr>
        <w:t>设备。</w:t>
      </w:r>
    </w:p>
    <w:p w14:paraId="571D5BE4">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1）支持基于ping的批量设备离线检测。</w:t>
      </w:r>
    </w:p>
    <w:p w14:paraId="53A1296D">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2）支持视频取流失败检测。</w:t>
      </w:r>
    </w:p>
    <w:p w14:paraId="327976DE">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3）支持长时间无违法抓拍数据检测。</w:t>
      </w:r>
    </w:p>
    <w:p w14:paraId="0FCD5CBD">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7.2</w:t>
      </w:r>
      <w:r>
        <w:rPr>
          <w:rFonts w:hint="eastAsia" w:ascii="宋体" w:hAnsi="宋体" w:eastAsia="宋体" w:cs="宋体"/>
          <w:sz w:val="24"/>
          <w:szCs w:val="24"/>
          <w14:ligatures w14:val="standardContextual"/>
        </w:rPr>
        <w:t>卡口设备接入</w:t>
      </w:r>
    </w:p>
    <w:p w14:paraId="69A2283C">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卡口设备接入，支持</w:t>
      </w:r>
      <w:r>
        <w:rPr>
          <w:rFonts w:hint="eastAsia" w:ascii="宋体" w:hAnsi="宋体" w:eastAsia="宋体" w:cs="宋体"/>
          <w:sz w:val="24"/>
          <w:szCs w:val="24"/>
          <w:lang w:eastAsia="zh-CN"/>
          <w14:ligatures w14:val="standardContextual"/>
        </w:rPr>
        <w:t>现有品牌</w:t>
      </w:r>
      <w:r>
        <w:rPr>
          <w:rFonts w:hint="eastAsia" w:ascii="宋体" w:hAnsi="宋体" w:eastAsia="宋体" w:cs="宋体"/>
          <w:sz w:val="24"/>
          <w:szCs w:val="24"/>
          <w14:ligatures w14:val="standardContextual"/>
        </w:rPr>
        <w:t>设备。</w:t>
      </w:r>
    </w:p>
    <w:p w14:paraId="15D30476">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1）支持基于ping的批量设备离线检测。</w:t>
      </w:r>
    </w:p>
    <w:p w14:paraId="3CA77F57">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2）支持视频取流失败检测。</w:t>
      </w:r>
    </w:p>
    <w:p w14:paraId="20BC07CE">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3）支持长时间无过车数据检测。</w:t>
      </w:r>
    </w:p>
    <w:p w14:paraId="63A7392F">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lang w:val="en-US" w:eastAsia="zh-CN"/>
          <w14:ligatures w14:val="standardContextual"/>
        </w:rPr>
        <w:t>7.3</w:t>
      </w:r>
      <w:r>
        <w:rPr>
          <w:rFonts w:hint="eastAsia" w:ascii="宋体" w:hAnsi="宋体" w:eastAsia="宋体" w:cs="宋体"/>
          <w:sz w:val="24"/>
          <w:szCs w:val="24"/>
          <w14:ligatures w14:val="standardContextual"/>
        </w:rPr>
        <w:t>视频监控接入</w:t>
      </w:r>
    </w:p>
    <w:p w14:paraId="647DD691">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视频监控设备接入，支持</w:t>
      </w:r>
      <w:r>
        <w:rPr>
          <w:rFonts w:hint="eastAsia" w:ascii="宋体" w:hAnsi="宋体" w:eastAsia="宋体" w:cs="宋体"/>
          <w:sz w:val="24"/>
          <w:szCs w:val="24"/>
          <w:lang w:eastAsia="zh-CN"/>
          <w14:ligatures w14:val="standardContextual"/>
        </w:rPr>
        <w:t>现有品牌</w:t>
      </w:r>
      <w:r>
        <w:rPr>
          <w:rFonts w:hint="eastAsia" w:ascii="宋体" w:hAnsi="宋体" w:eastAsia="宋体" w:cs="宋体"/>
          <w:sz w:val="24"/>
          <w:szCs w:val="24"/>
          <w14:ligatures w14:val="standardContextual"/>
        </w:rPr>
        <w:t>设备。</w:t>
      </w:r>
    </w:p>
    <w:p w14:paraId="0474F9D9">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 w:val="24"/>
          <w:szCs w:val="24"/>
          <w14:ligatures w14:val="standardContextual"/>
        </w:rPr>
      </w:pPr>
      <w:r>
        <w:rPr>
          <w:rFonts w:hint="eastAsia" w:ascii="宋体" w:hAnsi="宋体" w:eastAsia="宋体" w:cs="宋体"/>
          <w:sz w:val="24"/>
          <w:szCs w:val="24"/>
          <w14:ligatures w14:val="standardContextual"/>
        </w:rPr>
        <w:t>1）支持基于ping的批量设备离线检测。</w:t>
      </w:r>
    </w:p>
    <w:p w14:paraId="7F65D87C">
      <w:pPr>
        <w:spacing w:line="480" w:lineRule="exact"/>
        <w:ind w:firstLine="278"/>
        <w:jc w:val="left"/>
        <w:rPr>
          <w:rFonts w:hint="eastAsia" w:ascii="宋体" w:hAnsi="宋体" w:eastAsia="宋体" w:cs="宋体"/>
          <w:sz w:val="24"/>
          <w:szCs w:val="24"/>
          <w:lang w:val="en-US" w:eastAsia="zh-CN"/>
          <w14:ligatures w14:val="standardContextual"/>
        </w:rPr>
      </w:pPr>
      <w:r>
        <w:rPr>
          <w:rFonts w:hint="eastAsia" w:ascii="宋体" w:hAnsi="宋体" w:eastAsia="宋体" w:cs="宋体"/>
          <w:sz w:val="24"/>
          <w:szCs w:val="24"/>
          <w14:ligatures w14:val="standardContextual"/>
        </w:rPr>
        <w:t>2）支持视频取流失败检测。</w:t>
      </w:r>
    </w:p>
    <w:p w14:paraId="1FF1CC44">
      <w:pPr>
        <w:keepNext w:val="0"/>
        <w:keepLines w:val="0"/>
        <w:pageBreakBefore w:val="0"/>
        <w:widowControl w:val="0"/>
        <w:kinsoku/>
        <w:wordWrap/>
        <w:overflowPunct/>
        <w:topLinePunct w:val="0"/>
        <w:autoSpaceDE/>
        <w:autoSpaceDN/>
        <w:bidi w:val="0"/>
        <w:adjustRightInd/>
        <w:snapToGrid/>
        <w:spacing w:before="0" w:line="460" w:lineRule="exact"/>
        <w:ind w:right="0"/>
        <w:textAlignment w:val="auto"/>
        <w:rPr>
          <w:rFonts w:hint="default" w:ascii="宋体" w:hAnsi="宋体" w:eastAsia="宋体" w:cs="宋体"/>
          <w:color w:val="auto"/>
          <w:spacing w:val="9"/>
          <w:sz w:val="24"/>
          <w:szCs w:val="21"/>
          <w:lang w:val="en-US" w:eastAsia="zh-CN"/>
        </w:rPr>
      </w:pPr>
    </w:p>
    <w:p w14:paraId="75F96FEB">
      <w:pPr>
        <w:keepNext w:val="0"/>
        <w:keepLines w:val="0"/>
        <w:pageBreakBefore w:val="0"/>
        <w:widowControl w:val="0"/>
        <w:kinsoku/>
        <w:wordWrap/>
        <w:overflowPunct/>
        <w:topLinePunct w:val="0"/>
        <w:autoSpaceDE/>
        <w:autoSpaceDN/>
        <w:bidi w:val="0"/>
        <w:adjustRightInd/>
        <w:snapToGrid/>
        <w:spacing w:before="0" w:line="460" w:lineRule="exact"/>
        <w:ind w:right="0"/>
        <w:textAlignment w:val="auto"/>
        <w:rPr>
          <w:rFonts w:hint="eastAsia" w:ascii="宋体" w:hAnsi="宋体" w:eastAsia="宋体" w:cs="宋体"/>
          <w:color w:val="auto"/>
          <w:spacing w:val="9"/>
          <w:sz w:val="24"/>
          <w:szCs w:val="21"/>
          <w:lang w:val="en-US" w:eastAsia="zh-CN"/>
        </w:rPr>
      </w:pPr>
      <w:r>
        <w:rPr>
          <w:rFonts w:hint="eastAsia" w:ascii="宋体" w:hAnsi="宋体" w:eastAsia="宋体" w:cs="宋体"/>
          <w:color w:val="auto"/>
          <w:spacing w:val="9"/>
          <w:sz w:val="24"/>
          <w:szCs w:val="21"/>
          <w:lang w:val="en-US" w:eastAsia="zh-CN"/>
        </w:rPr>
        <w:t>9标段：</w:t>
      </w:r>
    </w:p>
    <w:p w14:paraId="1EE94C9C">
      <w:pPr>
        <w:adjustRightInd w:val="0"/>
        <w:snapToGrid w:val="0"/>
        <w:spacing w:line="460" w:lineRule="exact"/>
        <w:ind w:firstLine="482" w:firstLineChars="200"/>
        <w:jc w:val="left"/>
        <w:rPr>
          <w:rFonts w:hint="eastAsia" w:ascii="宋体" w:hAnsi="宋体" w:eastAsia="宋体" w:cs="宋体"/>
          <w:b/>
          <w:sz w:val="24"/>
          <w:szCs w:val="24"/>
          <w:highlight w:val="none"/>
          <w:lang w:val="zh-CN" w:bidi="zh-CN"/>
        </w:rPr>
      </w:pPr>
      <w:r>
        <w:rPr>
          <w:rFonts w:hint="eastAsia" w:ascii="宋体" w:hAnsi="宋体" w:eastAsia="宋体" w:cs="宋体"/>
          <w:b/>
          <w:sz w:val="24"/>
          <w:szCs w:val="24"/>
          <w:highlight w:val="none"/>
          <w:lang w:val="zh-CN" w:bidi="zh-CN"/>
        </w:rPr>
        <w:t>一、项目概况</w:t>
      </w:r>
    </w:p>
    <w:p w14:paraId="754FF7FC">
      <w:pPr>
        <w:widowControl/>
        <w:adjustRightInd w:val="0"/>
        <w:snapToGrid w:val="0"/>
        <w:spacing w:line="460" w:lineRule="exact"/>
        <w:ind w:firstLine="480" w:firstLineChars="200"/>
        <w:jc w:val="left"/>
        <w:rPr>
          <w:rFonts w:hint="eastAsia" w:ascii="宋体" w:hAnsi="宋体" w:eastAsia="宋体" w:cs="宋体"/>
          <w:color w:val="000000"/>
          <w:kern w:val="0"/>
          <w:sz w:val="24"/>
          <w:szCs w:val="24"/>
          <w:highlight w:val="none"/>
          <w:lang w:bidi="en-US"/>
        </w:rPr>
      </w:pPr>
      <w:r>
        <w:rPr>
          <w:rFonts w:hint="eastAsia" w:ascii="宋体" w:hAnsi="宋体" w:eastAsia="宋体" w:cs="宋体"/>
          <w:color w:val="000000"/>
          <w:kern w:val="0"/>
          <w:sz w:val="24"/>
          <w:szCs w:val="24"/>
          <w:highlight w:val="none"/>
          <w:lang w:bidi="en-US"/>
        </w:rPr>
        <w:t>为保证西安市公安局交通警察支队2024-2025主城区交通信号灯及交通技术监控统一维护购买服务项目高质量、高标准、按计划实施，提高项目监管专业化水平，在项目实施过程中引入独立的第三方监理机构，在采购人委托范围内对项目的质量、进度、变更、安全、档案等方面进行监督管理。</w:t>
      </w:r>
    </w:p>
    <w:p w14:paraId="032662CA">
      <w:pPr>
        <w:widowControl/>
        <w:adjustRightInd w:val="0"/>
        <w:snapToGrid w:val="0"/>
        <w:spacing w:line="460" w:lineRule="exact"/>
        <w:ind w:firstLine="482" w:firstLineChars="200"/>
        <w:jc w:val="left"/>
        <w:rPr>
          <w:rFonts w:hint="eastAsia" w:ascii="宋体" w:hAnsi="宋体" w:eastAsia="宋体" w:cs="宋体"/>
          <w:b/>
          <w:color w:val="FF0000"/>
          <w:kern w:val="0"/>
          <w:sz w:val="24"/>
          <w:szCs w:val="24"/>
          <w:highlight w:val="none"/>
          <w:lang w:bidi="en-US"/>
        </w:rPr>
      </w:pPr>
      <w:r>
        <w:rPr>
          <w:rFonts w:hint="eastAsia" w:ascii="宋体" w:hAnsi="宋体" w:eastAsia="宋体" w:cs="宋体"/>
          <w:b/>
          <w:color w:val="000000"/>
          <w:kern w:val="0"/>
          <w:sz w:val="24"/>
          <w:szCs w:val="24"/>
          <w:highlight w:val="none"/>
          <w:lang w:bidi="en-US"/>
        </w:rPr>
        <w:t>二、服务内容（包括工作区域、工作内容等）</w:t>
      </w:r>
    </w:p>
    <w:p w14:paraId="0A60AB02">
      <w:pPr>
        <w:adjustRightInd w:val="0"/>
        <w:snapToGrid w:val="0"/>
        <w:spacing w:line="460" w:lineRule="exact"/>
        <w:ind w:firstLine="361" w:firstLineChars="150"/>
        <w:jc w:val="left"/>
        <w:rPr>
          <w:rFonts w:hint="eastAsia" w:ascii="宋体" w:hAnsi="宋体" w:eastAsia="宋体" w:cs="宋体"/>
          <w:color w:val="000000"/>
          <w:kern w:val="0"/>
          <w:sz w:val="24"/>
          <w:szCs w:val="24"/>
          <w:highlight w:val="none"/>
          <w:lang w:bidi="en-US"/>
        </w:rPr>
      </w:pPr>
      <w:r>
        <w:rPr>
          <w:rFonts w:hint="eastAsia" w:ascii="宋体" w:hAnsi="宋体" w:eastAsia="宋体" w:cs="宋体"/>
          <w:b/>
          <w:color w:val="000000"/>
          <w:kern w:val="0"/>
          <w:sz w:val="24"/>
          <w:szCs w:val="24"/>
          <w:highlight w:val="none"/>
          <w:lang w:bidi="en-US"/>
        </w:rPr>
        <w:t>（一）监理范围：</w:t>
      </w:r>
      <w:r>
        <w:rPr>
          <w:rFonts w:hint="eastAsia" w:ascii="宋体" w:hAnsi="宋体" w:eastAsia="宋体" w:cs="宋体"/>
          <w:color w:val="000000"/>
          <w:kern w:val="0"/>
          <w:sz w:val="24"/>
          <w:szCs w:val="24"/>
          <w:highlight w:val="none"/>
          <w:lang w:bidi="en-US"/>
        </w:rPr>
        <w:t>项目建设实施阶段和验收阶段监理，合同签订、软硬件安装调试、测试运行、验收的现场监理服务，对委托范围内所有项目的管理和监理工作进行监管。</w:t>
      </w:r>
    </w:p>
    <w:p w14:paraId="5A16F3FC">
      <w:pPr>
        <w:adjustRightInd w:val="0"/>
        <w:snapToGrid w:val="0"/>
        <w:spacing w:line="460" w:lineRule="exact"/>
        <w:ind w:firstLine="482" w:firstLineChars="200"/>
        <w:jc w:val="left"/>
        <w:rPr>
          <w:rFonts w:hint="eastAsia" w:ascii="宋体" w:hAnsi="宋体" w:eastAsia="宋体" w:cs="宋体"/>
          <w:b/>
          <w:color w:val="000000"/>
          <w:kern w:val="0"/>
          <w:sz w:val="24"/>
          <w:szCs w:val="24"/>
          <w:highlight w:val="none"/>
          <w:lang w:bidi="en-US"/>
        </w:rPr>
      </w:pPr>
      <w:r>
        <w:rPr>
          <w:rFonts w:hint="eastAsia" w:ascii="宋体" w:hAnsi="宋体" w:eastAsia="宋体" w:cs="宋体"/>
          <w:b/>
          <w:color w:val="000000"/>
          <w:kern w:val="0"/>
          <w:sz w:val="24"/>
          <w:szCs w:val="24"/>
          <w:highlight w:val="none"/>
          <w:lang w:bidi="en-US"/>
        </w:rPr>
        <w:t>（二）服务内容：</w:t>
      </w:r>
    </w:p>
    <w:p w14:paraId="3A651040">
      <w:pPr>
        <w:widowControl/>
        <w:adjustRightInd w:val="0"/>
        <w:snapToGrid w:val="0"/>
        <w:spacing w:line="460" w:lineRule="exact"/>
        <w:ind w:firstLine="482" w:firstLineChars="200"/>
        <w:jc w:val="left"/>
        <w:rPr>
          <w:rFonts w:hint="eastAsia" w:ascii="宋体" w:hAnsi="宋体" w:eastAsia="宋体" w:cs="宋体"/>
          <w:color w:val="FF0000"/>
          <w:kern w:val="0"/>
          <w:sz w:val="24"/>
          <w:szCs w:val="24"/>
          <w:highlight w:val="none"/>
          <w:lang w:bidi="en-US"/>
        </w:rPr>
      </w:pPr>
      <w:r>
        <w:rPr>
          <w:rFonts w:hint="eastAsia" w:ascii="宋体" w:hAnsi="宋体" w:eastAsia="宋体" w:cs="宋体"/>
          <w:b/>
          <w:color w:val="333333"/>
          <w:kern w:val="0"/>
          <w:sz w:val="24"/>
          <w:szCs w:val="24"/>
          <w:highlight w:val="none"/>
          <w:lang w:bidi="en-US"/>
        </w:rPr>
        <w:t>监理服务项目：</w:t>
      </w:r>
      <w:r>
        <w:rPr>
          <w:rFonts w:hint="eastAsia" w:ascii="宋体" w:hAnsi="宋体" w:eastAsia="宋体" w:cs="宋体"/>
          <w:color w:val="000000"/>
          <w:kern w:val="0"/>
          <w:sz w:val="24"/>
          <w:szCs w:val="24"/>
          <w:highlight w:val="none"/>
          <w:lang w:bidi="en-US"/>
        </w:rPr>
        <w:t>2024-2025主城区交通信号灯及交通技术监控统一维护购买服务项目</w:t>
      </w:r>
    </w:p>
    <w:p w14:paraId="205B0C43">
      <w:pPr>
        <w:widowControl/>
        <w:adjustRightInd w:val="0"/>
        <w:snapToGrid w:val="0"/>
        <w:spacing w:line="460" w:lineRule="exact"/>
        <w:ind w:firstLine="482" w:firstLineChars="200"/>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监理服务工作包含但不限于以下内容：</w:t>
      </w:r>
      <w:r>
        <w:rPr>
          <w:rFonts w:hint="eastAsia" w:ascii="宋体" w:hAnsi="宋体" w:eastAsia="宋体" w:cs="宋体"/>
          <w:sz w:val="24"/>
          <w:szCs w:val="24"/>
          <w:highlight w:val="none"/>
        </w:rPr>
        <w:t>项目整体设计、组织及实施方案的总体把关，工程质量控制，工程进度控制，工程投资的控制，工程变更控制，项目合同管理，项目文档管理，项目安全管理，项目知识产权管理，项目保密管理，项目组织协调，项目文明施工与安全生产管理等。监理方必须按照采购方要求安排监理人员现场办公做好本项目监管工作，协助采购方完成本项目任务提供管理和技术咨询。</w:t>
      </w:r>
    </w:p>
    <w:p w14:paraId="65C3D059">
      <w:pPr>
        <w:widowControl/>
        <w:adjustRightInd w:val="0"/>
        <w:snapToGrid w:val="0"/>
        <w:spacing w:line="460" w:lineRule="exact"/>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监理服务具体内容：</w:t>
      </w:r>
    </w:p>
    <w:p w14:paraId="47F73872">
      <w:pPr>
        <w:widowControl/>
        <w:adjustRightInd w:val="0"/>
        <w:snapToGrid w:val="0"/>
        <w:spacing w:line="4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1、项目整体设计，组织及实施方案的总体把关。</w:t>
      </w:r>
    </w:p>
    <w:p w14:paraId="7933BA2E">
      <w:pPr>
        <w:adjustRightInd w:val="0"/>
        <w:snapToGrid w:val="0"/>
        <w:spacing w:line="460" w:lineRule="exact"/>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（1）审核和确认承建单位的实施人员组织和实施计划安排；</w:t>
      </w:r>
    </w:p>
    <w:p w14:paraId="71659A73">
      <w:pPr>
        <w:adjustRightInd w:val="0"/>
        <w:snapToGrid w:val="0"/>
        <w:spacing w:line="460" w:lineRule="exact"/>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（2）协助业主审核和确认项目实施方案的可行性和安全性；</w:t>
      </w:r>
    </w:p>
    <w:p w14:paraId="6B00E026">
      <w:pPr>
        <w:adjustRightInd w:val="0"/>
        <w:snapToGrid w:val="0"/>
        <w:spacing w:line="460" w:lineRule="exact"/>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（3）审核和确认承建单位的质量保证计划；</w:t>
      </w:r>
    </w:p>
    <w:p w14:paraId="1B191BBA">
      <w:pPr>
        <w:adjustRightInd w:val="0"/>
        <w:snapToGrid w:val="0"/>
        <w:spacing w:line="460" w:lineRule="exact"/>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（4）审核和确认承建单位的进度计划。</w:t>
      </w:r>
    </w:p>
    <w:p w14:paraId="1071980B">
      <w:pPr>
        <w:adjustRightInd w:val="0"/>
        <w:snapToGrid w:val="0"/>
        <w:spacing w:line="4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2、质量控制，按合同的要求对项目的质量进行严格把关。</w:t>
      </w:r>
    </w:p>
    <w:p w14:paraId="44EE9FF8">
      <w:pPr>
        <w:adjustRightInd w:val="0"/>
        <w:snapToGrid w:val="0"/>
        <w:spacing w:line="460" w:lineRule="exact"/>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（1）深化设计的质量控制；</w:t>
      </w:r>
    </w:p>
    <w:p w14:paraId="76D88D95">
      <w:pPr>
        <w:adjustRightInd w:val="0"/>
        <w:snapToGrid w:val="0"/>
        <w:spacing w:line="460" w:lineRule="exact"/>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（2）工程实施的质量控制；</w:t>
      </w:r>
    </w:p>
    <w:p w14:paraId="0CD399C4">
      <w:pPr>
        <w:adjustRightInd w:val="0"/>
        <w:snapToGrid w:val="0"/>
        <w:spacing w:line="460" w:lineRule="exact"/>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（3）技术培训的质量控制。</w:t>
      </w:r>
    </w:p>
    <w:p w14:paraId="375DE637">
      <w:pPr>
        <w:adjustRightInd w:val="0"/>
        <w:snapToGrid w:val="0"/>
        <w:spacing w:line="4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3、进度控制，按合同的要求对项目的进度进行严格把关。</w:t>
      </w:r>
    </w:p>
    <w:p w14:paraId="7FC30490">
      <w:pPr>
        <w:adjustRightInd w:val="0"/>
        <w:snapToGrid w:val="0"/>
        <w:spacing w:line="460" w:lineRule="exact"/>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（1）审核承建商的进度分解计划，确认分解计划可以保证总体计划目标；</w:t>
      </w:r>
    </w:p>
    <w:p w14:paraId="5716903A">
      <w:pPr>
        <w:adjustRightInd w:val="0"/>
        <w:snapToGrid w:val="0"/>
        <w:spacing w:line="460" w:lineRule="exact"/>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（2）对工程实施进度进行实时跟踪，并要求承建商对进度计划进行动态调整，以确保工程的阶段和总体进度目标的实现；</w:t>
      </w:r>
    </w:p>
    <w:p w14:paraId="1F489E54">
      <w:pPr>
        <w:adjustRightInd w:val="0"/>
        <w:snapToGrid w:val="0"/>
        <w:spacing w:line="460" w:lineRule="exact"/>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（3）每周组织召开进度协调会议，解决进度控制中的重大问题，签发会议纪要；</w:t>
      </w:r>
    </w:p>
    <w:p w14:paraId="43FCA4F5">
      <w:pPr>
        <w:adjustRightInd w:val="0"/>
        <w:snapToGrid w:val="0"/>
        <w:spacing w:line="460" w:lineRule="exact"/>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（4）当工期严重偏离计划时，应及时指出，并提出对策建议，同时督促承建商尽快采取措施。</w:t>
      </w:r>
    </w:p>
    <w:p w14:paraId="64541C72">
      <w:pPr>
        <w:adjustRightInd w:val="0"/>
        <w:snapToGrid w:val="0"/>
        <w:spacing w:line="460" w:lineRule="exact"/>
        <w:ind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4、项目投资的控制，按合同的要求对项目的成本进行严格把关。</w:t>
      </w:r>
    </w:p>
    <w:p w14:paraId="6A7EA5A7">
      <w:pPr>
        <w:adjustRightInd w:val="0"/>
        <w:snapToGrid w:val="0"/>
        <w:spacing w:line="460" w:lineRule="exact"/>
        <w:ind w:firstLine="240" w:firstLineChars="1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（1）通过对工程实施方案的优化，确保投资控制在合理、性价比高的范围内；</w:t>
      </w:r>
    </w:p>
    <w:p w14:paraId="51E55232">
      <w:pPr>
        <w:adjustRightInd w:val="0"/>
        <w:snapToGrid w:val="0"/>
        <w:spacing w:line="4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（2）及时向采购方提供项目质量和工程进度审核结果，以使付款进度能够与工程质量和工程进度结合起来。</w:t>
      </w:r>
    </w:p>
    <w:p w14:paraId="7E80BFBD">
      <w:pPr>
        <w:adjustRightInd w:val="0"/>
        <w:snapToGrid w:val="0"/>
        <w:spacing w:line="460" w:lineRule="exact"/>
        <w:ind w:firstLine="600" w:firstLineChars="25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5、工程变更控制。</w:t>
      </w:r>
    </w:p>
    <w:p w14:paraId="649EA421">
      <w:pPr>
        <w:adjustRightInd w:val="0"/>
        <w:snapToGrid w:val="0"/>
        <w:spacing w:line="460" w:lineRule="exact"/>
        <w:ind w:firstLine="600" w:firstLineChars="25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监理投标人负责协助采购方开展变更控制工作，包括但不限于以下工作：</w:t>
      </w:r>
    </w:p>
    <w:p w14:paraId="38C25781">
      <w:pPr>
        <w:adjustRightInd w:val="0"/>
        <w:snapToGrid w:val="0"/>
        <w:spacing w:line="460" w:lineRule="exact"/>
        <w:ind w:firstLine="360" w:firstLineChars="15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（1）对每个项目合同建立变更控制机制，对项目计划、流程、预算、进度、可交付成果等变更申请进行评估；</w:t>
      </w:r>
    </w:p>
    <w:p w14:paraId="10F89F63">
      <w:pPr>
        <w:adjustRightInd w:val="0"/>
        <w:snapToGrid w:val="0"/>
        <w:spacing w:line="460" w:lineRule="exact"/>
        <w:ind w:firstLine="360" w:firstLineChars="15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（2）对变更风险以及变更效果评估，通过对项目计划、费用、效益、质量和进度的影响，审核变更方案，提出监理意见；</w:t>
      </w:r>
    </w:p>
    <w:p w14:paraId="0D8C623A">
      <w:pPr>
        <w:adjustRightInd w:val="0"/>
        <w:snapToGrid w:val="0"/>
        <w:spacing w:line="460" w:lineRule="exact"/>
        <w:ind w:firstLine="360" w:firstLineChars="15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（3）协助采购方妥善保管有关的变更记录。</w:t>
      </w:r>
    </w:p>
    <w:p w14:paraId="7DD47208">
      <w:pPr>
        <w:adjustRightInd w:val="0"/>
        <w:snapToGrid w:val="0"/>
        <w:spacing w:line="460" w:lineRule="exact"/>
        <w:ind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6、合同管理。</w:t>
      </w:r>
    </w:p>
    <w:p w14:paraId="49F61D9D">
      <w:pPr>
        <w:adjustRightInd w:val="0"/>
        <w:snapToGrid w:val="0"/>
        <w:spacing w:line="460" w:lineRule="exact"/>
        <w:ind w:firstLine="360" w:firstLineChars="15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（1）以合同为依据，本着“实事求是、公正”的原则，处理合同执行过程中的各种争议；</w:t>
      </w:r>
    </w:p>
    <w:p w14:paraId="0E2582E6">
      <w:pPr>
        <w:adjustRightInd w:val="0"/>
        <w:snapToGrid w:val="0"/>
        <w:spacing w:line="460" w:lineRule="exact"/>
        <w:ind w:firstLine="360" w:firstLineChars="15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（2）分析、跟踪和检查合同执行情况，确保按时履约；</w:t>
      </w:r>
    </w:p>
    <w:p w14:paraId="0C93CA19">
      <w:pPr>
        <w:adjustRightInd w:val="0"/>
        <w:snapToGrid w:val="0"/>
        <w:spacing w:line="460" w:lineRule="exact"/>
        <w:ind w:firstLine="360" w:firstLineChars="15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（3）对合同的工期的延误和延期进行审核确认；</w:t>
      </w:r>
    </w:p>
    <w:p w14:paraId="74027EB5">
      <w:pPr>
        <w:adjustRightInd w:val="0"/>
        <w:snapToGrid w:val="0"/>
        <w:spacing w:line="460" w:lineRule="exact"/>
        <w:ind w:firstLine="360" w:firstLineChars="15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（4）对合同变更、索赔、违约等事宜进行审核确认；</w:t>
      </w:r>
    </w:p>
    <w:p w14:paraId="4413BF24">
      <w:pPr>
        <w:adjustRightInd w:val="0"/>
        <w:snapToGrid w:val="0"/>
        <w:spacing w:line="460" w:lineRule="exact"/>
        <w:ind w:firstLine="360" w:firstLineChars="15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（5）根据合同约定，审核项目承建单位的支付申请；</w:t>
      </w:r>
    </w:p>
    <w:p w14:paraId="16ADA0B9">
      <w:pPr>
        <w:adjustRightInd w:val="0"/>
        <w:snapToGrid w:val="0"/>
        <w:spacing w:line="460" w:lineRule="exact"/>
        <w:ind w:firstLine="360" w:firstLineChars="15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（6）建立合同目录、编码和档案。</w:t>
      </w:r>
    </w:p>
    <w:p w14:paraId="0FFA6052">
      <w:pPr>
        <w:adjustRightInd w:val="0"/>
        <w:snapToGrid w:val="0"/>
        <w:spacing w:line="460" w:lineRule="exact"/>
        <w:ind w:firstLine="600" w:firstLineChars="250"/>
        <w:jc w:val="left"/>
        <w:rPr>
          <w:rFonts w:hint="eastAsia" w:ascii="宋体" w:hAnsi="宋体" w:eastAsia="宋体" w:cs="宋体"/>
          <w:color w:val="000000"/>
          <w:kern w:val="0"/>
          <w:sz w:val="24"/>
          <w:szCs w:val="24"/>
          <w:highlight w:val="none"/>
          <w:lang w:bidi="en-US"/>
        </w:rPr>
      </w:pPr>
      <w:r>
        <w:rPr>
          <w:rFonts w:hint="eastAsia" w:ascii="宋体" w:hAnsi="宋体" w:eastAsia="宋体" w:cs="宋体"/>
          <w:color w:val="000000"/>
          <w:kern w:val="0"/>
          <w:sz w:val="24"/>
          <w:szCs w:val="24"/>
          <w:highlight w:val="none"/>
          <w:lang w:bidi="en-US"/>
        </w:rPr>
        <w:t>7、项目信息管理。</w:t>
      </w:r>
    </w:p>
    <w:p w14:paraId="44A0E0A2">
      <w:pPr>
        <w:adjustRightInd w:val="0"/>
        <w:snapToGrid w:val="0"/>
        <w:spacing w:line="460" w:lineRule="exact"/>
        <w:ind w:firstLine="360" w:firstLineChars="150"/>
        <w:jc w:val="left"/>
        <w:rPr>
          <w:rFonts w:hint="eastAsia" w:ascii="宋体" w:hAnsi="宋体" w:eastAsia="宋体" w:cs="宋体"/>
          <w:color w:val="000000"/>
          <w:kern w:val="0"/>
          <w:sz w:val="24"/>
          <w:szCs w:val="24"/>
          <w:highlight w:val="none"/>
          <w:lang w:bidi="en-US"/>
        </w:rPr>
      </w:pPr>
      <w:r>
        <w:rPr>
          <w:rFonts w:hint="eastAsia" w:ascii="宋体" w:hAnsi="宋体" w:eastAsia="宋体" w:cs="宋体"/>
          <w:color w:val="000000"/>
          <w:sz w:val="24"/>
          <w:szCs w:val="24"/>
          <w:highlight w:val="none"/>
          <w:lang w:bidi="en-US"/>
        </w:rPr>
        <w:t>（1）</w:t>
      </w:r>
      <w:r>
        <w:rPr>
          <w:rFonts w:hint="eastAsia" w:ascii="宋体" w:hAnsi="宋体" w:eastAsia="宋体" w:cs="宋体"/>
          <w:color w:val="000000"/>
          <w:kern w:val="0"/>
          <w:sz w:val="24"/>
          <w:szCs w:val="24"/>
          <w:highlight w:val="none"/>
          <w:lang w:bidi="en-US"/>
        </w:rPr>
        <w:t>使用项目管理系统对项目进度进行监管，并及时向承建单位提交反映项目动态和监理工作情况的项目文档；</w:t>
      </w:r>
    </w:p>
    <w:p w14:paraId="06A58A8D">
      <w:pPr>
        <w:adjustRightInd w:val="0"/>
        <w:snapToGrid w:val="0"/>
        <w:spacing w:line="460" w:lineRule="exact"/>
        <w:ind w:firstLine="360" w:firstLineChars="150"/>
        <w:jc w:val="left"/>
        <w:rPr>
          <w:rFonts w:hint="eastAsia" w:ascii="宋体" w:hAnsi="宋体" w:eastAsia="宋体" w:cs="宋体"/>
          <w:color w:val="000000"/>
          <w:kern w:val="0"/>
          <w:sz w:val="24"/>
          <w:szCs w:val="24"/>
          <w:highlight w:val="none"/>
          <w:lang w:bidi="en-US"/>
        </w:rPr>
      </w:pPr>
      <w:r>
        <w:rPr>
          <w:rFonts w:hint="eastAsia" w:ascii="宋体" w:hAnsi="宋体" w:eastAsia="宋体" w:cs="宋体"/>
          <w:color w:val="000000"/>
          <w:sz w:val="24"/>
          <w:szCs w:val="24"/>
          <w:highlight w:val="none"/>
          <w:lang w:bidi="en-US"/>
        </w:rPr>
        <w:t>（2）</w:t>
      </w:r>
      <w:r>
        <w:rPr>
          <w:rFonts w:hint="eastAsia" w:ascii="宋体" w:hAnsi="宋体" w:eastAsia="宋体" w:cs="宋体"/>
          <w:color w:val="000000"/>
          <w:kern w:val="0"/>
          <w:sz w:val="24"/>
          <w:szCs w:val="24"/>
          <w:highlight w:val="none"/>
          <w:lang w:bidi="en-US"/>
        </w:rPr>
        <w:t>由专人负责建设信息的收集、分类、整理储存及传递工作。信息传递以文字为主，统一编号，为系统建设提供及时有用的信息和决策依据；</w:t>
      </w:r>
    </w:p>
    <w:p w14:paraId="4186BC45">
      <w:pPr>
        <w:adjustRightInd w:val="0"/>
        <w:snapToGrid w:val="0"/>
        <w:spacing w:line="460" w:lineRule="exact"/>
        <w:ind w:firstLine="360" w:firstLineChars="150"/>
        <w:jc w:val="left"/>
        <w:rPr>
          <w:rFonts w:hint="eastAsia" w:ascii="宋体" w:hAnsi="宋体" w:eastAsia="宋体" w:cs="宋体"/>
          <w:color w:val="000000"/>
          <w:kern w:val="0"/>
          <w:sz w:val="24"/>
          <w:szCs w:val="24"/>
          <w:highlight w:val="none"/>
          <w:lang w:bidi="en-US"/>
        </w:rPr>
      </w:pPr>
      <w:r>
        <w:rPr>
          <w:rFonts w:hint="eastAsia" w:ascii="宋体" w:hAnsi="宋体" w:eastAsia="宋体" w:cs="宋体"/>
          <w:color w:val="000000"/>
          <w:sz w:val="24"/>
          <w:szCs w:val="24"/>
          <w:highlight w:val="none"/>
          <w:lang w:bidi="en-US"/>
        </w:rPr>
        <w:t>（3）</w:t>
      </w:r>
      <w:r>
        <w:rPr>
          <w:rFonts w:hint="eastAsia" w:ascii="宋体" w:hAnsi="宋体" w:eastAsia="宋体" w:cs="宋体"/>
          <w:color w:val="000000"/>
          <w:kern w:val="0"/>
          <w:sz w:val="24"/>
          <w:szCs w:val="24"/>
          <w:highlight w:val="none"/>
          <w:lang w:bidi="en-US"/>
        </w:rPr>
        <w:t>建立全面、准确反映项目各阶段工程状况的图表、文档，收集、管理项目各类档和资料；</w:t>
      </w:r>
    </w:p>
    <w:p w14:paraId="7B5C31A7">
      <w:pPr>
        <w:adjustRightInd w:val="0"/>
        <w:snapToGrid w:val="0"/>
        <w:spacing w:line="460" w:lineRule="exact"/>
        <w:ind w:firstLine="360" w:firstLineChars="150"/>
        <w:jc w:val="left"/>
        <w:rPr>
          <w:rFonts w:hint="eastAsia" w:ascii="宋体" w:hAnsi="宋体" w:eastAsia="宋体" w:cs="宋体"/>
          <w:color w:val="000000"/>
          <w:kern w:val="0"/>
          <w:sz w:val="24"/>
          <w:szCs w:val="24"/>
          <w:highlight w:val="none"/>
          <w:lang w:bidi="en-US"/>
        </w:rPr>
      </w:pPr>
      <w:r>
        <w:rPr>
          <w:rFonts w:hint="eastAsia" w:ascii="宋体" w:hAnsi="宋体" w:eastAsia="宋体" w:cs="宋体"/>
          <w:color w:val="000000"/>
          <w:sz w:val="24"/>
          <w:szCs w:val="24"/>
          <w:highlight w:val="none"/>
          <w:lang w:bidi="en-US"/>
        </w:rPr>
        <w:t>（4）</w:t>
      </w:r>
      <w:r>
        <w:rPr>
          <w:rFonts w:hint="eastAsia" w:ascii="宋体" w:hAnsi="宋体" w:eastAsia="宋体" w:cs="宋体"/>
          <w:color w:val="000000"/>
          <w:kern w:val="0"/>
          <w:sz w:val="24"/>
          <w:szCs w:val="24"/>
          <w:highlight w:val="none"/>
          <w:lang w:bidi="en-US"/>
        </w:rPr>
        <w:t>在项目实施过程中做好工程监理日记和工程大事记，按时提交监理工作周报、月报、监理意见书；</w:t>
      </w:r>
    </w:p>
    <w:p w14:paraId="2C76B800">
      <w:pPr>
        <w:adjustRightInd w:val="0"/>
        <w:snapToGrid w:val="0"/>
        <w:spacing w:line="460" w:lineRule="exact"/>
        <w:ind w:firstLine="360" w:firstLineChars="150"/>
        <w:jc w:val="left"/>
        <w:rPr>
          <w:rFonts w:hint="eastAsia" w:ascii="宋体" w:hAnsi="宋体" w:eastAsia="宋体" w:cs="宋体"/>
          <w:color w:val="000000"/>
          <w:kern w:val="0"/>
          <w:sz w:val="24"/>
          <w:szCs w:val="24"/>
          <w:highlight w:val="none"/>
          <w:lang w:bidi="en-US"/>
        </w:rPr>
      </w:pPr>
      <w:r>
        <w:rPr>
          <w:rFonts w:hint="eastAsia" w:ascii="宋体" w:hAnsi="宋体" w:eastAsia="宋体" w:cs="宋体"/>
          <w:color w:val="000000"/>
          <w:kern w:val="0"/>
          <w:sz w:val="24"/>
          <w:szCs w:val="24"/>
          <w:highlight w:val="none"/>
          <w:lang w:bidi="en-US"/>
        </w:rPr>
        <w:t>（5）建立必要的会议、例会制度，整理好会议纪要，并监督会议有关事项的执行情况；</w:t>
      </w:r>
    </w:p>
    <w:p w14:paraId="210D2FB0">
      <w:pPr>
        <w:adjustRightInd w:val="0"/>
        <w:snapToGrid w:val="0"/>
        <w:spacing w:line="460" w:lineRule="exact"/>
        <w:ind w:firstLine="360" w:firstLineChars="150"/>
        <w:jc w:val="left"/>
        <w:rPr>
          <w:rFonts w:hint="eastAsia" w:ascii="宋体" w:hAnsi="宋体" w:eastAsia="宋体" w:cs="宋体"/>
          <w:color w:val="000000"/>
          <w:kern w:val="0"/>
          <w:sz w:val="24"/>
          <w:szCs w:val="24"/>
          <w:highlight w:val="none"/>
          <w:lang w:bidi="en-US"/>
        </w:rPr>
      </w:pPr>
      <w:r>
        <w:rPr>
          <w:rFonts w:hint="eastAsia" w:ascii="宋体" w:hAnsi="宋体" w:eastAsia="宋体" w:cs="宋体"/>
          <w:color w:val="000000"/>
          <w:kern w:val="0"/>
          <w:sz w:val="24"/>
          <w:szCs w:val="24"/>
          <w:highlight w:val="none"/>
          <w:lang w:bidi="en-US"/>
        </w:rPr>
        <w:t>（6）督促、检查承建单位及时完成各阶段设备资料、工程技术资料的整理和归档工作；</w:t>
      </w:r>
    </w:p>
    <w:p w14:paraId="5D8E740E">
      <w:pPr>
        <w:adjustRightInd w:val="0"/>
        <w:snapToGrid w:val="0"/>
        <w:spacing w:line="460" w:lineRule="exact"/>
        <w:ind w:firstLine="360" w:firstLineChars="150"/>
        <w:jc w:val="left"/>
        <w:rPr>
          <w:rFonts w:hint="eastAsia" w:ascii="宋体" w:hAnsi="宋体" w:eastAsia="宋体" w:cs="宋体"/>
          <w:color w:val="000000"/>
          <w:kern w:val="0"/>
          <w:sz w:val="24"/>
          <w:szCs w:val="24"/>
          <w:highlight w:val="none"/>
          <w:lang w:bidi="en-US"/>
        </w:rPr>
      </w:pPr>
      <w:r>
        <w:rPr>
          <w:rFonts w:hint="eastAsia" w:ascii="宋体" w:hAnsi="宋体" w:eastAsia="宋体" w:cs="宋体"/>
          <w:color w:val="000000"/>
          <w:kern w:val="0"/>
          <w:sz w:val="24"/>
          <w:szCs w:val="24"/>
          <w:highlight w:val="none"/>
          <w:lang w:bidi="en-US"/>
        </w:rPr>
        <w:t>（7）做好双方合同、技术建设方案、测试文档、验收报告等各类往来文件的存档；</w:t>
      </w:r>
    </w:p>
    <w:p w14:paraId="51E17251">
      <w:pPr>
        <w:adjustRightInd w:val="0"/>
        <w:snapToGrid w:val="0"/>
        <w:spacing w:line="460" w:lineRule="exact"/>
        <w:ind w:firstLine="360" w:firstLineChars="150"/>
        <w:jc w:val="left"/>
        <w:rPr>
          <w:rFonts w:hint="eastAsia" w:ascii="宋体" w:hAnsi="宋体" w:eastAsia="宋体" w:cs="宋体"/>
          <w:color w:val="000000"/>
          <w:kern w:val="0"/>
          <w:sz w:val="24"/>
          <w:szCs w:val="24"/>
          <w:highlight w:val="none"/>
          <w:lang w:bidi="en-US"/>
        </w:rPr>
      </w:pPr>
      <w:r>
        <w:rPr>
          <w:rFonts w:hint="eastAsia" w:ascii="宋体" w:hAnsi="宋体" w:eastAsia="宋体" w:cs="宋体"/>
          <w:color w:val="000000"/>
          <w:kern w:val="0"/>
          <w:sz w:val="24"/>
          <w:szCs w:val="24"/>
          <w:highlight w:val="none"/>
          <w:lang w:bidi="en-US"/>
        </w:rPr>
        <w:t>（8）转达采购方发出的指示、通知和业务联系单。</w:t>
      </w:r>
    </w:p>
    <w:p w14:paraId="60953C67">
      <w:pPr>
        <w:adjustRightInd w:val="0"/>
        <w:snapToGrid w:val="0"/>
        <w:spacing w:line="460" w:lineRule="exact"/>
        <w:ind w:firstLine="600" w:firstLineChars="250"/>
        <w:jc w:val="left"/>
        <w:rPr>
          <w:rFonts w:hint="eastAsia" w:ascii="宋体" w:hAnsi="宋体" w:eastAsia="宋体" w:cs="宋体"/>
          <w:color w:val="000000"/>
          <w:kern w:val="0"/>
          <w:sz w:val="24"/>
          <w:szCs w:val="24"/>
          <w:highlight w:val="none"/>
          <w:lang w:bidi="en-US"/>
        </w:rPr>
      </w:pPr>
      <w:r>
        <w:rPr>
          <w:rFonts w:hint="eastAsia" w:ascii="宋体" w:hAnsi="宋体" w:eastAsia="宋体" w:cs="宋体"/>
          <w:color w:val="000000"/>
          <w:kern w:val="0"/>
          <w:sz w:val="24"/>
          <w:szCs w:val="24"/>
          <w:highlight w:val="none"/>
          <w:lang w:bidi="en-US"/>
        </w:rPr>
        <w:t>8、项目文件的管理。</w:t>
      </w:r>
    </w:p>
    <w:p w14:paraId="5EF72D7C">
      <w:pPr>
        <w:adjustRightInd w:val="0"/>
        <w:snapToGrid w:val="0"/>
        <w:spacing w:line="460" w:lineRule="exact"/>
        <w:ind w:firstLine="360" w:firstLineChars="150"/>
        <w:jc w:val="left"/>
        <w:rPr>
          <w:rFonts w:hint="eastAsia" w:ascii="宋体" w:hAnsi="宋体" w:eastAsia="宋体" w:cs="宋体"/>
          <w:color w:val="000000"/>
          <w:kern w:val="0"/>
          <w:sz w:val="24"/>
          <w:szCs w:val="24"/>
          <w:highlight w:val="none"/>
          <w:lang w:bidi="en-US"/>
        </w:rPr>
      </w:pPr>
      <w:r>
        <w:rPr>
          <w:rFonts w:hint="eastAsia" w:ascii="宋体" w:hAnsi="宋体" w:eastAsia="宋体" w:cs="宋体"/>
          <w:color w:val="000000"/>
          <w:sz w:val="24"/>
          <w:szCs w:val="24"/>
          <w:highlight w:val="none"/>
          <w:lang w:bidi="en-US"/>
        </w:rPr>
        <w:t>（1）</w:t>
      </w:r>
      <w:r>
        <w:rPr>
          <w:rFonts w:hint="eastAsia" w:ascii="宋体" w:hAnsi="宋体" w:eastAsia="宋体" w:cs="宋体"/>
          <w:color w:val="000000"/>
          <w:kern w:val="0"/>
          <w:sz w:val="24"/>
          <w:szCs w:val="24"/>
          <w:highlight w:val="none"/>
          <w:lang w:bidi="en-US"/>
        </w:rPr>
        <w:t>协助采购方做好档案的管理，包括项目文件材料的收集、整理和归档等；</w:t>
      </w:r>
    </w:p>
    <w:p w14:paraId="1A0C200C">
      <w:pPr>
        <w:adjustRightInd w:val="0"/>
        <w:snapToGrid w:val="0"/>
        <w:spacing w:line="460" w:lineRule="exact"/>
        <w:ind w:firstLine="360" w:firstLineChars="150"/>
        <w:jc w:val="left"/>
        <w:rPr>
          <w:rFonts w:hint="eastAsia" w:ascii="宋体" w:hAnsi="宋体" w:eastAsia="宋体" w:cs="宋体"/>
          <w:color w:val="000000"/>
          <w:kern w:val="0"/>
          <w:sz w:val="24"/>
          <w:szCs w:val="24"/>
          <w:highlight w:val="none"/>
          <w:lang w:bidi="en-US"/>
        </w:rPr>
      </w:pPr>
      <w:r>
        <w:rPr>
          <w:rFonts w:hint="eastAsia" w:ascii="宋体" w:hAnsi="宋体" w:eastAsia="宋体" w:cs="宋体"/>
          <w:color w:val="000000"/>
          <w:sz w:val="24"/>
          <w:szCs w:val="24"/>
          <w:highlight w:val="none"/>
          <w:lang w:bidi="en-US"/>
        </w:rPr>
        <w:t>（2）</w:t>
      </w:r>
      <w:r>
        <w:rPr>
          <w:rFonts w:hint="eastAsia" w:ascii="宋体" w:hAnsi="宋体" w:eastAsia="宋体" w:cs="宋体"/>
          <w:color w:val="000000"/>
          <w:kern w:val="0"/>
          <w:sz w:val="24"/>
          <w:szCs w:val="24"/>
          <w:highlight w:val="none"/>
          <w:lang w:bidi="en-US"/>
        </w:rPr>
        <w:t>做好项目建设监理日志、周报、月报、及项目大事记；</w:t>
      </w:r>
    </w:p>
    <w:p w14:paraId="365C0CFE">
      <w:pPr>
        <w:adjustRightInd w:val="0"/>
        <w:snapToGrid w:val="0"/>
        <w:spacing w:line="460" w:lineRule="exact"/>
        <w:ind w:firstLine="360" w:firstLineChars="150"/>
        <w:jc w:val="left"/>
        <w:rPr>
          <w:rFonts w:hint="eastAsia" w:ascii="宋体" w:hAnsi="宋体" w:eastAsia="宋体" w:cs="宋体"/>
          <w:color w:val="000000"/>
          <w:kern w:val="0"/>
          <w:sz w:val="24"/>
          <w:szCs w:val="24"/>
          <w:highlight w:val="none"/>
          <w:lang w:bidi="en-US"/>
        </w:rPr>
      </w:pPr>
      <w:r>
        <w:rPr>
          <w:rFonts w:hint="eastAsia" w:ascii="宋体" w:hAnsi="宋体" w:eastAsia="宋体" w:cs="宋体"/>
          <w:color w:val="000000"/>
          <w:sz w:val="24"/>
          <w:szCs w:val="24"/>
          <w:highlight w:val="none"/>
          <w:lang w:bidi="en-US"/>
        </w:rPr>
        <w:t>（3）</w:t>
      </w:r>
      <w:r>
        <w:rPr>
          <w:rFonts w:hint="eastAsia" w:ascii="宋体" w:hAnsi="宋体" w:eastAsia="宋体" w:cs="宋体"/>
          <w:color w:val="000000"/>
          <w:kern w:val="0"/>
          <w:sz w:val="24"/>
          <w:szCs w:val="24"/>
          <w:highlight w:val="none"/>
          <w:lang w:bidi="en-US"/>
        </w:rPr>
        <w:t>做好项目协调会、技术研讨会等各类会议纪要；</w:t>
      </w:r>
    </w:p>
    <w:p w14:paraId="37126A03">
      <w:pPr>
        <w:adjustRightInd w:val="0"/>
        <w:snapToGrid w:val="0"/>
        <w:spacing w:line="460" w:lineRule="exact"/>
        <w:ind w:firstLine="360" w:firstLineChars="150"/>
        <w:jc w:val="left"/>
        <w:rPr>
          <w:rFonts w:hint="eastAsia" w:ascii="宋体" w:hAnsi="宋体" w:eastAsia="宋体" w:cs="宋体"/>
          <w:color w:val="000000"/>
          <w:kern w:val="0"/>
          <w:sz w:val="24"/>
          <w:szCs w:val="24"/>
          <w:highlight w:val="none"/>
          <w:lang w:bidi="en-US"/>
        </w:rPr>
      </w:pPr>
      <w:r>
        <w:rPr>
          <w:rFonts w:hint="eastAsia" w:ascii="宋体" w:hAnsi="宋体" w:eastAsia="宋体" w:cs="宋体"/>
          <w:color w:val="000000"/>
          <w:sz w:val="24"/>
          <w:szCs w:val="24"/>
          <w:highlight w:val="none"/>
          <w:lang w:bidi="en-US"/>
        </w:rPr>
        <w:t>（4）</w:t>
      </w:r>
      <w:r>
        <w:rPr>
          <w:rFonts w:hint="eastAsia" w:ascii="宋体" w:hAnsi="宋体" w:eastAsia="宋体" w:cs="宋体"/>
          <w:color w:val="000000"/>
          <w:kern w:val="0"/>
          <w:sz w:val="24"/>
          <w:szCs w:val="24"/>
          <w:highlight w:val="none"/>
          <w:lang w:bidi="en-US"/>
        </w:rPr>
        <w:t xml:space="preserve">管理好实施期间各类技术文件、合同、协议等。 </w:t>
      </w:r>
    </w:p>
    <w:p w14:paraId="6E205FCD">
      <w:pPr>
        <w:adjustRightInd w:val="0"/>
        <w:snapToGrid w:val="0"/>
        <w:spacing w:line="460" w:lineRule="exact"/>
        <w:ind w:firstLine="600" w:firstLineChars="250"/>
        <w:jc w:val="left"/>
        <w:rPr>
          <w:rFonts w:hint="eastAsia" w:ascii="宋体" w:hAnsi="宋体" w:eastAsia="宋体" w:cs="宋体"/>
          <w:color w:val="000000"/>
          <w:kern w:val="0"/>
          <w:sz w:val="24"/>
          <w:szCs w:val="24"/>
          <w:highlight w:val="none"/>
          <w:lang w:bidi="en-US"/>
        </w:rPr>
      </w:pPr>
      <w:r>
        <w:rPr>
          <w:rFonts w:hint="eastAsia" w:ascii="宋体" w:hAnsi="宋体" w:eastAsia="宋体" w:cs="宋体"/>
          <w:color w:val="000000"/>
          <w:kern w:val="0"/>
          <w:sz w:val="24"/>
          <w:szCs w:val="24"/>
          <w:highlight w:val="none"/>
          <w:lang w:bidi="en-US"/>
        </w:rPr>
        <w:t>9、项目安全的管理。</w:t>
      </w:r>
    </w:p>
    <w:p w14:paraId="274FC3AD">
      <w:pPr>
        <w:adjustRightInd w:val="0"/>
        <w:snapToGrid w:val="0"/>
        <w:spacing w:line="460" w:lineRule="exact"/>
        <w:ind w:firstLine="360" w:firstLineChars="150"/>
        <w:jc w:val="left"/>
        <w:rPr>
          <w:rFonts w:hint="eastAsia" w:ascii="宋体" w:hAnsi="宋体" w:eastAsia="宋体" w:cs="宋体"/>
          <w:color w:val="000000"/>
          <w:kern w:val="0"/>
          <w:sz w:val="24"/>
          <w:szCs w:val="24"/>
          <w:highlight w:val="none"/>
          <w:lang w:bidi="en-US"/>
        </w:rPr>
      </w:pPr>
      <w:r>
        <w:rPr>
          <w:rFonts w:hint="eastAsia" w:ascii="宋体" w:hAnsi="宋体" w:eastAsia="宋体" w:cs="宋体"/>
          <w:color w:val="000000"/>
          <w:sz w:val="24"/>
          <w:szCs w:val="24"/>
          <w:highlight w:val="none"/>
          <w:lang w:bidi="en-US"/>
        </w:rPr>
        <w:t>（1）</w:t>
      </w:r>
      <w:r>
        <w:rPr>
          <w:rFonts w:hint="eastAsia" w:ascii="宋体" w:hAnsi="宋体" w:eastAsia="宋体" w:cs="宋体"/>
          <w:color w:val="000000"/>
          <w:kern w:val="0"/>
          <w:sz w:val="24"/>
          <w:szCs w:val="24"/>
          <w:highlight w:val="none"/>
          <w:lang w:bidi="en-US"/>
        </w:rPr>
        <w:t>协助采购方对项目建设过程中所涉及的敏感数据和资料进行保护，防止被非授权使用；</w:t>
      </w:r>
    </w:p>
    <w:p w14:paraId="1675150F">
      <w:pPr>
        <w:adjustRightInd w:val="0"/>
        <w:snapToGrid w:val="0"/>
        <w:spacing w:line="460" w:lineRule="exact"/>
        <w:ind w:firstLine="360" w:firstLineChars="150"/>
        <w:jc w:val="left"/>
        <w:rPr>
          <w:rFonts w:hint="eastAsia" w:ascii="宋体" w:hAnsi="宋体" w:eastAsia="宋体" w:cs="宋体"/>
          <w:color w:val="000000"/>
          <w:kern w:val="0"/>
          <w:sz w:val="24"/>
          <w:szCs w:val="24"/>
          <w:highlight w:val="none"/>
          <w:lang w:bidi="en-US"/>
        </w:rPr>
      </w:pPr>
      <w:r>
        <w:rPr>
          <w:rFonts w:hint="eastAsia" w:ascii="宋体" w:hAnsi="宋体" w:eastAsia="宋体" w:cs="宋体"/>
          <w:color w:val="000000"/>
          <w:sz w:val="24"/>
          <w:szCs w:val="24"/>
          <w:highlight w:val="none"/>
          <w:lang w:bidi="en-US"/>
        </w:rPr>
        <w:t>（2）</w:t>
      </w:r>
      <w:r>
        <w:rPr>
          <w:rFonts w:hint="eastAsia" w:ascii="宋体" w:hAnsi="宋体" w:eastAsia="宋体" w:cs="宋体"/>
          <w:color w:val="000000"/>
          <w:kern w:val="0"/>
          <w:sz w:val="24"/>
          <w:szCs w:val="24"/>
          <w:highlight w:val="none"/>
          <w:lang w:bidi="en-US"/>
        </w:rPr>
        <w:t>对项目的设计方案、施工方案以及所有施工过程资料和信息负有保密责任，未经采购方许可不能外泄；</w:t>
      </w:r>
    </w:p>
    <w:p w14:paraId="4205F9B1">
      <w:pPr>
        <w:adjustRightInd w:val="0"/>
        <w:snapToGrid w:val="0"/>
        <w:spacing w:line="460" w:lineRule="exact"/>
        <w:ind w:firstLine="360" w:firstLineChars="150"/>
        <w:jc w:val="left"/>
        <w:rPr>
          <w:rFonts w:hint="eastAsia" w:ascii="宋体" w:hAnsi="宋体" w:eastAsia="宋体" w:cs="宋体"/>
          <w:color w:val="000000"/>
          <w:kern w:val="0"/>
          <w:sz w:val="24"/>
          <w:szCs w:val="24"/>
          <w:highlight w:val="none"/>
          <w:lang w:bidi="en-US"/>
        </w:rPr>
      </w:pPr>
      <w:r>
        <w:rPr>
          <w:rFonts w:hint="eastAsia" w:ascii="宋体" w:hAnsi="宋体" w:eastAsia="宋体" w:cs="宋体"/>
          <w:color w:val="000000"/>
          <w:sz w:val="24"/>
          <w:szCs w:val="24"/>
          <w:highlight w:val="none"/>
          <w:lang w:bidi="en-US"/>
        </w:rPr>
        <w:t>（3）</w:t>
      </w:r>
      <w:r>
        <w:rPr>
          <w:rFonts w:hint="eastAsia" w:ascii="宋体" w:hAnsi="宋体" w:eastAsia="宋体" w:cs="宋体"/>
          <w:color w:val="000000"/>
          <w:kern w:val="0"/>
          <w:sz w:val="24"/>
          <w:szCs w:val="24"/>
          <w:highlight w:val="none"/>
          <w:lang w:bidi="en-US"/>
        </w:rPr>
        <w:t>负责监督施工单位按照国家法律规定进行文明施工、安全施工，检查和审核施工单位安全生产管理制度的完整性、可行性；</w:t>
      </w:r>
    </w:p>
    <w:p w14:paraId="19CDE831">
      <w:pPr>
        <w:adjustRightInd w:val="0"/>
        <w:snapToGrid w:val="0"/>
        <w:spacing w:line="460" w:lineRule="exact"/>
        <w:ind w:firstLine="360" w:firstLineChars="150"/>
        <w:jc w:val="left"/>
        <w:rPr>
          <w:rFonts w:hint="eastAsia" w:ascii="宋体" w:hAnsi="宋体" w:eastAsia="宋体" w:cs="宋体"/>
          <w:color w:val="000000"/>
          <w:kern w:val="0"/>
          <w:sz w:val="24"/>
          <w:szCs w:val="24"/>
          <w:highlight w:val="none"/>
          <w:lang w:bidi="en-US"/>
        </w:rPr>
      </w:pPr>
      <w:r>
        <w:rPr>
          <w:rFonts w:hint="eastAsia" w:ascii="宋体" w:hAnsi="宋体" w:eastAsia="宋体" w:cs="宋体"/>
          <w:color w:val="000000"/>
          <w:sz w:val="24"/>
          <w:szCs w:val="24"/>
          <w:highlight w:val="none"/>
          <w:lang w:bidi="en-US"/>
        </w:rPr>
        <w:t>（4）</w:t>
      </w:r>
      <w:r>
        <w:rPr>
          <w:rFonts w:hint="eastAsia" w:ascii="宋体" w:hAnsi="宋体" w:eastAsia="宋体" w:cs="宋体"/>
          <w:color w:val="000000"/>
          <w:kern w:val="0"/>
          <w:sz w:val="24"/>
          <w:szCs w:val="24"/>
          <w:highlight w:val="none"/>
          <w:lang w:bidi="en-US"/>
        </w:rPr>
        <w:t>协助和督促施工单位根据施工现场情况和环境制定安全施工措施，建立安全生产保障体系，负责项目建设施工过程中安全控制，确保不出现安全事故；</w:t>
      </w:r>
    </w:p>
    <w:p w14:paraId="5B9647D2">
      <w:pPr>
        <w:adjustRightInd w:val="0"/>
        <w:snapToGrid w:val="0"/>
        <w:spacing w:line="460" w:lineRule="exact"/>
        <w:ind w:firstLine="360" w:firstLineChars="150"/>
        <w:jc w:val="left"/>
        <w:rPr>
          <w:rFonts w:hint="eastAsia" w:ascii="宋体" w:hAnsi="宋体" w:eastAsia="宋体" w:cs="宋体"/>
          <w:color w:val="000000"/>
          <w:kern w:val="0"/>
          <w:sz w:val="24"/>
          <w:szCs w:val="24"/>
          <w:highlight w:val="none"/>
          <w:lang w:bidi="en-US"/>
        </w:rPr>
      </w:pPr>
      <w:r>
        <w:rPr>
          <w:rFonts w:hint="eastAsia" w:ascii="宋体" w:hAnsi="宋体" w:eastAsia="宋体" w:cs="宋体"/>
          <w:color w:val="000000"/>
          <w:kern w:val="0"/>
          <w:sz w:val="24"/>
          <w:szCs w:val="24"/>
          <w:highlight w:val="none"/>
          <w:lang w:bidi="en-US"/>
        </w:rPr>
        <w:t>（5）负责监督施工过程中的用电、用火、用水安全及防盗、防破坏等措施的执行；</w:t>
      </w:r>
    </w:p>
    <w:p w14:paraId="6EF97A7C">
      <w:pPr>
        <w:adjustRightInd w:val="0"/>
        <w:snapToGrid w:val="0"/>
        <w:spacing w:line="460" w:lineRule="exact"/>
        <w:ind w:firstLine="360" w:firstLineChars="150"/>
        <w:jc w:val="left"/>
        <w:rPr>
          <w:rFonts w:hint="eastAsia" w:ascii="宋体" w:hAnsi="宋体" w:eastAsia="宋体" w:cs="宋体"/>
          <w:color w:val="000000"/>
          <w:kern w:val="0"/>
          <w:sz w:val="24"/>
          <w:szCs w:val="24"/>
          <w:highlight w:val="none"/>
          <w:lang w:bidi="en-US"/>
        </w:rPr>
      </w:pPr>
      <w:r>
        <w:rPr>
          <w:rFonts w:hint="eastAsia" w:ascii="宋体" w:hAnsi="宋体" w:eastAsia="宋体" w:cs="宋体"/>
          <w:color w:val="000000"/>
          <w:kern w:val="0"/>
          <w:sz w:val="24"/>
          <w:szCs w:val="24"/>
          <w:highlight w:val="none"/>
          <w:lang w:bidi="en-US"/>
        </w:rPr>
        <w:t>（6）负责监督、检查和管理施工现场环境，保障施工现场卫生、整洁、有序。</w:t>
      </w:r>
    </w:p>
    <w:p w14:paraId="39E89020">
      <w:pPr>
        <w:adjustRightInd w:val="0"/>
        <w:snapToGrid w:val="0"/>
        <w:spacing w:line="460" w:lineRule="exact"/>
        <w:ind w:firstLine="480" w:firstLineChars="200"/>
        <w:jc w:val="left"/>
        <w:rPr>
          <w:rFonts w:hint="eastAsia" w:ascii="宋体" w:hAnsi="宋体" w:eastAsia="宋体" w:cs="宋体"/>
          <w:color w:val="000000"/>
          <w:kern w:val="0"/>
          <w:sz w:val="24"/>
          <w:szCs w:val="24"/>
          <w:highlight w:val="none"/>
          <w:lang w:bidi="en-US"/>
        </w:rPr>
      </w:pPr>
      <w:r>
        <w:rPr>
          <w:rFonts w:hint="eastAsia" w:ascii="宋体" w:hAnsi="宋体" w:eastAsia="宋体" w:cs="宋体"/>
          <w:color w:val="000000"/>
          <w:kern w:val="0"/>
          <w:sz w:val="24"/>
          <w:szCs w:val="24"/>
          <w:highlight w:val="none"/>
          <w:lang w:bidi="en-US"/>
        </w:rPr>
        <w:t>10、知识产权的管理。</w:t>
      </w:r>
    </w:p>
    <w:p w14:paraId="42BC4072">
      <w:pPr>
        <w:adjustRightInd w:val="0"/>
        <w:snapToGrid w:val="0"/>
        <w:spacing w:line="460" w:lineRule="exact"/>
        <w:ind w:firstLine="360" w:firstLineChars="150"/>
        <w:jc w:val="left"/>
        <w:rPr>
          <w:rFonts w:hint="eastAsia" w:ascii="宋体" w:hAnsi="宋体" w:eastAsia="宋体" w:cs="宋体"/>
          <w:color w:val="000000"/>
          <w:kern w:val="0"/>
          <w:sz w:val="24"/>
          <w:szCs w:val="24"/>
          <w:highlight w:val="none"/>
          <w:lang w:bidi="en-US"/>
        </w:rPr>
      </w:pPr>
      <w:r>
        <w:rPr>
          <w:rFonts w:hint="eastAsia" w:ascii="宋体" w:hAnsi="宋体" w:eastAsia="宋体" w:cs="宋体"/>
          <w:color w:val="000000"/>
          <w:sz w:val="24"/>
          <w:szCs w:val="24"/>
          <w:highlight w:val="none"/>
          <w:lang w:bidi="en-US"/>
        </w:rPr>
        <w:t>（1）</w:t>
      </w:r>
      <w:r>
        <w:rPr>
          <w:rFonts w:hint="eastAsia" w:ascii="宋体" w:hAnsi="宋体" w:eastAsia="宋体" w:cs="宋体"/>
          <w:color w:val="000000"/>
          <w:kern w:val="0"/>
          <w:sz w:val="24"/>
          <w:szCs w:val="24"/>
          <w:highlight w:val="none"/>
          <w:lang w:bidi="en-US"/>
        </w:rPr>
        <w:t>协助采购方对项目建设过程中所产生成果的知识产权进行保护，防止被非授权使用；</w:t>
      </w:r>
    </w:p>
    <w:p w14:paraId="0AC997CD">
      <w:pPr>
        <w:adjustRightInd w:val="0"/>
        <w:snapToGrid w:val="0"/>
        <w:spacing w:line="460" w:lineRule="exact"/>
        <w:ind w:firstLine="360" w:firstLineChars="150"/>
        <w:jc w:val="left"/>
        <w:rPr>
          <w:rFonts w:hint="eastAsia" w:ascii="宋体" w:hAnsi="宋体" w:eastAsia="宋体" w:cs="宋体"/>
          <w:color w:val="000000"/>
          <w:kern w:val="0"/>
          <w:sz w:val="24"/>
          <w:szCs w:val="24"/>
          <w:highlight w:val="none"/>
          <w:lang w:bidi="en-US"/>
        </w:rPr>
      </w:pPr>
      <w:r>
        <w:rPr>
          <w:rFonts w:hint="eastAsia" w:ascii="宋体" w:hAnsi="宋体" w:eastAsia="宋体" w:cs="宋体"/>
          <w:color w:val="000000"/>
          <w:sz w:val="24"/>
          <w:szCs w:val="24"/>
          <w:highlight w:val="none"/>
          <w:lang w:bidi="en-US"/>
        </w:rPr>
        <w:t>（2）</w:t>
      </w:r>
      <w:r>
        <w:rPr>
          <w:rFonts w:hint="eastAsia" w:ascii="宋体" w:hAnsi="宋体" w:eastAsia="宋体" w:cs="宋体"/>
          <w:color w:val="000000"/>
          <w:kern w:val="0"/>
          <w:sz w:val="24"/>
          <w:szCs w:val="24"/>
          <w:highlight w:val="none"/>
          <w:lang w:bidi="en-US"/>
        </w:rPr>
        <w:t>负责项目建设过程中涉及知识产权的产品和系统的使用审核，保证不在本项目建设中出现违反知识产权的行。</w:t>
      </w:r>
    </w:p>
    <w:p w14:paraId="74AE1963">
      <w:pPr>
        <w:adjustRightInd w:val="0"/>
        <w:snapToGrid w:val="0"/>
        <w:spacing w:line="460" w:lineRule="exact"/>
        <w:ind w:firstLine="480" w:firstLineChars="200"/>
        <w:jc w:val="left"/>
        <w:rPr>
          <w:rFonts w:hint="eastAsia" w:ascii="宋体" w:hAnsi="宋体" w:eastAsia="宋体" w:cs="宋体"/>
          <w:color w:val="000000"/>
          <w:kern w:val="0"/>
          <w:sz w:val="24"/>
          <w:szCs w:val="24"/>
          <w:highlight w:val="none"/>
          <w:lang w:bidi="en-US"/>
        </w:rPr>
      </w:pPr>
      <w:r>
        <w:rPr>
          <w:rFonts w:hint="eastAsia" w:ascii="宋体" w:hAnsi="宋体" w:eastAsia="宋体" w:cs="宋体"/>
          <w:color w:val="000000"/>
          <w:kern w:val="0"/>
          <w:sz w:val="24"/>
          <w:szCs w:val="24"/>
          <w:highlight w:val="none"/>
          <w:lang w:bidi="en-US"/>
        </w:rPr>
        <w:t>11、项目会议制度。</w:t>
      </w:r>
    </w:p>
    <w:p w14:paraId="0D03B9C7">
      <w:pPr>
        <w:adjustRightInd w:val="0"/>
        <w:snapToGrid w:val="0"/>
        <w:spacing w:line="460" w:lineRule="exact"/>
        <w:ind w:firstLine="480" w:firstLineChars="200"/>
        <w:jc w:val="left"/>
        <w:rPr>
          <w:rFonts w:hint="eastAsia" w:ascii="宋体" w:hAnsi="宋体" w:eastAsia="宋体" w:cs="宋体"/>
          <w:color w:val="000000"/>
          <w:kern w:val="0"/>
          <w:sz w:val="24"/>
          <w:szCs w:val="24"/>
          <w:highlight w:val="none"/>
          <w:lang w:bidi="en-US"/>
        </w:rPr>
      </w:pPr>
      <w:r>
        <w:rPr>
          <w:rFonts w:hint="eastAsia" w:ascii="宋体" w:hAnsi="宋体" w:eastAsia="宋体" w:cs="宋体"/>
          <w:color w:val="000000"/>
          <w:kern w:val="0"/>
          <w:sz w:val="24"/>
          <w:szCs w:val="24"/>
          <w:highlight w:val="none"/>
          <w:lang w:bidi="en-US"/>
        </w:rPr>
        <w:t>为保证监理工作的开展和实施协调，监理方可组织必要的会议来保证：</w:t>
      </w:r>
    </w:p>
    <w:p w14:paraId="6EF2AA9C">
      <w:pPr>
        <w:adjustRightInd w:val="0"/>
        <w:snapToGrid w:val="0"/>
        <w:spacing w:line="460" w:lineRule="exact"/>
        <w:ind w:firstLine="360" w:firstLineChars="150"/>
        <w:jc w:val="left"/>
        <w:rPr>
          <w:rFonts w:hint="eastAsia" w:ascii="宋体" w:hAnsi="宋体" w:eastAsia="宋体" w:cs="宋体"/>
          <w:color w:val="000000"/>
          <w:kern w:val="0"/>
          <w:sz w:val="24"/>
          <w:szCs w:val="24"/>
          <w:highlight w:val="none"/>
          <w:lang w:bidi="en-US"/>
        </w:rPr>
      </w:pPr>
      <w:r>
        <w:rPr>
          <w:rFonts w:hint="eastAsia" w:ascii="宋体" w:hAnsi="宋体" w:eastAsia="宋体" w:cs="宋体"/>
          <w:color w:val="000000"/>
          <w:sz w:val="24"/>
          <w:szCs w:val="24"/>
          <w:highlight w:val="none"/>
          <w:lang w:bidi="en-US"/>
        </w:rPr>
        <w:t>（1）</w:t>
      </w:r>
      <w:r>
        <w:rPr>
          <w:rFonts w:hint="eastAsia" w:ascii="宋体" w:hAnsi="宋体" w:eastAsia="宋体" w:cs="宋体"/>
          <w:color w:val="000000"/>
          <w:kern w:val="0"/>
          <w:sz w:val="24"/>
          <w:szCs w:val="24"/>
          <w:highlight w:val="none"/>
          <w:lang w:bidi="en-US"/>
        </w:rPr>
        <w:t>项目协调会；</w:t>
      </w:r>
    </w:p>
    <w:p w14:paraId="7FB0FFA0">
      <w:pPr>
        <w:adjustRightInd w:val="0"/>
        <w:snapToGrid w:val="0"/>
        <w:spacing w:line="460" w:lineRule="exact"/>
        <w:ind w:firstLine="360" w:firstLineChars="150"/>
        <w:jc w:val="left"/>
        <w:rPr>
          <w:rFonts w:hint="eastAsia" w:ascii="宋体" w:hAnsi="宋体" w:eastAsia="宋体" w:cs="宋体"/>
          <w:color w:val="000000"/>
          <w:kern w:val="0"/>
          <w:sz w:val="24"/>
          <w:szCs w:val="24"/>
          <w:highlight w:val="none"/>
          <w:lang w:bidi="en-US"/>
        </w:rPr>
      </w:pPr>
      <w:r>
        <w:rPr>
          <w:rFonts w:hint="eastAsia" w:ascii="宋体" w:hAnsi="宋体" w:eastAsia="宋体" w:cs="宋体"/>
          <w:color w:val="000000"/>
          <w:sz w:val="24"/>
          <w:szCs w:val="24"/>
          <w:highlight w:val="none"/>
          <w:lang w:bidi="en-US"/>
        </w:rPr>
        <w:t>（2）</w:t>
      </w:r>
      <w:r>
        <w:rPr>
          <w:rFonts w:hint="eastAsia" w:ascii="宋体" w:hAnsi="宋体" w:eastAsia="宋体" w:cs="宋体"/>
          <w:color w:val="000000"/>
          <w:kern w:val="0"/>
          <w:sz w:val="24"/>
          <w:szCs w:val="24"/>
          <w:highlight w:val="none"/>
          <w:lang w:bidi="en-US"/>
        </w:rPr>
        <w:t>项目周例会；</w:t>
      </w:r>
    </w:p>
    <w:p w14:paraId="7C537D61">
      <w:pPr>
        <w:adjustRightInd w:val="0"/>
        <w:snapToGrid w:val="0"/>
        <w:spacing w:line="460" w:lineRule="exact"/>
        <w:ind w:firstLine="360" w:firstLineChars="150"/>
        <w:jc w:val="left"/>
        <w:rPr>
          <w:rFonts w:hint="eastAsia" w:ascii="宋体" w:hAnsi="宋体" w:eastAsia="宋体" w:cs="宋体"/>
          <w:color w:val="000000"/>
          <w:kern w:val="0"/>
          <w:sz w:val="24"/>
          <w:szCs w:val="24"/>
          <w:highlight w:val="none"/>
          <w:lang w:bidi="en-US"/>
        </w:rPr>
      </w:pPr>
      <w:r>
        <w:rPr>
          <w:rFonts w:hint="eastAsia" w:ascii="宋体" w:hAnsi="宋体" w:eastAsia="宋体" w:cs="宋体"/>
          <w:color w:val="000000"/>
          <w:sz w:val="24"/>
          <w:szCs w:val="24"/>
          <w:highlight w:val="none"/>
          <w:lang w:bidi="en-US"/>
        </w:rPr>
        <w:t>（3）</w:t>
      </w:r>
      <w:r>
        <w:rPr>
          <w:rFonts w:hint="eastAsia" w:ascii="宋体" w:hAnsi="宋体" w:eastAsia="宋体" w:cs="宋体"/>
          <w:color w:val="000000"/>
          <w:kern w:val="0"/>
          <w:sz w:val="24"/>
          <w:szCs w:val="24"/>
          <w:highlight w:val="none"/>
          <w:lang w:bidi="en-US"/>
        </w:rPr>
        <w:t>项目专题研讨会；</w:t>
      </w:r>
    </w:p>
    <w:p w14:paraId="5A48BE1B">
      <w:pPr>
        <w:adjustRightInd w:val="0"/>
        <w:snapToGrid w:val="0"/>
        <w:spacing w:line="460" w:lineRule="exact"/>
        <w:ind w:firstLine="360" w:firstLineChars="150"/>
        <w:jc w:val="left"/>
        <w:rPr>
          <w:rFonts w:hint="eastAsia" w:ascii="宋体" w:hAnsi="宋体" w:eastAsia="宋体" w:cs="宋体"/>
          <w:color w:val="000000"/>
          <w:kern w:val="0"/>
          <w:sz w:val="24"/>
          <w:szCs w:val="24"/>
          <w:highlight w:val="none"/>
          <w:lang w:bidi="en-US"/>
        </w:rPr>
      </w:pPr>
      <w:r>
        <w:rPr>
          <w:rFonts w:hint="eastAsia" w:ascii="宋体" w:hAnsi="宋体" w:eastAsia="宋体" w:cs="宋体"/>
          <w:color w:val="000000"/>
          <w:sz w:val="24"/>
          <w:szCs w:val="24"/>
          <w:highlight w:val="none"/>
          <w:lang w:bidi="en-US"/>
        </w:rPr>
        <w:t>（4）</w:t>
      </w:r>
      <w:r>
        <w:rPr>
          <w:rFonts w:hint="eastAsia" w:ascii="宋体" w:hAnsi="宋体" w:eastAsia="宋体" w:cs="宋体"/>
          <w:color w:val="000000"/>
          <w:kern w:val="0"/>
          <w:sz w:val="24"/>
          <w:szCs w:val="24"/>
          <w:highlight w:val="none"/>
          <w:lang w:bidi="en-US"/>
        </w:rPr>
        <w:t>项目问题通报会；</w:t>
      </w:r>
    </w:p>
    <w:p w14:paraId="5D647FF7">
      <w:pPr>
        <w:adjustRightInd w:val="0"/>
        <w:snapToGrid w:val="0"/>
        <w:spacing w:line="460" w:lineRule="exact"/>
        <w:ind w:firstLine="360" w:firstLineChars="150"/>
        <w:jc w:val="left"/>
        <w:rPr>
          <w:rFonts w:hint="eastAsia" w:ascii="宋体" w:hAnsi="宋体" w:eastAsia="宋体" w:cs="宋体"/>
          <w:color w:val="000000"/>
          <w:kern w:val="0"/>
          <w:sz w:val="24"/>
          <w:szCs w:val="24"/>
          <w:highlight w:val="none"/>
          <w:lang w:bidi="en-US"/>
        </w:rPr>
      </w:pPr>
      <w:r>
        <w:rPr>
          <w:rFonts w:hint="eastAsia" w:ascii="宋体" w:hAnsi="宋体" w:eastAsia="宋体" w:cs="宋体"/>
          <w:color w:val="000000"/>
          <w:kern w:val="0"/>
          <w:sz w:val="24"/>
          <w:szCs w:val="24"/>
          <w:highlight w:val="none"/>
          <w:lang w:bidi="en-US"/>
        </w:rPr>
        <w:t>（5）项目阶段及最终验收会；</w:t>
      </w:r>
    </w:p>
    <w:p w14:paraId="5003E63B">
      <w:pPr>
        <w:adjustRightInd w:val="0"/>
        <w:snapToGrid w:val="0"/>
        <w:spacing w:line="460" w:lineRule="exact"/>
        <w:ind w:firstLine="480" w:firstLineChars="200"/>
        <w:jc w:val="left"/>
        <w:rPr>
          <w:rFonts w:hint="eastAsia" w:ascii="宋体" w:hAnsi="宋体" w:eastAsia="宋体" w:cs="宋体"/>
          <w:color w:val="000000"/>
          <w:kern w:val="0"/>
          <w:sz w:val="24"/>
          <w:szCs w:val="24"/>
          <w:highlight w:val="none"/>
          <w:lang w:bidi="en-US"/>
        </w:rPr>
      </w:pPr>
      <w:r>
        <w:rPr>
          <w:rFonts w:hint="eastAsia" w:ascii="宋体" w:hAnsi="宋体" w:eastAsia="宋体" w:cs="宋体"/>
          <w:color w:val="000000"/>
          <w:kern w:val="0"/>
          <w:sz w:val="24"/>
          <w:szCs w:val="24"/>
          <w:highlight w:val="none"/>
          <w:lang w:bidi="en-US"/>
        </w:rPr>
        <w:t>监理方还应积极参加以下会议：</w:t>
      </w:r>
    </w:p>
    <w:p w14:paraId="19C555B4">
      <w:pPr>
        <w:adjustRightInd w:val="0"/>
        <w:snapToGrid w:val="0"/>
        <w:spacing w:line="460" w:lineRule="exact"/>
        <w:ind w:firstLine="360" w:firstLineChars="150"/>
        <w:jc w:val="left"/>
        <w:rPr>
          <w:rFonts w:hint="eastAsia" w:ascii="宋体" w:hAnsi="宋体" w:eastAsia="宋体" w:cs="宋体"/>
          <w:color w:val="000000"/>
          <w:kern w:val="0"/>
          <w:sz w:val="24"/>
          <w:szCs w:val="24"/>
          <w:highlight w:val="none"/>
          <w:lang w:bidi="en-US"/>
        </w:rPr>
      </w:pPr>
      <w:r>
        <w:rPr>
          <w:rFonts w:hint="eastAsia" w:ascii="宋体" w:hAnsi="宋体" w:eastAsia="宋体" w:cs="宋体"/>
          <w:color w:val="000000"/>
          <w:kern w:val="0"/>
          <w:sz w:val="24"/>
          <w:szCs w:val="24"/>
          <w:highlight w:val="none"/>
          <w:lang w:bidi="en-US"/>
        </w:rPr>
        <w:t>（6）项目专家论证评审会；</w:t>
      </w:r>
    </w:p>
    <w:p w14:paraId="2008A26C">
      <w:pPr>
        <w:adjustRightInd w:val="0"/>
        <w:snapToGrid w:val="0"/>
        <w:spacing w:line="460" w:lineRule="exact"/>
        <w:ind w:firstLine="360" w:firstLineChars="150"/>
        <w:jc w:val="left"/>
        <w:rPr>
          <w:rFonts w:hint="eastAsia" w:ascii="宋体" w:hAnsi="宋体" w:eastAsia="宋体" w:cs="宋体"/>
          <w:color w:val="000000"/>
          <w:kern w:val="0"/>
          <w:sz w:val="24"/>
          <w:szCs w:val="24"/>
          <w:highlight w:val="none"/>
          <w:lang w:bidi="en-US"/>
        </w:rPr>
      </w:pPr>
      <w:r>
        <w:rPr>
          <w:rFonts w:hint="eastAsia" w:ascii="宋体" w:hAnsi="宋体" w:eastAsia="宋体" w:cs="宋体"/>
          <w:color w:val="000000"/>
          <w:kern w:val="0"/>
          <w:sz w:val="24"/>
          <w:szCs w:val="24"/>
          <w:highlight w:val="none"/>
          <w:lang w:bidi="en-US"/>
        </w:rPr>
        <w:t>（7）项目阶段工作总结会。</w:t>
      </w:r>
    </w:p>
    <w:p w14:paraId="06292549">
      <w:pPr>
        <w:adjustRightInd w:val="0"/>
        <w:snapToGrid w:val="0"/>
        <w:spacing w:line="460" w:lineRule="exact"/>
        <w:ind w:firstLine="480" w:firstLineChars="200"/>
        <w:jc w:val="left"/>
        <w:rPr>
          <w:rFonts w:hint="eastAsia" w:ascii="宋体" w:hAnsi="宋体" w:eastAsia="宋体" w:cs="宋体"/>
          <w:color w:val="000000"/>
          <w:kern w:val="0"/>
          <w:sz w:val="24"/>
          <w:szCs w:val="24"/>
          <w:highlight w:val="none"/>
          <w:lang w:bidi="en-US"/>
        </w:rPr>
      </w:pPr>
      <w:r>
        <w:rPr>
          <w:rFonts w:hint="eastAsia" w:ascii="宋体" w:hAnsi="宋体" w:eastAsia="宋体" w:cs="宋体"/>
          <w:color w:val="000000"/>
          <w:kern w:val="0"/>
          <w:sz w:val="24"/>
          <w:szCs w:val="24"/>
          <w:highlight w:val="none"/>
          <w:lang w:bidi="en-US"/>
        </w:rPr>
        <w:t>12、组织协调。</w:t>
      </w:r>
    </w:p>
    <w:p w14:paraId="37174CE7">
      <w:pPr>
        <w:adjustRightInd w:val="0"/>
        <w:snapToGrid w:val="0"/>
        <w:spacing w:line="460" w:lineRule="exact"/>
        <w:ind w:firstLine="360" w:firstLineChars="150"/>
        <w:jc w:val="left"/>
        <w:rPr>
          <w:rFonts w:hint="eastAsia" w:ascii="宋体" w:hAnsi="宋体" w:eastAsia="宋体" w:cs="宋体"/>
          <w:color w:val="000000"/>
          <w:kern w:val="0"/>
          <w:sz w:val="24"/>
          <w:szCs w:val="24"/>
          <w:highlight w:val="none"/>
          <w:lang w:bidi="en-US"/>
        </w:rPr>
      </w:pPr>
      <w:r>
        <w:rPr>
          <w:rFonts w:hint="eastAsia" w:ascii="宋体" w:hAnsi="宋体" w:eastAsia="宋体" w:cs="宋体"/>
          <w:color w:val="000000"/>
          <w:sz w:val="24"/>
          <w:szCs w:val="24"/>
          <w:highlight w:val="none"/>
          <w:lang w:bidi="en-US"/>
        </w:rPr>
        <w:t>（1）</w:t>
      </w:r>
      <w:r>
        <w:rPr>
          <w:rFonts w:hint="eastAsia" w:ascii="宋体" w:hAnsi="宋体" w:eastAsia="宋体" w:cs="宋体"/>
          <w:color w:val="000000"/>
          <w:kern w:val="0"/>
          <w:sz w:val="24"/>
          <w:szCs w:val="24"/>
          <w:highlight w:val="none"/>
          <w:lang w:bidi="en-US"/>
        </w:rPr>
        <w:t>监督各方履行职责，协调各方的工作关系；</w:t>
      </w:r>
    </w:p>
    <w:p w14:paraId="660FDB6C">
      <w:pPr>
        <w:adjustRightInd w:val="0"/>
        <w:snapToGrid w:val="0"/>
        <w:spacing w:line="460" w:lineRule="exact"/>
        <w:ind w:firstLine="360" w:firstLineChars="150"/>
        <w:jc w:val="left"/>
        <w:rPr>
          <w:rFonts w:hint="eastAsia" w:ascii="宋体" w:hAnsi="宋体" w:eastAsia="宋体" w:cs="宋体"/>
          <w:color w:val="000000"/>
          <w:kern w:val="0"/>
          <w:sz w:val="24"/>
          <w:szCs w:val="24"/>
          <w:highlight w:val="none"/>
          <w:lang w:bidi="en-US"/>
        </w:rPr>
      </w:pPr>
      <w:r>
        <w:rPr>
          <w:rFonts w:hint="eastAsia" w:ascii="宋体" w:hAnsi="宋体" w:eastAsia="宋体" w:cs="宋体"/>
          <w:color w:val="000000"/>
          <w:sz w:val="24"/>
          <w:szCs w:val="24"/>
          <w:highlight w:val="none"/>
          <w:lang w:bidi="en-US"/>
        </w:rPr>
        <w:t>（2）</w:t>
      </w:r>
      <w:r>
        <w:rPr>
          <w:rFonts w:hint="eastAsia" w:ascii="宋体" w:hAnsi="宋体" w:eastAsia="宋体" w:cs="宋体"/>
          <w:color w:val="000000"/>
          <w:kern w:val="0"/>
          <w:sz w:val="24"/>
          <w:szCs w:val="24"/>
          <w:highlight w:val="none"/>
          <w:lang w:bidi="en-US"/>
        </w:rPr>
        <w:t>建立畅通的沟通平台和沟通渠道，采取有效措施使项目信息在有关各方之间保持顺畅流通，积极协调项目各方之间的关系，推动项目实施过程中问题的解决。</w:t>
      </w:r>
    </w:p>
    <w:p w14:paraId="1E18BB3D">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2" w:firstLineChars="200"/>
        <w:jc w:val="both"/>
        <w:textAlignment w:val="auto"/>
        <w:outlineLvl w:val="9"/>
        <w:rPr>
          <w:rFonts w:hint="eastAsia" w:ascii="宋体" w:hAnsi="宋体" w:eastAsia="宋体" w:cs="宋体"/>
          <w:spacing w:val="0"/>
          <w:w w:val="100"/>
          <w:kern w:val="0"/>
          <w:sz w:val="24"/>
          <w:szCs w:val="24"/>
          <w:lang w:val="en-US" w:eastAsia="zh-CN" w:bidi="ar-SA"/>
        </w:rPr>
      </w:pPr>
      <w:r>
        <w:rPr>
          <w:rFonts w:hint="eastAsia" w:ascii="宋体" w:hAnsi="宋体" w:eastAsia="宋体" w:cs="宋体"/>
          <w:b/>
          <w:bCs/>
          <w:spacing w:val="0"/>
          <w:w w:val="100"/>
          <w:sz w:val="24"/>
          <w:szCs w:val="24"/>
        </w:rPr>
        <w:t>考核细则</w:t>
      </w:r>
    </w:p>
    <w:p w14:paraId="38783A2F">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0" w:firstLineChars="200"/>
        <w:jc w:val="both"/>
        <w:textAlignment w:val="auto"/>
        <w:outlineLvl w:val="9"/>
        <w:rPr>
          <w:rFonts w:hint="eastAsia" w:ascii="宋体" w:hAnsi="宋体" w:eastAsia="宋体" w:cs="宋体"/>
          <w:spacing w:val="0"/>
          <w:w w:val="100"/>
          <w:kern w:val="0"/>
          <w:sz w:val="24"/>
          <w:szCs w:val="24"/>
          <w:lang w:val="en-US" w:eastAsia="zh-CN" w:bidi="ar-SA"/>
        </w:rPr>
      </w:pPr>
      <w:r>
        <w:rPr>
          <w:rFonts w:hint="eastAsia" w:ascii="宋体" w:hAnsi="宋体" w:eastAsia="宋体" w:cs="宋体"/>
          <w:spacing w:val="0"/>
          <w:w w:val="100"/>
          <w:kern w:val="0"/>
          <w:sz w:val="24"/>
          <w:szCs w:val="24"/>
          <w:lang w:val="en-US" w:eastAsia="zh-CN" w:bidi="ar-SA"/>
        </w:rPr>
        <w:t>1、人员管理及岗位职责（10分）：</w:t>
      </w:r>
    </w:p>
    <w:p w14:paraId="3DA89D4B">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0" w:firstLineChars="200"/>
        <w:jc w:val="both"/>
        <w:textAlignment w:val="auto"/>
        <w:outlineLvl w:val="9"/>
        <w:rPr>
          <w:rFonts w:hint="eastAsia" w:ascii="宋体" w:hAnsi="宋体" w:eastAsia="宋体" w:cs="宋体"/>
          <w:spacing w:val="0"/>
          <w:w w:val="100"/>
          <w:kern w:val="0"/>
          <w:sz w:val="24"/>
          <w:szCs w:val="24"/>
          <w:lang w:val="en-US" w:eastAsia="zh-CN" w:bidi="ar-SA"/>
        </w:rPr>
      </w:pPr>
      <w:r>
        <w:rPr>
          <w:rFonts w:hint="eastAsia" w:ascii="宋体" w:hAnsi="宋体" w:eastAsia="宋体" w:cs="宋体"/>
          <w:spacing w:val="0"/>
          <w:w w:val="100"/>
          <w:kern w:val="0"/>
          <w:sz w:val="24"/>
          <w:szCs w:val="24"/>
          <w:lang w:val="en-US" w:eastAsia="zh-CN" w:bidi="ar-SA"/>
        </w:rPr>
        <w:t>（1）监理人员未按照甲方要求迟到早退、缺岗漏岗。每次扣2分。</w:t>
      </w:r>
    </w:p>
    <w:p w14:paraId="2248776A">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0" w:firstLineChars="200"/>
        <w:jc w:val="both"/>
        <w:textAlignment w:val="auto"/>
        <w:outlineLvl w:val="9"/>
        <w:rPr>
          <w:rFonts w:hint="eastAsia" w:ascii="宋体" w:hAnsi="宋体" w:eastAsia="宋体" w:cs="宋体"/>
          <w:spacing w:val="0"/>
          <w:w w:val="100"/>
          <w:kern w:val="0"/>
          <w:sz w:val="24"/>
          <w:szCs w:val="24"/>
          <w:lang w:val="en-US" w:eastAsia="zh-CN" w:bidi="ar-SA"/>
        </w:rPr>
      </w:pPr>
      <w:r>
        <w:rPr>
          <w:rFonts w:hint="eastAsia" w:ascii="宋体" w:hAnsi="宋体" w:eastAsia="宋体" w:cs="宋体"/>
          <w:spacing w:val="0"/>
          <w:w w:val="100"/>
          <w:kern w:val="0"/>
          <w:sz w:val="24"/>
          <w:szCs w:val="24"/>
          <w:lang w:val="en-US" w:eastAsia="zh-CN" w:bidi="ar-SA"/>
        </w:rPr>
        <w:t>（2）监理人员在岗期间不遵守项目现场各项管理制度，相互推诿、无理拒绝或拖延本职工作。每次扣3分。</w:t>
      </w:r>
    </w:p>
    <w:p w14:paraId="17C11F38">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0" w:firstLineChars="200"/>
        <w:jc w:val="both"/>
        <w:textAlignment w:val="auto"/>
        <w:outlineLvl w:val="9"/>
        <w:rPr>
          <w:rFonts w:hint="eastAsia" w:ascii="宋体" w:hAnsi="宋体" w:eastAsia="宋体" w:cs="宋体"/>
          <w:spacing w:val="0"/>
          <w:w w:val="100"/>
          <w:kern w:val="0"/>
          <w:sz w:val="24"/>
          <w:szCs w:val="24"/>
          <w:lang w:val="en-US" w:eastAsia="zh-CN" w:bidi="ar-SA"/>
        </w:rPr>
      </w:pPr>
      <w:r>
        <w:rPr>
          <w:rFonts w:hint="eastAsia" w:ascii="宋体" w:hAnsi="宋体" w:eastAsia="宋体" w:cs="宋体"/>
          <w:spacing w:val="0"/>
          <w:w w:val="100"/>
          <w:kern w:val="0"/>
          <w:sz w:val="24"/>
          <w:szCs w:val="24"/>
          <w:lang w:val="en-US" w:eastAsia="zh-CN" w:bidi="ar-SA"/>
        </w:rPr>
        <w:t>（3）对所负责项目的建设内容、建设动态不了解、不清晰。每次扣3分.</w:t>
      </w:r>
    </w:p>
    <w:p w14:paraId="2C94B0E2">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0" w:firstLineChars="200"/>
        <w:jc w:val="both"/>
        <w:textAlignment w:val="auto"/>
        <w:outlineLvl w:val="9"/>
        <w:rPr>
          <w:rFonts w:hint="eastAsia" w:ascii="宋体" w:hAnsi="宋体" w:eastAsia="宋体" w:cs="宋体"/>
          <w:spacing w:val="0"/>
          <w:w w:val="100"/>
          <w:kern w:val="0"/>
          <w:sz w:val="24"/>
          <w:szCs w:val="24"/>
          <w:lang w:val="en-US" w:eastAsia="zh-CN" w:bidi="ar-SA"/>
        </w:rPr>
      </w:pPr>
      <w:r>
        <w:rPr>
          <w:rFonts w:hint="eastAsia" w:ascii="宋体" w:hAnsi="宋体" w:eastAsia="宋体" w:cs="宋体"/>
          <w:spacing w:val="0"/>
          <w:w w:val="100"/>
          <w:kern w:val="0"/>
          <w:sz w:val="24"/>
          <w:szCs w:val="24"/>
          <w:lang w:val="en-US" w:eastAsia="zh-CN" w:bidi="ar-SA"/>
        </w:rPr>
        <w:t>2、项目质量控制和变更控制（30分）；</w:t>
      </w:r>
    </w:p>
    <w:p w14:paraId="492EB3BB">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0" w:firstLineChars="200"/>
        <w:jc w:val="both"/>
        <w:textAlignment w:val="auto"/>
        <w:outlineLvl w:val="9"/>
        <w:rPr>
          <w:rFonts w:hint="eastAsia" w:ascii="宋体" w:hAnsi="宋体" w:eastAsia="宋体" w:cs="宋体"/>
          <w:spacing w:val="0"/>
          <w:w w:val="100"/>
          <w:kern w:val="0"/>
          <w:sz w:val="24"/>
          <w:szCs w:val="24"/>
          <w:lang w:val="en-US" w:eastAsia="zh-CN" w:bidi="ar-SA"/>
        </w:rPr>
      </w:pPr>
      <w:r>
        <w:rPr>
          <w:rFonts w:hint="eastAsia" w:ascii="宋体" w:hAnsi="宋体" w:eastAsia="宋体" w:cs="宋体"/>
          <w:spacing w:val="0"/>
          <w:w w:val="100"/>
          <w:kern w:val="0"/>
          <w:sz w:val="24"/>
          <w:szCs w:val="24"/>
          <w:lang w:val="en-US" w:eastAsia="zh-CN" w:bidi="ar-SA"/>
        </w:rPr>
        <w:t>（1）监理人员不按规定对项目有关事项进行审批、检查、确认或施工单位未经批准擅自实施，监理未及时发现造成工程质量返工或工期延误的。每次扣6分。</w:t>
      </w:r>
    </w:p>
    <w:p w14:paraId="5F054A2E">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0" w:firstLineChars="200"/>
        <w:jc w:val="both"/>
        <w:textAlignment w:val="auto"/>
        <w:outlineLvl w:val="9"/>
        <w:rPr>
          <w:rFonts w:hint="eastAsia" w:ascii="宋体" w:hAnsi="宋体" w:eastAsia="宋体" w:cs="宋体"/>
          <w:spacing w:val="0"/>
          <w:w w:val="100"/>
          <w:kern w:val="0"/>
          <w:sz w:val="24"/>
          <w:szCs w:val="24"/>
          <w:lang w:val="en-US" w:eastAsia="zh-CN" w:bidi="ar-SA"/>
        </w:rPr>
      </w:pPr>
      <w:r>
        <w:rPr>
          <w:rFonts w:hint="eastAsia" w:ascii="宋体" w:hAnsi="宋体" w:eastAsia="宋体" w:cs="宋体"/>
          <w:spacing w:val="0"/>
          <w:w w:val="100"/>
          <w:kern w:val="0"/>
          <w:sz w:val="24"/>
          <w:szCs w:val="24"/>
          <w:lang w:val="en-US" w:eastAsia="zh-CN" w:bidi="ar-SA"/>
        </w:rPr>
        <w:t>（2）验收中未对所验收部分质量数据进行实地测量、校验而通过验收的或验收部分实际质量数据与验收报告存在较大差异。每次扣6分。</w:t>
      </w:r>
    </w:p>
    <w:p w14:paraId="234A33F0">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0" w:firstLineChars="200"/>
        <w:jc w:val="both"/>
        <w:textAlignment w:val="auto"/>
        <w:outlineLvl w:val="9"/>
        <w:rPr>
          <w:rFonts w:hint="eastAsia" w:ascii="宋体" w:hAnsi="宋体" w:eastAsia="宋体" w:cs="宋体"/>
          <w:spacing w:val="0"/>
          <w:w w:val="100"/>
          <w:kern w:val="0"/>
          <w:sz w:val="24"/>
          <w:szCs w:val="24"/>
          <w:lang w:val="en-US" w:eastAsia="zh-CN" w:bidi="ar-SA"/>
        </w:rPr>
      </w:pPr>
      <w:r>
        <w:rPr>
          <w:rFonts w:hint="eastAsia" w:ascii="宋体" w:hAnsi="宋体" w:eastAsia="宋体" w:cs="宋体"/>
          <w:spacing w:val="0"/>
          <w:w w:val="100"/>
          <w:kern w:val="0"/>
          <w:sz w:val="24"/>
          <w:szCs w:val="24"/>
          <w:lang w:val="en-US" w:eastAsia="zh-CN" w:bidi="ar-SA"/>
        </w:rPr>
        <w:t>（3）监理人员对项目建设过程中的关键部位、关键工序的施工质量未实施全过程跟班旁站监督或旁站监督不仔细、不认真。每次扣6分。</w:t>
      </w:r>
    </w:p>
    <w:p w14:paraId="43041A3C">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0" w:firstLineChars="200"/>
        <w:jc w:val="both"/>
        <w:textAlignment w:val="auto"/>
        <w:outlineLvl w:val="9"/>
        <w:rPr>
          <w:rFonts w:hint="eastAsia" w:ascii="宋体" w:hAnsi="宋体" w:eastAsia="宋体" w:cs="宋体"/>
          <w:spacing w:val="0"/>
          <w:w w:val="100"/>
          <w:kern w:val="0"/>
          <w:sz w:val="24"/>
          <w:szCs w:val="24"/>
          <w:lang w:val="en-US" w:eastAsia="zh-CN" w:bidi="ar-SA"/>
        </w:rPr>
      </w:pPr>
      <w:r>
        <w:rPr>
          <w:rFonts w:hint="eastAsia" w:ascii="宋体" w:hAnsi="宋体" w:eastAsia="宋体" w:cs="宋体"/>
          <w:spacing w:val="0"/>
          <w:w w:val="100"/>
          <w:kern w:val="0"/>
          <w:sz w:val="24"/>
          <w:szCs w:val="24"/>
          <w:lang w:val="en-US" w:eastAsia="zh-CN" w:bidi="ar-SA"/>
        </w:rPr>
        <w:t>（4）未及时发现承建单位擅自实施项目变更或发现后未及时对承建单位采取禁止措施的。每次扣6分）。</w:t>
      </w:r>
    </w:p>
    <w:p w14:paraId="1EDE2EE7">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0" w:firstLineChars="200"/>
        <w:jc w:val="both"/>
        <w:textAlignment w:val="auto"/>
        <w:outlineLvl w:val="9"/>
        <w:rPr>
          <w:rFonts w:hint="eastAsia" w:ascii="宋体" w:hAnsi="宋体" w:eastAsia="宋体" w:cs="宋体"/>
          <w:spacing w:val="0"/>
          <w:w w:val="100"/>
          <w:kern w:val="0"/>
          <w:sz w:val="24"/>
          <w:szCs w:val="24"/>
          <w:lang w:val="en-US" w:eastAsia="zh-CN" w:bidi="ar-SA"/>
        </w:rPr>
      </w:pPr>
      <w:r>
        <w:rPr>
          <w:rFonts w:hint="eastAsia" w:ascii="宋体" w:hAnsi="宋体" w:eastAsia="宋体" w:cs="宋体"/>
          <w:spacing w:val="0"/>
          <w:w w:val="100"/>
          <w:kern w:val="0"/>
          <w:sz w:val="24"/>
          <w:szCs w:val="24"/>
          <w:lang w:val="en-US" w:eastAsia="zh-CN" w:bidi="ar-SA"/>
        </w:rPr>
        <w:t>（5）项目建设过程中存在质量问题或重大工序问题， 监理发现不及时或发现后未及时采取措施制止的其他事项。每次扣6分。</w:t>
      </w:r>
    </w:p>
    <w:p w14:paraId="6139DF3B">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0" w:firstLineChars="200"/>
        <w:jc w:val="both"/>
        <w:textAlignment w:val="auto"/>
        <w:outlineLvl w:val="9"/>
        <w:rPr>
          <w:rFonts w:hint="eastAsia" w:ascii="宋体" w:hAnsi="宋体" w:eastAsia="宋体" w:cs="宋体"/>
          <w:spacing w:val="0"/>
          <w:w w:val="100"/>
          <w:kern w:val="0"/>
          <w:sz w:val="24"/>
          <w:szCs w:val="24"/>
          <w:lang w:val="en-US" w:eastAsia="zh-CN" w:bidi="ar-SA"/>
        </w:rPr>
      </w:pPr>
      <w:r>
        <w:rPr>
          <w:rFonts w:hint="eastAsia" w:ascii="宋体" w:hAnsi="宋体" w:eastAsia="宋体" w:cs="宋体"/>
          <w:spacing w:val="0"/>
          <w:w w:val="100"/>
          <w:kern w:val="0"/>
          <w:sz w:val="24"/>
          <w:szCs w:val="24"/>
          <w:lang w:val="en-US" w:eastAsia="zh-CN" w:bidi="ar-SA"/>
        </w:rPr>
        <w:t>3、项目进度控制和会议制度（30分）；</w:t>
      </w:r>
    </w:p>
    <w:p w14:paraId="678AD131">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0" w:firstLineChars="200"/>
        <w:jc w:val="both"/>
        <w:textAlignment w:val="auto"/>
        <w:outlineLvl w:val="9"/>
        <w:rPr>
          <w:rFonts w:hint="eastAsia" w:ascii="宋体" w:hAnsi="宋体" w:eastAsia="宋体" w:cs="宋体"/>
          <w:spacing w:val="0"/>
          <w:w w:val="100"/>
          <w:kern w:val="0"/>
          <w:sz w:val="24"/>
          <w:szCs w:val="24"/>
          <w:lang w:val="en-US" w:eastAsia="zh-CN" w:bidi="ar-SA"/>
        </w:rPr>
      </w:pPr>
      <w:r>
        <w:rPr>
          <w:rFonts w:hint="eastAsia" w:ascii="宋体" w:hAnsi="宋体" w:eastAsia="宋体" w:cs="宋体"/>
          <w:spacing w:val="0"/>
          <w:w w:val="100"/>
          <w:kern w:val="0"/>
          <w:sz w:val="24"/>
          <w:szCs w:val="24"/>
          <w:lang w:val="en-US" w:eastAsia="zh-CN" w:bidi="ar-SA"/>
        </w:rPr>
        <w:t>（1）未在规定时间内审批承建单位提交的审批资料或审批时对承建单位错误的方案、计划未进行修正而导致项目进度延误。每次扣6分。</w:t>
      </w:r>
    </w:p>
    <w:p w14:paraId="5B7FFB73">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0" w:firstLineChars="200"/>
        <w:jc w:val="both"/>
        <w:textAlignment w:val="auto"/>
        <w:outlineLvl w:val="9"/>
        <w:rPr>
          <w:rFonts w:hint="eastAsia" w:ascii="宋体" w:hAnsi="宋体" w:eastAsia="宋体" w:cs="宋体"/>
          <w:spacing w:val="0"/>
          <w:w w:val="100"/>
          <w:kern w:val="0"/>
          <w:sz w:val="24"/>
          <w:szCs w:val="24"/>
          <w:lang w:val="en-US" w:eastAsia="zh-CN" w:bidi="ar-SA"/>
        </w:rPr>
      </w:pPr>
      <w:r>
        <w:rPr>
          <w:rFonts w:hint="eastAsia" w:ascii="宋体" w:hAnsi="宋体" w:eastAsia="宋体" w:cs="宋体"/>
          <w:spacing w:val="0"/>
          <w:w w:val="100"/>
          <w:kern w:val="0"/>
          <w:sz w:val="24"/>
          <w:szCs w:val="24"/>
          <w:lang w:val="en-US" w:eastAsia="zh-CN" w:bidi="ar-SA"/>
        </w:rPr>
        <w:t>（2）无法准确掌握项目进度或进度滞后时未及时、有效督促承建单位调整计划完成进度。每次扣6分。</w:t>
      </w:r>
    </w:p>
    <w:p w14:paraId="5B9961E4">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0" w:firstLineChars="200"/>
        <w:jc w:val="both"/>
        <w:textAlignment w:val="auto"/>
        <w:outlineLvl w:val="9"/>
        <w:rPr>
          <w:rFonts w:hint="eastAsia" w:ascii="宋体" w:hAnsi="宋体" w:eastAsia="宋体" w:cs="宋体"/>
          <w:spacing w:val="0"/>
          <w:w w:val="100"/>
          <w:kern w:val="0"/>
          <w:sz w:val="24"/>
          <w:szCs w:val="24"/>
          <w:lang w:val="en-US" w:eastAsia="zh-CN" w:bidi="ar-SA"/>
        </w:rPr>
      </w:pPr>
      <w:r>
        <w:rPr>
          <w:rFonts w:hint="eastAsia" w:ascii="宋体" w:hAnsi="宋体" w:eastAsia="宋体" w:cs="宋体"/>
          <w:spacing w:val="0"/>
          <w:w w:val="100"/>
          <w:kern w:val="0"/>
          <w:sz w:val="24"/>
          <w:szCs w:val="24"/>
          <w:lang w:val="en-US" w:eastAsia="zh-CN" w:bidi="ar-SA"/>
        </w:rPr>
        <w:t>（3）对承建单位上报的资料审核有误、错签漏签。每次扣6分。</w:t>
      </w:r>
    </w:p>
    <w:p w14:paraId="66C6CF75">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0" w:firstLineChars="200"/>
        <w:jc w:val="both"/>
        <w:textAlignment w:val="auto"/>
        <w:outlineLvl w:val="9"/>
        <w:rPr>
          <w:rFonts w:hint="eastAsia" w:ascii="宋体" w:hAnsi="宋体" w:eastAsia="宋体" w:cs="宋体"/>
          <w:spacing w:val="0"/>
          <w:w w:val="100"/>
          <w:kern w:val="0"/>
          <w:sz w:val="24"/>
          <w:szCs w:val="24"/>
          <w:lang w:val="en-US" w:eastAsia="zh-CN" w:bidi="ar-SA"/>
        </w:rPr>
      </w:pPr>
      <w:r>
        <w:rPr>
          <w:rFonts w:hint="eastAsia" w:ascii="宋体" w:hAnsi="宋体" w:eastAsia="宋体" w:cs="宋体"/>
          <w:spacing w:val="0"/>
          <w:w w:val="100"/>
          <w:kern w:val="0"/>
          <w:sz w:val="24"/>
          <w:szCs w:val="24"/>
          <w:lang w:val="en-US" w:eastAsia="zh-CN" w:bidi="ar-SA"/>
        </w:rPr>
        <w:t>（4）未按约定频率或要求组织召开例会、专题会议或阶段会议。每次扣6分。</w:t>
      </w:r>
    </w:p>
    <w:p w14:paraId="0A545B99">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0" w:firstLineChars="200"/>
        <w:jc w:val="both"/>
        <w:textAlignment w:val="auto"/>
        <w:outlineLvl w:val="9"/>
        <w:rPr>
          <w:rFonts w:hint="eastAsia" w:ascii="宋体" w:hAnsi="宋体" w:eastAsia="宋体" w:cs="宋体"/>
          <w:spacing w:val="0"/>
          <w:w w:val="100"/>
          <w:kern w:val="0"/>
          <w:sz w:val="24"/>
          <w:szCs w:val="24"/>
          <w:lang w:val="en-US" w:eastAsia="zh-CN" w:bidi="ar-SA"/>
        </w:rPr>
      </w:pPr>
      <w:r>
        <w:rPr>
          <w:rFonts w:hint="eastAsia" w:ascii="宋体" w:hAnsi="宋体" w:eastAsia="宋体" w:cs="宋体"/>
          <w:spacing w:val="0"/>
          <w:w w:val="100"/>
          <w:kern w:val="0"/>
          <w:sz w:val="24"/>
          <w:szCs w:val="24"/>
          <w:lang w:val="en-US" w:eastAsia="zh-CN" w:bidi="ar-SA"/>
        </w:rPr>
        <w:t>（5）会议纪律涣散、会议议题针对性不强或会议纪要整理不及时不规范、内容不真实不完整。每次扣6分。</w:t>
      </w:r>
    </w:p>
    <w:p w14:paraId="2769ED2D">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0" w:firstLineChars="200"/>
        <w:jc w:val="both"/>
        <w:textAlignment w:val="auto"/>
        <w:outlineLvl w:val="9"/>
        <w:rPr>
          <w:rFonts w:hint="eastAsia" w:ascii="宋体" w:hAnsi="宋体" w:eastAsia="宋体" w:cs="宋体"/>
          <w:spacing w:val="0"/>
          <w:w w:val="100"/>
          <w:kern w:val="0"/>
          <w:sz w:val="24"/>
          <w:szCs w:val="24"/>
          <w:lang w:val="en-US" w:eastAsia="zh-CN" w:bidi="ar-SA"/>
        </w:rPr>
      </w:pPr>
      <w:r>
        <w:rPr>
          <w:rFonts w:hint="eastAsia" w:ascii="宋体" w:hAnsi="宋体" w:eastAsia="宋体" w:cs="宋体"/>
          <w:spacing w:val="0"/>
          <w:w w:val="100"/>
          <w:kern w:val="0"/>
          <w:sz w:val="24"/>
          <w:szCs w:val="24"/>
          <w:lang w:val="en-US" w:eastAsia="zh-CN" w:bidi="ar-SA"/>
        </w:rPr>
        <w:t>4、项目安全文明施工管理（10分）；</w:t>
      </w:r>
    </w:p>
    <w:p w14:paraId="7B44CEB3">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0" w:firstLineChars="200"/>
        <w:jc w:val="both"/>
        <w:textAlignment w:val="auto"/>
        <w:outlineLvl w:val="9"/>
        <w:rPr>
          <w:rFonts w:hint="eastAsia" w:ascii="宋体" w:hAnsi="宋体" w:eastAsia="宋体" w:cs="宋体"/>
          <w:spacing w:val="0"/>
          <w:w w:val="100"/>
          <w:kern w:val="0"/>
          <w:sz w:val="24"/>
          <w:szCs w:val="24"/>
          <w:lang w:val="en-US" w:eastAsia="zh-CN" w:bidi="ar-SA"/>
        </w:rPr>
      </w:pPr>
      <w:r>
        <w:rPr>
          <w:rFonts w:hint="eastAsia" w:ascii="宋体" w:hAnsi="宋体" w:eastAsia="宋体" w:cs="宋体"/>
          <w:spacing w:val="0"/>
          <w:w w:val="100"/>
          <w:kern w:val="0"/>
          <w:sz w:val="24"/>
          <w:szCs w:val="24"/>
          <w:lang w:val="en-US" w:eastAsia="zh-CN" w:bidi="ar-SA"/>
        </w:rPr>
        <w:t>（1）未及时发现现场质量安全隐患或发现隐患未及时责令改正。每次扣5分。</w:t>
      </w:r>
    </w:p>
    <w:p w14:paraId="05177DF1">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0" w:firstLineChars="200"/>
        <w:jc w:val="both"/>
        <w:textAlignment w:val="auto"/>
        <w:outlineLvl w:val="9"/>
        <w:rPr>
          <w:rFonts w:hint="eastAsia" w:ascii="宋体" w:hAnsi="宋体" w:eastAsia="宋体" w:cs="宋体"/>
          <w:spacing w:val="0"/>
          <w:w w:val="100"/>
          <w:kern w:val="0"/>
          <w:sz w:val="24"/>
          <w:szCs w:val="24"/>
          <w:lang w:val="en-US" w:eastAsia="zh-CN" w:bidi="ar-SA"/>
        </w:rPr>
      </w:pPr>
      <w:r>
        <w:rPr>
          <w:rFonts w:hint="eastAsia" w:ascii="宋体" w:hAnsi="宋体" w:eastAsia="宋体" w:cs="宋体"/>
          <w:spacing w:val="0"/>
          <w:w w:val="100"/>
          <w:kern w:val="0"/>
          <w:sz w:val="24"/>
          <w:szCs w:val="24"/>
          <w:lang w:val="en-US" w:eastAsia="zh-CN" w:bidi="ar-SA"/>
        </w:rPr>
        <w:t>（2）隐瞒质量安全事故或发现质量安全事故未按程序处理的。每次扣5分。</w:t>
      </w:r>
    </w:p>
    <w:p w14:paraId="09BBC7E4">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0" w:firstLineChars="200"/>
        <w:jc w:val="both"/>
        <w:textAlignment w:val="auto"/>
        <w:outlineLvl w:val="9"/>
        <w:rPr>
          <w:rFonts w:hint="eastAsia" w:ascii="宋体" w:hAnsi="宋体" w:eastAsia="宋体" w:cs="宋体"/>
          <w:spacing w:val="0"/>
          <w:w w:val="100"/>
          <w:kern w:val="0"/>
          <w:sz w:val="24"/>
          <w:szCs w:val="24"/>
          <w:lang w:val="en-US" w:eastAsia="zh-CN" w:bidi="ar-SA"/>
        </w:rPr>
      </w:pPr>
      <w:r>
        <w:rPr>
          <w:rFonts w:hint="eastAsia" w:ascii="宋体" w:hAnsi="宋体" w:eastAsia="宋体" w:cs="宋体"/>
          <w:spacing w:val="0"/>
          <w:w w:val="100"/>
          <w:kern w:val="0"/>
          <w:sz w:val="24"/>
          <w:szCs w:val="24"/>
          <w:lang w:val="en-US" w:eastAsia="zh-CN" w:bidi="ar-SA"/>
        </w:rPr>
        <w:t>5、项目信息安全和档案管理（20分）；</w:t>
      </w:r>
    </w:p>
    <w:p w14:paraId="744CBD31">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0" w:firstLineChars="200"/>
        <w:jc w:val="both"/>
        <w:textAlignment w:val="auto"/>
        <w:outlineLvl w:val="9"/>
        <w:rPr>
          <w:rFonts w:hint="eastAsia" w:ascii="宋体" w:hAnsi="宋体" w:eastAsia="宋体" w:cs="宋体"/>
          <w:spacing w:val="0"/>
          <w:w w:val="100"/>
          <w:kern w:val="0"/>
          <w:sz w:val="24"/>
          <w:szCs w:val="24"/>
          <w:lang w:val="en-US" w:eastAsia="zh-CN" w:bidi="ar-SA"/>
        </w:rPr>
      </w:pPr>
      <w:r>
        <w:rPr>
          <w:rFonts w:hint="eastAsia" w:ascii="宋体" w:hAnsi="宋体" w:eastAsia="宋体" w:cs="宋体"/>
          <w:spacing w:val="0"/>
          <w:w w:val="100"/>
          <w:kern w:val="0"/>
          <w:sz w:val="24"/>
          <w:szCs w:val="24"/>
          <w:lang w:val="en-US" w:eastAsia="zh-CN" w:bidi="ar-SA"/>
        </w:rPr>
        <w:t>（1）未在规定时间内提交监理周报、月报、阶段报告、专题报告或监理情况发生变化时未进行及时调整、修改。每次扣15分。</w:t>
      </w:r>
    </w:p>
    <w:p w14:paraId="52144EFE">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0" w:firstLineChars="200"/>
        <w:jc w:val="both"/>
        <w:textAlignment w:val="auto"/>
        <w:outlineLvl w:val="9"/>
        <w:rPr>
          <w:rFonts w:hint="eastAsia" w:ascii="宋体" w:hAnsi="宋体" w:eastAsia="宋体" w:cs="宋体"/>
          <w:spacing w:val="0"/>
          <w:w w:val="100"/>
          <w:kern w:val="0"/>
          <w:sz w:val="24"/>
          <w:szCs w:val="24"/>
          <w:lang w:val="en-US" w:eastAsia="zh-CN" w:bidi="ar-SA"/>
        </w:rPr>
      </w:pPr>
      <w:r>
        <w:rPr>
          <w:rFonts w:hint="eastAsia" w:ascii="宋体" w:hAnsi="宋体" w:eastAsia="宋体" w:cs="宋体"/>
          <w:spacing w:val="0"/>
          <w:w w:val="100"/>
          <w:kern w:val="0"/>
          <w:sz w:val="24"/>
          <w:szCs w:val="24"/>
          <w:lang w:val="en-US" w:eastAsia="zh-CN" w:bidi="ar-SA"/>
        </w:rPr>
        <w:t>（2）监理报告、日志内容空泛，对项目质量、进度、设备、规范等描述出现明显不符。每次扣5分。</w:t>
      </w:r>
    </w:p>
    <w:p w14:paraId="04343C16">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0" w:firstLineChars="200"/>
        <w:jc w:val="both"/>
        <w:textAlignment w:val="auto"/>
        <w:outlineLvl w:val="9"/>
        <w:rPr>
          <w:rFonts w:hint="eastAsia" w:ascii="宋体" w:hAnsi="宋体" w:eastAsia="宋体" w:cs="宋体"/>
          <w:spacing w:val="0"/>
          <w:w w:val="100"/>
          <w:kern w:val="0"/>
          <w:sz w:val="24"/>
          <w:szCs w:val="24"/>
          <w:lang w:val="en-US" w:eastAsia="zh-CN" w:bidi="ar-SA"/>
        </w:rPr>
      </w:pPr>
      <w:r>
        <w:rPr>
          <w:rFonts w:hint="eastAsia" w:ascii="宋体" w:hAnsi="宋体" w:eastAsia="宋体" w:cs="宋体"/>
          <w:spacing w:val="0"/>
          <w:w w:val="100"/>
          <w:kern w:val="0"/>
          <w:sz w:val="24"/>
          <w:szCs w:val="24"/>
          <w:lang w:val="en-US" w:eastAsia="zh-CN" w:bidi="ar-SA"/>
        </w:rPr>
        <w:t>（3）监理档案资料在重点环节出现遗漏、遗失的。 每次扣3分。</w:t>
      </w:r>
    </w:p>
    <w:p w14:paraId="4A8A80C5">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0" w:firstLineChars="200"/>
        <w:jc w:val="both"/>
        <w:textAlignment w:val="auto"/>
        <w:outlineLvl w:val="9"/>
        <w:rPr>
          <w:rFonts w:hint="eastAsia" w:ascii="宋体" w:hAnsi="宋体" w:eastAsia="宋体" w:cs="宋体"/>
          <w:spacing w:val="0"/>
          <w:w w:val="100"/>
          <w:kern w:val="0"/>
          <w:sz w:val="24"/>
          <w:szCs w:val="24"/>
          <w:lang w:val="en-US" w:eastAsia="zh-CN" w:bidi="ar-SA"/>
        </w:rPr>
      </w:pPr>
      <w:r>
        <w:rPr>
          <w:rFonts w:hint="eastAsia" w:ascii="宋体" w:hAnsi="宋体" w:eastAsia="宋体" w:cs="宋体"/>
          <w:spacing w:val="0"/>
          <w:w w:val="100"/>
          <w:kern w:val="0"/>
          <w:sz w:val="24"/>
          <w:szCs w:val="24"/>
          <w:lang w:val="en-US" w:eastAsia="zh-CN" w:bidi="ar-SA"/>
        </w:rPr>
        <w:t>（4）监理档案资料擅自涂改或资料内容出现明显错误的。每次扣2分。</w:t>
      </w:r>
    </w:p>
    <w:p w14:paraId="47948B02">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0" w:firstLineChars="200"/>
        <w:jc w:val="both"/>
        <w:textAlignment w:val="auto"/>
        <w:outlineLvl w:val="9"/>
        <w:rPr>
          <w:rFonts w:hint="eastAsia" w:ascii="宋体" w:hAnsi="宋体" w:eastAsia="宋体" w:cs="宋体"/>
          <w:spacing w:val="0"/>
          <w:w w:val="100"/>
          <w:kern w:val="0"/>
          <w:sz w:val="24"/>
          <w:szCs w:val="24"/>
          <w:lang w:val="en-US" w:eastAsia="zh-CN" w:bidi="ar-SA"/>
        </w:rPr>
      </w:pPr>
      <w:r>
        <w:rPr>
          <w:rFonts w:hint="eastAsia" w:ascii="宋体" w:hAnsi="宋体" w:eastAsia="宋体" w:cs="宋体"/>
          <w:spacing w:val="0"/>
          <w:w w:val="100"/>
          <w:kern w:val="0"/>
          <w:sz w:val="24"/>
          <w:szCs w:val="24"/>
          <w:lang w:val="en-US" w:eastAsia="zh-CN" w:bidi="ar-SA"/>
        </w:rPr>
        <w:t>（5）泄露与本项目有关的技术和商务秘密，对委托人造成损失。每次扣5分。</w:t>
      </w:r>
    </w:p>
    <w:p w14:paraId="64860381">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0" w:firstLineChars="200"/>
        <w:jc w:val="both"/>
        <w:textAlignment w:val="auto"/>
        <w:outlineLvl w:val="9"/>
        <w:rPr>
          <w:rFonts w:hint="eastAsia" w:ascii="宋体" w:hAnsi="宋体" w:eastAsia="宋体" w:cs="宋体"/>
          <w:spacing w:val="0"/>
          <w:w w:val="100"/>
          <w:kern w:val="0"/>
          <w:sz w:val="24"/>
          <w:szCs w:val="24"/>
          <w:lang w:val="en-US" w:eastAsia="zh-CN" w:bidi="ar-SA"/>
        </w:rPr>
      </w:pPr>
      <w:r>
        <w:rPr>
          <w:rFonts w:hint="eastAsia" w:ascii="宋体" w:hAnsi="宋体" w:eastAsia="宋体" w:cs="宋体"/>
          <w:spacing w:val="0"/>
          <w:w w:val="100"/>
          <w:kern w:val="0"/>
          <w:sz w:val="24"/>
          <w:szCs w:val="24"/>
          <w:lang w:val="en-US" w:eastAsia="zh-CN" w:bidi="ar-SA"/>
        </w:rPr>
        <w:t>（六）考核方式</w:t>
      </w:r>
    </w:p>
    <w:p w14:paraId="3581C061">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0" w:firstLineChars="200"/>
        <w:jc w:val="both"/>
        <w:textAlignment w:val="auto"/>
        <w:outlineLvl w:val="9"/>
        <w:rPr>
          <w:rFonts w:hint="eastAsia" w:ascii="宋体" w:hAnsi="宋体" w:eastAsia="宋体" w:cs="宋体"/>
          <w:spacing w:val="0"/>
          <w:w w:val="100"/>
          <w:kern w:val="0"/>
          <w:sz w:val="24"/>
          <w:szCs w:val="24"/>
          <w:lang w:val="en-US" w:eastAsia="zh-CN" w:bidi="ar-SA"/>
        </w:rPr>
      </w:pPr>
      <w:r>
        <w:rPr>
          <w:rFonts w:hint="eastAsia" w:ascii="宋体" w:hAnsi="宋体" w:eastAsia="宋体" w:cs="宋体"/>
          <w:spacing w:val="0"/>
          <w:w w:val="100"/>
          <w:kern w:val="0"/>
          <w:sz w:val="24"/>
          <w:szCs w:val="24"/>
          <w:lang w:val="en-US" w:eastAsia="zh-CN" w:bidi="ar-SA"/>
        </w:rPr>
        <w:t>1、由甲方组织实施考核，进行综合考核排名。</w:t>
      </w:r>
    </w:p>
    <w:p w14:paraId="6624AB0E">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0" w:firstLineChars="200"/>
        <w:jc w:val="both"/>
        <w:textAlignment w:val="auto"/>
        <w:outlineLvl w:val="9"/>
        <w:rPr>
          <w:rFonts w:hint="eastAsia" w:ascii="宋体" w:hAnsi="宋体" w:eastAsia="宋体" w:cs="宋体"/>
          <w:spacing w:val="0"/>
          <w:w w:val="100"/>
          <w:kern w:val="0"/>
          <w:sz w:val="24"/>
          <w:szCs w:val="24"/>
          <w:lang w:val="en-US" w:eastAsia="zh-CN" w:bidi="ar-SA"/>
        </w:rPr>
      </w:pPr>
      <w:r>
        <w:rPr>
          <w:rFonts w:hint="eastAsia" w:ascii="宋体" w:hAnsi="宋体" w:eastAsia="宋体" w:cs="宋体"/>
          <w:spacing w:val="0"/>
          <w:w w:val="100"/>
          <w:kern w:val="0"/>
          <w:sz w:val="24"/>
          <w:szCs w:val="24"/>
          <w:lang w:val="en-US" w:eastAsia="zh-CN" w:bidi="ar-SA"/>
        </w:rPr>
        <w:t>2、乙方对考核有异议的，应在3个工作日内向甲方提供书面申请，甲方应组织复核并在7个工作日内进行答复。</w:t>
      </w:r>
    </w:p>
    <w:p w14:paraId="3252DCD9">
      <w:pPr>
        <w:adjustRightInd w:val="0"/>
        <w:snapToGrid w:val="0"/>
        <w:spacing w:line="460" w:lineRule="exact"/>
        <w:ind w:firstLine="480" w:firstLineChars="200"/>
        <w:jc w:val="left"/>
        <w:rPr>
          <w:rFonts w:hint="eastAsia" w:ascii="宋体" w:hAnsi="宋体" w:eastAsia="宋体" w:cs="宋体"/>
          <w:b/>
          <w:color w:val="000000"/>
          <w:sz w:val="24"/>
          <w:szCs w:val="24"/>
          <w:highlight w:val="none"/>
        </w:rPr>
      </w:pPr>
      <w:r>
        <w:rPr>
          <w:rFonts w:hint="eastAsia" w:ascii="宋体" w:hAnsi="宋体" w:eastAsia="宋体" w:cs="宋体"/>
          <w:spacing w:val="0"/>
          <w:w w:val="100"/>
          <w:kern w:val="0"/>
          <w:sz w:val="24"/>
          <w:szCs w:val="24"/>
          <w:lang w:val="en-US" w:eastAsia="zh-CN" w:bidi="ar-SA"/>
        </w:rPr>
        <w:t>3、本考核办法为合同的重要组成部分，甲方和乙方严格按照本考核办法执行。同时乙方须遵守行业的相关规定。</w:t>
      </w:r>
    </w:p>
    <w:p w14:paraId="27C72AA1">
      <w:pPr>
        <w:adjustRightInd w:val="0"/>
        <w:snapToGrid w:val="0"/>
        <w:spacing w:line="460" w:lineRule="exact"/>
        <w:ind w:firstLine="241" w:firstLineChars="100"/>
        <w:jc w:val="left"/>
        <w:rPr>
          <w:rFonts w:hint="eastAsia" w:ascii="宋体" w:hAnsi="宋体" w:eastAsia="宋体" w:cs="宋体"/>
          <w:color w:val="FF0000"/>
          <w:sz w:val="24"/>
          <w:szCs w:val="24"/>
          <w:highlight w:val="none"/>
        </w:rPr>
      </w:pPr>
      <w:r>
        <w:rPr>
          <w:rFonts w:hint="eastAsia" w:ascii="宋体" w:hAnsi="宋体" w:eastAsia="宋体" w:cs="宋体"/>
          <w:b/>
          <w:color w:val="000000"/>
          <w:sz w:val="24"/>
          <w:szCs w:val="24"/>
          <w:highlight w:val="none"/>
        </w:rPr>
        <w:t>三、服务要求（如对人员配置、专业设备、服务标准等）</w:t>
      </w:r>
    </w:p>
    <w:p w14:paraId="4B6AFB46">
      <w:pPr>
        <w:widowControl/>
        <w:adjustRightInd w:val="0"/>
        <w:snapToGrid w:val="0"/>
        <w:spacing w:line="4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（一）服务要求</w:t>
      </w:r>
    </w:p>
    <w:p w14:paraId="71DEFC54">
      <w:pPr>
        <w:widowControl/>
        <w:adjustRightInd w:val="0"/>
        <w:snapToGrid w:val="0"/>
        <w:spacing w:line="4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监理单位应依照相关标准以及采购方制定的各项需求，以采购方的项目利益为目标，本着科学、公正、严格、守信、守纪、守法等相关原则，为采购方提供监理服务。监理单位应对采购方负责的建设项目提供从合同签订之日起至所监理项目全部通过最终验收之日止的监理服务。监理具体的服务内容主要包括但不限于以下工作：工程质量控制、工程进度控制、工程投资的控制、工程变更控制、合同的管理、文档的管理、数据安全的管理、知识产权的管理、保密管理和文明施工与安全生产管理等。监理方必须按照采购方要求安排工作人员现场办公做好本项目质量和进度控制，协助业主单位完成本项目任务提供管理和技术咨询。</w:t>
      </w:r>
    </w:p>
    <w:p w14:paraId="7A31D699">
      <w:pPr>
        <w:widowControl/>
        <w:adjustRightInd w:val="0"/>
        <w:snapToGrid w:val="0"/>
        <w:spacing w:line="4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（二）设备要求</w:t>
      </w:r>
    </w:p>
    <w:p w14:paraId="513CAD20">
      <w:pPr>
        <w:adjustRightInd w:val="0"/>
        <w:snapToGrid w:val="0"/>
        <w:spacing w:line="460" w:lineRule="exact"/>
        <w:ind w:firstLine="600" w:firstLineChars="250"/>
        <w:jc w:val="left"/>
        <w:rPr>
          <w:rFonts w:hint="eastAsia" w:ascii="宋体" w:hAnsi="宋体" w:eastAsia="宋体" w:cs="宋体"/>
          <w:color w:val="000000"/>
          <w:kern w:val="0"/>
          <w:sz w:val="24"/>
          <w:szCs w:val="24"/>
          <w:highlight w:val="none"/>
          <w:lang w:bidi="en-US"/>
        </w:rPr>
      </w:pPr>
      <w:r>
        <w:rPr>
          <w:rFonts w:hint="eastAsia" w:ascii="宋体" w:hAnsi="宋体" w:eastAsia="宋体" w:cs="宋体"/>
          <w:color w:val="000000"/>
          <w:kern w:val="0"/>
          <w:sz w:val="24"/>
          <w:szCs w:val="24"/>
          <w:highlight w:val="none"/>
          <w:lang w:bidi="en-US"/>
        </w:rPr>
        <w:t>监理方在监理服务过程中提供监理工作所需的一切检测设备，设备一切相关费用由监理方自行承担，服务过程中根据采购方要求更换或补充设备。</w:t>
      </w:r>
    </w:p>
    <w:p w14:paraId="6262785D">
      <w:pPr>
        <w:widowControl/>
        <w:adjustRightInd w:val="0"/>
        <w:snapToGrid w:val="0"/>
        <w:spacing w:line="4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（三）监理人员的配置</w:t>
      </w:r>
    </w:p>
    <w:p w14:paraId="5B611062">
      <w:pPr>
        <w:keepNext w:val="0"/>
        <w:keepLines w:val="0"/>
        <w:pageBreakBefore w:val="0"/>
        <w:widowControl w:val="0"/>
        <w:kinsoku/>
        <w:wordWrap/>
        <w:overflowPunct/>
        <w:topLinePunct w:val="0"/>
        <w:autoSpaceDE/>
        <w:autoSpaceDN/>
        <w:bidi w:val="0"/>
        <w:adjustRightInd/>
        <w:snapToGrid/>
        <w:spacing w:before="0" w:line="460" w:lineRule="exact"/>
        <w:ind w:right="0"/>
        <w:textAlignment w:val="auto"/>
        <w:rPr>
          <w:rFonts w:hint="default" w:ascii="宋体" w:hAnsi="宋体" w:eastAsia="宋体" w:cs="宋体"/>
          <w:color w:val="auto"/>
          <w:spacing w:val="9"/>
          <w:sz w:val="24"/>
          <w:szCs w:val="21"/>
          <w:lang w:val="en-US" w:eastAsia="zh-CN"/>
        </w:rPr>
      </w:pPr>
      <w:r>
        <w:rPr>
          <w:rFonts w:hint="eastAsia" w:ascii="宋体" w:hAnsi="宋体" w:eastAsia="宋体" w:cs="宋体"/>
          <w:sz w:val="24"/>
          <w:szCs w:val="24"/>
          <w:highlight w:val="none"/>
        </w:rPr>
        <w:t>项目监理机构中配备监理人员的数量和专业应根据监理的任务范围、内容、期限以及工程的类别、规模、技术复杂程度、工程环境等因素综合考虑，应符合委托合同中对监理深度和密度的要求，能体现项目监理机构的整体素质，满足监理目标控制的要求。</w:t>
      </w:r>
      <w:r>
        <w:rPr>
          <w:rFonts w:hint="eastAsia" w:ascii="宋体" w:hAnsi="宋体" w:eastAsia="宋体" w:cs="宋体"/>
          <w:color w:val="000000"/>
          <w:sz w:val="24"/>
          <w:szCs w:val="24"/>
          <w:highlight w:val="none"/>
        </w:rPr>
        <w:t>监理公司应委派至少1名总监理工程师和7名现场监理工程师，</w:t>
      </w:r>
      <w:r>
        <w:rPr>
          <w:rFonts w:hint="eastAsia" w:ascii="宋体" w:hAnsi="宋体" w:eastAsia="宋体" w:cs="宋体"/>
          <w:sz w:val="24"/>
          <w:szCs w:val="24"/>
          <w:highlight w:val="none"/>
        </w:rPr>
        <w:t>拟派驻本项目</w:t>
      </w:r>
      <w:r>
        <w:rPr>
          <w:rFonts w:hint="eastAsia" w:ascii="宋体" w:hAnsi="宋体" w:eastAsia="宋体" w:cs="Times New Roman"/>
          <w:sz w:val="24"/>
          <w:szCs w:val="24"/>
          <w:highlight w:val="none"/>
        </w:rPr>
        <w:t>总监理工程师具备国家注册通信工程监理工程师证书</w:t>
      </w:r>
      <w:r>
        <w:rPr>
          <w:rFonts w:hint="eastAsia" w:ascii="宋体" w:hAnsi="宋体" w:eastAsia="宋体" w:cs="宋体"/>
          <w:bCs/>
          <w:sz w:val="24"/>
          <w:szCs w:val="24"/>
          <w:highlight w:val="none"/>
        </w:rPr>
        <w:t>，现场监理工程师包括2名通信工程监理工程师、2名机电安装监理工程师、1名交通工程类工程师，1名电子信息类工程师和1名信息系统监理工程师。</w:t>
      </w:r>
      <w:r>
        <w:rPr>
          <w:rFonts w:hint="eastAsia" w:ascii="宋体" w:hAnsi="宋体" w:eastAsia="宋体" w:cs="宋体"/>
          <w:color w:val="000000"/>
          <w:sz w:val="24"/>
          <w:szCs w:val="24"/>
          <w:highlight w:val="none"/>
        </w:rPr>
        <w:t>除总监理工程师驻场办公外，监理机构还须委派2名现场监理工程师驻场工作。</w:t>
      </w:r>
      <w:bookmarkStart w:id="19" w:name="_GoBack"/>
      <w:bookmarkEnd w:id="1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13B50F"/>
    <w:multiLevelType w:val="singleLevel"/>
    <w:tmpl w:val="FF13B50F"/>
    <w:lvl w:ilvl="0" w:tentative="0">
      <w:start w:val="1"/>
      <w:numFmt w:val="decimal"/>
      <w:suff w:val="nothing"/>
      <w:lvlText w:val="（%1）"/>
      <w:lvlJc w:val="left"/>
    </w:lvl>
  </w:abstractNum>
  <w:abstractNum w:abstractNumId="1">
    <w:nsid w:val="075BEE9C"/>
    <w:multiLevelType w:val="singleLevel"/>
    <w:tmpl w:val="075BEE9C"/>
    <w:lvl w:ilvl="0" w:tentative="0">
      <w:start w:val="1"/>
      <w:numFmt w:val="chineseCounting"/>
      <w:suff w:val="nothing"/>
      <w:lvlText w:val="%1、"/>
      <w:lvlJc w:val="left"/>
      <w:rPr>
        <w:rFonts w:hint="eastAsia"/>
      </w:rPr>
    </w:lvl>
  </w:abstractNum>
  <w:abstractNum w:abstractNumId="2">
    <w:nsid w:val="5184F2D2"/>
    <w:multiLevelType w:val="singleLevel"/>
    <w:tmpl w:val="5184F2D2"/>
    <w:lvl w:ilvl="0" w:tentative="0">
      <w:start w:val="1"/>
      <w:numFmt w:val="decimal"/>
      <w:suff w:val="nothing"/>
      <w:lvlText w:val="（%1）"/>
      <w:lvlJc w:val="left"/>
      <w:pPr>
        <w:ind w:left="800" w:leftChars="0" w:firstLine="0" w:firstLineChars="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OThkNDVmNWE5YmE2OTk5YzUwNzFhYzJkNGIwMGUifQ=="/>
  </w:docVars>
  <w:rsids>
    <w:rsidRoot w:val="00000000"/>
    <w:rsid w:val="43917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2024-10-28T09:13:46Z</dcterms:created>
  <dc:creator>Administrator</dc:creator>
  <cp:lastModifiedBy>宋</cp:lastModifiedBy>
  <dcterms:modified xsi:type="dcterms:W3CDTF">2024-10-28T09:15:00Z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64FF42752E5A4F708A0E43AEB3A75B2E_12</vt:lpwstr>
  </property>
</Properties>
</file>