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98F98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10"/>
          <w:kern w:val="0"/>
          <w:sz w:val="32"/>
          <w:szCs w:val="32"/>
          <w:lang w:val="en-US" w:eastAsia="zh-CN" w:bidi="ar-SA"/>
        </w:rPr>
      </w:pPr>
      <w:r>
        <w:rPr>
          <w:rFonts w:ascii="黑体" w:hAnsi="黑体" w:eastAsia="黑体" w:cs="黑体"/>
          <w:snapToGrid w:val="0"/>
          <w:color w:val="000000"/>
          <w:spacing w:val="-10"/>
          <w:kern w:val="0"/>
          <w:sz w:val="32"/>
          <w:szCs w:val="32"/>
          <w:lang w:val="en-US" w:eastAsia="en-US" w:bidi="ar-SA"/>
        </w:rPr>
        <w:t>特殊资格审查</w:t>
      </w:r>
      <w:r>
        <w:rPr>
          <w:rFonts w:hint="eastAsia" w:ascii="黑体" w:hAnsi="黑体" w:eastAsia="黑体" w:cs="黑体"/>
          <w:snapToGrid w:val="0"/>
          <w:color w:val="000000"/>
          <w:spacing w:val="-10"/>
          <w:kern w:val="0"/>
          <w:sz w:val="32"/>
          <w:szCs w:val="32"/>
          <w:lang w:val="en-US" w:eastAsia="zh-CN" w:bidi="ar-SA"/>
        </w:rPr>
        <w:t>：</w:t>
      </w:r>
    </w:p>
    <w:p w14:paraId="3820EA61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zh-CN" w:bidi="ar-SA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  <w:r>
        <w:rPr>
          <w:rFonts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在</w:t>
      </w:r>
      <w:r>
        <w:rPr>
          <w:rFonts w:hint="eastAsia"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zh-CN" w:bidi="ar-SA"/>
        </w:rPr>
        <w:t>磋商</w:t>
      </w:r>
      <w:r>
        <w:rPr>
          <w:rFonts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截止时间，</w:t>
      </w:r>
      <w:r>
        <w:rPr>
          <w:rFonts w:hint="eastAsia"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zh-CN" w:bidi="ar-SA"/>
        </w:rPr>
        <w:t>响应</w:t>
      </w:r>
      <w:r>
        <w:rPr>
          <w:rFonts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人不得存在列入</w:t>
      </w:r>
      <w:r>
        <w:rPr>
          <w:rFonts w:ascii="黑体" w:hAnsi="黑体" w:eastAsia="黑体" w:cs="黑体"/>
          <w:b/>
          <w:bCs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失信被执行人</w:t>
      </w:r>
      <w:r>
        <w:rPr>
          <w:rFonts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（“中国执行信息公开网”http://zxgk.court.gov.cn/shixin/）的情形、不得存在列入信用中国（www.creditchina.gov.cn）</w:t>
      </w:r>
      <w:r>
        <w:rPr>
          <w:rFonts w:ascii="黑体" w:hAnsi="黑体" w:eastAsia="黑体" w:cs="黑体"/>
          <w:b/>
          <w:bCs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重大税收违法失信主体</w:t>
      </w:r>
      <w:r>
        <w:rPr>
          <w:rFonts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和</w:t>
      </w:r>
      <w:r>
        <w:rPr>
          <w:rFonts w:ascii="黑体" w:hAnsi="黑体" w:eastAsia="黑体" w:cs="黑体"/>
          <w:b/>
          <w:bCs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政府采购严重违法失信行为记录</w:t>
      </w:r>
      <w:r>
        <w:rPr>
          <w:rFonts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名单的情形， 不得存在列入中国政府采购网（www.ccgp.gov.cn）政府采购</w:t>
      </w:r>
      <w:r>
        <w:rPr>
          <w:rFonts w:ascii="黑体" w:hAnsi="黑体" w:eastAsia="黑体" w:cs="黑体"/>
          <w:b/>
          <w:bCs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严重违法失信行为记录名单</w:t>
      </w:r>
      <w:r>
        <w:rPr>
          <w:rFonts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en-US" w:bidi="ar-SA"/>
        </w:rPr>
        <w:t>的情形。</w:t>
      </w:r>
      <w:r>
        <w:rPr>
          <w:rFonts w:hint="eastAsia"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zh-CN" w:bidi="ar-SA"/>
        </w:rPr>
        <w:t>（提供网站截图。</w:t>
      </w:r>
      <w:bookmarkStart w:id="0" w:name="_GoBack"/>
      <w:bookmarkEnd w:id="0"/>
      <w:r>
        <w:rPr>
          <w:rFonts w:hint="eastAsia" w:ascii="黑体" w:hAnsi="黑体" w:eastAsia="黑体" w:cs="黑体"/>
          <w:snapToGrid w:val="0"/>
          <w:color w:val="000000"/>
          <w:spacing w:val="-10"/>
          <w:kern w:val="0"/>
          <w:sz w:val="25"/>
          <w:szCs w:val="25"/>
          <w:lang w:val="en-US" w:eastAsia="zh-CN" w:bidi="ar-SA"/>
        </w:rPr>
        <w:t>）</w:t>
      </w:r>
    </w:p>
    <w:p w14:paraId="154062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lNmY0YmRkOTg0NTRlNzNhNGY1MjVmZDhhMjBhYzMifQ=="/>
  </w:docVars>
  <w:rsids>
    <w:rsidRoot w:val="00000000"/>
    <w:rsid w:val="1CF54EDD"/>
    <w:rsid w:val="7F37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走路去纽约</cp:lastModifiedBy>
  <dcterms:modified xsi:type="dcterms:W3CDTF">2024-11-08T06:58:18Z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1994D17E13F44FB48C0B6F23A624431D_12</vt:lpwstr>
  </property>
</Properties>
</file>