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“2024年30项为民实事”全媒体传播项目</w:t>
      </w:r>
    </w:p>
    <w:p>
      <w:pPr>
        <w:pStyle w:val="null3"/>
        <w:jc w:val="center"/>
        <w:outlineLvl w:val="2"/>
      </w:pPr>
      <w:r>
        <w:rPr>
          <w:sz w:val="28"/>
          <w:b/>
        </w:rPr>
        <w:t>采购项目编号：</w:t>
      </w:r>
      <w:r>
        <w:rPr>
          <w:sz w:val="28"/>
          <w:b/>
        </w:rPr>
        <w:t>ZCPC-2024-079</w:t>
      </w:r>
      <w:r>
        <w:br/>
      </w:r>
      <w:r>
        <w:br/>
      </w:r>
      <w:r>
        <w:br/>
      </w:r>
    </w:p>
    <w:p>
      <w:pPr>
        <w:pStyle w:val="null3"/>
        <w:jc w:val="center"/>
        <w:outlineLvl w:val="2"/>
      </w:pPr>
      <w:r>
        <w:rPr>
          <w:sz w:val="28"/>
          <w:b/>
        </w:rPr>
        <w:t>中共西安市委宣传部（本级）</w:t>
      </w:r>
    </w:p>
    <w:p>
      <w:pPr>
        <w:pStyle w:val="null3"/>
        <w:jc w:val="center"/>
        <w:outlineLvl w:val="2"/>
      </w:pPr>
      <w:r>
        <w:rPr>
          <w:sz w:val="28"/>
          <w:b/>
        </w:rPr>
        <w:t>陕西众灿品诚项目管理有限公司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陕西众灿品诚项目管理有限公司</w:t>
      </w:r>
      <w:r>
        <w:rPr/>
        <w:t>（以下简称“代理机构”）受</w:t>
      </w:r>
      <w:r>
        <w:rPr/>
        <w:t>中共西安市委宣传部（本级）</w:t>
      </w:r>
      <w:r>
        <w:rPr/>
        <w:t>委托，拟对</w:t>
      </w:r>
      <w:r>
        <w:rPr/>
        <w:t>“2024年30项为民实事”全媒体传播项目</w:t>
      </w:r>
      <w:r>
        <w:rPr/>
        <w:t>采用竞争性磋商采购方式进行采购，兹邀请供应商参加本项目的竞争性磋商。</w:t>
      </w:r>
    </w:p>
    <w:p>
      <w:pPr>
        <w:pStyle w:val="null3"/>
        <w:outlineLvl w:val="2"/>
      </w:pPr>
      <w:r>
        <w:rPr>
          <w:sz w:val="28"/>
          <w:b/>
        </w:rPr>
        <w:t>一、项目编号：</w:t>
      </w:r>
      <w:r>
        <w:rPr>
          <w:sz w:val="28"/>
          <w:b/>
        </w:rPr>
        <w:t>ZCPC-2024-079</w:t>
      </w:r>
    </w:p>
    <w:p>
      <w:pPr>
        <w:pStyle w:val="null3"/>
        <w:outlineLvl w:val="2"/>
      </w:pPr>
      <w:r>
        <w:rPr>
          <w:sz w:val="28"/>
          <w:b/>
        </w:rPr>
        <w:t>二、项目名称：</w:t>
      </w:r>
      <w:r>
        <w:rPr>
          <w:sz w:val="28"/>
          <w:b/>
        </w:rPr>
        <w:t>“2024年30项为民实事”全媒体传播项目</w:t>
      </w:r>
    </w:p>
    <w:p>
      <w:pPr>
        <w:pStyle w:val="null3"/>
        <w:outlineLvl w:val="2"/>
      </w:pPr>
      <w:r>
        <w:rPr>
          <w:sz w:val="28"/>
          <w:b/>
        </w:rPr>
        <w:t>三、磋商项目简介</w:t>
      </w:r>
    </w:p>
    <w:p>
      <w:pPr>
        <w:pStyle w:val="null3"/>
        <w:ind w:firstLine="480"/>
      </w:pPr>
      <w:r>
        <w:rPr/>
        <w:t>“2024年30项为民实事”全媒体传播项目，重点围绕我市2024年提出的办好10个方面30项为民实事，聚焦交通出行、教育助学、社区服务、供水改造、住房保障、就业创业、医疗服务、文化惠民、市容环境、便民服务等亮点成效和典型做法，由都市类媒体推出图文、视频等系列融媒稿件，全面展示西安多措并举办好民实事的成绩成效。</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采购包1（“2024年30项为民实事”全媒体传播项目）：属于专门面向中小企业采购。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t>3、财务会计报告：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t>4、社会保障资金缴纳证明：提供开标截止时间前6个月内任意时段的社会保障资金缴存单据或社保机构开具的社会保险参保缴费情况证明，依法不需要缴纳社会保障资金的提供相关文件证明；</w:t>
      </w:r>
    </w:p>
    <w:p>
      <w:pPr>
        <w:pStyle w:val="null3"/>
      </w:pPr>
      <w:r>
        <w:rPr/>
        <w:t>5、税收缴纳证明：提供开标截止时间前6个月内任意时段的纳税证明或完税证明，纳税证明或完税证明上应有代收机构或税务机关的公章，依法免税的应提供相关文件证明；</w:t>
      </w:r>
    </w:p>
    <w:p>
      <w:pPr>
        <w:pStyle w:val="null3"/>
      </w:pPr>
      <w:r>
        <w:rPr/>
        <w:t>6、无重大违法记录声明：参加政府采购项目前 3 年内经营项目中没有重大违法记录声明；</w:t>
      </w:r>
    </w:p>
    <w:p>
      <w:pPr>
        <w:pStyle w:val="null3"/>
      </w:pPr>
      <w:r>
        <w:rPr/>
        <w:t>7、具有履行服务合同所必需的设备和专业技术能力：提供具有履行服务合同所必需的设备和专业技术能力的承诺函；</w:t>
      </w:r>
    </w:p>
    <w:p>
      <w:pPr>
        <w:pStyle w:val="null3"/>
      </w:pPr>
      <w:r>
        <w:rPr/>
        <w:t>8、控股、管理关系：单位负责人为同一人或者存在控股、管理关系的不同供应商，不得同时参加本项目采购项目；</w:t>
      </w:r>
    </w:p>
    <w:p>
      <w:pPr>
        <w:pStyle w:val="null3"/>
      </w:pPr>
      <w:r>
        <w:rPr/>
        <w:t>9、供应商信用信息：采购人或采购代理机构将在磋商截止日当天资格审查阶段通过〔信用中国（www.creditchina.gov.cn）〕和〔中国政府采购网（www.ccg p.gov.cn）〕网站对供应商的信用情况进行查询（符合《财政部关于在政府采购活动中查询及使用信用记录有关问题的通知》（财库〔2016〕125号）文件中信用查询的要求），并将网页截图附在评审资料中。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中共西安市委宣传部（本级）</w:t>
      </w:r>
    </w:p>
    <w:p>
      <w:pPr>
        <w:pStyle w:val="null3"/>
      </w:pPr>
      <w:r>
        <w:rPr/>
        <w:t xml:space="preserve"> 地址： </w:t>
      </w:r>
      <w:r>
        <w:rPr/>
        <w:t>西安市未央区凤城八路99号</w:t>
      </w:r>
    </w:p>
    <w:p>
      <w:pPr>
        <w:pStyle w:val="null3"/>
      </w:pPr>
      <w:r>
        <w:rPr/>
        <w:t xml:space="preserve"> 邮编： </w:t>
      </w:r>
      <w:r>
        <w:rPr/>
        <w:t>710000</w:t>
      </w:r>
    </w:p>
    <w:p>
      <w:pPr>
        <w:pStyle w:val="null3"/>
      </w:pPr>
      <w:r>
        <w:rPr/>
        <w:t xml:space="preserve"> 联系人： </w:t>
      </w:r>
      <w:r>
        <w:rPr/>
        <w:t>白鹏飞</w:t>
      </w:r>
    </w:p>
    <w:p>
      <w:pPr>
        <w:pStyle w:val="null3"/>
      </w:pPr>
      <w:r>
        <w:rPr/>
        <w:t xml:space="preserve"> 联系电话： </w:t>
      </w:r>
      <w:r>
        <w:rPr/>
        <w:t>029-86780671</w:t>
      </w:r>
    </w:p>
    <w:p>
      <w:pPr>
        <w:pStyle w:val="null3"/>
        <w:outlineLvl w:val="3"/>
      </w:pPr>
      <w:r>
        <w:rPr>
          <w:sz w:val="24"/>
          <w:b/>
        </w:rPr>
        <w:t>代理机构：</w:t>
      </w:r>
      <w:r>
        <w:rPr>
          <w:sz w:val="24"/>
          <w:b/>
        </w:rPr>
        <w:t>陕西众灿品诚项目管理有限公司</w:t>
      </w:r>
    </w:p>
    <w:p>
      <w:pPr>
        <w:pStyle w:val="null3"/>
      </w:pPr>
      <w:r>
        <w:rPr/>
        <w:t xml:space="preserve"> 地址： </w:t>
      </w:r>
      <w:r>
        <w:rPr/>
        <w:t>陕西省西安市雁塔区电子城街道万象国际中心2号楼1单元801室</w:t>
      </w:r>
    </w:p>
    <w:p>
      <w:pPr>
        <w:pStyle w:val="null3"/>
      </w:pPr>
      <w:r>
        <w:rPr/>
        <w:t xml:space="preserve"> 邮编： </w:t>
      </w:r>
      <w:r>
        <w:rPr/>
        <w:t>710065</w:t>
      </w:r>
    </w:p>
    <w:p>
      <w:pPr>
        <w:pStyle w:val="null3"/>
      </w:pPr>
      <w:r>
        <w:rPr/>
        <w:t xml:space="preserve"> 联系人： </w:t>
      </w:r>
      <w:r>
        <w:rPr/>
        <w:t>张琰玮</w:t>
      </w:r>
    </w:p>
    <w:p>
      <w:pPr>
        <w:pStyle w:val="null3"/>
      </w:pPr>
      <w:r>
        <w:rPr/>
        <w:t xml:space="preserve"> 联系电话： </w:t>
      </w:r>
      <w:r>
        <w:rPr/>
        <w:t>18966707323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中共西安市委宣传部（本级）</w:t>
      </w:r>
      <w:r>
        <w:rPr/>
        <w:t>和</w:t>
      </w:r>
      <w:r>
        <w:rPr/>
        <w:t>陕西众灿品诚项目管理有限公司</w:t>
      </w:r>
      <w:r>
        <w:rPr/>
        <w:t>享有。对磋商文件中供应商参加本次政府采购活动应当具备的条件，磋商项目技术、服务、商务及其他要求，评审细则及标准由</w:t>
      </w:r>
      <w:r>
        <w:rPr/>
        <w:t>中共西安市委宣传部（本级）</w:t>
      </w:r>
      <w:r>
        <w:rPr/>
        <w:t>负责解释。除上述磋商文件内容，其他内容由</w:t>
      </w:r>
      <w:r>
        <w:rPr/>
        <w:t>陕西众灿品诚项目管理有限公司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中共西安市委宣传部（本级）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陕西众灿品诚项目管理有限公司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符合国家验收规范及行业规范的合格标准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陕西众灿品诚项目管理有限公司</w:t>
      </w:r>
      <w:r>
        <w:rPr/>
        <w:t xml:space="preserve"> 负责答复；供应商对除采购需求外的采购文件的询问、质疑由</w:t>
      </w:r>
      <w:r>
        <w:rPr/>
        <w:t>陕西众灿品诚项目管理有限公司</w:t>
      </w:r>
      <w:r>
        <w:rPr/>
        <w:t xml:space="preserve"> 负责答复；供应商对采购过程、采购结果的询问、质疑由 </w:t>
      </w:r>
      <w:r>
        <w:rPr/>
        <w:t>陕西众灿品诚项目管理有限公司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联系人：张琰玮</w:t>
      </w:r>
    </w:p>
    <w:p>
      <w:pPr>
        <w:pStyle w:val="null3"/>
      </w:pPr>
      <w:r>
        <w:rPr/>
        <w:t>联系电话：18966707323</w:t>
      </w:r>
    </w:p>
    <w:p>
      <w:pPr>
        <w:pStyle w:val="null3"/>
      </w:pPr>
      <w:r>
        <w:rPr/>
        <w:t>地址：陕西省西安市雁塔区电子城街道万象国际中心2号楼1单元801室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30项为民实事”全媒体传播项目，重点围绕我市2024年提出的办好10个方面30项为民实事，聚焦交通出行、教育助学、社区服务、供水改造、住房保障、就业创业、医疗服务、文化惠民、市容环境、便民服务等亮点成效和典型做法，由都市类媒体推出图文、视频等系列融媒稿件，全面展示西安多措并举办好民实事的成绩成效。</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“2024年30项为民实事”全媒体传播项目</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标的名称：“2024年30项为民实事”全媒体传播项目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8"/>
                <w:b/>
              </w:rPr>
              <w:t>一、项目名称：</w:t>
            </w:r>
            <w:r>
              <w:rPr>
                <w:rFonts w:ascii="宋体" w:hAnsi="宋体" w:cs="宋体" w:eastAsia="宋体"/>
                <w:sz w:val="28"/>
              </w:rPr>
              <w:t>“2024年30项为民实事”全媒体传播项目</w:t>
            </w:r>
          </w:p>
          <w:p>
            <w:pPr>
              <w:pStyle w:val="null3"/>
              <w:ind w:firstLine="482"/>
              <w:jc w:val="both"/>
            </w:pPr>
            <w:r>
              <w:rPr>
                <w:rFonts w:ascii="宋体" w:hAnsi="宋体" w:cs="宋体" w:eastAsia="宋体"/>
                <w:sz w:val="28"/>
                <w:b/>
              </w:rPr>
              <w:t>二、项目预算：</w:t>
            </w:r>
            <w:r>
              <w:rPr>
                <w:rFonts w:ascii="宋体" w:hAnsi="宋体" w:cs="宋体" w:eastAsia="宋体"/>
                <w:sz w:val="28"/>
              </w:rPr>
              <w:t>350,000.00</w:t>
            </w:r>
            <w:r>
              <w:rPr>
                <w:rFonts w:ascii="宋体" w:hAnsi="宋体" w:cs="宋体" w:eastAsia="宋体"/>
                <w:sz w:val="28"/>
              </w:rPr>
              <w:t>元</w:t>
            </w:r>
          </w:p>
          <w:p>
            <w:pPr>
              <w:pStyle w:val="null3"/>
              <w:ind w:firstLine="482"/>
              <w:jc w:val="both"/>
            </w:pPr>
            <w:r>
              <w:rPr>
                <w:rFonts w:ascii="宋体" w:hAnsi="宋体" w:cs="宋体" w:eastAsia="宋体"/>
                <w:sz w:val="28"/>
                <w:b/>
              </w:rPr>
              <w:t>三、付款方式：</w:t>
            </w:r>
            <w:r>
              <w:rPr>
                <w:rFonts w:ascii="宋体" w:hAnsi="宋体" w:cs="宋体" w:eastAsia="宋体"/>
                <w:sz w:val="28"/>
              </w:rPr>
              <w:t>服务费用分贰次支付。合同签订且供应商开具增值税发票后的</w:t>
            </w:r>
            <w:r>
              <w:rPr>
                <w:rFonts w:ascii="宋体" w:hAnsi="宋体" w:cs="宋体" w:eastAsia="宋体"/>
                <w:sz w:val="28"/>
              </w:rPr>
              <w:t>30个工作日内，以银行转账方式向其支付合同总费用80%。项目结束后，供应商出具结项报告，第三方验收完成后30个工作日内，付清20%尾款。</w:t>
            </w:r>
          </w:p>
          <w:p>
            <w:pPr>
              <w:pStyle w:val="null3"/>
              <w:ind w:firstLine="482"/>
              <w:jc w:val="both"/>
            </w:pPr>
            <w:r>
              <w:rPr>
                <w:rFonts w:ascii="宋体" w:hAnsi="宋体" w:cs="宋体" w:eastAsia="宋体"/>
                <w:sz w:val="28"/>
                <w:b/>
              </w:rPr>
              <w:t>四、服务期限：</w:t>
            </w:r>
            <w:r>
              <w:rPr>
                <w:rFonts w:ascii="宋体" w:hAnsi="宋体" w:cs="宋体" w:eastAsia="宋体"/>
                <w:sz w:val="28"/>
              </w:rPr>
              <w:t>自合同签订后</w:t>
            </w:r>
            <w:r>
              <w:rPr>
                <w:rFonts w:ascii="宋体" w:hAnsi="宋体" w:cs="宋体" w:eastAsia="宋体"/>
                <w:sz w:val="28"/>
              </w:rPr>
              <w:t>180日历天</w:t>
            </w:r>
          </w:p>
          <w:p>
            <w:pPr>
              <w:pStyle w:val="null3"/>
              <w:ind w:firstLine="482"/>
              <w:jc w:val="both"/>
            </w:pPr>
            <w:r>
              <w:rPr>
                <w:rFonts w:ascii="宋体" w:hAnsi="宋体" w:cs="宋体" w:eastAsia="宋体"/>
                <w:sz w:val="28"/>
                <w:b/>
              </w:rPr>
              <w:t>五、</w:t>
            </w:r>
            <w:r>
              <w:rPr>
                <w:rFonts w:ascii="宋体" w:hAnsi="宋体" w:cs="宋体" w:eastAsia="宋体"/>
                <w:sz w:val="28"/>
                <w:b/>
              </w:rPr>
              <w:t>项目内容</w:t>
            </w:r>
            <w:r>
              <w:rPr>
                <w:rFonts w:ascii="宋体" w:hAnsi="宋体" w:cs="宋体" w:eastAsia="宋体"/>
                <w:sz w:val="28"/>
                <w:b/>
              </w:rPr>
              <w:t>：</w:t>
            </w:r>
          </w:p>
          <w:p>
            <w:pPr>
              <w:pStyle w:val="null3"/>
              <w:ind w:firstLine="482"/>
              <w:jc w:val="both"/>
            </w:pPr>
            <w:r>
              <w:rPr>
                <w:rFonts w:ascii="宋体" w:hAnsi="宋体" w:cs="宋体" w:eastAsia="宋体"/>
                <w:sz w:val="28"/>
              </w:rPr>
              <w:t>（一）传播重点和传播渠道</w:t>
            </w:r>
          </w:p>
          <w:p>
            <w:pPr>
              <w:pStyle w:val="null3"/>
              <w:ind w:firstLine="482"/>
              <w:jc w:val="both"/>
            </w:pPr>
            <w:r>
              <w:rPr>
                <w:rFonts w:ascii="宋体" w:hAnsi="宋体" w:cs="宋体" w:eastAsia="宋体"/>
                <w:sz w:val="28"/>
              </w:rPr>
              <w:t>1.项目重点围绕我市10个方面30项为民实事举措成效，以“i在西安 探寻城市脉络”“i在西安 播种希望之梦”“i在西安 共治和谐社区”“i在西安 水网焕新颜”“i在西安 筑梦幸福安居”“i在西安 驿期‘职’面未来”“i在西安 让健康有‘医’靠”“i在西安 文体惠民零距离”“i在西安 发现和美乡村”“i在西安 生活充满小确幸”为分主题，全媒体发稿，全方位融合报道。</w:t>
            </w:r>
          </w:p>
          <w:p>
            <w:pPr>
              <w:pStyle w:val="null3"/>
              <w:ind w:firstLine="482"/>
              <w:jc w:val="both"/>
            </w:pPr>
            <w:r>
              <w:rPr>
                <w:rFonts w:ascii="宋体" w:hAnsi="宋体" w:cs="宋体" w:eastAsia="宋体"/>
                <w:sz w:val="28"/>
              </w:rPr>
              <w:t>2.项目内容产品主要包含短视频，深入民生建设一线，以群众语言百姓视角讲述身边变化，拟推出30期，并辅以图文、海报、网络直播等形式，多渠道联动报道。</w:t>
            </w:r>
          </w:p>
          <w:p>
            <w:pPr>
              <w:pStyle w:val="null3"/>
              <w:ind w:firstLine="482"/>
              <w:jc w:val="both"/>
            </w:pPr>
            <w:r>
              <w:rPr>
                <w:rFonts w:ascii="宋体" w:hAnsi="宋体" w:cs="宋体" w:eastAsia="宋体"/>
                <w:sz w:val="28"/>
              </w:rPr>
              <w:t>3.项目内容发布平台为省级都市类媒体的报纸、客户端、微信公众号、视频号、抖音号、官方微博等，以及媒体自有运营的百家号、头条号等。</w:t>
            </w:r>
          </w:p>
          <w:p>
            <w:pPr>
              <w:pStyle w:val="null3"/>
              <w:ind w:firstLine="482"/>
              <w:jc w:val="both"/>
            </w:pPr>
            <w:r>
              <w:rPr>
                <w:rFonts w:ascii="宋体" w:hAnsi="宋体" w:cs="宋体" w:eastAsia="宋体"/>
                <w:sz w:val="28"/>
              </w:rPr>
              <w:t>（二）预期效果</w:t>
            </w:r>
          </w:p>
          <w:p>
            <w:pPr>
              <w:pStyle w:val="null3"/>
              <w:ind w:firstLine="482"/>
              <w:jc w:val="both"/>
            </w:pPr>
            <w:r>
              <w:rPr>
                <w:rFonts w:ascii="宋体" w:hAnsi="宋体" w:cs="宋体" w:eastAsia="宋体"/>
                <w:sz w:val="28"/>
              </w:rPr>
              <w:t>展现西安办好民生实事成绩斐然，言出必行、取信于民的正面形象。重点呈现西安坚持系统观念，规建治融通，人车路共管，点线面结合，有效提升交通出行的通畅性和便利化；坚持综合施策、系统治理，设施硬件建设和制度软件建设相协同，打出教育管理改革</w:t>
            </w:r>
            <w:r>
              <w:rPr>
                <w:rFonts w:ascii="宋体" w:hAnsi="宋体" w:cs="宋体" w:eastAsia="宋体"/>
                <w:sz w:val="28"/>
              </w:rPr>
              <w:t>“组合拳”；坚持以优化社区规模设置为基础，以社区嵌入式服务设施建设为抓手，努力提升社区综合管理服务水平；坚持从体制改革、规划衔接入手，打通长期以来未能解决的问题堵点，努力实现全域一体供水，保障群众安全饮水；坚持把解决历史遗留问题与优化规划条件、盘活土地资源、促进城市发展结合起来，实现保民生、稳投资、防风险、促转型相统一；坚持在发展中解决就业问题，供给端、需求端、服务端协同发力，不断拓宽市场化社会化就业新空间，推动实现高质量稳定就业；西安作为区域医疗中心，在发展中不断完善医疗保障体系；坚持优化功能、增加供给，推进公共文化设施所有权和使用权分置改革，为不同群体提供美好生活新空间；学习运用“千万工程”经验，以改善农村人居环境面貌为重点，加快打造具有西安特色的宜居宜业和美乡村；坚持把更好服务群众与培育新的经济增长点结合起来，在高质量发展中不断创造高品质生活。</w:t>
            </w:r>
          </w:p>
          <w:p>
            <w:pPr>
              <w:pStyle w:val="null3"/>
              <w:ind w:firstLine="482"/>
              <w:jc w:val="both"/>
            </w:pPr>
            <w:r>
              <w:rPr>
                <w:rFonts w:ascii="宋体" w:hAnsi="宋体" w:cs="宋体" w:eastAsia="宋体"/>
                <w:sz w:val="28"/>
              </w:rPr>
              <w:t>六、</w:t>
            </w:r>
            <w:r>
              <w:rPr>
                <w:rFonts w:ascii="宋体" w:hAnsi="宋体" w:cs="宋体" w:eastAsia="宋体"/>
                <w:sz w:val="28"/>
                <w:b/>
              </w:rPr>
              <w:t>服务及验收要求：</w:t>
            </w:r>
          </w:p>
          <w:p>
            <w:pPr>
              <w:pStyle w:val="null3"/>
              <w:jc w:val="both"/>
            </w:pPr>
            <w:r>
              <w:rPr>
                <w:rFonts w:ascii="宋体" w:hAnsi="宋体" w:cs="宋体" w:eastAsia="宋体"/>
                <w:sz w:val="28"/>
              </w:rPr>
              <w:t>供应商结合</w:t>
            </w:r>
            <w:r>
              <w:rPr>
                <w:rFonts w:ascii="宋体" w:hAnsi="宋体" w:cs="宋体" w:eastAsia="宋体"/>
                <w:sz w:val="28"/>
              </w:rPr>
              <w:t>采购人</w:t>
            </w:r>
            <w:r>
              <w:rPr>
                <w:rFonts w:ascii="宋体" w:hAnsi="宋体" w:cs="宋体" w:eastAsia="宋体"/>
                <w:sz w:val="28"/>
              </w:rPr>
              <w:t>传播需求和重点，提供宣传策划方案，方案要求重点突出、内容细致、渠道多样，能够提供优质视频和文字内容采写、制作、播出、传播等服务，能够在都市类媒体刊播，在全省甚至全国产生较强影响。</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自合同签订后180日历天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供应商结合采购人传播需求和重点，提供宣传策划方案，方案要求重点突出、内容细致、渠道多样，能够提供优质视频和文字内容采写、制作、播出、传播等服务，能够在都市类媒体刊播，在全省甚至全国产生较强影响。</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合同签订且供应商开具增值税发票后</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项目结束后，供应商出具结项报告，第三方验收完成后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合同一经签订，不得随意变更、中止或终止。对确需变更、调整或者中止、终止合同的，应按规定履行相应的手续。 合同执行中发生争议的，甲、乙双方应协商解决，协商达不成一致时，可向甲方所在地人民法院提请诉讼。</w:t>
      </w:r>
    </w:p>
    <w:p>
      <w:pPr>
        <w:pStyle w:val="null3"/>
        <w:outlineLvl w:val="2"/>
      </w:pPr>
      <w:r>
        <w:rPr>
          <w:sz w:val="28"/>
          <w:b/>
        </w:rPr>
        <w:t>3.4其他要求</w:t>
      </w:r>
    </w:p>
    <w:p>
      <w:pPr>
        <w:pStyle w:val="null3"/>
      </w:pPr>
      <w:r>
        <w:rPr/>
        <w:t>1、成交供应商在领取成交通知书时提供纸质版投标文件3套，应通过专用制作软件直接打印，确保与电子投标文件保持一致，不允许修改和补充。提交地点： 陕西省西安市雁塔区电子城街道万象国际中心2号楼1单元801室。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法人授权委托书</w:t>
            </w:r>
          </w:p>
        </w:tc>
        <w:tc>
          <w:tcPr>
            <w:tcW w:type="dxa" w:w="3322"/>
          </w:tcPr>
          <w:p>
            <w:pPr>
              <w:pStyle w:val="null3"/>
            </w:pPr>
            <w:r>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财务会计报告</w:t>
            </w:r>
          </w:p>
        </w:tc>
        <w:tc>
          <w:tcPr>
            <w:tcW w:type="dxa" w:w="3322"/>
          </w:tcPr>
          <w:p>
            <w:pPr>
              <w:pStyle w:val="null3"/>
            </w:pPr>
            <w:r>
              <w:rPr/>
              <w:t>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提供开标截止时间前6个月内任意时段的社会保障资金缴存单据或社保机构开具的社会保险参保缴费情况证明，依法不需要缴纳社会保障资金的提供相关文件证明；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提供开标截止时间前6个月内任意时段的纳税证明或完税证明，纳税证明或完税证明上应有代收机构或税务机关的公章，依法免税的应提供相关文件证明；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参加政府采购项目前 3 年内经营项目中没有重大违法记录声明；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具有履行服务合同所必需的设备和专业技术能力</w:t>
            </w:r>
          </w:p>
        </w:tc>
        <w:tc>
          <w:tcPr>
            <w:tcW w:type="dxa" w:w="3322"/>
          </w:tcPr>
          <w:p>
            <w:pPr>
              <w:pStyle w:val="null3"/>
            </w:pPr>
            <w:r>
              <w:rPr/>
              <w:t>提供具有履行服务合同所必需的设备和专业技术能力的承诺函；</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单位负责人为同一人或者存在控股、管理关系的不同供应商，不得同时参加本项目采购项目；</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供应商信用信息</w:t>
            </w:r>
          </w:p>
        </w:tc>
        <w:tc>
          <w:tcPr>
            <w:tcW w:type="dxa" w:w="3322"/>
          </w:tcPr>
          <w:p>
            <w:pPr>
              <w:pStyle w:val="null3"/>
            </w:pPr>
            <w:r>
              <w:rPr/>
              <w:t>采购人或采购代理机构将在磋商截止日当天资格审查阶段通过〔信用中国（www.creditchina.gov.cn）〕和〔中国政府采购网（www.ccg p.gov.cn）〕网站对供应商的信用情况进行查询（符合《财政部关于在政府采购活动中查询及使用信用记录有关问题的通知》（财库〔2016〕125号）文件中信用查询的要求），并将网页截图附在评审资料中。</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响应文件的语言、计量单位、报价货币是否满足磋商文件要求；</w:t>
            </w:r>
          </w:p>
        </w:tc>
        <w:tc>
          <w:tcPr>
            <w:tcW w:type="dxa" w:w="3322"/>
          </w:tcPr>
          <w:p>
            <w:pPr>
              <w:pStyle w:val="null3"/>
            </w:pPr>
            <w:r>
              <w:rPr/>
              <w:t>符合磋商文件要求</w:t>
            </w:r>
          </w:p>
        </w:tc>
        <w:tc>
          <w:tcPr>
            <w:tcW w:type="dxa" w:w="1661"/>
          </w:tcPr>
          <w:p>
            <w:pPr>
              <w:pStyle w:val="null3"/>
            </w:pPr>
            <w:r>
              <w:rPr/>
              <w:t>分项报价表 商务应答表 标的清单 报价表 响应函</w:t>
            </w:r>
          </w:p>
        </w:tc>
      </w:tr>
      <w:tr>
        <w:tc>
          <w:tcPr>
            <w:tcW w:type="dxa" w:w="831"/>
          </w:tcPr>
          <w:p>
            <w:pPr>
              <w:pStyle w:val="null3"/>
            </w:pPr>
            <w:r>
              <w:rPr/>
              <w:t>3</w:t>
            </w:r>
          </w:p>
        </w:tc>
        <w:tc>
          <w:tcPr>
            <w:tcW w:type="dxa" w:w="2492"/>
          </w:tcPr>
          <w:p>
            <w:pPr>
              <w:pStyle w:val="null3"/>
            </w:pPr>
            <w:r>
              <w:rPr/>
              <w:t>磋商有效期是否达到磋商文件要求</w:t>
            </w:r>
          </w:p>
        </w:tc>
        <w:tc>
          <w:tcPr>
            <w:tcW w:type="dxa" w:w="3322"/>
          </w:tcPr>
          <w:p>
            <w:pPr>
              <w:pStyle w:val="null3"/>
            </w:pPr>
            <w:r>
              <w:rPr/>
              <w:t>符合磋商文件要求</w:t>
            </w:r>
          </w:p>
        </w:tc>
        <w:tc>
          <w:tcPr>
            <w:tcW w:type="dxa" w:w="1661"/>
          </w:tcPr>
          <w:p>
            <w:pPr>
              <w:pStyle w:val="null3"/>
            </w:pPr>
            <w:r>
              <w:rPr/>
              <w:t>服务内容及服务邀请应答表 响应函</w:t>
            </w:r>
          </w:p>
        </w:tc>
      </w:tr>
      <w:tr>
        <w:tc>
          <w:tcPr>
            <w:tcW w:type="dxa" w:w="831"/>
          </w:tcPr>
          <w:p>
            <w:pPr>
              <w:pStyle w:val="null3"/>
            </w:pPr>
            <w:r>
              <w:rPr/>
              <w:t>4</w:t>
            </w:r>
          </w:p>
        </w:tc>
        <w:tc>
          <w:tcPr>
            <w:tcW w:type="dxa" w:w="2492"/>
          </w:tcPr>
          <w:p>
            <w:pPr>
              <w:pStyle w:val="null3"/>
            </w:pPr>
            <w:r>
              <w:rPr/>
              <w:t>是否符合法律、法规和磋商文件中规定的其他实质性要求。</w:t>
            </w:r>
          </w:p>
        </w:tc>
        <w:tc>
          <w:tcPr>
            <w:tcW w:type="dxa" w:w="3322"/>
          </w:tcPr>
          <w:p>
            <w:pPr>
              <w:pStyle w:val="null3"/>
            </w:pPr>
            <w:r>
              <w:rPr/>
              <w:t>符合磋商文件要求</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供具体可行的宣传实施方案，包括：①宣传推广实施方案：根据本项目的特点，结合采购人工作实际，提供详细的宣传推广实施方案；②结合2024年30项为民实事等内容在自有各广播、电视、新媒体频道、外宣账号、APP等端口进行日常宣传编发刊播，即时报道，确保一定曝光度；③应急预案：供应商提供项目服务过程中可能发生的故障及其他突发情况的应急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上述3项评审内容全部满足评审标准得30分，每有一个评审内容缺项扣10分，每有一项评审内容存在缺陷，扣1-8分，扣完为止。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p>
            <w:pPr>
              <w:pStyle w:val="null3"/>
            </w:pPr>
            <w:r>
              <w:rPr/>
              <w:t>供应商认为有必要说明的其他问题</w:t>
            </w:r>
          </w:p>
        </w:tc>
      </w:tr>
      <w:tr>
        <w:tc>
          <w:tcPr>
            <w:tcW w:type="dxa" w:w="831"/>
            <w:vMerge/>
          </w:tcPr>
          <w:p/>
        </w:tc>
        <w:tc>
          <w:tcPr>
            <w:tcW w:type="dxa" w:w="1661"/>
          </w:tcPr>
          <w:p>
            <w:pPr>
              <w:pStyle w:val="null3"/>
            </w:pPr>
            <w:r>
              <w:rPr/>
              <w:t>时间进度安排</w:t>
            </w:r>
          </w:p>
        </w:tc>
        <w:tc>
          <w:tcPr>
            <w:tcW w:type="dxa" w:w="2492"/>
          </w:tcPr>
          <w:p>
            <w:pPr>
              <w:pStyle w:val="null3"/>
            </w:pPr>
            <w:r>
              <w:rPr/>
              <w:t>时间安排科学合理，利用率高。时效性强：得[3-5]分； 时间安排较合理，利用率较高。时效性较强：得[2-3）分； 时间安排一般，利用率极低。时效性滞后：得[0-2）分。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项目优势</w:t>
            </w:r>
          </w:p>
        </w:tc>
        <w:tc>
          <w:tcPr>
            <w:tcW w:type="dxa" w:w="2492"/>
          </w:tcPr>
          <w:p>
            <w:pPr>
              <w:pStyle w:val="null3"/>
            </w:pPr>
            <w:r>
              <w:rPr/>
              <w:t>1.供应商应详尽阐述本公司的优势，如:有省级文明单位荣誉、本土宣传优势、策划执行优势、对接各媒体优势合理情况进行打分。内容合理的得[3-5]分，内容合理性一般的得[1-3）分，内容合理性较差的得(0-1）分，未提供的不得分。 2.供应商拥有自主的新媒体宣传平台，如微信公众号（粉丝超50万）、微博（粉丝超35万）、app、视频号，每个得2分，最多得6分。 证明材料：相关自主界面或其他证明加盖公章。提供虚假证明材料，按无效投标处理。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项目负责人具有类似项目工作经验的得2分。 【证明材料：须提供相关工作经验证明材料加盖公章，否则不得分。】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项目组成员</w:t>
            </w:r>
          </w:p>
        </w:tc>
        <w:tc>
          <w:tcPr>
            <w:tcW w:type="dxa" w:w="2492"/>
          </w:tcPr>
          <w:p>
            <w:pPr>
              <w:pStyle w:val="null3"/>
            </w:pPr>
            <w:r>
              <w:rPr/>
              <w:t>项目组成员中（除项目负责人外）配备文案、设计、执行专业人员各1名的得2分，专业人员每增加1人加1分，最多加3分，本项最高得5分。 【证明材料：提供人员安排配备表，以及拟派人员相关资料等证明材料并加盖公章，否则不得分。】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供应商承诺</w:t>
            </w:r>
          </w:p>
        </w:tc>
        <w:tc>
          <w:tcPr>
            <w:tcW w:type="dxa" w:w="2492"/>
          </w:tcPr>
          <w:p>
            <w:pPr>
              <w:pStyle w:val="null3"/>
            </w:pPr>
            <w:r>
              <w:rPr/>
              <w:t>供应商承诺中标后至少安排1名专业工作人员负责项目工作，确保随时响应的得2分，无承诺书或者承诺书内容不全的不得分。 【证明材料：提供承诺书并加盖公章。】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管理措施</w:t>
            </w:r>
          </w:p>
        </w:tc>
        <w:tc>
          <w:tcPr>
            <w:tcW w:type="dxa" w:w="2492"/>
          </w:tcPr>
          <w:p>
            <w:pPr>
              <w:pStyle w:val="null3"/>
            </w:pPr>
            <w:r>
              <w:rPr/>
              <w:t>一、评审内容 根据投标人制定本项目的工作管理措施及人员管理制度：包括①工作管理制度；②工作操作规程；③工作管理机制；④人员管理方案进行打分。二、评审标准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上述4项评审内容全部满足评审标准得10分，每有一个评审内容缺项扣2.5分，每有一项评审内容存在缺陷，扣1-2分，扣完为止。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w:t>
            </w:r>
          </w:p>
        </w:tc>
        <w:tc>
          <w:tcPr>
            <w:tcW w:type="dxa" w:w="2492"/>
          </w:tcPr>
          <w:p>
            <w:pPr>
              <w:pStyle w:val="null3"/>
            </w:pPr>
            <w:r>
              <w:rPr/>
              <w:t>一、评审内容 根据供应商提供的服务质量体系完善程度，包括①有完整的服务链，设计、编辑、排版、校对等均有专业技术人员负责；②有详细的人员责任分工。二、评审标准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供应商须提供近三年（2021年1月至今）类似项目业绩，每提供1个得2分，最高得10分。 注：响应文件中提供合同复印件并加盖公章。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w:t>
            </w:r>
          </w:p>
        </w:tc>
        <w:tc>
          <w:tcPr>
            <w:tcW w:type="dxa" w:w="2492"/>
          </w:tcPr>
          <w:p>
            <w:pPr>
              <w:pStyle w:val="null3"/>
            </w:pPr>
            <w:r>
              <w:rPr/>
              <w:t>针对本项目服务要求能够充分保证达到项目实施目的，有详细的服务承诺，且承诺内容具有可行性，满足采购人实际需求，定期向采购人进行工作的进展和工作阶段成果的例行汇报等，评审小组根据响应程度打分，承诺全面可行得[3-5]分，承诺较好、可操作性较强得[2-3）分，承诺一般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满足磋商文件要求且最终报价最低的供应商的价格为磋商基准价，其价格分为满分。其他供应商的价格分统一按照下列公式计算： 磋商报价得分=（磋商基准价/最后磋商报价）×价格权值×100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详见附件：资格证明文件</w:t>
      </w:r>
    </w:p>
    <w:p>
      <w:pPr>
        <w:pStyle w:val="null3"/>
        <w:ind w:firstLine="960"/>
      </w:pPr>
      <w:r>
        <w:rPr/>
        <w:t>详见附件：业绩</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