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刑侦设备及防爆围栏、枪弹柜采购项目(二次)</w:t>
      </w:r>
    </w:p>
    <w:p>
      <w:pPr>
        <w:pStyle w:val="null3"/>
        <w:jc w:val="center"/>
        <w:outlineLvl w:val="2"/>
      </w:pPr>
      <w:r>
        <w:rPr>
          <w:sz w:val="28"/>
          <w:b/>
        </w:rPr>
        <w:t>采购项目编号：</w:t>
      </w:r>
      <w:r>
        <w:rPr>
          <w:sz w:val="28"/>
          <w:b/>
        </w:rPr>
        <w:t>HYTH-202409040（2）</w:t>
      </w:r>
      <w:r>
        <w:br/>
      </w:r>
      <w:r>
        <w:br/>
      </w:r>
      <w:r>
        <w:br/>
      </w:r>
    </w:p>
    <w:p>
      <w:pPr>
        <w:pStyle w:val="null3"/>
        <w:jc w:val="center"/>
        <w:outlineLvl w:val="2"/>
      </w:pPr>
      <w:r>
        <w:rPr>
          <w:sz w:val="28"/>
          <w:b/>
        </w:rPr>
        <w:t>西安市公安局地铁分局</w:t>
      </w:r>
    </w:p>
    <w:p>
      <w:pPr>
        <w:pStyle w:val="null3"/>
        <w:jc w:val="center"/>
        <w:outlineLvl w:val="2"/>
      </w:pPr>
      <w:r>
        <w:rPr>
          <w:sz w:val="28"/>
          <w:b/>
        </w:rPr>
        <w:t>陕西四方衡裕项目管理有限公司</w:t>
      </w:r>
      <w:r>
        <w:rPr>
          <w:sz w:val="28"/>
          <w:b/>
        </w:rPr>
        <w:t>共同编制</w:t>
      </w:r>
    </w:p>
    <w:p>
      <w:pPr>
        <w:pStyle w:val="null3"/>
        <w:jc w:val="center"/>
        <w:outlineLvl w:val="2"/>
      </w:pPr>
      <w:r>
        <w:rPr>
          <w:sz w:val="28"/>
          <w:b/>
        </w:rPr>
        <w:t>2024年10月30日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陕西四方衡裕项目管理有限公司</w:t>
      </w:r>
      <w:r>
        <w:rPr/>
        <w:t>（以下简称“代理机构”）受</w:t>
      </w:r>
      <w:r>
        <w:rPr/>
        <w:t>西安市公安局地铁分局</w:t>
      </w:r>
      <w:r>
        <w:rPr/>
        <w:t>委托，拟对</w:t>
      </w:r>
      <w:r>
        <w:rPr/>
        <w:t>刑侦设备及防爆围栏、枪弹柜采购项目(二次)</w:t>
      </w:r>
      <w:r>
        <w:rPr/>
        <w:t>进行国内公开招标，兹邀请符合本次招标要求的供应商参加投标。</w:t>
      </w:r>
    </w:p>
    <w:p>
      <w:pPr>
        <w:pStyle w:val="null3"/>
        <w:outlineLvl w:val="2"/>
      </w:pPr>
      <w:r>
        <w:rPr>
          <w:sz w:val="28"/>
          <w:b/>
        </w:rPr>
        <w:t>一、采购项目编号：</w:t>
      </w:r>
      <w:r>
        <w:rPr>
          <w:sz w:val="28"/>
          <w:b/>
        </w:rPr>
        <w:t>HYTH-202409040（2）</w:t>
      </w:r>
    </w:p>
    <w:p>
      <w:pPr>
        <w:pStyle w:val="null3"/>
        <w:outlineLvl w:val="2"/>
      </w:pPr>
      <w:r>
        <w:rPr>
          <w:sz w:val="28"/>
          <w:b/>
        </w:rPr>
        <w:t>二、采购项目名称：</w:t>
      </w:r>
      <w:r>
        <w:rPr>
          <w:sz w:val="28"/>
          <w:b/>
        </w:rPr>
        <w:t>刑侦设备及防爆围栏、枪弹柜采购项目(二次)</w:t>
      </w:r>
    </w:p>
    <w:p>
      <w:pPr>
        <w:pStyle w:val="null3"/>
        <w:outlineLvl w:val="2"/>
      </w:pPr>
      <w:r>
        <w:rPr>
          <w:sz w:val="28"/>
          <w:b/>
        </w:rPr>
        <w:t>三、招标项目简介</w:t>
      </w:r>
    </w:p>
    <w:p>
      <w:pPr>
        <w:pStyle w:val="null3"/>
        <w:ind w:firstLine="480"/>
      </w:pPr>
      <w:r>
        <w:rPr/>
        <w:t>西安市公安局地铁分局刑侦设备及防爆围栏、枪弹柜采购项目，1批。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1、营业执照等主体资格证明文件：提供有效存续的企业营业执照/事业单位法人证书/专业服务机构执业许可证/民办非企业单位登记证书，自然人投标的提供其身份证明；</w:t>
      </w:r>
    </w:p>
    <w:p>
      <w:pPr>
        <w:pStyle w:val="null3"/>
      </w:pPr>
      <w:r>
        <w:rPr/>
        <w:t>2、财务状况报告：提供2023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t>3、税收缴纳证明：提供2024年4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t>4、社保缴纳证明：提供2024年4月至今已缴存任意一个月社会保障资金缴存单据或社保机构开具的社会保险参保缴费证明，依法不需要缴纳社会保障资金的单位应提供相应证明文件；</w:t>
      </w:r>
    </w:p>
    <w:p>
      <w:pPr>
        <w:pStyle w:val="null3"/>
      </w:pPr>
      <w:r>
        <w:rPr/>
        <w:t>5、履行合同所必需的设备和专业技术能力：具备履行合同所必需的设备和专业技术能力的证明材料或书面声明；</w:t>
      </w:r>
    </w:p>
    <w:p>
      <w:pPr>
        <w:pStyle w:val="null3"/>
      </w:pPr>
      <w:r>
        <w:rPr/>
        <w:t>6、采购活动前三年内在经营活动中没有重大违法记录：参加政府采购活动前三年内在经营活动中没有重大违法记录的书面声明；</w:t>
      </w:r>
    </w:p>
    <w:p>
      <w:pPr>
        <w:pStyle w:val="null3"/>
      </w:pPr>
      <w:r>
        <w:rPr/>
        <w:t>7、法律、行政法规规定的其他条件：具备法律、行政法规规定的其他条件的证明材料。</w:t>
      </w:r>
    </w:p>
    <w:p>
      <w:pPr>
        <w:pStyle w:val="null3"/>
      </w:pPr>
      <w:r>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t>10、本项目不接受联合体投标，不允许分包：本项目不接受联合体投标，不允许分包。投标人提供《非联合体不分包投标声明》，视为独立投标，不分包。</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西安市公安局地铁分局</w:t>
      </w:r>
    </w:p>
    <w:p>
      <w:pPr>
        <w:pStyle w:val="null3"/>
      </w:pPr>
      <w:r>
        <w:rPr/>
        <w:t xml:space="preserve"> 地址： </w:t>
      </w:r>
      <w:r>
        <w:rPr/>
        <w:t>西安市未央区凤城八路126号</w:t>
      </w:r>
    </w:p>
    <w:p>
      <w:pPr>
        <w:pStyle w:val="null3"/>
      </w:pPr>
      <w:r>
        <w:rPr/>
        <w:t xml:space="preserve"> 邮编： </w:t>
      </w:r>
      <w:r>
        <w:rPr/>
        <w:t>710021</w:t>
      </w:r>
    </w:p>
    <w:p>
      <w:pPr>
        <w:pStyle w:val="null3"/>
      </w:pPr>
      <w:r>
        <w:rPr/>
        <w:t xml:space="preserve"> 联系人： </w:t>
      </w:r>
      <w:r>
        <w:rPr/>
        <w:t>朱老师</w:t>
      </w:r>
    </w:p>
    <w:p>
      <w:pPr>
        <w:pStyle w:val="null3"/>
      </w:pPr>
      <w:r>
        <w:rPr/>
        <w:t xml:space="preserve"> 联系电话： </w:t>
      </w:r>
      <w:r>
        <w:rPr/>
        <w:t xml:space="preserve"> 029-86321055</w:t>
      </w:r>
    </w:p>
    <w:p>
      <w:pPr>
        <w:pStyle w:val="null3"/>
        <w:outlineLvl w:val="2"/>
      </w:pPr>
      <w:r>
        <w:rPr>
          <w:sz w:val="28"/>
          <w:b/>
        </w:rPr>
        <w:t>代理机构：</w:t>
      </w:r>
      <w:r>
        <w:rPr>
          <w:sz w:val="28"/>
          <w:b/>
        </w:rPr>
        <w:t>陕西四方衡裕项目管理有限公司</w:t>
      </w:r>
    </w:p>
    <w:p>
      <w:pPr>
        <w:pStyle w:val="null3"/>
      </w:pPr>
      <w:r>
        <w:rPr/>
        <w:t xml:space="preserve"> 地址： </w:t>
      </w:r>
      <w:r>
        <w:rPr/>
        <w:t>西安市高新区沣惠路16号泰华金贸国际8号楼28层</w:t>
      </w:r>
    </w:p>
    <w:p>
      <w:pPr>
        <w:pStyle w:val="null3"/>
      </w:pPr>
      <w:r>
        <w:rPr/>
        <w:t xml:space="preserve"> 邮编： </w:t>
      </w:r>
      <w:r>
        <w:rPr/>
        <w:t xml:space="preserve"> 710000</w:t>
      </w:r>
    </w:p>
    <w:p>
      <w:pPr>
        <w:pStyle w:val="null3"/>
      </w:pPr>
      <w:r>
        <w:rPr/>
        <w:t xml:space="preserve"> 联系人： </w:t>
      </w:r>
      <w:r>
        <w:rPr/>
        <w:t xml:space="preserve"> 李亚容、赵维</w:t>
      </w:r>
    </w:p>
    <w:p>
      <w:pPr>
        <w:pStyle w:val="null3"/>
      </w:pPr>
      <w:r>
        <w:rPr/>
        <w:t xml:space="preserve"> 联系电话： </w:t>
      </w:r>
      <w:r>
        <w:rPr/>
        <w:t>029-89284433-605</w:t>
      </w:r>
    </w:p>
    <w:p>
      <w:pPr>
        <w:pStyle w:val="null3"/>
        <w:outlineLvl w:val="2"/>
      </w:pPr>
      <w:r>
        <w:rPr>
          <w:sz w:val="28"/>
          <w:b/>
        </w:rPr>
        <w:t>采购监督机构：</w:t>
      </w:r>
      <w:r>
        <w:rPr>
          <w:sz w:val="28"/>
          <w:b/>
        </w:rPr>
        <w:t>西安市财政局政府采购管理处</w:t>
      </w:r>
    </w:p>
    <w:p>
      <w:pPr>
        <w:pStyle w:val="null3"/>
        <w:ind w:firstLine="480"/>
      </w:pPr>
      <w:r>
        <w:rPr/>
        <w:t>联系人：</w:t>
      </w:r>
      <w:r>
        <w:rPr/>
        <w:t>杜老师</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采购包1：185,800.00元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说明：中标人须按照中标金额的5％，作为履约保证金在签订合同前向西安市公安局地铁分局缴纳。一年后（如无质量问题）一个月内全额无息一次性退付中标人。</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代理服务费收费标准：以中标金额为取费基数，采购代理服务费参照《国家计委关于印发&lt;招标 代理服务收费管理暂行办法&gt;的通知》（计价格[2002]1980号）和（发改办价格[2011]534号 ）文件规定的标准分标段收取。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西安市公安局地铁分局</w:t>
      </w:r>
      <w:r>
        <w:rPr/>
        <w:t>和</w:t>
      </w:r>
      <w:r>
        <w:rPr/>
        <w:t>陕西四方衡裕项目管理有限公司</w:t>
      </w:r>
      <w:r>
        <w:rPr/>
        <w:t>享有。对招标文件中供应商参加本次政府采购活动应当具备的条件，招标项目技术、服务、商务及其他要求，评标细则及标准由</w:t>
      </w:r>
      <w:r>
        <w:rPr/>
        <w:t>西安市公安局地铁分局</w:t>
      </w:r>
      <w:r>
        <w:rPr/>
        <w:t>负责解释。除上述招标文件内容，其他内容由</w:t>
      </w:r>
      <w:r>
        <w:rPr/>
        <w:t>陕西四方衡裕项目管理有限公司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西安市公安局地铁分局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陕西四方衡裕项目管理有限公司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详见供货合同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陕西四方衡裕项目管理有限公司</w:t>
      </w:r>
      <w:r>
        <w:rPr/>
        <w:t xml:space="preserve"> 负责答复；供应商对除采购需求外的采购文件的询问、质疑由</w:t>
      </w:r>
      <w:r>
        <w:rPr/>
        <w:t>陕西四方衡裕项目管理有限公司</w:t>
      </w:r>
      <w:r>
        <w:rPr/>
        <w:t xml:space="preserve"> 负责答复；供应商对采购过程、采购结果的询问、质疑由 </w:t>
      </w:r>
      <w:r>
        <w:rPr/>
        <w:t>陕西四方衡裕项目管理有限公司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联系人：赵维、李亚容</w:t>
      </w:r>
    </w:p>
    <w:p>
      <w:pPr>
        <w:pStyle w:val="null3"/>
      </w:pPr>
      <w:r>
        <w:rPr/>
        <w:t>联系电话：029-89284433-605</w:t>
      </w:r>
    </w:p>
    <w:p>
      <w:pPr>
        <w:pStyle w:val="null3"/>
      </w:pPr>
      <w:r>
        <w:rPr/>
        <w:t>地址：西安市高新区沣惠路16号泰华金贸国际8号楼28层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西安市公安局地铁分局刑侦设备及防爆围栏、枪弹柜采购项目，1批。</w:t>
      </w:r>
    </w:p>
    <w:p>
      <w:pPr>
        <w:pStyle w:val="null3"/>
        <w:outlineLvl w:val="2"/>
      </w:pPr>
      <w:r>
        <w:rPr>
          <w:sz w:val="28"/>
          <w:b/>
        </w:rPr>
        <w:t>3.2采购内容</w:t>
      </w:r>
    </w:p>
    <w:p>
      <w:pPr>
        <w:pStyle w:val="null3"/>
      </w:pPr>
      <w:r>
        <w:rPr/>
        <w:t>采购包1：</w:t>
      </w:r>
    </w:p>
    <w:p>
      <w:pPr>
        <w:pStyle w:val="null3"/>
      </w:pPr>
      <w:r>
        <w:rPr/>
        <w:t>采购包预算金额（元）: 185,800.00</w:t>
      </w:r>
    </w:p>
    <w:p>
      <w:pPr>
        <w:pStyle w:val="null3"/>
      </w:pPr>
      <w:r>
        <w:rPr/>
        <w:t>采购包最高限价（元）: 185,800.00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手机数据提取设备、活体足迹图像采集</w:t>
            </w:r>
          </w:p>
        </w:tc>
        <w:tc>
          <w:tcPr>
            <w:tcW w:type="dxa" w:w="831"/>
          </w:tcPr>
          <w:p>
            <w:pPr>
              <w:pStyle w:val="null3"/>
              <w:jc w:val="right"/>
            </w:pPr>
            <w:r>
              <w:rPr/>
              <w:t>1.00</w:t>
            </w:r>
          </w:p>
        </w:tc>
        <w:tc>
          <w:tcPr>
            <w:tcW w:type="dxa" w:w="831"/>
          </w:tcPr>
          <w:p>
            <w:pPr>
              <w:pStyle w:val="null3"/>
              <w:jc w:val="right"/>
            </w:pPr>
            <w:r>
              <w:rPr/>
              <w:t>185,800.00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标的名称：手机数据提取设备、活体足迹图像采集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一、项目概况</w:t>
            </w:r>
          </w:p>
          <w:p>
            <w:pPr>
              <w:pStyle w:val="null3"/>
            </w:pPr>
            <w:r>
              <w:rPr>
                <w:rFonts w:ascii="calibri" w:hAnsi="calibri" w:cs="calibri" w:eastAsia="calibri"/>
              </w:rPr>
              <w:t>1.</w:t>
            </w:r>
            <w:r>
              <w:rPr>
                <w:rFonts w:ascii="宋体" w:hAnsi="宋体" w:cs="宋体" w:eastAsia="宋体"/>
              </w:rPr>
              <w:t>西安市公安局地铁分局刑侦设备及防爆围栏、枪弹柜采购项目</w:t>
            </w:r>
            <w:r>
              <w:rPr>
                <w:rFonts w:ascii="宋体" w:hAnsi="宋体" w:cs="宋体" w:eastAsia="宋体"/>
              </w:rPr>
              <w:t>，</w:t>
            </w:r>
            <w:r>
              <w:rPr>
                <w:rFonts w:ascii="calibri" w:hAnsi="calibri" w:cs="calibri" w:eastAsia="calibri"/>
              </w:rPr>
              <w:t>1</w:t>
            </w:r>
            <w:r>
              <w:rPr>
                <w:rFonts w:ascii="宋体" w:hAnsi="宋体" w:cs="宋体" w:eastAsia="宋体"/>
              </w:rPr>
              <w:t>批。</w:t>
            </w:r>
          </w:p>
          <w:p>
            <w:pPr>
              <w:pStyle w:val="null3"/>
            </w:pPr>
            <w:r>
              <w:rPr>
                <w:rFonts w:ascii="calibri" w:hAnsi="calibri" w:cs="calibri" w:eastAsia="calibri"/>
              </w:rPr>
              <w:t>2.</w:t>
            </w:r>
            <w:r>
              <w:rPr>
                <w:rFonts w:ascii="宋体" w:hAnsi="宋体" w:cs="宋体" w:eastAsia="宋体"/>
              </w:rPr>
              <w:t>核心产品为：手机数据提取设备</w:t>
            </w:r>
          </w:p>
          <w:p>
            <w:pPr>
              <w:pStyle w:val="null3"/>
            </w:pPr>
            <w:r>
              <w:rPr>
                <w:rFonts w:ascii="宋体" w:hAnsi="宋体" w:cs="宋体" w:eastAsia="宋体"/>
              </w:rPr>
              <w:t>二、技术参数</w:t>
            </w:r>
          </w:p>
          <w:tbl>
            <w:tblPr>
              <w:tblBorders>
                <w:top w:val="none" w:color="000000" w:sz="4"/>
                <w:left w:val="none" w:color="000000" w:sz="4"/>
                <w:bottom w:val="none" w:color="000000" w:sz="4"/>
                <w:right w:val="none" w:color="000000" w:sz="4"/>
                <w:insideH w:val="none"/>
                <w:insideV w:val="none"/>
              </w:tblBorders>
            </w:tblPr>
            <w:tblGrid>
              <w:gridCol w:w="156"/>
              <w:gridCol w:w="260"/>
              <w:gridCol w:w="1891"/>
              <w:gridCol w:w="245"/>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产品名称</w:t>
                  </w:r>
                </w:p>
              </w:tc>
              <w:tc>
                <w:tcPr>
                  <w:tcW w:type="dxa" w:w="1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参数</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手机数据提取设备</w:t>
                  </w:r>
                </w:p>
              </w:tc>
              <w:tc>
                <w:tcPr>
                  <w:tcW w:type="dxa" w:w="1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支持获取手机IMEI、IMSI、通讯簿、短信、通话记录、位置信息、备忘录、日程表、Wi-Fi/蓝牙连接记录、多媒体文件（图片/视频/音频）、系统日志（开关机时间、应用程序使用记录、iOS设备使用过的手机号、iOS设备连接过的主机）和密码密钥等信息，支持恢复已删除的电话簿、短信、通话记录、日程表等信息。</w:t>
                  </w:r>
                </w:p>
                <w:p>
                  <w:pPr>
                    <w:pStyle w:val="null3"/>
                    <w:jc w:val="both"/>
                  </w:pPr>
                  <w:r>
                    <w:rPr>
                      <w:rFonts w:ascii="宋体" w:hAnsi="宋体" w:cs="宋体" w:eastAsia="宋体"/>
                      <w:sz w:val="21"/>
                      <w:color w:val="000000"/>
                    </w:rPr>
                    <w:t>2、 支持提取SIM卡上的通讯录、短息、通话记录。</w:t>
                  </w:r>
                </w:p>
                <w:p>
                  <w:pPr>
                    <w:pStyle w:val="null3"/>
                    <w:jc w:val="both"/>
                  </w:pPr>
                  <w:r>
                    <w:rPr>
                      <w:rFonts w:ascii="宋体" w:hAnsi="宋体" w:cs="宋体" w:eastAsia="宋体"/>
                      <w:sz w:val="21"/>
                      <w:color w:val="000000"/>
                    </w:rPr>
                    <w:t>3、 支持手机已删除数据的恢复，支持删除数据恢复的平台包括： iPhone手机、Android手机。其中iPhone手机越狱和未越狱均可实现删除数据恢复，Android手机可自动root后进行删除数据恢复，在root失败情况下，也能支持Android手机解析和恢复QQ、微信、微博等应用程序数据。</w:t>
                  </w:r>
                </w:p>
                <w:p>
                  <w:pPr>
                    <w:pStyle w:val="null3"/>
                    <w:jc w:val="both"/>
                  </w:pPr>
                  <w:r>
                    <w:rPr>
                      <w:rFonts w:ascii="宋体" w:hAnsi="宋体" w:cs="宋体" w:eastAsia="宋体"/>
                      <w:sz w:val="21"/>
                      <w:color w:val="000000"/>
                    </w:rPr>
                    <w:t>4、在已开启调试模式的情况下，支持各品牌Android手机开机密码绕过和破解。</w:t>
                  </w:r>
                </w:p>
                <w:p>
                  <w:pPr>
                    <w:pStyle w:val="null3"/>
                    <w:jc w:val="both"/>
                  </w:pPr>
                  <w:r>
                    <w:rPr>
                      <w:rFonts w:ascii="宋体" w:hAnsi="宋体" w:cs="宋体" w:eastAsia="宋体"/>
                      <w:sz w:val="21"/>
                      <w:color w:val="000000"/>
                    </w:rPr>
                    <w:t>5、 支持手机即时通讯类应用程序的痕迹记录解析，包含QQ（含轻聊版、国际版等）、微信（含分身版等）、飞信、米聊、陌陌、Skype、易信、来往、旺信、遇见、微话、YY语音、Facebook、WhatsApp、Line、Talkbox、Voxer、Viber、DiDi、Zello、有信、Telegram、CoCo Voice、ooVoo、Peem、BBM、HelloTalk、快牙。</w:t>
                  </w:r>
                </w:p>
                <w:p>
                  <w:pPr>
                    <w:pStyle w:val="null3"/>
                    <w:jc w:val="both"/>
                  </w:pPr>
                  <w:r>
                    <w:rPr>
                      <w:rFonts w:ascii="宋体" w:hAnsi="宋体" w:cs="宋体" w:eastAsia="宋体"/>
                      <w:sz w:val="21"/>
                      <w:color w:val="000000"/>
                    </w:rPr>
                    <w:t>6、支持微博数据的获取解析，包含新浪微博、腾讯微博、Twitter、人人网。</w:t>
                  </w:r>
                </w:p>
                <w:p>
                  <w:pPr>
                    <w:pStyle w:val="null3"/>
                    <w:jc w:val="both"/>
                  </w:pPr>
                  <w:r>
                    <w:rPr>
                      <w:rFonts w:ascii="宋体" w:hAnsi="宋体" w:cs="宋体" w:eastAsia="宋体"/>
                      <w:sz w:val="21"/>
                      <w:color w:val="000000"/>
                    </w:rPr>
                    <w:t>7、支持上网日志的获取解析，包含手机自带浏览器（Safari等）、QQ浏览器、UC浏览器、欧朋浏览器、百度浏览器、海豚等浏览器、Chrome、傲游云浏览器、天天浏览器。</w:t>
                  </w:r>
                </w:p>
                <w:p>
                  <w:pPr>
                    <w:pStyle w:val="null3"/>
                    <w:jc w:val="both"/>
                  </w:pPr>
                  <w:r>
                    <w:rPr>
                      <w:rFonts w:ascii="宋体" w:hAnsi="宋体" w:cs="宋体" w:eastAsia="宋体"/>
                      <w:sz w:val="21"/>
                      <w:color w:val="000000"/>
                    </w:rPr>
                    <w:t>8、支持手机邮件的获取解析，包含手机内置邮箱、QQ邮箱、139邮箱、Gmail邮箱、Safari网页邮箱。</w:t>
                  </w:r>
                </w:p>
                <w:p>
                  <w:pPr>
                    <w:pStyle w:val="null3"/>
                    <w:jc w:val="both"/>
                  </w:pPr>
                  <w:r>
                    <w:rPr>
                      <w:rFonts w:ascii="宋体" w:hAnsi="宋体" w:cs="宋体" w:eastAsia="宋体"/>
                      <w:sz w:val="21"/>
                      <w:color w:val="000000"/>
                    </w:rPr>
                    <w:t>9、支持手机行程记录的获取解析，包含去哪儿网、航旅纵横、滴滴打车、快的打车、携程网。</w:t>
                  </w:r>
                </w:p>
                <w:p>
                  <w:pPr>
                    <w:pStyle w:val="null3"/>
                    <w:jc w:val="both"/>
                  </w:pPr>
                  <w:r>
                    <w:rPr>
                      <w:rFonts w:ascii="宋体" w:hAnsi="宋体" w:cs="宋体" w:eastAsia="宋体"/>
                      <w:sz w:val="21"/>
                      <w:color w:val="000000"/>
                    </w:rPr>
                    <w:t>10、支持手机电子商务数据的获取解析，包含淘宝、天猫、京东商城、支付宝的部分信息。</w:t>
                  </w:r>
                </w:p>
                <w:p>
                  <w:pPr>
                    <w:pStyle w:val="null3"/>
                    <w:jc w:val="both"/>
                  </w:pPr>
                  <w:r>
                    <w:rPr>
                      <w:rFonts w:ascii="宋体" w:hAnsi="宋体" w:cs="宋体" w:eastAsia="宋体"/>
                      <w:sz w:val="21"/>
                      <w:color w:val="000000"/>
                    </w:rPr>
                    <w:t>11、 支持手机WIFI、蓝牙连接记录的提取，支持手机GPS、WIFI、基站、照片位置信息及各种应用程序位置信息的提取。</w:t>
                  </w:r>
                </w:p>
                <w:p>
                  <w:pPr>
                    <w:pStyle w:val="null3"/>
                    <w:jc w:val="both"/>
                  </w:pPr>
                  <w:r>
                    <w:rPr>
                      <w:rFonts w:ascii="宋体" w:hAnsi="宋体" w:cs="宋体" w:eastAsia="宋体"/>
                      <w:sz w:val="21"/>
                      <w:color w:val="000000"/>
                    </w:rPr>
                    <w:t>12、提供自主知识产权的各类手机取证工具，解决手机取证过程遇到的各种疑难问题。</w:t>
                  </w:r>
                </w:p>
                <w:p>
                  <w:pPr>
                    <w:pStyle w:val="null3"/>
                    <w:jc w:val="both"/>
                  </w:pPr>
                  <w:r>
                    <w:rPr>
                      <w:rFonts w:ascii="宋体" w:hAnsi="宋体" w:cs="宋体" w:eastAsia="宋体"/>
                      <w:sz w:val="21"/>
                      <w:color w:val="000000"/>
                    </w:rPr>
                    <w:t>13、 提供Android自动root工具，支持一键root和一键取消root，支持Android 1.5~7.x手机的root提权。提供Android各类密码绕过和破解工具，解决有调试模式和无调试模式情况下的Android手机取证问题。</w:t>
                  </w:r>
                </w:p>
                <w:p>
                  <w:pPr>
                    <w:pStyle w:val="null3"/>
                    <w:jc w:val="both"/>
                  </w:pPr>
                  <w:r>
                    <w:rPr>
                      <w:rFonts w:ascii="楷体" w:hAnsi="楷体" w:cs="楷体" w:eastAsia="楷体"/>
                      <w:sz w:val="21"/>
                      <w:b/>
                    </w:rPr>
                    <w:t>▲</w:t>
                  </w:r>
                  <w:r>
                    <w:rPr>
                      <w:rFonts w:ascii="宋体" w:hAnsi="宋体" w:cs="宋体" w:eastAsia="宋体"/>
                      <w:sz w:val="21"/>
                      <w:color w:val="000000"/>
                    </w:rPr>
                    <w:t>1</w:t>
                  </w:r>
                  <w:r>
                    <w:rPr>
                      <w:rFonts w:ascii="宋体" w:hAnsi="宋体" w:cs="宋体" w:eastAsia="宋体"/>
                      <w:sz w:val="21"/>
                      <w:color w:val="000000"/>
                    </w:rPr>
                    <w:t>4</w:t>
                  </w:r>
                  <w:r>
                    <w:rPr>
                      <w:rFonts w:ascii="宋体" w:hAnsi="宋体" w:cs="宋体" w:eastAsia="宋体"/>
                      <w:sz w:val="21"/>
                      <w:color w:val="000000"/>
                    </w:rPr>
                    <w:t>、支持数据上传</w:t>
                  </w:r>
                  <w:r>
                    <w:rPr>
                      <w:rFonts w:ascii="宋体" w:hAnsi="宋体" w:cs="宋体" w:eastAsia="宋体"/>
                      <w:sz w:val="21"/>
                      <w:color w:val="000000"/>
                    </w:rPr>
                    <w:t>SIS系统，手机数据关联分析，可快速分析手机对象的关联性。以图形方式直观展现关联分析情况，快速挖掘数据之间的关联关系，快速发现有用的线</w:t>
                  </w:r>
                  <w:r>
                    <w:rPr>
                      <w:rFonts w:ascii="宋体" w:hAnsi="宋体" w:cs="宋体" w:eastAsia="宋体"/>
                      <w:sz w:val="21"/>
                      <w:color w:val="000000"/>
                    </w:rPr>
                    <w:t>索。（</w:t>
                  </w:r>
                  <w:r>
                    <w:rPr>
                      <w:rFonts w:ascii="宋体" w:hAnsi="宋体" w:cs="宋体" w:eastAsia="宋体"/>
                      <w:sz w:val="21"/>
                      <w:color w:val="000000"/>
                    </w:rPr>
                    <w:t>提供可接入公安联网承诺</w:t>
                  </w:r>
                  <w:r>
                    <w:rPr>
                      <w:rFonts w:ascii="宋体" w:hAnsi="宋体" w:cs="宋体" w:eastAsia="宋体"/>
                      <w:sz w:val="21"/>
                      <w:color w:val="000000"/>
                    </w:rPr>
                    <w:t>）</w:t>
                  </w:r>
                </w:p>
                <w:p>
                  <w:pPr>
                    <w:pStyle w:val="null3"/>
                    <w:jc w:val="both"/>
                  </w:pPr>
                  <w:r>
                    <w:rPr>
                      <w:rFonts w:ascii="宋体" w:hAnsi="宋体" w:cs="宋体" w:eastAsia="宋体"/>
                      <w:sz w:val="21"/>
                      <w:color w:val="000000"/>
                    </w:rPr>
                    <w:t>1</w:t>
                  </w:r>
                  <w:r>
                    <w:rPr>
                      <w:rFonts w:ascii="宋体" w:hAnsi="宋体" w:cs="宋体" w:eastAsia="宋体"/>
                      <w:sz w:val="21"/>
                      <w:color w:val="000000"/>
                    </w:rPr>
                    <w:t>5</w:t>
                  </w:r>
                  <w:r>
                    <w:rPr>
                      <w:rFonts w:ascii="宋体" w:hAnsi="宋体" w:cs="宋体" w:eastAsia="宋体"/>
                      <w:sz w:val="21"/>
                      <w:color w:val="000000"/>
                    </w:rPr>
                    <w:t>、支持数据浏览会话展示，包括短信、通话记录、</w:t>
                  </w:r>
                  <w:r>
                    <w:rPr>
                      <w:rFonts w:ascii="宋体" w:hAnsi="宋体" w:cs="宋体" w:eastAsia="宋体"/>
                      <w:sz w:val="21"/>
                      <w:color w:val="000000"/>
                    </w:rPr>
                    <w:t>QQ、微信等。</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活体足迹图像采集</w:t>
                  </w:r>
                </w:p>
              </w:tc>
              <w:tc>
                <w:tcPr>
                  <w:tcW w:type="dxa" w:w="1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一、基本功能</w:t>
                  </w:r>
                  <w:r>
                    <w:br/>
                  </w:r>
                  <w:r>
                    <w:rPr>
                      <w:rFonts w:ascii="宋体" w:hAnsi="宋体" w:cs="宋体" w:eastAsia="宋体"/>
                      <w:sz w:val="21"/>
                      <w:color w:val="000000"/>
                    </w:rPr>
                    <w:t>1、需支持采集人员穿鞋足迹图像和赤足足迹图像，生成足迹花纹图片并提供保存功能，支持正反向采集图像。</w:t>
                  </w:r>
                  <w:r>
                    <w:br/>
                  </w:r>
                  <w:r>
                    <w:rPr>
                      <w:rFonts w:ascii="宋体" w:hAnsi="宋体" w:cs="宋体" w:eastAsia="宋体"/>
                      <w:sz w:val="21"/>
                      <w:color w:val="000000"/>
                    </w:rPr>
                    <w:t>2、需支持同时从4个不同角度对人员鞋面图像进行采集，并提供保存功能。</w:t>
                  </w:r>
                  <w:r>
                    <w:br/>
                  </w:r>
                  <w:r>
                    <w:rPr>
                      <w:rFonts w:ascii="宋体" w:hAnsi="宋体" w:cs="宋体" w:eastAsia="宋体"/>
                      <w:sz w:val="21"/>
                      <w:color w:val="000000"/>
                    </w:rPr>
                    <w:t>3、需提供服务器数据库存储和本机数据库存储两种方式。</w:t>
                  </w:r>
                  <w:r>
                    <w:br/>
                  </w:r>
                  <w:r>
                    <w:rPr>
                      <w:rFonts w:ascii="宋体" w:hAnsi="宋体" w:cs="宋体" w:eastAsia="宋体"/>
                      <w:sz w:val="21"/>
                      <w:color w:val="000000"/>
                    </w:rPr>
                    <w:t>二、详细功能</w:t>
                  </w:r>
                  <w:r>
                    <w:br/>
                  </w:r>
                  <w:r>
                    <w:rPr>
                      <w:rFonts w:ascii="宋体" w:hAnsi="宋体" w:cs="宋体" w:eastAsia="宋体"/>
                      <w:sz w:val="21"/>
                      <w:color w:val="000000"/>
                    </w:rPr>
                    <w:t>1、信号控制：</w:t>
                  </w:r>
                  <w:r>
                    <w:br/>
                  </w:r>
                  <w:r>
                    <w:rPr>
                      <w:rFonts w:ascii="宋体" w:hAnsi="宋体" w:cs="宋体" w:eastAsia="宋体"/>
                      <w:sz w:val="21"/>
                      <w:color w:val="000000"/>
                    </w:rPr>
                    <w:t>可实现电源管理与信号稳定，提供自动待机功能。</w:t>
                  </w:r>
                  <w:r>
                    <w:br/>
                  </w:r>
                  <w:r>
                    <w:rPr>
                      <w:rFonts w:ascii="楷体" w:hAnsi="楷体" w:cs="楷体" w:eastAsia="楷体"/>
                      <w:sz w:val="21"/>
                      <w:b/>
                    </w:rPr>
                    <w:t>▲</w:t>
                  </w:r>
                  <w:r>
                    <w:rPr>
                      <w:rFonts w:ascii="宋体" w:hAnsi="宋体" w:cs="宋体" w:eastAsia="宋体"/>
                      <w:sz w:val="21"/>
                      <w:color w:val="000000"/>
                    </w:rPr>
                    <w:t>需具有设备组件故障自动判断及告警提示功能。（</w:t>
                  </w:r>
                  <w:r>
                    <w:rPr>
                      <w:rFonts w:ascii="宋体" w:hAnsi="宋体" w:cs="宋体" w:eastAsia="宋体"/>
                      <w:sz w:val="21"/>
                      <w:color w:val="000000"/>
                    </w:rPr>
                    <w:t>提供具有</w:t>
                  </w:r>
                  <w:r>
                    <w:rPr>
                      <w:rFonts w:ascii="宋体" w:hAnsi="宋体" w:cs="宋体" w:eastAsia="宋体"/>
                      <w:sz w:val="21"/>
                      <w:color w:val="000000"/>
                    </w:rPr>
                    <w:t>第三方检测机构</w:t>
                  </w:r>
                  <w:r>
                    <w:rPr>
                      <w:rFonts w:ascii="宋体" w:hAnsi="宋体" w:cs="宋体" w:eastAsia="宋体"/>
                      <w:sz w:val="21"/>
                      <w:color w:val="000000"/>
                    </w:rPr>
                    <w:t>出具的产品合格的检验报告进行佐证</w:t>
                  </w:r>
                  <w:r>
                    <w:rPr>
                      <w:rFonts w:ascii="宋体" w:hAnsi="宋体" w:cs="宋体" w:eastAsia="宋体"/>
                      <w:sz w:val="21"/>
                      <w:color w:val="000000"/>
                    </w:rPr>
                    <w:t>）</w:t>
                  </w:r>
                  <w:r>
                    <w:br/>
                  </w:r>
                  <w:r>
                    <w:rPr>
                      <w:rFonts w:ascii="宋体" w:hAnsi="宋体" w:cs="宋体" w:eastAsia="宋体"/>
                      <w:sz w:val="21"/>
                      <w:color w:val="000000"/>
                    </w:rPr>
                    <w:t>2、成像方式：</w:t>
                  </w:r>
                  <w:r>
                    <w:br/>
                  </w:r>
                  <w:r>
                    <w:rPr>
                      <w:rFonts w:ascii="宋体" w:hAnsi="宋体" w:cs="宋体" w:eastAsia="宋体"/>
                      <w:sz w:val="21"/>
                      <w:color w:val="000000"/>
                    </w:rPr>
                    <w:t>需采用模压成像，可以在反映鞋底花纹同时反映足迹压力，可在不拆主机情况下更换成像膜。</w:t>
                  </w:r>
                  <w:r>
                    <w:br/>
                  </w:r>
                  <w:r>
                    <w:rPr>
                      <w:rFonts w:ascii="宋体" w:hAnsi="宋体" w:cs="宋体" w:eastAsia="宋体"/>
                      <w:sz w:val="21"/>
                      <w:color w:val="000000"/>
                    </w:rPr>
                    <w:t>3、数据应用：</w:t>
                  </w:r>
                  <w:r>
                    <w:br/>
                  </w:r>
                  <w:r>
                    <w:rPr>
                      <w:rFonts w:ascii="宋体" w:hAnsi="宋体" w:cs="宋体" w:eastAsia="宋体"/>
                      <w:sz w:val="21"/>
                      <w:color w:val="000000"/>
                    </w:rPr>
                    <w:t>需与足迹系统无缝连接，比例尺信息、足迹标画信息自动打包发送，实现特征提取。</w:t>
                  </w:r>
                  <w:r>
                    <w:br/>
                  </w:r>
                  <w:r>
                    <w:rPr>
                      <w:rFonts w:ascii="宋体" w:hAnsi="宋体" w:cs="宋体" w:eastAsia="宋体"/>
                      <w:sz w:val="21"/>
                      <w:color w:val="000000"/>
                    </w:rPr>
                    <w:t>三、技术参数</w:t>
                  </w:r>
                  <w:r>
                    <w:br/>
                  </w:r>
                  <w:r>
                    <w:rPr>
                      <w:rFonts w:ascii="楷体" w:hAnsi="楷体" w:cs="楷体" w:eastAsia="楷体"/>
                      <w:sz w:val="21"/>
                      <w:b/>
                    </w:rPr>
                    <w:t>▲</w:t>
                  </w:r>
                  <w:r>
                    <w:rPr>
                      <w:rFonts w:ascii="宋体" w:hAnsi="宋体" w:cs="宋体" w:eastAsia="宋体"/>
                      <w:sz w:val="21"/>
                      <w:color w:val="000000"/>
                    </w:rPr>
                    <w:t>1、足迹采集图像分辨率：≥300dpi。（</w:t>
                  </w:r>
                  <w:r>
                    <w:rPr>
                      <w:rFonts w:ascii="宋体" w:hAnsi="宋体" w:cs="宋体" w:eastAsia="宋体"/>
                      <w:sz w:val="21"/>
                      <w:color w:val="000000"/>
                    </w:rPr>
                    <w:t>提供具有</w:t>
                  </w:r>
                  <w:r>
                    <w:rPr>
                      <w:rFonts w:ascii="宋体" w:hAnsi="宋体" w:cs="宋体" w:eastAsia="宋体"/>
                      <w:sz w:val="21"/>
                      <w:color w:val="000000"/>
                    </w:rPr>
                    <w:t>第三方检测机构</w:t>
                  </w:r>
                  <w:r>
                    <w:rPr>
                      <w:rFonts w:ascii="宋体" w:hAnsi="宋体" w:cs="宋体" w:eastAsia="宋体"/>
                      <w:sz w:val="21"/>
                      <w:color w:val="000000"/>
                    </w:rPr>
                    <w:t>出具的产品合格的检验报告进行佐证</w:t>
                  </w:r>
                  <w:r>
                    <w:rPr>
                      <w:rFonts w:ascii="宋体" w:hAnsi="宋体" w:cs="宋体" w:eastAsia="宋体"/>
                      <w:sz w:val="21"/>
                      <w:color w:val="000000"/>
                    </w:rPr>
                    <w:t>）</w:t>
                  </w:r>
                  <w:r>
                    <w:br/>
                  </w:r>
                  <w:r>
                    <w:rPr>
                      <w:rFonts w:ascii="宋体" w:hAnsi="宋体" w:cs="宋体" w:eastAsia="宋体"/>
                      <w:sz w:val="21"/>
                      <w:color w:val="000000"/>
                    </w:rPr>
                    <w:t>2、赤足足迹：需支持赤足足迹、压力面特征采集。</w:t>
                  </w:r>
                  <w:r>
                    <w:br/>
                  </w:r>
                  <w:r>
                    <w:rPr>
                      <w:rFonts w:ascii="宋体" w:hAnsi="宋体" w:cs="宋体" w:eastAsia="宋体"/>
                      <w:sz w:val="21"/>
                      <w:color w:val="000000"/>
                    </w:rPr>
                    <w:t>3、输出端口：标准USB3.0接口。</w:t>
                  </w:r>
                  <w:r>
                    <w:br/>
                  </w:r>
                  <w:r>
                    <w:rPr>
                      <w:rFonts w:ascii="宋体" w:hAnsi="宋体" w:cs="宋体" w:eastAsia="宋体"/>
                      <w:sz w:val="21"/>
                      <w:color w:val="000000"/>
                    </w:rPr>
                    <w:t>4、足迹采集区域：≥350mm×150mm。</w:t>
                  </w:r>
                  <w:r>
                    <w:br/>
                  </w:r>
                  <w:r>
                    <w:rPr>
                      <w:rFonts w:ascii="楷体" w:hAnsi="楷体" w:cs="楷体" w:eastAsia="楷体"/>
                      <w:sz w:val="21"/>
                      <w:b/>
                    </w:rPr>
                    <w:t>▲</w:t>
                  </w:r>
                  <w:r>
                    <w:rPr>
                      <w:rFonts w:ascii="宋体" w:hAnsi="宋体" w:cs="宋体" w:eastAsia="宋体"/>
                      <w:sz w:val="21"/>
                      <w:color w:val="000000"/>
                    </w:rPr>
                    <w:t>5、鞋面图像：需支持同时采集鞋面外侧、内侧、斜前侧、斜后侧4个角度的鞋面信息；鞋面采集图像分辨率不低于100万像素。（</w:t>
                  </w:r>
                  <w:r>
                    <w:rPr>
                      <w:rFonts w:ascii="宋体" w:hAnsi="宋体" w:cs="宋体" w:eastAsia="宋体"/>
                      <w:sz w:val="21"/>
                      <w:color w:val="000000"/>
                    </w:rPr>
                    <w:t>提供具有</w:t>
                  </w:r>
                  <w:r>
                    <w:rPr>
                      <w:rFonts w:ascii="宋体" w:hAnsi="宋体" w:cs="宋体" w:eastAsia="宋体"/>
                      <w:sz w:val="21"/>
                      <w:color w:val="000000"/>
                    </w:rPr>
                    <w:t>第三方检测机构</w:t>
                  </w:r>
                  <w:r>
                    <w:rPr>
                      <w:rFonts w:ascii="宋体" w:hAnsi="宋体" w:cs="宋体" w:eastAsia="宋体"/>
                      <w:sz w:val="21"/>
                      <w:color w:val="000000"/>
                    </w:rPr>
                    <w:t>出具的产品合格的检验报告进行佐证</w:t>
                  </w:r>
                  <w:r>
                    <w:rPr>
                      <w:rFonts w:ascii="宋体" w:hAnsi="宋体" w:cs="宋体" w:eastAsia="宋体"/>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bl>
          <w:p>
            <w:pPr>
              <w:pStyle w:val="null3"/>
            </w:pPr>
            <w:r>
              <w:rPr>
                <w:rFonts w:ascii="宋体" w:hAnsi="宋体" w:cs="宋体" w:eastAsia="宋体"/>
              </w:rPr>
              <w:t>三、商务要求</w:t>
            </w:r>
          </w:p>
          <w:p>
            <w:pPr>
              <w:pStyle w:val="null3"/>
            </w:pPr>
            <w:r>
              <w:rPr>
                <w:rFonts w:ascii="calibri" w:hAnsi="calibri" w:cs="calibri" w:eastAsia="calibri"/>
              </w:rPr>
              <w:t>1</w:t>
            </w:r>
            <w:r>
              <w:rPr>
                <w:rFonts w:ascii="宋体" w:hAnsi="宋体" w:cs="宋体" w:eastAsia="宋体"/>
              </w:rPr>
              <w:t>、</w:t>
            </w:r>
            <w:r>
              <w:rPr>
                <w:rFonts w:ascii="宋体" w:hAnsi="宋体" w:cs="宋体" w:eastAsia="宋体"/>
              </w:rPr>
              <w:t>交货</w:t>
            </w:r>
            <w:r>
              <w:rPr>
                <w:rFonts w:ascii="宋体" w:hAnsi="宋体" w:cs="宋体" w:eastAsia="宋体"/>
              </w:rPr>
              <w:t>期：</w:t>
            </w:r>
            <w:r>
              <w:rPr>
                <w:rFonts w:ascii="宋体" w:hAnsi="宋体" w:cs="宋体" w:eastAsia="宋体"/>
              </w:rPr>
              <w:t>自合同签订之日起</w:t>
            </w:r>
            <w:r>
              <w:rPr>
                <w:rFonts w:ascii="calibri" w:hAnsi="calibri" w:cs="calibri" w:eastAsia="calibri"/>
              </w:rPr>
              <w:t>30</w:t>
            </w:r>
            <w:r>
              <w:rPr>
                <w:rFonts w:ascii="宋体" w:hAnsi="宋体" w:cs="宋体" w:eastAsia="宋体"/>
              </w:rPr>
              <w:t>日内</w:t>
            </w:r>
            <w:r>
              <w:rPr>
                <w:rFonts w:ascii="宋体" w:hAnsi="宋体" w:cs="宋体" w:eastAsia="宋体"/>
              </w:rPr>
              <w:t>。</w:t>
            </w:r>
          </w:p>
          <w:p>
            <w:pPr>
              <w:pStyle w:val="null3"/>
            </w:pPr>
            <w:r>
              <w:rPr>
                <w:rFonts w:ascii="calibri" w:hAnsi="calibri" w:cs="calibri" w:eastAsia="calibri"/>
              </w:rPr>
              <w:t>2</w:t>
            </w:r>
            <w:r>
              <w:rPr>
                <w:rFonts w:ascii="宋体" w:hAnsi="宋体" w:cs="宋体" w:eastAsia="宋体"/>
              </w:rPr>
              <w:t>、</w:t>
            </w:r>
            <w:r>
              <w:rPr>
                <w:rFonts w:ascii="宋体" w:hAnsi="宋体" w:cs="宋体" w:eastAsia="宋体"/>
              </w:rPr>
              <w:t>交货</w:t>
            </w:r>
            <w:r>
              <w:rPr>
                <w:rFonts w:ascii="宋体" w:hAnsi="宋体" w:cs="宋体" w:eastAsia="宋体"/>
              </w:rPr>
              <w:t>地点：采购人指定地点。</w:t>
            </w:r>
          </w:p>
          <w:p>
            <w:pPr>
              <w:pStyle w:val="null3"/>
            </w:pPr>
            <w:r>
              <w:rPr>
                <w:rFonts w:ascii="calibri" w:hAnsi="calibri" w:cs="calibri" w:eastAsia="calibri"/>
              </w:rPr>
              <w:t>3</w:t>
            </w:r>
            <w:r>
              <w:rPr>
                <w:rFonts w:ascii="宋体" w:hAnsi="宋体" w:cs="宋体" w:eastAsia="宋体"/>
              </w:rPr>
              <w:t>、质保期：</w:t>
            </w:r>
            <w:r>
              <w:rPr>
                <w:rFonts w:ascii="宋体" w:hAnsi="宋体" w:cs="宋体" w:eastAsia="宋体"/>
              </w:rPr>
              <w:t>自验收合格之日起</w:t>
            </w:r>
            <w:r>
              <w:rPr>
                <w:rFonts w:ascii="calibri" w:hAnsi="calibri" w:cs="calibri" w:eastAsia="calibri"/>
              </w:rPr>
              <w:t>1</w:t>
            </w:r>
            <w:r>
              <w:rPr>
                <w:rFonts w:ascii="宋体" w:hAnsi="宋体" w:cs="宋体" w:eastAsia="宋体"/>
              </w:rPr>
              <w:t>年</w:t>
            </w:r>
            <w:r>
              <w:rPr>
                <w:rFonts w:ascii="宋体" w:hAnsi="宋体" w:cs="宋体" w:eastAsia="宋体"/>
              </w:rPr>
              <w:t>。</w:t>
            </w:r>
          </w:p>
          <w:p>
            <w:pPr>
              <w:pStyle w:val="null3"/>
            </w:pPr>
            <w:r>
              <w:rPr>
                <w:rFonts w:ascii="calibri" w:hAnsi="calibri" w:cs="calibri" w:eastAsia="calibri"/>
              </w:rPr>
              <w:t>4</w:t>
            </w:r>
            <w:r>
              <w:rPr>
                <w:rFonts w:ascii="宋体" w:hAnsi="宋体" w:cs="宋体" w:eastAsia="宋体"/>
              </w:rPr>
              <w:t>、付款方式：</w:t>
            </w:r>
            <w:r>
              <w:rPr>
                <w:rFonts w:ascii="宋体" w:hAnsi="宋体" w:cs="宋体" w:eastAsia="宋体"/>
              </w:rPr>
              <w:t>全部货物到达采购人指定地点经采购人验收合格后，</w:t>
            </w:r>
            <w:r>
              <w:rPr>
                <w:rFonts w:ascii="calibri" w:hAnsi="calibri" w:cs="calibri" w:eastAsia="calibri"/>
              </w:rPr>
              <w:t>30</w:t>
            </w:r>
            <w:r>
              <w:rPr>
                <w:rFonts w:ascii="宋体" w:hAnsi="宋体" w:cs="宋体" w:eastAsia="宋体"/>
              </w:rPr>
              <w:t xml:space="preserve">日内支付合同总价款的 </w:t>
            </w:r>
            <w:r>
              <w:rPr>
                <w:rFonts w:ascii="calibri" w:hAnsi="calibri" w:cs="calibri" w:eastAsia="calibri"/>
              </w:rPr>
              <w:t>100%</w:t>
            </w:r>
            <w:r>
              <w:rPr>
                <w:rFonts w:ascii="宋体" w:hAnsi="宋体" w:cs="宋体" w:eastAsia="宋体"/>
              </w:rPr>
              <w:t>。</w:t>
            </w:r>
          </w:p>
          <w:p>
            <w:pPr>
              <w:pStyle w:val="null3"/>
            </w:pPr>
            <w:r>
              <w:rPr>
                <w:rFonts w:ascii="calibri" w:hAnsi="calibri" w:cs="calibri" w:eastAsia="calibri"/>
              </w:rPr>
              <w:t>5</w:t>
            </w:r>
            <w:r>
              <w:rPr>
                <w:rFonts w:ascii="宋体" w:hAnsi="宋体" w:cs="宋体" w:eastAsia="宋体"/>
              </w:rPr>
              <w:t>、履约保证金：中标人须按照中标金额的</w:t>
            </w:r>
            <w:r>
              <w:rPr>
                <w:rFonts w:ascii="calibri" w:hAnsi="calibri" w:cs="calibri" w:eastAsia="calibri"/>
              </w:rPr>
              <w:t>5</w:t>
            </w:r>
            <w:r>
              <w:rPr>
                <w:rFonts w:ascii="宋体" w:hAnsi="宋体" w:cs="宋体" w:eastAsia="宋体"/>
              </w:rPr>
              <w:t>％，作为履约保证金在签订合同前向西安市公安局地铁分局缴纳。一年后（如无质量问题）一个月内全额无息一次性退付中标人。缴纳形式：以保函、担保、本票等非现金形式缴纳。</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交货期：自合同签订之日起30日内。</w:t>
      </w:r>
    </w:p>
    <w:p>
      <w:pPr>
        <w:pStyle w:val="null3"/>
        <w:outlineLvl w:val="3"/>
      </w:pPr>
      <w:r>
        <w:rPr>
          <w:sz w:val="24"/>
          <w:b/>
        </w:rPr>
        <w:t>3.4.2交货地点</w:t>
      </w:r>
    </w:p>
    <w:p>
      <w:pPr>
        <w:pStyle w:val="null3"/>
      </w:pPr>
      <w:r>
        <w:rPr/>
        <w:t>采购包1：</w:t>
      </w:r>
    </w:p>
    <w:p>
      <w:pPr>
        <w:pStyle w:val="null3"/>
      </w:pPr>
      <w:r>
        <w:rPr/>
        <w:t>西安市公安局地铁分局指定地点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全部货物到达采购人指定地点经采购人验收合格后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详见供货合同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质保期：自验收合格之日起1年。</w:t>
      </w:r>
    </w:p>
    <w:p>
      <w:pPr>
        <w:pStyle w:val="null3"/>
        <w:outlineLvl w:val="3"/>
      </w:pPr>
      <w:r>
        <w:rPr>
          <w:sz w:val="24"/>
          <w:b/>
        </w:rPr>
        <w:t>3.4.8违约责任与解决争议的方法</w:t>
      </w:r>
    </w:p>
    <w:p>
      <w:pPr>
        <w:pStyle w:val="null3"/>
      </w:pPr>
      <w:r>
        <w:rPr/>
        <w:t>采购包1：</w:t>
      </w:r>
    </w:p>
    <w:p>
      <w:pPr>
        <w:pStyle w:val="null3"/>
      </w:pPr>
      <w:r>
        <w:rPr/>
        <w:t>1.合同中未约定的，按《民法典》中的相关条款执行；2.未按合同要求提供产品或产品质量不能满足合同要求，甲方应当将乙方违约的情况以及拟采取的措施以书面形式报政府采购监管部门，根据政府采购监管部门的处理意见，甲方有权依据《民法典》有关条款及合同约定解除合同，乙方应向甲方支付违约金。同时，政府采购监管部门有权依据《政府采购法》及相关法律法规对乙方的违法行为进行相应的处罚。3.乙方逾期交付产品的（包括更换、补交等），应当自逾期之日起向甲方支付违约金。若因乙方原因逾期交货的，甲方有权拒收并解除本合同，且乙方应向甲方支付违约金。4.如乙方所交的产品经甲方验收不符合合同约定或规定标准的，甲方有权拒收，乙方应当在甲方指定期限内更换，由此导致乙方逾期交货的，乙方还应承担逾期交货的违约责任。5.合同中各条款约定的违约金可自甲方未支付款项中直接扣除，违约金若不能弥补甲方损失的，乙方还应赔偿甲方损失。</w:t>
      </w:r>
    </w:p>
    <w:p>
      <w:pPr>
        <w:pStyle w:val="null3"/>
        <w:jc w:val="left"/>
        <w:outlineLvl w:val="2"/>
      </w:pPr>
      <w:r>
        <w:rPr>
          <w:sz w:val="28"/>
          <w:b/>
        </w:rPr>
        <w:t>3.5其他要求</w:t>
      </w:r>
    </w:p>
    <w:p>
      <w:pPr>
        <w:pStyle w:val="null3"/>
      </w:pPr>
      <w:r>
        <w:rPr/>
        <w:t>本项目采购内容“西安市公安局地铁分局刑侦设备及防爆围栏、枪弹柜采购项目（二次）”对应的中小企业划分标准所属行业为：工业。2、投标人需要在线提交所有通过电子化交易平台实施的政府采购项目的投标文件，中标人在中标结果公示后线下递交系统生成的纸质投标文件正本壹份、副本壹份，递交文件地点：西安市高新区沣惠路16号泰华金贸国际8号楼28层。3、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提供有效存续的企业营业执照/事业单位法人证书/专业服务机构执业许可证/民办非企业单位登记证书，自然人投标的提供其身份证明；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提供2024年4月至今已缴纳任意一个月纳税证明或税务机关开具的完税证明（时间以税款所属日期为准，凭据应有税务机关或代收机关的公章或业务专用章。）依法免税或无须缴纳税收的单位应提供相应证明文件；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提供2024年4月至今已缴存任意一个月社会保障资金缴存单据或社保机构开具的社会保险参保缴费证明，依法不需要缴纳社会保障资金的单位应提供相应证明文件；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履行合同所必需的设备和专业技术能力</w:t>
            </w:r>
          </w:p>
        </w:tc>
        <w:tc>
          <w:tcPr>
            <w:tcW w:type="dxa" w:w="3322"/>
          </w:tcPr>
          <w:p>
            <w:pPr>
              <w:pStyle w:val="null3"/>
            </w:pPr>
            <w:r>
              <w:rPr/>
              <w:t>具备履行合同所必需的设备和专业技术能力的证明材料或书面声明；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采购活动前三年内在经营活动中没有重大违法记录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法律、行政法规规定的其他条件</w:t>
            </w:r>
          </w:p>
        </w:tc>
        <w:tc>
          <w:tcPr>
            <w:tcW w:type="dxa" w:w="3322"/>
          </w:tcPr>
          <w:p>
            <w:pPr>
              <w:pStyle w:val="null3"/>
            </w:pPr>
            <w:r>
              <w:rPr/>
              <w:t>具备法律、行政法规规定的其他条件的证明材料。</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企业信用查询</w:t>
            </w:r>
          </w:p>
        </w:tc>
        <w:tc>
          <w:tcPr>
            <w:tcW w:type="dxa" w:w="3322"/>
          </w:tcPr>
          <w:p>
            <w:pPr>
              <w:pStyle w:val="null3"/>
            </w:pPr>
            <w:r>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本项目不接受联合体投标，不允许分包。投标人提供《非联合体不分包投标声明》，视为独立投标，不分包。</w:t>
            </w:r>
          </w:p>
        </w:tc>
        <w:tc>
          <w:tcPr>
            <w:tcW w:type="dxa" w:w="1661"/>
          </w:tcPr>
          <w:p>
            <w:pPr>
              <w:pStyle w:val="null3"/>
            </w:pPr>
            <w:r>
              <w:rPr/>
              <w:t>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开标一览表、分项报价表、节能环保、环境标志产品明细表、货物说明一览表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按照招标文件规定要求签署、盖章</w:t>
            </w:r>
          </w:p>
        </w:tc>
        <w:tc>
          <w:tcPr>
            <w:tcW w:type="dxa" w:w="1661"/>
          </w:tcPr>
          <w:p>
            <w:pPr>
              <w:pStyle w:val="null3"/>
            </w:pPr>
            <w:r>
              <w:rPr/>
              <w:t>开标一览表 供货服务方案 中小企业声明函 承诺书 资格证明材料 开标一览表、分项报价表、节能环保、环境标志产品明细表、货物说明一览表 偏差表 投标函 残疾人福利性单位声明函 标的清单 投标人认为有必要说明的其他资料 投标文件封面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 标的清单 开标一览表、分项报价表、节能环保、环境标志产品明细表、货物说明一览表</w:t>
            </w:r>
          </w:p>
        </w:tc>
      </w:tr>
      <w:tr>
        <w:tc>
          <w:tcPr>
            <w:tcW w:type="dxa" w:w="831"/>
          </w:tcPr>
          <w:p>
            <w:pPr>
              <w:pStyle w:val="null3"/>
            </w:pPr>
            <w:r>
              <w:rPr/>
              <w:t>4</w:t>
            </w:r>
          </w:p>
        </w:tc>
        <w:tc>
          <w:tcPr>
            <w:tcW w:type="dxa" w:w="2492"/>
          </w:tcPr>
          <w:p>
            <w:pPr>
              <w:pStyle w:val="null3"/>
            </w:pPr>
            <w:r>
              <w:rPr/>
              <w:t>投标文件内容</w:t>
            </w:r>
          </w:p>
        </w:tc>
        <w:tc>
          <w:tcPr>
            <w:tcW w:type="dxa" w:w="3322"/>
          </w:tcPr>
          <w:p>
            <w:pPr>
              <w:pStyle w:val="null3"/>
            </w:pPr>
            <w:r>
              <w:rPr/>
              <w:t>投标文件内容齐全、无遗漏</w:t>
            </w:r>
          </w:p>
        </w:tc>
        <w:tc>
          <w:tcPr>
            <w:tcW w:type="dxa" w:w="1661"/>
          </w:tcPr>
          <w:p>
            <w:pPr>
              <w:pStyle w:val="null3"/>
            </w:pPr>
            <w:r>
              <w:rPr/>
              <w:t>开标一览表 供货服务方案 中小企业声明函 承诺书 资格证明材料 开标一览表、分项报价表、节能环保、环境标志产品明细表、货物说明一览表 偏差表 投标函 残疾人福利性单位声明函 标的清单 投标人认为有必要说明的其他资料 投标文件封面 监狱企业的证明文件</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开标一览表 供货服务方案 中小企业声明函 承诺书 资格证明材料 开标一览表、分项报价表、节能环保、环境标志产品明细表、货物说明一览表 偏差表 投标函 残疾人福利性单位声明函 标的清单 投标人认为有必要说明的其他资料 投标文件封面 监狱企业的证明文件</w:t>
            </w:r>
          </w:p>
        </w:tc>
      </w:tr>
      <w:tr>
        <w:tc>
          <w:tcPr>
            <w:tcW w:type="dxa" w:w="831"/>
          </w:tcPr>
          <w:p>
            <w:pPr>
              <w:pStyle w:val="null3"/>
            </w:pPr>
            <w:r>
              <w:rPr/>
              <w:t>6</w:t>
            </w:r>
          </w:p>
        </w:tc>
        <w:tc>
          <w:tcPr>
            <w:tcW w:type="dxa" w:w="2492"/>
          </w:tcPr>
          <w:p>
            <w:pPr>
              <w:pStyle w:val="null3"/>
            </w:pPr>
            <w:r>
              <w:rPr/>
              <w:t>交货期、质保期</w:t>
            </w:r>
          </w:p>
        </w:tc>
        <w:tc>
          <w:tcPr>
            <w:tcW w:type="dxa" w:w="3322"/>
          </w:tcPr>
          <w:p>
            <w:pPr>
              <w:pStyle w:val="null3"/>
            </w:pPr>
            <w:r>
              <w:rPr/>
              <w:t>应满足招标文件中要求的交货期、质保期</w:t>
            </w:r>
          </w:p>
        </w:tc>
        <w:tc>
          <w:tcPr>
            <w:tcW w:type="dxa" w:w="1661"/>
          </w:tcPr>
          <w:p>
            <w:pPr>
              <w:pStyle w:val="null3"/>
            </w:pPr>
            <w:r>
              <w:rPr/>
              <w:t>开标一览表 标的清单 开标一览表、分项报价表、节能环保、环境标志产品明细表、货物说明一览表</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投标有效期满足招标文件要求</w:t>
            </w:r>
          </w:p>
        </w:tc>
        <w:tc>
          <w:tcPr>
            <w:tcW w:type="dxa" w:w="1661"/>
          </w:tcPr>
          <w:p>
            <w:pPr>
              <w:pStyle w:val="null3"/>
            </w:pPr>
            <w:r>
              <w:rPr/>
              <w:t>投标函 资格证明材料</w:t>
            </w:r>
          </w:p>
        </w:tc>
      </w:tr>
      <w:tr>
        <w:tc>
          <w:tcPr>
            <w:tcW w:type="dxa" w:w="831"/>
          </w:tcPr>
          <w:p>
            <w:pPr>
              <w:pStyle w:val="null3"/>
            </w:pPr>
            <w:r>
              <w:rPr/>
              <w:t>8</w:t>
            </w:r>
          </w:p>
        </w:tc>
        <w:tc>
          <w:tcPr>
            <w:tcW w:type="dxa" w:w="2492"/>
          </w:tcPr>
          <w:p>
            <w:pPr>
              <w:pStyle w:val="null3"/>
            </w:pPr>
            <w:r>
              <w:rPr/>
              <w:t>实质性条款</w:t>
            </w:r>
          </w:p>
        </w:tc>
        <w:tc>
          <w:tcPr>
            <w:tcW w:type="dxa" w:w="3322"/>
          </w:tcPr>
          <w:p>
            <w:pPr>
              <w:pStyle w:val="null3"/>
            </w:pPr>
            <w:r>
              <w:rPr/>
              <w:t>满足本招标文件中的实质性条款（交货期、质保期、交货地点、付款方式）要求</w:t>
            </w:r>
          </w:p>
        </w:tc>
        <w:tc>
          <w:tcPr>
            <w:tcW w:type="dxa" w:w="1661"/>
          </w:tcPr>
          <w:p>
            <w:pPr>
              <w:pStyle w:val="null3"/>
            </w:pPr>
            <w:r>
              <w:rPr/>
              <w:t>偏差表</w:t>
            </w:r>
          </w:p>
        </w:tc>
      </w:tr>
      <w:tr>
        <w:tc>
          <w:tcPr>
            <w:tcW w:type="dxa" w:w="831"/>
          </w:tcPr>
          <w:p>
            <w:pPr>
              <w:pStyle w:val="null3"/>
            </w:pPr>
            <w:r>
              <w:rPr/>
              <w:t>9</w:t>
            </w:r>
          </w:p>
        </w:tc>
        <w:tc>
          <w:tcPr>
            <w:tcW w:type="dxa" w:w="2492"/>
          </w:tcPr>
          <w:p>
            <w:pPr>
              <w:pStyle w:val="null3"/>
            </w:pPr>
            <w:r>
              <w:rPr/>
              <w:t>其他情形</w:t>
            </w:r>
          </w:p>
        </w:tc>
        <w:tc>
          <w:tcPr>
            <w:tcW w:type="dxa" w:w="3322"/>
          </w:tcPr>
          <w:p>
            <w:pPr>
              <w:pStyle w:val="null3"/>
            </w:pPr>
            <w:r>
              <w:rPr/>
              <w:t>无法律、规章、规范性文件和招标文件规定的其他无效情形</w:t>
            </w:r>
          </w:p>
        </w:tc>
        <w:tc>
          <w:tcPr>
            <w:tcW w:type="dxa" w:w="1661"/>
          </w:tcPr>
          <w:p>
            <w:pPr>
              <w:pStyle w:val="null3"/>
            </w:pPr>
            <w:r>
              <w:rPr/>
              <w:t>开标一览表 供货服务方案 中小企业声明函 承诺书 资格证明材料 开标一览表、分项报价表、节能环保、环境标志产品明细表、货物说明一览表 偏差表 投标函 残疾人福利性单位声明函 标的清单 投标人认为有必要说明的其他资料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 环保、 环境标志产品</w:t>
            </w:r>
          </w:p>
        </w:tc>
        <w:tc>
          <w:tcPr>
            <w:tcW w:type="dxa" w:w="2492"/>
          </w:tcPr>
          <w:p>
            <w:pPr>
              <w:pStyle w:val="null3"/>
            </w:pPr>
            <w:r>
              <w:rPr/>
              <w:t>投标产品为节能、环保、环境标志产品清单中的产品，符合招标文件要求的，可优先采购并根据其占投标报价总金额的百分比计算得分，计算公式为：得分=（节能、环保、环境标志产品清单中的产品报价/投标报价）×2</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开标一览表、分项报价表、节能环保、环境标志产品明细表、货物说明一览表</w:t>
            </w:r>
          </w:p>
        </w:tc>
      </w:tr>
      <w:tr>
        <w:tc>
          <w:tcPr>
            <w:tcW w:type="dxa" w:w="831"/>
            <w:vMerge/>
          </w:tcPr>
          <w:p/>
        </w:tc>
        <w:tc>
          <w:tcPr>
            <w:tcW w:type="dxa" w:w="1661"/>
          </w:tcPr>
          <w:p>
            <w:pPr>
              <w:pStyle w:val="null3"/>
            </w:pPr>
            <w:r>
              <w:rPr/>
              <w:t>技术参数</w:t>
            </w:r>
          </w:p>
        </w:tc>
        <w:tc>
          <w:tcPr>
            <w:tcW w:type="dxa" w:w="2492"/>
          </w:tcPr>
          <w:p>
            <w:pPr>
              <w:pStyle w:val="null3"/>
            </w:pPr>
            <w:r>
              <w:rPr/>
              <w:t>根据投标产品技术参数、性能的满足程度赋分： 基本分：投标人提供的产品选型科学合理、功能齐全，规格、型号，配套设施完整，技术资料齐全，技术指标和性能完全满足招标文件计21分。标注“▲”项参数为重要指标，不符合要求的视为负偏离，每负偏离一项扣2分，其余参数每负偏离一项扣1分,扣完为止。 加分项：在满足基本分的基础上，投标产品主要技术指标、参数经评标委员会认定优于招标文件规定的技术指标、参数并且有实质性提升的（需提供相关证明材料），进行相应加分，每项加1分，最多加4分。 备注：加分项技术参数需提供证明材料进行佐证，否则视为负偏离，佐证材料包含但不限于检验报告、产品彩页、产品说明书、官网功能截图等技术支持性文件（资料）等，并经评审专家审定方可计分。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偏差表</w:t>
            </w:r>
          </w:p>
        </w:tc>
      </w:tr>
      <w:tr>
        <w:tc>
          <w:tcPr>
            <w:tcW w:type="dxa" w:w="831"/>
            <w:vMerge/>
          </w:tcPr>
          <w:p/>
        </w:tc>
        <w:tc>
          <w:tcPr>
            <w:tcW w:type="dxa" w:w="1661"/>
          </w:tcPr>
          <w:p>
            <w:pPr>
              <w:pStyle w:val="null3"/>
            </w:pPr>
            <w:r>
              <w:rPr/>
              <w:t>产品来源渠道</w:t>
            </w:r>
          </w:p>
        </w:tc>
        <w:tc>
          <w:tcPr>
            <w:tcW w:type="dxa" w:w="2492"/>
          </w:tcPr>
          <w:p>
            <w:pPr>
              <w:pStyle w:val="null3"/>
            </w:pPr>
            <w:r>
              <w:rPr/>
              <w:t>产品供货渠道正常，无劣质、翻新、瑕疵产品及产权纠纷，针对本项目提供产品的来源渠道合法证明材料（包括但不限于销售协议、代理协议、原厂授权等）计4分，未提供或提供不全不计分。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供货服务方案</w:t>
            </w:r>
          </w:p>
        </w:tc>
      </w:tr>
      <w:tr>
        <w:tc>
          <w:tcPr>
            <w:tcW w:type="dxa" w:w="831"/>
            <w:vMerge/>
          </w:tcPr>
          <w:p/>
        </w:tc>
        <w:tc>
          <w:tcPr>
            <w:tcW w:type="dxa" w:w="1661"/>
          </w:tcPr>
          <w:p>
            <w:pPr>
              <w:pStyle w:val="null3"/>
            </w:pPr>
            <w:r>
              <w:rPr/>
              <w:t>产品质量及保障措施</w:t>
            </w:r>
          </w:p>
        </w:tc>
        <w:tc>
          <w:tcPr>
            <w:tcW w:type="dxa" w:w="2492"/>
          </w:tcPr>
          <w:p>
            <w:pPr>
              <w:pStyle w:val="null3"/>
            </w:pPr>
            <w:r>
              <w:rPr/>
              <w:t>投标人提供的产品符合国家的标准和行业规定的质量、安全标准，提供保障措施。产品符合质量、安全标准，保障措施合理、有效计(3-5]分；产品符合质量、安全标准，保障措施简单、合理性一般计[0-3]分。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产品供货、安装、检测、调试方案</w:t>
            </w:r>
          </w:p>
        </w:tc>
        <w:tc>
          <w:tcPr>
            <w:tcW w:type="dxa" w:w="2492"/>
          </w:tcPr>
          <w:p>
            <w:pPr>
              <w:pStyle w:val="null3"/>
            </w:pPr>
            <w:r>
              <w:rPr/>
              <w:t>结合项目特点制定完善、科学合理的产品供货、安装、检测、调试等方面的实施方案和保证措施。 产品供货计划合理、可行；检测、安装调试方案详细具体，有针对性，各项保证措施完整，可操作性强计(3-5]分；产品供货计划简单，可行性一般；检测、安装调试方案有欠缺，针对性不强，保证措施不完整，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产品包装、运输、配送方案及保障措施</w:t>
            </w:r>
          </w:p>
        </w:tc>
        <w:tc>
          <w:tcPr>
            <w:tcW w:type="dxa" w:w="2492"/>
          </w:tcPr>
          <w:p>
            <w:pPr>
              <w:pStyle w:val="null3"/>
            </w:pPr>
            <w:r>
              <w:rPr/>
              <w:t>投标人提供产品包装、运输、配送方案及保障措施。投标人产品包装符合国家规范，运输、配送及时，措施有效、可行计(2-4]分；产品包装符合国家规范，运输、配送较及时，措施简单、可行性一般计[0-2]分。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人员安排及责任制度</w:t>
            </w:r>
          </w:p>
        </w:tc>
        <w:tc>
          <w:tcPr>
            <w:tcW w:type="dxa" w:w="2492"/>
          </w:tcPr>
          <w:p>
            <w:pPr>
              <w:pStyle w:val="null3"/>
            </w:pPr>
            <w:r>
              <w:rPr/>
              <w:t>拟投入本项目的人员安排及责任制度。投标人投入人员专业、配备齐全，制度完善计(2-4]分；投标人投入人员专业、配备简单，制度未完善计[0-2]分。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应急保障能力</w:t>
            </w:r>
          </w:p>
        </w:tc>
        <w:tc>
          <w:tcPr>
            <w:tcW w:type="dxa" w:w="2492"/>
          </w:tcPr>
          <w:p>
            <w:pPr>
              <w:pStyle w:val="null3"/>
            </w:pPr>
            <w:r>
              <w:rPr/>
              <w:t>投标人的应急保障能力。 投标人的应急保障方案内容详尽、描述清晰、且应急保障方案与该项目要求贴合度高计(2-4]分；应急保障方案内容简单、描述不够清晰计[0-2]分。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备品备件保证措施及承诺</w:t>
            </w:r>
          </w:p>
        </w:tc>
        <w:tc>
          <w:tcPr>
            <w:tcW w:type="dxa" w:w="2492"/>
          </w:tcPr>
          <w:p>
            <w:pPr>
              <w:pStyle w:val="null3"/>
            </w:pPr>
            <w:r>
              <w:rPr/>
              <w:t>投标人提供备品备件保证措施及承诺。投标人具备调用备用产品的能力，能提供相同产品或不低于故障产品规格档次的备用产品供采购人使用，以确保货物的正常使用。保证措施详细、合理、可行，承诺详尽、有效计(2-4]分；保证措施描述内容空泛，承诺简单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售后服务</w:t>
            </w:r>
          </w:p>
        </w:tc>
        <w:tc>
          <w:tcPr>
            <w:tcW w:type="dxa" w:w="2492"/>
          </w:tcPr>
          <w:p>
            <w:pPr>
              <w:pStyle w:val="null3"/>
            </w:pPr>
            <w:r>
              <w:rPr/>
              <w:t>针对本项目实际需求提供详细具体可行的售后服务方案（包含本地化的服务能力和技术支持以及具体的售后服务内容、故障响应时间、响应方式等）。售后服务方案及措施，详细、全面、科学合理、可行，计(3-5]分；售后方案及措施简单、可行性差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针对本项目具有可行的技术培训方案，应包括操作维护方法、排除故障等内容。培训方案内容完整，可操作性强，计(2-4]分；培训方案简单、可操作性一般，计[0-2]分。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业绩</w:t>
            </w:r>
          </w:p>
        </w:tc>
        <w:tc>
          <w:tcPr>
            <w:tcW w:type="dxa" w:w="2492"/>
          </w:tcPr>
          <w:p>
            <w:pPr>
              <w:pStyle w:val="null3"/>
            </w:pPr>
            <w:r>
              <w:rPr/>
              <w:t>提供投标人的2021年1月1日至今已完成的同类项目业绩，业绩以合同签订时间为准，每提供一份计2分，满分4分。 （注：投标文件中提供合同复印件加盖投标人公章。）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供货服务方案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满足招标文件要求且投标报价最低的投标人的价格为评标基准价，其价格分为满分。其他投标人的价格分统一按照下列公式计算：投标报价得分=（评标基准价/投标报价）×价格权值×100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开标一览表、分项报价表、节能环保、环境标志产品明细表、货物说明一览表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开标一览表、分项报价表、节能环保、环境标志产品明细表、货物说明一览表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详见附件：开标一览表、分项报价表、节能环保、环境标志产品明细表、货物说明一览表</w:t>
      </w:r>
    </w:p>
    <w:p>
      <w:pPr>
        <w:pStyle w:val="null3"/>
        <w:ind w:firstLine="960"/>
      </w:pPr>
      <w:r>
        <w:rPr/>
        <w:t>详见附件：偏差表</w:t>
      </w:r>
    </w:p>
    <w:p>
      <w:pPr>
        <w:pStyle w:val="null3"/>
        <w:ind w:firstLine="960"/>
      </w:pPr>
      <w:r>
        <w:rPr/>
        <w:t>详见附件：承诺书</w:t>
      </w:r>
    </w:p>
    <w:p>
      <w:pPr>
        <w:pStyle w:val="null3"/>
        <w:ind w:firstLine="960"/>
      </w:pPr>
      <w:r>
        <w:rPr/>
        <w:t>详见附件：资格证明材料</w:t>
      </w:r>
    </w:p>
    <w:p>
      <w:pPr>
        <w:pStyle w:val="null3"/>
        <w:ind w:firstLine="960"/>
      </w:pPr>
      <w:r>
        <w:rPr/>
        <w:t>详见附件：供货服务方案</w:t>
      </w:r>
    </w:p>
    <w:p>
      <w:pPr>
        <w:pStyle w:val="null3"/>
        <w:ind w:firstLine="960"/>
      </w:pPr>
      <w:r>
        <w:rPr/>
        <w:t>详见附件：投标人认为有必要说明的其他资料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