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版本号：241031001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学生生涯发展中心与心理咨询室建设</w:t>
      </w:r>
    </w:p>
    <w:p>
      <w:pPr>
        <w:pStyle w:val="null3"/>
        <w:jc w:val="center"/>
        <w:outlineLvl w:val="2"/>
      </w:pPr>
      <w:r>
        <w:rPr>
          <w:sz w:val="28"/>
          <w:b/>
        </w:rPr>
        <w:t>采购项目编号：</w:t>
      </w:r>
      <w:r>
        <w:rPr>
          <w:sz w:val="28"/>
          <w:b/>
        </w:rPr>
        <w:t>KY2024-1-332</w:t>
      </w:r>
      <w:r>
        <w:br/>
      </w:r>
      <w:r>
        <w:br/>
      </w:r>
      <w:r>
        <w:br/>
      </w:r>
    </w:p>
    <w:p>
      <w:pPr>
        <w:pStyle w:val="null3"/>
        <w:jc w:val="center"/>
        <w:outlineLvl w:val="2"/>
      </w:pPr>
      <w:r>
        <w:rPr>
          <w:sz w:val="28"/>
          <w:b/>
        </w:rPr>
        <w:t>西安市第三十中学</w:t>
      </w:r>
    </w:p>
    <w:p>
      <w:pPr>
        <w:pStyle w:val="null3"/>
        <w:jc w:val="center"/>
        <w:outlineLvl w:val="2"/>
      </w:pPr>
      <w:r>
        <w:rPr>
          <w:sz w:val="28"/>
          <w:b/>
        </w:rPr>
        <w:t>陕西开源招标有限公司</w:t>
      </w:r>
      <w:r>
        <w:rPr>
          <w:sz w:val="28"/>
          <w:b/>
        </w:rPr>
        <w:t>共同编制</w:t>
      </w:r>
    </w:p>
    <w:p>
      <w:pPr>
        <w:pStyle w:val="null3"/>
        <w:jc w:val="center"/>
        <w:outlineLvl w:val="2"/>
      </w:pPr>
      <w:r>
        <w:rPr>
          <w:sz w:val="28"/>
          <w:b/>
        </w:rPr>
        <w:t>2024年10月31日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陕西开源招标有限公司</w:t>
      </w:r>
      <w:r>
        <w:rPr/>
        <w:t>（以下简称“代理机构”）受</w:t>
      </w:r>
      <w:r>
        <w:rPr/>
        <w:t>西安市第三十中学</w:t>
      </w:r>
      <w:r>
        <w:rPr/>
        <w:t>委托，拟对</w:t>
      </w:r>
      <w:r>
        <w:rPr/>
        <w:t>学生生涯发展中心与心理咨询室建设</w:t>
      </w:r>
      <w:r>
        <w:rPr/>
        <w:t>进行国内公开招标，兹邀请符合本次招标要求的供应商参加投标。</w:t>
      </w:r>
    </w:p>
    <w:p>
      <w:pPr>
        <w:pStyle w:val="null3"/>
        <w:outlineLvl w:val="2"/>
      </w:pPr>
      <w:r>
        <w:rPr>
          <w:sz w:val="28"/>
          <w:b/>
        </w:rPr>
        <w:t>一、采购项目编号：</w:t>
      </w:r>
      <w:r>
        <w:rPr>
          <w:sz w:val="28"/>
          <w:b/>
        </w:rPr>
        <w:t>KY2024-1-332</w:t>
      </w:r>
    </w:p>
    <w:p>
      <w:pPr>
        <w:pStyle w:val="null3"/>
        <w:outlineLvl w:val="2"/>
      </w:pPr>
      <w:r>
        <w:rPr>
          <w:sz w:val="28"/>
          <w:b/>
        </w:rPr>
        <w:t>二、采购项目名称：</w:t>
      </w:r>
      <w:r>
        <w:rPr>
          <w:sz w:val="28"/>
          <w:b/>
        </w:rPr>
        <w:t>学生生涯发展中心与心理咨询室建设</w:t>
      </w:r>
    </w:p>
    <w:p>
      <w:pPr>
        <w:pStyle w:val="null3"/>
        <w:outlineLvl w:val="2"/>
      </w:pPr>
      <w:r>
        <w:rPr>
          <w:sz w:val="28"/>
          <w:b/>
        </w:rPr>
        <w:t>三、招标项目简介</w:t>
      </w:r>
    </w:p>
    <w:p>
      <w:pPr>
        <w:pStyle w:val="null3"/>
        <w:ind w:firstLine="480"/>
      </w:pPr>
      <w:r>
        <w:rPr/>
        <w:t>西安市第三十中学学生生涯发展中心与心理咨询室建设，采购包1：预算金额：500000.00元，具体内容详见招标文件第三部分。</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采购包1（西安市第三十中学学生生涯发展中心与心理咨询室建设）：属于专门面向中小企业采购。</w:t>
      </w:r>
    </w:p>
    <w:p>
      <w:pPr>
        <w:pStyle w:val="null3"/>
        <w:ind w:firstLine="480"/>
      </w:pPr>
      <w:r>
        <w:rPr/>
        <w:t>（三）本项目的特定资格要求：</w:t>
      </w:r>
    </w:p>
    <w:p>
      <w:pPr>
        <w:pStyle w:val="null3"/>
      </w:pPr>
      <w:r>
        <w:rPr/>
        <w:t>采购包1：</w:t>
      </w:r>
    </w:p>
    <w:p>
      <w:pPr>
        <w:pStyle w:val="null3"/>
      </w:pPr>
      <w:r>
        <w:rPr/>
        <w:t>1、法定代表人授权书：：法定代表人授权书及被授权人身份证明。（法定代表人直接投标只须提供其身份证明）</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西安市第三十中学</w:t>
      </w:r>
    </w:p>
    <w:p>
      <w:pPr>
        <w:pStyle w:val="null3"/>
      </w:pPr>
      <w:r>
        <w:rPr/>
        <w:t xml:space="preserve"> 地址： </w:t>
      </w:r>
      <w:r>
        <w:rPr/>
        <w:t>西安市西新街51号</w:t>
      </w:r>
    </w:p>
    <w:p>
      <w:pPr>
        <w:pStyle w:val="null3"/>
      </w:pPr>
      <w:r>
        <w:rPr/>
        <w:t xml:space="preserve"> 邮编： </w:t>
      </w:r>
      <w:r>
        <w:rPr/>
        <w:t>710000</w:t>
      </w:r>
    </w:p>
    <w:p>
      <w:pPr>
        <w:pStyle w:val="null3"/>
      </w:pPr>
      <w:r>
        <w:rPr/>
        <w:t xml:space="preserve"> 联系人： </w:t>
      </w:r>
      <w:r>
        <w:rPr/>
        <w:t>杨老师</w:t>
      </w:r>
    </w:p>
    <w:p>
      <w:pPr>
        <w:pStyle w:val="null3"/>
      </w:pPr>
      <w:r>
        <w:rPr/>
        <w:t xml:space="preserve"> 联系电话： </w:t>
      </w:r>
      <w:r>
        <w:rPr/>
        <w:t>13572920991</w:t>
      </w:r>
    </w:p>
    <w:p>
      <w:pPr>
        <w:pStyle w:val="null3"/>
        <w:outlineLvl w:val="2"/>
      </w:pPr>
      <w:r>
        <w:rPr>
          <w:sz w:val="28"/>
          <w:b/>
        </w:rPr>
        <w:t>代理机构：</w:t>
      </w:r>
      <w:r>
        <w:rPr>
          <w:sz w:val="28"/>
          <w:b/>
        </w:rPr>
        <w:t>陕西开源招标有限公司</w:t>
      </w:r>
    </w:p>
    <w:p>
      <w:pPr>
        <w:pStyle w:val="null3"/>
      </w:pPr>
      <w:r>
        <w:rPr/>
        <w:t xml:space="preserve"> 地址： </w:t>
      </w:r>
      <w:r>
        <w:rPr/>
        <w:t>西安市雁展路1111号莱安中心T6-15层</w:t>
      </w:r>
    </w:p>
    <w:p>
      <w:pPr>
        <w:pStyle w:val="null3"/>
      </w:pPr>
      <w:r>
        <w:rPr/>
        <w:t xml:space="preserve"> 邮编： </w:t>
      </w:r>
      <w:r>
        <w:rPr/>
        <w:t>710000</w:t>
      </w:r>
    </w:p>
    <w:p>
      <w:pPr>
        <w:pStyle w:val="null3"/>
      </w:pPr>
      <w:r>
        <w:rPr/>
        <w:t xml:space="preserve"> 联系人： </w:t>
      </w:r>
      <w:r>
        <w:rPr/>
        <w:t>郭荣娟、丁嘉伟、刘金柯、卢韶华</w:t>
      </w:r>
    </w:p>
    <w:p>
      <w:pPr>
        <w:pStyle w:val="null3"/>
      </w:pPr>
      <w:r>
        <w:rPr/>
        <w:t xml:space="preserve"> 联系电话： </w:t>
      </w:r>
      <w:r>
        <w:rPr/>
        <w:t>029-81206622-811</w:t>
      </w:r>
    </w:p>
    <w:p>
      <w:pPr>
        <w:pStyle w:val="null3"/>
        <w:outlineLvl w:val="2"/>
      </w:pPr>
      <w:r>
        <w:rPr>
          <w:sz w:val="28"/>
          <w:b/>
        </w:rPr>
        <w:t>采购监督机构：</w:t>
      </w:r>
      <w:r>
        <w:rPr>
          <w:sz w:val="28"/>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采购包1：500,000.00元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代理服务费收费标准：本项目收取代理服务费 代理服务费用收取对象：中标/成交供应商 代理服务费收费标准：中标人应依据中标金额向采购代理机构交纳中标服务费，交费金额参照国家计委颁布的《招标代理服务收费管理暂行办法》（计价格[2002]1980号）及发改办价格[2003]857号文件的规定标准的收取。本项目代理服务费按货物计取。 开户名称：陕西开源招标有限公司； 开户银行：交通银行西安甜水井街支行； 账 号：86113010750181501003632</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西安市第三十中学</w:t>
      </w:r>
      <w:r>
        <w:rPr/>
        <w:t>和</w:t>
      </w:r>
      <w:r>
        <w:rPr/>
        <w:t>陕西开源招标有限公司</w:t>
      </w:r>
      <w:r>
        <w:rPr/>
        <w:t>享有。对招标文件中供应商参加本次政府采购活动应当具备的条件，招标项目技术、服务、商务及其他要求，评标细则及标准由</w:t>
      </w:r>
      <w:r>
        <w:rPr/>
        <w:t>西安市第三十中学</w:t>
      </w:r>
      <w:r>
        <w:rPr/>
        <w:t>负责解释。除上述招标文件内容，其他内容由</w:t>
      </w:r>
      <w:r>
        <w:rPr/>
        <w:t>陕西开源招标有限公司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西安市第三十中学</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陕西开源招标有限公司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根据招标文件要求及合同约定执行。</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陕西开源招标有限公司</w:t>
      </w:r>
      <w:r>
        <w:rPr/>
        <w:t xml:space="preserve"> 负责答复；供应商对除采购需求外的采购文件的询问、质疑由</w:t>
      </w:r>
      <w:r>
        <w:rPr/>
        <w:t>陕西开源招标有限公司</w:t>
      </w:r>
      <w:r>
        <w:rPr/>
        <w:t xml:space="preserve"> 负责答复；供应商对采购过程、采购结果的询问、质疑由 </w:t>
      </w:r>
      <w:r>
        <w:rPr/>
        <w:t>陕西开源招标有限公司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联系人：郭荣娟、丁嘉伟、刘金柯、卢韶华</w:t>
      </w:r>
    </w:p>
    <w:p>
      <w:pPr>
        <w:pStyle w:val="null3"/>
      </w:pPr>
      <w:r>
        <w:rPr/>
        <w:t>联系电话：029-81206622-811</w:t>
      </w:r>
    </w:p>
    <w:p>
      <w:pPr>
        <w:pStyle w:val="null3"/>
      </w:pPr>
      <w:r>
        <w:rPr/>
        <w:t>地址：西安市雁展路1111号莱安中心T6-15层</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西安市第三十中学学生生涯发展中心与心理咨询室建设，采购包1：预算金额：500000.00元，具体内容详见招标文件第三部分。</w:t>
      </w:r>
    </w:p>
    <w:p>
      <w:pPr>
        <w:pStyle w:val="null3"/>
        <w:outlineLvl w:val="2"/>
      </w:pPr>
      <w:r>
        <w:rPr>
          <w:sz w:val="28"/>
          <w:b/>
        </w:rPr>
        <w:t>3.2采购内容</w:t>
      </w:r>
    </w:p>
    <w:p>
      <w:pPr>
        <w:pStyle w:val="null3"/>
      </w:pPr>
      <w:r>
        <w:rPr/>
        <w:t>采购包1：</w:t>
      </w:r>
    </w:p>
    <w:p>
      <w:pPr>
        <w:pStyle w:val="null3"/>
      </w:pPr>
      <w:r>
        <w:rPr/>
        <w:t>采购包预算金额（元）: 500,000.00</w:t>
      </w:r>
    </w:p>
    <w:p>
      <w:pPr>
        <w:pStyle w:val="null3"/>
      </w:pPr>
      <w:r>
        <w:rPr/>
        <w:t>采购包最高限价（元）: 500,000.00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学生生涯发展中心与心理咨询室建设</w:t>
            </w:r>
          </w:p>
        </w:tc>
        <w:tc>
          <w:tcPr>
            <w:tcW w:type="dxa" w:w="831"/>
          </w:tcPr>
          <w:p>
            <w:pPr>
              <w:pStyle w:val="null3"/>
              <w:jc w:val="right"/>
            </w:pPr>
            <w:r>
              <w:rPr/>
              <w:t>1.00</w:t>
            </w:r>
          </w:p>
        </w:tc>
        <w:tc>
          <w:tcPr>
            <w:tcW w:type="dxa" w:w="831"/>
          </w:tcPr>
          <w:p>
            <w:pPr>
              <w:pStyle w:val="null3"/>
              <w:jc w:val="right"/>
            </w:pPr>
            <w:r>
              <w:rPr/>
              <w:t>500,000.00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标的名称：学生生涯发展中心与心理咨询室建设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28"/>
              <w:gridCol w:w="509"/>
              <w:gridCol w:w="230"/>
              <w:gridCol w:w="251"/>
              <w:gridCol w:w="1332"/>
            </w:tblGrid>
            <w:tr>
              <w:tc>
                <w:tcPr>
                  <w:tcW w:type="dxa" w:w="2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序号</w:t>
                  </w:r>
                </w:p>
              </w:tc>
              <w:tc>
                <w:tcPr>
                  <w:tcW w:type="dxa" w:w="5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参数名称</w:t>
                  </w:r>
                </w:p>
              </w:tc>
              <w:tc>
                <w:tcPr>
                  <w:tcW w:type="dxa" w:w="2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单位</w:t>
                  </w:r>
                </w:p>
              </w:tc>
              <w:tc>
                <w:tcPr>
                  <w:tcW w:type="dxa" w:w="2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数量</w:t>
                  </w:r>
                </w:p>
              </w:tc>
              <w:tc>
                <w:tcPr>
                  <w:tcW w:type="dxa" w:w="13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参数要求</w:t>
                  </w:r>
                </w:p>
              </w:tc>
            </w:tr>
            <w:tr>
              <w:tc>
                <w:tcPr>
                  <w:tcW w:type="dxa" w:w="2550"/>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b/>
                      <w:color w:val="000000"/>
                    </w:rPr>
                    <w:t>第一部分、文化设计及货物</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一</w:t>
                  </w:r>
                </w:p>
              </w:tc>
              <w:tc>
                <w:tcPr>
                  <w:tcW w:type="dxa" w:w="5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b/>
                      <w:color w:val="000000"/>
                    </w:rPr>
                    <w:t>文化设计服务、艺术字及配套物品</w:t>
                  </w:r>
                </w:p>
              </w:tc>
              <w:tc>
                <w:tcPr>
                  <w:tcW w:type="dxa" w:w="2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主形象墙</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11.85</w:t>
                  </w: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不锈钢精工字、亚克力水晶字（包含设计）</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中心职能介绍板块</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6.76</w:t>
                  </w: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密度板烤漆字、</w:t>
                  </w:r>
                  <w:r>
                    <w:rPr>
                      <w:rFonts w:ascii="宋体" w:hAnsi="宋体" w:cs="宋体" w:eastAsia="宋体"/>
                      <w:sz w:val="24"/>
                      <w:color w:val="000000"/>
                    </w:rPr>
                    <w:t>PVC字、亚克力字（包含设计）</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3</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生涯发展指导四个板块</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10.37</w:t>
                  </w: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密度板烤漆字、</w:t>
                  </w:r>
                  <w:r>
                    <w:rPr>
                      <w:rFonts w:ascii="宋体" w:hAnsi="宋体" w:cs="宋体" w:eastAsia="宋体"/>
                      <w:sz w:val="24"/>
                      <w:color w:val="000000"/>
                    </w:rPr>
                    <w:t>PVC字、亚克力字（包含设计）</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4</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中国梦板块</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11.32</w:t>
                  </w: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密度板烤漆字、</w:t>
                  </w:r>
                  <w:r>
                    <w:rPr>
                      <w:rFonts w:ascii="宋体" w:hAnsi="宋体" w:cs="宋体" w:eastAsia="宋体"/>
                      <w:sz w:val="24"/>
                      <w:color w:val="000000"/>
                    </w:rPr>
                    <w:t>PVC字、亚克力字（包含设计）</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5</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榜样人物板块</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11.98</w:t>
                  </w: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密度板烤漆字、</w:t>
                  </w:r>
                  <w:r>
                    <w:rPr>
                      <w:rFonts w:ascii="宋体" w:hAnsi="宋体" w:cs="宋体" w:eastAsia="宋体"/>
                      <w:sz w:val="24"/>
                      <w:color w:val="000000"/>
                    </w:rPr>
                    <w:t>PVC字、亚克力字（包含设计）</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6</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生涯人物板块</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5.56</w:t>
                  </w: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密度板烤漆字、</w:t>
                  </w:r>
                  <w:r>
                    <w:rPr>
                      <w:rFonts w:ascii="宋体" w:hAnsi="宋体" w:cs="宋体" w:eastAsia="宋体"/>
                      <w:sz w:val="24"/>
                      <w:color w:val="000000"/>
                    </w:rPr>
                    <w:t>PVC字、亚克力字（包含设计）</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7</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埃里克森八段论（一）板块</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10.98</w:t>
                  </w: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密度板烤漆字、</w:t>
                  </w:r>
                  <w:r>
                    <w:rPr>
                      <w:rFonts w:ascii="宋体" w:hAnsi="宋体" w:cs="宋体" w:eastAsia="宋体"/>
                      <w:sz w:val="24"/>
                      <w:color w:val="000000"/>
                    </w:rPr>
                    <w:t>PVC字、亚克力字（包含设计）</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8</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埃里克森八段论（二）板块</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11.35</w:t>
                  </w: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密度板烤漆字、</w:t>
                  </w:r>
                  <w:r>
                    <w:rPr>
                      <w:rFonts w:ascii="宋体" w:hAnsi="宋体" w:cs="宋体" w:eastAsia="宋体"/>
                      <w:sz w:val="24"/>
                      <w:color w:val="000000"/>
                    </w:rPr>
                    <w:t>PVC字、亚克力字（包含设计）</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9</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三业贯通（一）板块</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12.2</w:t>
                  </w: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密度板烤漆字、</w:t>
                  </w:r>
                  <w:r>
                    <w:rPr>
                      <w:rFonts w:ascii="宋体" w:hAnsi="宋体" w:cs="宋体" w:eastAsia="宋体"/>
                      <w:sz w:val="24"/>
                      <w:color w:val="000000"/>
                    </w:rPr>
                    <w:t>PVC字、亚克力字（包含设计）</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r>
                    <w:rPr>
                      <w:rFonts w:ascii="宋体" w:hAnsi="宋体" w:cs="宋体" w:eastAsia="宋体"/>
                      <w:sz w:val="24"/>
                      <w:color w:val="000000"/>
                    </w:rPr>
                    <w:t>0</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三业贯通（二）板块</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12.2</w:t>
                  </w: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密度板烤漆字、</w:t>
                  </w:r>
                  <w:r>
                    <w:rPr>
                      <w:rFonts w:ascii="宋体" w:hAnsi="宋体" w:cs="宋体" w:eastAsia="宋体"/>
                      <w:sz w:val="24"/>
                      <w:color w:val="000000"/>
                    </w:rPr>
                    <w:t>PVC字、亚克力字（包含设计）</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r>
                    <w:rPr>
                      <w:rFonts w:ascii="宋体" w:hAnsi="宋体" w:cs="宋体" w:eastAsia="宋体"/>
                      <w:sz w:val="24"/>
                      <w:color w:val="000000"/>
                    </w:rPr>
                    <w:t>1</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人生目标分解板块</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11.78</w:t>
                  </w: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密度板烤漆字、</w:t>
                  </w:r>
                  <w:r>
                    <w:rPr>
                      <w:rFonts w:ascii="宋体" w:hAnsi="宋体" w:cs="宋体" w:eastAsia="宋体"/>
                      <w:sz w:val="24"/>
                      <w:color w:val="000000"/>
                    </w:rPr>
                    <w:t>PVC字、亚克力字（包含设计）</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r>
                    <w:rPr>
                      <w:rFonts w:ascii="宋体" w:hAnsi="宋体" w:cs="宋体" w:eastAsia="宋体"/>
                      <w:sz w:val="24"/>
                      <w:color w:val="000000"/>
                    </w:rPr>
                    <w:t>2</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高中学业分解板块</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11.78</w:t>
                  </w: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密度板烤漆字、</w:t>
                  </w:r>
                  <w:r>
                    <w:rPr>
                      <w:rFonts w:ascii="宋体" w:hAnsi="宋体" w:cs="宋体" w:eastAsia="宋体"/>
                      <w:sz w:val="24"/>
                      <w:color w:val="000000"/>
                    </w:rPr>
                    <w:t>PVC字、亚克力字（包含设计）</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r>
                    <w:rPr>
                      <w:rFonts w:ascii="宋体" w:hAnsi="宋体" w:cs="宋体" w:eastAsia="宋体"/>
                      <w:sz w:val="24"/>
                      <w:color w:val="000000"/>
                    </w:rPr>
                    <w:t>3</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智慧树板块</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11.47</w:t>
                  </w: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密度板烤漆字、</w:t>
                  </w:r>
                  <w:r>
                    <w:rPr>
                      <w:rFonts w:ascii="宋体" w:hAnsi="宋体" w:cs="宋体" w:eastAsia="宋体"/>
                      <w:sz w:val="24"/>
                      <w:color w:val="000000"/>
                    </w:rPr>
                    <w:t>PVC字、亚克力字（包含设计）</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r>
                    <w:rPr>
                      <w:rFonts w:ascii="宋体" w:hAnsi="宋体" w:cs="宋体" w:eastAsia="宋体"/>
                      <w:sz w:val="24"/>
                      <w:color w:val="000000"/>
                    </w:rPr>
                    <w:t>4</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三选板块</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7.4</w:t>
                  </w: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密度板烤漆字、</w:t>
                  </w:r>
                  <w:r>
                    <w:rPr>
                      <w:rFonts w:ascii="宋体" w:hAnsi="宋体" w:cs="宋体" w:eastAsia="宋体"/>
                      <w:sz w:val="24"/>
                      <w:color w:val="000000"/>
                    </w:rPr>
                    <w:t>PVC字、亚克力字（包含设计）</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r>
                    <w:rPr>
                      <w:rFonts w:ascii="宋体" w:hAnsi="宋体" w:cs="宋体" w:eastAsia="宋体"/>
                      <w:sz w:val="24"/>
                      <w:color w:val="000000"/>
                    </w:rPr>
                    <w:t>5</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少年强则国强板块</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14.42</w:t>
                  </w: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密度板烤漆字、</w:t>
                  </w:r>
                  <w:r>
                    <w:rPr>
                      <w:rFonts w:ascii="宋体" w:hAnsi="宋体" w:cs="宋体" w:eastAsia="宋体"/>
                      <w:sz w:val="24"/>
                      <w:color w:val="000000"/>
                    </w:rPr>
                    <w:t>PVC字、亚克力字（包含设计）</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16</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生涯学科教室文化艺术字</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52.9</w:t>
                  </w: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密度板烤漆字、</w:t>
                  </w:r>
                  <w:r>
                    <w:rPr>
                      <w:rFonts w:ascii="宋体" w:hAnsi="宋体" w:cs="宋体" w:eastAsia="宋体"/>
                      <w:sz w:val="24"/>
                      <w:color w:val="000000"/>
                    </w:rPr>
                    <w:t>PVC字、亚克力字（包含设计）</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r>
                    <w:rPr>
                      <w:rFonts w:ascii="宋体" w:hAnsi="宋体" w:cs="宋体" w:eastAsia="宋体"/>
                      <w:sz w:val="24"/>
                      <w:color w:val="000000"/>
                    </w:rPr>
                    <w:t>7</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VR职业体验室文化艺术字</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52.9</w:t>
                  </w: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密度板烤漆字、</w:t>
                  </w:r>
                  <w:r>
                    <w:rPr>
                      <w:rFonts w:ascii="宋体" w:hAnsi="宋体" w:cs="宋体" w:eastAsia="宋体"/>
                      <w:sz w:val="24"/>
                      <w:color w:val="000000"/>
                    </w:rPr>
                    <w:t>PVC字、亚克力字（包含设计）</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18</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音乐放松室文化艺术字</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52.9</w:t>
                  </w: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密度板烤漆字、</w:t>
                  </w:r>
                  <w:r>
                    <w:rPr>
                      <w:rFonts w:ascii="宋体" w:hAnsi="宋体" w:cs="宋体" w:eastAsia="宋体"/>
                      <w:sz w:val="24"/>
                      <w:color w:val="000000"/>
                    </w:rPr>
                    <w:t>PVC字、亚克力字（包含设计）</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19</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兴趣测评室文化艺术字</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52.9</w:t>
                  </w: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密度板烤漆字、</w:t>
                  </w:r>
                  <w:r>
                    <w:rPr>
                      <w:rFonts w:ascii="宋体" w:hAnsi="宋体" w:cs="宋体" w:eastAsia="宋体"/>
                      <w:sz w:val="24"/>
                      <w:color w:val="000000"/>
                    </w:rPr>
                    <w:t>PVC字、亚克力字（包含设计）</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w:t>
                  </w:r>
                  <w:r>
                    <w:rPr>
                      <w:rFonts w:ascii="宋体" w:hAnsi="宋体" w:cs="宋体" w:eastAsia="宋体"/>
                      <w:sz w:val="24"/>
                      <w:color w:val="000000"/>
                    </w:rPr>
                    <w:t>0</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部室门牌</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个</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25</w:t>
                  </w: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造型亚克力</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w:t>
                  </w:r>
                  <w:r>
                    <w:rPr>
                      <w:rFonts w:ascii="宋体" w:hAnsi="宋体" w:cs="宋体" w:eastAsia="宋体"/>
                      <w:sz w:val="24"/>
                      <w:color w:val="000000"/>
                    </w:rPr>
                    <w:t>1</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艺术挂画</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幅</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25</w:t>
                  </w: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木纹框油画布</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二</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b/>
                      <w:color w:val="000000"/>
                    </w:rPr>
                    <w:t>系统设备</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生涯规划双师课堂课程服务</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套</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1、课程系统具备学校专属双师课堂系统1套，可嫁接于学校公众号二级菜单，更新、装修与页面维护可实时更新；</w:t>
                  </w:r>
                  <w:r>
                    <w:br/>
                  </w:r>
                  <w:r>
                    <w:rPr>
                      <w:rFonts w:ascii="宋体" w:hAnsi="宋体" w:cs="宋体" w:eastAsia="宋体"/>
                      <w:sz w:val="24"/>
                      <w:color w:val="000000"/>
                    </w:rPr>
                    <w:t>2、系统要具有独立展示页面，能涵盖学校公众号的对接、官网链接等，可对学校微资源进行整合，一体化输出；</w:t>
                  </w:r>
                  <w:r>
                    <w:br/>
                  </w:r>
                  <w:r>
                    <w:rPr>
                      <w:rFonts w:ascii="宋体" w:hAnsi="宋体" w:cs="宋体" w:eastAsia="宋体"/>
                      <w:sz w:val="24"/>
                      <w:color w:val="000000"/>
                    </w:rPr>
                    <w:t>3、包含生涯规划高一阶段相关课程并具备配套教材；（</w:t>
                  </w:r>
                  <w:r>
                    <w:rPr>
                      <w:rFonts w:ascii="宋体" w:hAnsi="宋体" w:cs="宋体" w:eastAsia="宋体"/>
                      <w:sz w:val="24"/>
                    </w:rPr>
                    <w:t>▲</w:t>
                  </w:r>
                  <w:r>
                    <w:rPr>
                      <w:rFonts w:ascii="宋体" w:hAnsi="宋体" w:cs="宋体" w:eastAsia="宋体"/>
                      <w:sz w:val="24"/>
                      <w:color w:val="000000"/>
                    </w:rPr>
                    <w:t>需提供相关功能界面截图证明）</w:t>
                  </w:r>
                  <w:r>
                    <w:br/>
                  </w:r>
                  <w:r>
                    <w:rPr>
                      <w:rFonts w:ascii="宋体" w:hAnsi="宋体" w:cs="宋体" w:eastAsia="宋体"/>
                      <w:sz w:val="24"/>
                      <w:color w:val="000000"/>
                    </w:rPr>
                    <w:t>4、具备即时登录学习数据统计与学习时长统计功能；（</w:t>
                  </w:r>
                  <w:r>
                    <w:rPr>
                      <w:rFonts w:ascii="宋体" w:hAnsi="宋体" w:cs="宋体" w:eastAsia="宋体"/>
                      <w:sz w:val="24"/>
                    </w:rPr>
                    <w:t>▲</w:t>
                  </w:r>
                  <w:r>
                    <w:rPr>
                      <w:rFonts w:ascii="宋体" w:hAnsi="宋体" w:cs="宋体" w:eastAsia="宋体"/>
                      <w:sz w:val="24"/>
                      <w:color w:val="000000"/>
                    </w:rPr>
                    <w:t>需提供相关功能界面截图证明）</w:t>
                  </w:r>
                  <w:r>
                    <w:br/>
                  </w:r>
                  <w:r>
                    <w:rPr>
                      <w:rFonts w:ascii="宋体" w:hAnsi="宋体" w:cs="宋体" w:eastAsia="宋体"/>
                      <w:sz w:val="24"/>
                      <w:color w:val="000000"/>
                    </w:rPr>
                    <w:t>5、具备家长学习和测评体验功能，实现学习和体验环节的一体化；</w:t>
                  </w:r>
                  <w:r>
                    <w:br/>
                  </w:r>
                  <w:r>
                    <w:rPr>
                      <w:rFonts w:ascii="宋体" w:hAnsi="宋体" w:cs="宋体" w:eastAsia="宋体"/>
                      <w:sz w:val="24"/>
                      <w:color w:val="000000"/>
                    </w:rPr>
                    <w:t>6、提供不少于15节的系列化课程并能够持续更新；（</w:t>
                  </w:r>
                  <w:r>
                    <w:rPr>
                      <w:rFonts w:ascii="宋体" w:hAnsi="宋体" w:cs="宋体" w:eastAsia="宋体"/>
                      <w:sz w:val="24"/>
                    </w:rPr>
                    <w:t>▲</w:t>
                  </w:r>
                  <w:r>
                    <w:rPr>
                      <w:rFonts w:ascii="宋体" w:hAnsi="宋体" w:cs="宋体" w:eastAsia="宋体"/>
                      <w:sz w:val="24"/>
                      <w:color w:val="000000"/>
                    </w:rPr>
                    <w:t>需提供相关功能界面截图证明）</w:t>
                  </w:r>
                  <w:r>
                    <w:br/>
                  </w:r>
                  <w:r>
                    <w:rPr>
                      <w:rFonts w:ascii="宋体" w:hAnsi="宋体" w:cs="宋体" w:eastAsia="宋体"/>
                      <w:sz w:val="24"/>
                      <w:color w:val="000000"/>
                    </w:rPr>
                    <w:t>7、每节课程不得少于10分钟；（</w:t>
                  </w:r>
                  <w:r>
                    <w:rPr>
                      <w:rFonts w:ascii="宋体" w:hAnsi="宋体" w:cs="宋体" w:eastAsia="宋体"/>
                      <w:sz w:val="24"/>
                    </w:rPr>
                    <w:t>▲</w:t>
                  </w:r>
                  <w:r>
                    <w:rPr>
                      <w:rFonts w:ascii="宋体" w:hAnsi="宋体" w:cs="宋体" w:eastAsia="宋体"/>
                      <w:sz w:val="24"/>
                      <w:color w:val="000000"/>
                    </w:rPr>
                    <w:t>需提供相关功能界面截图证明）</w:t>
                  </w:r>
                  <w:r>
                    <w:br/>
                  </w:r>
                  <w:r>
                    <w:rPr>
                      <w:rFonts w:ascii="宋体" w:hAnsi="宋体" w:cs="宋体" w:eastAsia="宋体"/>
                      <w:sz w:val="24"/>
                      <w:color w:val="000000"/>
                    </w:rPr>
                    <w:t>8、能根据学校需求进行课程模块化调整；</w:t>
                  </w:r>
                  <w:r>
                    <w:br/>
                  </w:r>
                  <w:r>
                    <w:rPr>
                      <w:rFonts w:ascii="宋体" w:hAnsi="宋体" w:cs="宋体" w:eastAsia="宋体"/>
                      <w:sz w:val="24"/>
                      <w:color w:val="000000"/>
                    </w:rPr>
                    <w:t>9、实现学校信息发布与家校课程管理协同；</w:t>
                  </w:r>
                  <w:r>
                    <w:br/>
                  </w:r>
                  <w:r>
                    <w:rPr>
                      <w:rFonts w:ascii="宋体" w:hAnsi="宋体" w:cs="宋体" w:eastAsia="宋体"/>
                      <w:sz w:val="24"/>
                      <w:color w:val="000000"/>
                    </w:rPr>
                    <w:t>10、学校可对课程进行加密及修改密码。</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86寸可移动智慧屏</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套</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一、接口配置：</w:t>
                  </w:r>
                  <w:r>
                    <w:rPr>
                      <w:rFonts w:ascii="宋体" w:hAnsi="宋体" w:cs="宋体" w:eastAsia="宋体"/>
                      <w:sz w:val="24"/>
                      <w:color w:val="000000"/>
                    </w:rPr>
                    <w:t>Touch USB≥1、Type-C≥1、HDMI IN≥1、USB 3.0≥1、RS232≥1、EARPHONE≥1、COAX≥1、RJ45 IN≥1、Audio IN≥1、HDMI IN 2≥1、HDMI IN 1≥1、TOUCH USB≥1、USB 2.0≥1、USB3.0≥1、TF≥1；</w:t>
                  </w:r>
                  <w:r>
                    <w:br/>
                  </w:r>
                  <w:r>
                    <w:rPr>
                      <w:rFonts w:ascii="宋体" w:hAnsi="宋体" w:cs="宋体" w:eastAsia="宋体"/>
                      <w:sz w:val="24"/>
                      <w:color w:val="000000"/>
                    </w:rPr>
                    <w:t>二、</w:t>
                  </w:r>
                  <w:r>
                    <w:rPr>
                      <w:rFonts w:ascii="宋体" w:hAnsi="宋体" w:cs="宋体" w:eastAsia="宋体"/>
                      <w:sz w:val="24"/>
                      <w:color w:val="000000"/>
                    </w:rPr>
                    <w:t>WiFi 2.4G-5G、像素≥4800</w:t>
                  </w:r>
                  <w:r>
                    <w:rPr>
                      <w:rFonts w:ascii="宋体" w:hAnsi="宋体" w:cs="宋体" w:eastAsia="宋体"/>
                      <w:sz w:val="24"/>
                      <w:color w:val="000000"/>
                    </w:rPr>
                    <w:t>万</w:t>
                  </w:r>
                  <w:r>
                    <w:rPr>
                      <w:rFonts w:ascii="宋体" w:hAnsi="宋体" w:cs="宋体" w:eastAsia="宋体"/>
                      <w:sz w:val="24"/>
                      <w:color w:val="000000"/>
                    </w:rPr>
                    <w:t>、镜头视角</w:t>
                  </w:r>
                  <w:r>
                    <w:rPr>
                      <w:rFonts w:ascii="宋体" w:hAnsi="宋体" w:cs="宋体" w:eastAsia="宋体"/>
                      <w:sz w:val="24"/>
                      <w:color w:val="000000"/>
                    </w:rPr>
                    <w:t>≥120°；</w:t>
                  </w:r>
                  <w:r>
                    <w:br/>
                  </w:r>
                  <w:r>
                    <w:rPr>
                      <w:rFonts w:ascii="宋体" w:hAnsi="宋体" w:cs="宋体" w:eastAsia="宋体"/>
                      <w:sz w:val="24"/>
                      <w:color w:val="000000"/>
                    </w:rPr>
                    <w:t>三、阵列麦克风参数：阵列麦数量</w:t>
                  </w:r>
                  <w:r>
                    <w:rPr>
                      <w:rFonts w:ascii="宋体" w:hAnsi="宋体" w:cs="宋体" w:eastAsia="宋体"/>
                      <w:sz w:val="24"/>
                      <w:color w:val="000000"/>
                    </w:rPr>
                    <w:t>≥8、拾音范围≥12m、支持自动增强和语音增强；</w:t>
                  </w:r>
                  <w:r>
                    <w:br/>
                  </w:r>
                  <w:r>
                    <w:rPr>
                      <w:rFonts w:ascii="宋体" w:hAnsi="宋体" w:cs="宋体" w:eastAsia="宋体"/>
                      <w:sz w:val="24"/>
                      <w:color w:val="000000"/>
                    </w:rPr>
                    <w:t>四、触摸参数：红外触摸框、</w:t>
                  </w:r>
                  <w:r>
                    <w:rPr>
                      <w:rFonts w:ascii="宋体" w:hAnsi="宋体" w:cs="宋体" w:eastAsia="宋体"/>
                      <w:sz w:val="24"/>
                      <w:color w:val="000000"/>
                    </w:rPr>
                    <w:t>≥4mm 钢化玻璃、最大输出点数≥40点、插值分辨率≥32768 x32768、触摸精度中间≥90%触摸区域为±1mm、响应时间≤6ms、无限次点击次数；</w:t>
                  </w:r>
                  <w:r>
                    <w:br/>
                  </w:r>
                  <w:r>
                    <w:rPr>
                      <w:rFonts w:ascii="宋体" w:hAnsi="宋体" w:cs="宋体" w:eastAsia="宋体"/>
                      <w:sz w:val="24"/>
                      <w:color w:val="000000"/>
                    </w:rPr>
                    <w:t>使用时长：</w:t>
                  </w:r>
                  <w:r>
                    <w:rPr>
                      <w:rFonts w:ascii="宋体" w:hAnsi="宋体" w:cs="宋体" w:eastAsia="宋体"/>
                      <w:sz w:val="24"/>
                      <w:color w:val="000000"/>
                    </w:rPr>
                    <w:t>18 小时×7 天。</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3</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生涯规划课程配套教材</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本</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406</w:t>
                  </w: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一、能够配合家校共育课程及双师课堂使用；</w:t>
                  </w:r>
                  <w:r>
                    <w:br/>
                  </w:r>
                  <w:r>
                    <w:rPr>
                      <w:rFonts w:ascii="宋体" w:hAnsi="宋体" w:cs="宋体" w:eastAsia="宋体"/>
                      <w:sz w:val="24"/>
                      <w:color w:val="000000"/>
                    </w:rPr>
                    <w:t>二、不少于</w:t>
                  </w:r>
                  <w:r>
                    <w:rPr>
                      <w:rFonts w:ascii="宋体" w:hAnsi="宋体" w:cs="宋体" w:eastAsia="宋体"/>
                      <w:sz w:val="24"/>
                      <w:color w:val="000000"/>
                    </w:rPr>
                    <w:t>10节主题课程；</w:t>
                  </w:r>
                  <w:r>
                    <w:br/>
                  </w:r>
                  <w:r>
                    <w:rPr>
                      <w:rFonts w:ascii="宋体" w:hAnsi="宋体" w:cs="宋体" w:eastAsia="宋体"/>
                      <w:sz w:val="24"/>
                      <w:color w:val="000000"/>
                    </w:rPr>
                    <w:t>三、教材具备由浅至深，从唤醒生涯意识到兴趣、能力、价值观的认知再到最终规划的课程体系设计；</w:t>
                  </w:r>
                  <w:r>
                    <w:br/>
                  </w:r>
                  <w:r>
                    <w:rPr>
                      <w:rFonts w:ascii="宋体" w:hAnsi="宋体" w:cs="宋体" w:eastAsia="宋体"/>
                      <w:sz w:val="24"/>
                      <w:color w:val="000000"/>
                    </w:rPr>
                    <w:t>四、</w:t>
                  </w:r>
                  <w:r>
                    <w:rPr>
                      <w:rFonts w:ascii="宋体" w:hAnsi="宋体" w:cs="宋体" w:eastAsia="宋体"/>
                      <w:sz w:val="24"/>
                    </w:rPr>
                    <w:t>▲</w:t>
                  </w:r>
                  <w:r>
                    <w:rPr>
                      <w:rFonts w:ascii="宋体" w:hAnsi="宋体" w:cs="宋体" w:eastAsia="宋体"/>
                      <w:sz w:val="24"/>
                      <w:color w:val="000000"/>
                    </w:rPr>
                    <w:t>必需提供相应书号及出版社名称。</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4</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b/>
                      <w:color w:val="000000"/>
                    </w:rPr>
                    <w:t>【核心产品】</w:t>
                  </w:r>
                </w:p>
                <w:p>
                  <w:pPr>
                    <w:pStyle w:val="null3"/>
                    <w:jc w:val="left"/>
                  </w:pPr>
                  <w:r>
                    <w:rPr>
                      <w:rFonts w:ascii="&quot;times new roman&quot;" w:hAnsi="&quot;times new roman&quot;" w:cs="&quot;times new roman&quot;" w:eastAsia="&quot;times new roman&quot;"/>
                      <w:sz w:val="19"/>
                    </w:rPr>
                    <w:t xml:space="preserve"> </w:t>
                  </w:r>
                </w:p>
                <w:p>
                  <w:pPr>
                    <w:pStyle w:val="null3"/>
                    <w:jc w:val="left"/>
                  </w:pPr>
                  <w:r>
                    <w:rPr>
                      <w:rFonts w:ascii="宋体" w:hAnsi="宋体" w:cs="宋体" w:eastAsia="宋体"/>
                      <w:sz w:val="24"/>
                      <w:color w:val="000000"/>
                    </w:rPr>
                    <w:t>生涯（升学）信息查询一体机</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套</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1、硬件参数：</w:t>
                  </w:r>
                  <w:r>
                    <w:br/>
                  </w:r>
                  <w:r>
                    <w:rPr>
                      <w:rFonts w:ascii="宋体" w:hAnsi="宋体" w:cs="宋体" w:eastAsia="宋体"/>
                      <w:sz w:val="24"/>
                      <w:color w:val="000000"/>
                    </w:rPr>
                    <w:t>屏幕尺寸：</w:t>
                  </w:r>
                  <w:r>
                    <w:rPr>
                      <w:rFonts w:ascii="宋体" w:hAnsi="宋体" w:cs="宋体" w:eastAsia="宋体"/>
                      <w:sz w:val="24"/>
                      <w:color w:val="000000"/>
                    </w:rPr>
                    <w:t>≥32英寸，显示分辨率：≥1920*1080，触摸屏：电容屏，处理器主频：≥2.0GHz，运行内存：≥4GB，存储空间：≥16GB，接口：1个以太网接口，WiFi：支持。</w:t>
                  </w:r>
                  <w:r>
                    <w:br/>
                  </w:r>
                  <w:r>
                    <w:rPr>
                      <w:rFonts w:ascii="宋体" w:hAnsi="宋体" w:cs="宋体" w:eastAsia="宋体"/>
                      <w:sz w:val="24"/>
                      <w:color w:val="000000"/>
                    </w:rPr>
                    <w:t>2、具有生涯规划、志愿填报、选科指导、升学规划、大学专题、专业专题、职业专题等资讯内容。</w:t>
                  </w:r>
                  <w:r>
                    <w:br/>
                  </w:r>
                  <w:r>
                    <w:rPr>
                      <w:rFonts w:ascii="宋体" w:hAnsi="宋体" w:cs="宋体" w:eastAsia="宋体"/>
                      <w:sz w:val="24"/>
                      <w:color w:val="000000"/>
                    </w:rPr>
                    <w:t>3、支持学校通过平台更新校园风采、通知公告、家校共建及荣誉榜等信息。</w:t>
                  </w:r>
                  <w:r>
                    <w:br/>
                  </w:r>
                  <w:r>
                    <w:rPr>
                      <w:rFonts w:ascii="宋体" w:hAnsi="宋体" w:cs="宋体" w:eastAsia="宋体"/>
                      <w:sz w:val="24"/>
                      <w:color w:val="000000"/>
                    </w:rPr>
                    <w:t>4、相关视频内容包含：职业、专业、高招、院校、生涯微课视频。</w:t>
                  </w:r>
                  <w:r>
                    <w:br/>
                  </w:r>
                  <w:r>
                    <w:rPr>
                      <w:rFonts w:ascii="宋体" w:hAnsi="宋体" w:cs="宋体" w:eastAsia="宋体"/>
                      <w:sz w:val="24"/>
                      <w:color w:val="000000"/>
                    </w:rPr>
                    <w:t>5、提供不同维度的测评资源，需包含生涯测评、学习测评、心理测评。</w:t>
                  </w:r>
                  <w:r>
                    <w:br/>
                  </w:r>
                  <w:r>
                    <w:rPr>
                      <w:rFonts w:ascii="宋体" w:hAnsi="宋体" w:cs="宋体" w:eastAsia="宋体"/>
                      <w:sz w:val="24"/>
                      <w:color w:val="000000"/>
                    </w:rPr>
                    <w:t>6、生涯测评内容需包含：职业能力测试、我的职业选择类型、青少年职业兴趣测验、合作性量表、多元智能测评、创造性测评、耐挫力测评、意志力测试、MBTI职业性格量表、霍兰德职业兴趣测试等。</w:t>
                  </w:r>
                  <w:r>
                    <w:br/>
                  </w:r>
                  <w:r>
                    <w:rPr>
                      <w:rFonts w:ascii="宋体" w:hAnsi="宋体" w:cs="宋体" w:eastAsia="宋体"/>
                      <w:sz w:val="24"/>
                      <w:color w:val="000000"/>
                    </w:rPr>
                    <w:t>7、学习测评内容需包含：学习动机量表、学习策略量表、青少年时间管理倾向量表、信息技术、通用技术、思想政治、物理、数学、英语、生物、语文、历史、化学、地理学科潜能测验等。</w:t>
                  </w:r>
                  <w:r>
                    <w:br/>
                  </w:r>
                  <w:r>
                    <w:rPr>
                      <w:rFonts w:ascii="宋体" w:hAnsi="宋体" w:cs="宋体" w:eastAsia="宋体"/>
                      <w:sz w:val="24"/>
                      <w:color w:val="000000"/>
                    </w:rPr>
                    <w:t>8、心理测评内容需包含:PSTRI（心理）压力、心理弹性量表、社会支持量表、人际关系综合诊断量表、九型人格测评、自我效能感问卷、焦虑自评量表（SAS）、抑郁自测量表（SDS）、测一测刻板印象等。</w:t>
                  </w:r>
                  <w:r>
                    <w:br/>
                  </w:r>
                  <w:r>
                    <w:rPr>
                      <w:rFonts w:ascii="宋体" w:hAnsi="宋体" w:cs="宋体" w:eastAsia="宋体"/>
                      <w:sz w:val="24"/>
                    </w:rPr>
                    <w:t>▲</w:t>
                  </w:r>
                  <w:r>
                    <w:rPr>
                      <w:rFonts w:ascii="宋体" w:hAnsi="宋体" w:cs="宋体" w:eastAsia="宋体"/>
                      <w:sz w:val="24"/>
                      <w:color w:val="000000"/>
                    </w:rPr>
                    <w:t>9、测评结果可通过二维码扫描或邮箱等形式发送至体验者，有助于数据的有效留存。</w:t>
                  </w:r>
                  <w:r>
                    <w:br/>
                  </w:r>
                  <w:r>
                    <w:rPr>
                      <w:rFonts w:ascii="宋体" w:hAnsi="宋体" w:cs="宋体" w:eastAsia="宋体"/>
                      <w:sz w:val="24"/>
                      <w:color w:val="000000"/>
                    </w:rPr>
                    <w:t>10、具有院校相关信息查询功能，可查看院校介绍、开设专业、特色专业、院校分数、专业分数、选考要求、招生计划、就业信息等内容，并提供院校榜单推荐资讯内容；并具有院校在同一维度的对比功能，至少满足4所及以上院校对比。</w:t>
                  </w:r>
                  <w:r>
                    <w:br/>
                  </w:r>
                  <w:r>
                    <w:rPr>
                      <w:rFonts w:ascii="宋体" w:hAnsi="宋体" w:cs="宋体" w:eastAsia="宋体"/>
                      <w:sz w:val="24"/>
                      <w:color w:val="000000"/>
                    </w:rPr>
                    <w:t>11、具有专业相关信息查询功能，可按照教育部公布的专业门类（本科或专科）进行查询，同时专业相关院校和职业信息，并提供专业榜单推荐资讯内容。</w:t>
                  </w:r>
                  <w:r>
                    <w:br/>
                  </w:r>
                  <w:r>
                    <w:rPr>
                      <w:rFonts w:ascii="宋体" w:hAnsi="宋体" w:cs="宋体" w:eastAsia="宋体"/>
                      <w:sz w:val="24"/>
                      <w:color w:val="000000"/>
                    </w:rPr>
                    <w:t>12、具有职业相关信息查询功能，可按照行业分类标准查询职业内容，提供职业相关专业及院校信息，并具备职业榜单推荐资讯内容。</w:t>
                  </w:r>
                  <w:r>
                    <w:br/>
                  </w:r>
                  <w:r>
                    <w:rPr>
                      <w:rFonts w:ascii="宋体" w:hAnsi="宋体" w:cs="宋体" w:eastAsia="宋体"/>
                      <w:sz w:val="24"/>
                      <w:color w:val="000000"/>
                    </w:rPr>
                    <w:t>13、具有新旧高考省份院校查询功能，以参考年份、选科类型与分数段进行查询，查询结果可按院校省份、办学层次、办学性质、办学类型、院校水平、院校特性等内容进行筛选排列。</w:t>
                  </w:r>
                  <w:r>
                    <w:br/>
                  </w:r>
                  <w:r>
                    <w:rPr>
                      <w:rFonts w:ascii="宋体" w:hAnsi="宋体" w:cs="宋体" w:eastAsia="宋体"/>
                      <w:sz w:val="24"/>
                      <w:color w:val="000000"/>
                    </w:rPr>
                    <w:t>14、具有新旧高考省份专业查询功能，以参考年份、选科类型、专业门类与分数段进行查询，查询结果可按院校省份、录取批次、办学层次进行筛选排列。</w:t>
                  </w:r>
                  <w:r>
                    <w:br/>
                  </w:r>
                  <w:r>
                    <w:rPr>
                      <w:rFonts w:ascii="宋体" w:hAnsi="宋体" w:cs="宋体" w:eastAsia="宋体"/>
                      <w:sz w:val="24"/>
                      <w:color w:val="000000"/>
                    </w:rPr>
                    <w:t>15、具有新高考省份选科查询功能，以意向省份、学历层次、选科科目进行大学专业录取选考要求查询，查询结果可按意向专业、选考要求、专业或院校进行排列。</w:t>
                  </w:r>
                  <w:r>
                    <w:br/>
                  </w:r>
                  <w:r>
                    <w:rPr>
                      <w:rFonts w:ascii="宋体" w:hAnsi="宋体" w:cs="宋体" w:eastAsia="宋体"/>
                      <w:sz w:val="24"/>
                      <w:color w:val="000000"/>
                    </w:rPr>
                    <w:t>16、具有安全误操作保障设置，可通过二维码或短信等验证方式验证操作员权限，有效的避免学生在使用时误操作导致设备无法正常使用。</w:t>
                  </w:r>
                  <w:r>
                    <w:br/>
                  </w:r>
                  <w:r>
                    <w:rPr>
                      <w:rFonts w:ascii="宋体" w:hAnsi="宋体" w:cs="宋体" w:eastAsia="宋体"/>
                      <w:sz w:val="24"/>
                      <w:color w:val="000000"/>
                    </w:rPr>
                    <w:t>17、具有远程维护，支持移动端app进行设备远程调试、运行环境设置、软件版本管理等功能，能有效的保障设备的稳定性及即使处理突发事件。</w:t>
                  </w:r>
                </w:p>
                <w:p>
                  <w:pPr>
                    <w:pStyle w:val="null3"/>
                    <w:jc w:val="left"/>
                  </w:pPr>
                  <w:r>
                    <w:rPr>
                      <w:rFonts w:ascii="宋体" w:hAnsi="宋体" w:cs="宋体" w:eastAsia="宋体"/>
                      <w:sz w:val="24"/>
                      <w:color w:val="000000"/>
                    </w:rPr>
                    <w:t>包含三年内所有售后及信息更新服务</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5</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生涯学科教室可拼接团体活动桌</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个</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36</w:t>
                  </w: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配置：六人位可拼接活动桌（颜色可定制）</w:t>
                  </w:r>
                  <w:r>
                    <w:br/>
                  </w:r>
                  <w:r>
                    <w:rPr>
                      <w:rFonts w:ascii="宋体" w:hAnsi="宋体" w:cs="宋体" w:eastAsia="宋体"/>
                      <w:sz w:val="24"/>
                      <w:color w:val="000000"/>
                    </w:rPr>
                    <w:t>1.8米直径+钢制桌腿</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6</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生涯学科教室彩色椅</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把</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36</w:t>
                  </w: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材料：一体注塑</w:t>
                  </w:r>
                  <w:r>
                    <w:rPr>
                      <w:rFonts w:ascii="宋体" w:hAnsi="宋体" w:cs="宋体" w:eastAsia="宋体"/>
                      <w:sz w:val="24"/>
                      <w:color w:val="000000"/>
                    </w:rPr>
                    <w:t>+钢制腿+布艺坐垫</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7</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生涯学科教室可拼接团体活动桌</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个</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36</w:t>
                  </w: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配置：六人位可拼接活动桌（颜色可定制）</w:t>
                  </w:r>
                  <w:r>
                    <w:br/>
                  </w:r>
                  <w:r>
                    <w:rPr>
                      <w:rFonts w:ascii="宋体" w:hAnsi="宋体" w:cs="宋体" w:eastAsia="宋体"/>
                      <w:sz w:val="24"/>
                      <w:color w:val="000000"/>
                    </w:rPr>
                    <w:t>1.8米直径+钢制桌腿</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8</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生涯学科教室彩色椅</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把</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36</w:t>
                  </w: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材料：一体注塑</w:t>
                  </w:r>
                  <w:r>
                    <w:rPr>
                      <w:rFonts w:ascii="宋体" w:hAnsi="宋体" w:cs="宋体" w:eastAsia="宋体"/>
                      <w:sz w:val="24"/>
                      <w:color w:val="000000"/>
                    </w:rPr>
                    <w:t>+钢制腿+布艺坐垫</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9</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生涯学科教室可拼接团体活动桌</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个</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36</w:t>
                  </w: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配置：六人位可拼接活动桌（颜色可定制）</w:t>
                  </w:r>
                  <w:r>
                    <w:br/>
                  </w:r>
                  <w:r>
                    <w:rPr>
                      <w:rFonts w:ascii="宋体" w:hAnsi="宋体" w:cs="宋体" w:eastAsia="宋体"/>
                      <w:sz w:val="24"/>
                      <w:color w:val="000000"/>
                    </w:rPr>
                    <w:t>1.8米直径+钢制桌腿</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10</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生涯学科教室彩色椅</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把</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36</w:t>
                  </w: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材料：一体注塑</w:t>
                  </w:r>
                  <w:r>
                    <w:rPr>
                      <w:rFonts w:ascii="宋体" w:hAnsi="宋体" w:cs="宋体" w:eastAsia="宋体"/>
                      <w:sz w:val="24"/>
                      <w:color w:val="000000"/>
                    </w:rPr>
                    <w:t>+钢制腿+布艺坐垫</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11</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中学生企业模拟经营沙盘</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套</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5</w:t>
                  </w: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配置：不锈钢可折叠升降桌</w:t>
                  </w:r>
                  <w:r>
                    <w:br/>
                  </w:r>
                  <w:r>
                    <w:rPr>
                      <w:rFonts w:ascii="宋体" w:hAnsi="宋体" w:cs="宋体" w:eastAsia="宋体"/>
                      <w:sz w:val="24"/>
                      <w:color w:val="000000"/>
                    </w:rPr>
                    <w:t>定制桌布</w:t>
                  </w:r>
                  <w:r>
                    <w:rPr>
                      <w:rFonts w:ascii="宋体" w:hAnsi="宋体" w:cs="宋体" w:eastAsia="宋体"/>
                      <w:sz w:val="24"/>
                      <w:color w:val="000000"/>
                    </w:rPr>
                    <w:t>+使用手册</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12</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生涯咨询工具量表</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份</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1920</w:t>
                  </w: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一、资深生涯规划师根据上千例生涯咨询个案，结合经典生涯理论，制作包含生涯唤醒、自我认知、职业探索以及生涯决策四大单元为主题的共</w:t>
                  </w:r>
                  <w:r>
                    <w:rPr>
                      <w:rFonts w:ascii="宋体" w:hAnsi="宋体" w:cs="宋体" w:eastAsia="宋体"/>
                      <w:sz w:val="24"/>
                      <w:color w:val="000000"/>
                    </w:rPr>
                    <w:t>16款生涯工具，组成一套生涯咨询工具量表。尺寸290×200,双面彩印，外观精致。</w:t>
                  </w:r>
                  <w:r>
                    <w:br/>
                  </w:r>
                  <w:r>
                    <w:rPr>
                      <w:rFonts w:ascii="宋体" w:hAnsi="宋体" w:cs="宋体" w:eastAsia="宋体"/>
                      <w:sz w:val="24"/>
                      <w:color w:val="000000"/>
                    </w:rPr>
                    <w:t>二、内容参数</w:t>
                  </w:r>
                  <w:r>
                    <w:br/>
                  </w:r>
                  <w:r>
                    <w:rPr>
                      <w:rFonts w:ascii="宋体" w:hAnsi="宋体" w:cs="宋体" w:eastAsia="宋体"/>
                      <w:sz w:val="24"/>
                      <w:color w:val="000000"/>
                    </w:rPr>
                    <w:t>包含生涯彩虹图、生涯鱼骨图、生涯九宫格、生涯角色饼图、霍兰德兴趣岛、性格测试、能力矩阵、价值观排序表、职业生涯人物访谈指南、职业信息搜集指南、社会环境探索指南、家庭职业树、生涯决策平衡单、生涯决策风格测试、</w:t>
                  </w:r>
                  <w:r>
                    <w:rPr>
                      <w:rFonts w:ascii="宋体" w:hAnsi="宋体" w:cs="宋体" w:eastAsia="宋体"/>
                      <w:sz w:val="24"/>
                      <w:color w:val="000000"/>
                    </w:rPr>
                    <w:t>SWOT分析表、SMART目标制定法在内的不少于16个生涯工具表单。</w:t>
                  </w:r>
                  <w:r>
                    <w:br/>
                  </w:r>
                  <w:r>
                    <w:rPr>
                      <w:rFonts w:ascii="宋体" w:hAnsi="宋体" w:cs="宋体" w:eastAsia="宋体"/>
                      <w:sz w:val="24"/>
                      <w:color w:val="000000"/>
                    </w:rPr>
                    <w:t>1、生涯彩虹图：美国的生涯大师舒伯为了综合阐述生涯发展阶段与角色彼此间的相互影响，创造性地描绘出一个多重角色生涯发展的生涯彩虹图，形象地展现了生涯发展的时空关系，更好地诠释了生涯的定义。学生可用笔进行涂画，描绘自己的生涯彩虹图，更清楚的了解自我在不同阶段所扮演的角色。</w:t>
                  </w:r>
                  <w:r>
                    <w:br/>
                  </w:r>
                  <w:r>
                    <w:rPr>
                      <w:rFonts w:ascii="宋体" w:hAnsi="宋体" w:cs="宋体" w:eastAsia="宋体"/>
                      <w:sz w:val="24"/>
                      <w:color w:val="000000"/>
                    </w:rPr>
                    <w:t>2、生涯鱼骨图：鱼骨图是一种发现问题，根本原因的方法。学生可通过鱼骨图的梳理，对自己的过去，现在和未来做出评估和展望，明确自我定位。</w:t>
                  </w:r>
                  <w:r>
                    <w:br/>
                  </w:r>
                  <w:r>
                    <w:rPr>
                      <w:rFonts w:ascii="宋体" w:hAnsi="宋体" w:cs="宋体" w:eastAsia="宋体"/>
                      <w:sz w:val="24"/>
                      <w:color w:val="000000"/>
                    </w:rPr>
                    <w:t>3、生涯九宫格：将人们的生涯发展概括为九个方面，学生通过给每个方面的现状打分来判断发展现状，并分析出哪个格子对你当下是最重要的，如何提高他的分数。</w:t>
                  </w:r>
                  <w:r>
                    <w:br/>
                  </w:r>
                  <w:r>
                    <w:rPr>
                      <w:rFonts w:ascii="宋体" w:hAnsi="宋体" w:cs="宋体" w:eastAsia="宋体"/>
                      <w:sz w:val="24"/>
                      <w:color w:val="000000"/>
                    </w:rPr>
                    <w:t>4、生涯角色饼图：学生通过绘制饼图对比现状与理想重新审视角色分配和阶段生涯的重心，找到现实与理想状态的差距和调整的关键点，为时间管理提供了视角。</w:t>
                  </w:r>
                  <w:r>
                    <w:br/>
                  </w:r>
                  <w:r>
                    <w:rPr>
                      <w:rFonts w:ascii="宋体" w:hAnsi="宋体" w:cs="宋体" w:eastAsia="宋体"/>
                      <w:sz w:val="24"/>
                      <w:color w:val="000000"/>
                    </w:rPr>
                    <w:t>5、霍兰德兴趣岛：根据霍兰德六种兴趣类型，设计了对应的六个兴趣岛及非正式评估问题，学生通过回答问题，综合考虑兴趣能力，性格，价值观等因素，同时结合外部环境再进行决策和行动，做出适合自己的职业生涯规划。</w:t>
                  </w:r>
                  <w:r>
                    <w:br/>
                  </w:r>
                  <w:r>
                    <w:rPr>
                      <w:rFonts w:ascii="宋体" w:hAnsi="宋体" w:cs="宋体" w:eastAsia="宋体"/>
                      <w:sz w:val="24"/>
                      <w:color w:val="000000"/>
                    </w:rPr>
                    <w:t>6、性格测评：通过迈尔斯布里格斯类型指标（MBTI）性格类型测评和九型人格两种测评工具的测评，帮助学生快速了解自己的性格特点。</w:t>
                  </w:r>
                  <w:r>
                    <w:br/>
                  </w:r>
                  <w:r>
                    <w:rPr>
                      <w:rFonts w:ascii="宋体" w:hAnsi="宋体" w:cs="宋体" w:eastAsia="宋体"/>
                      <w:sz w:val="24"/>
                      <w:color w:val="000000"/>
                    </w:rPr>
                    <w:t>7、能力矩阵：学生可从多维问题的事件中找出成对的因素，排列成矩阵图，根据矩阵图分析问题，确定关键点。将能力按照高低和喜好程度分为优势区、退路区、提升区和盲区四个区域，针对不同区域的能力，采取不同的策略。</w:t>
                  </w:r>
                  <w:r>
                    <w:br/>
                  </w:r>
                  <w:r>
                    <w:rPr>
                      <w:rFonts w:ascii="宋体" w:hAnsi="宋体" w:cs="宋体" w:eastAsia="宋体"/>
                      <w:sz w:val="24"/>
                      <w:color w:val="000000"/>
                    </w:rPr>
                    <w:t>8、价值观排序表：学生通过对价值观的排序，感受每个职业价值观对自己的重要性，体验得到和失去时的感受，从而对自我有进一步的认知，对自己未来的生活和职业从价值观维度增加了认知、多了一些思考。</w:t>
                  </w:r>
                  <w:r>
                    <w:br/>
                  </w:r>
                  <w:r>
                    <w:rPr>
                      <w:rFonts w:ascii="宋体" w:hAnsi="宋体" w:cs="宋体" w:eastAsia="宋体"/>
                      <w:sz w:val="24"/>
                      <w:color w:val="000000"/>
                    </w:rPr>
                    <w:t>9、职业生涯人物访谈指南：通过与某个行业或职业的人交谈，更加深入地了解相关职业的能力，要求待遇和发展前景。</w:t>
                  </w:r>
                  <w:r>
                    <w:br/>
                  </w:r>
                  <w:r>
                    <w:rPr>
                      <w:rFonts w:ascii="宋体" w:hAnsi="宋体" w:cs="宋体" w:eastAsia="宋体"/>
                      <w:sz w:val="24"/>
                      <w:color w:val="000000"/>
                    </w:rPr>
                    <w:t>10、职业信息搜集指南：让学生通过对喜欢或要从事的职业进行信息搜集、实际调研、信息分析的过程，对目标职业的要求有充分的了解，从而有效地规划大学生活为将要从事的职业做好各方面的准备。</w:t>
                  </w:r>
                  <w:r>
                    <w:br/>
                  </w:r>
                  <w:r>
                    <w:rPr>
                      <w:rFonts w:ascii="宋体" w:hAnsi="宋体" w:cs="宋体" w:eastAsia="宋体"/>
                      <w:sz w:val="24"/>
                      <w:color w:val="000000"/>
                    </w:rPr>
                    <w:t>11、社会环境探索指南：让学生对某职业所处的社会环境，包括地区，行业和企业环境等进行探索了解，从而掌握更全面的信息，进行更加科学的职业决策。</w:t>
                  </w:r>
                  <w:r>
                    <w:br/>
                  </w:r>
                  <w:r>
                    <w:rPr>
                      <w:rFonts w:ascii="宋体" w:hAnsi="宋体" w:cs="宋体" w:eastAsia="宋体"/>
                      <w:sz w:val="24"/>
                      <w:color w:val="000000"/>
                    </w:rPr>
                    <w:t>12、家族职业树：家族职业树是用来搜集家族成员职业的工具，可以帮助学生找到自己的职业选择根源，分析家族职业与个人职业生涯的相互影响。</w:t>
                  </w:r>
                  <w:r>
                    <w:br/>
                  </w:r>
                  <w:r>
                    <w:rPr>
                      <w:rFonts w:ascii="宋体" w:hAnsi="宋体" w:cs="宋体" w:eastAsia="宋体"/>
                      <w:sz w:val="24"/>
                      <w:color w:val="000000"/>
                    </w:rPr>
                    <w:t>13、生涯决策平衡单：从自我物质得失，他人物质得失，自我精神得失，他人精神得失四个方面帮助学生通过赋值量化，把面临的选择进行分数化，使学生更有条理地、客观地、具体地看待每一个选项。</w:t>
                  </w:r>
                  <w:r>
                    <w:br/>
                  </w:r>
                  <w:r>
                    <w:rPr>
                      <w:rFonts w:ascii="宋体" w:hAnsi="宋体" w:cs="宋体" w:eastAsia="宋体"/>
                      <w:sz w:val="24"/>
                      <w:color w:val="000000"/>
                    </w:rPr>
                    <w:t>14、生涯决策风格测试：通过生涯决策风格测试，让学生了解自己的决策风格和决策风格对职业选择的影响，对决策风格进行调整。</w:t>
                  </w:r>
                  <w:r>
                    <w:br/>
                  </w:r>
                  <w:r>
                    <w:rPr>
                      <w:rFonts w:ascii="宋体" w:hAnsi="宋体" w:cs="宋体" w:eastAsia="宋体"/>
                      <w:sz w:val="24"/>
                      <w:color w:val="000000"/>
                    </w:rPr>
                    <w:t>15、SWOT分析表：作为可以客观评价现实情况利弊的方法，可以帮助学生系统梳理自身特点和现实环境的内外在因素，对职业目标重新认识及定位并指导学生进行发展路径的策略制定。</w:t>
                  </w:r>
                  <w:r>
                    <w:br/>
                  </w:r>
                  <w:r>
                    <w:rPr>
                      <w:rFonts w:ascii="宋体" w:hAnsi="宋体" w:cs="宋体" w:eastAsia="宋体"/>
                      <w:sz w:val="24"/>
                      <w:color w:val="000000"/>
                    </w:rPr>
                    <w:t>16、SMART目标制定法：帮助学生在职业生涯规划实践中制定科学合理的生涯目标，结合有效的目标管理方法，助力学生实现生涯理想。</w:t>
                  </w:r>
                </w:p>
              </w:tc>
            </w:tr>
            <w:tr>
              <w:tc>
                <w:tcPr>
                  <w:tcW w:type="dxa" w:w="2550"/>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b/>
                      <w:color w:val="000000"/>
                    </w:rPr>
                    <w:t>第二部分、基础改造部分</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一</w:t>
                  </w:r>
                </w:p>
              </w:tc>
              <w:tc>
                <w:tcPr>
                  <w:tcW w:type="dxa" w:w="5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b/>
                      <w:color w:val="000000"/>
                    </w:rPr>
                    <w:t>生涯学科教室</w:t>
                  </w:r>
                </w:p>
              </w:tc>
              <w:tc>
                <w:tcPr>
                  <w:tcW w:type="dxa" w:w="2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塑胶地板铺设</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70</w:t>
                  </w: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一、全实心塑胶；</w:t>
                  </w:r>
                  <w:r>
                    <w:br/>
                  </w:r>
                  <w:r>
                    <w:rPr>
                      <w:rFonts w:ascii="宋体" w:hAnsi="宋体" w:cs="宋体" w:eastAsia="宋体"/>
                      <w:sz w:val="24"/>
                      <w:color w:val="000000"/>
                    </w:rPr>
                    <w:t>二、厚度</w:t>
                  </w:r>
                  <w:r>
                    <w:rPr>
                      <w:rFonts w:ascii="宋体" w:hAnsi="宋体" w:cs="宋体" w:eastAsia="宋体"/>
                      <w:sz w:val="24"/>
                      <w:color w:val="000000"/>
                    </w:rPr>
                    <w:t>≥1.8mm；</w:t>
                  </w:r>
                  <w:r>
                    <w:br/>
                  </w:r>
                  <w:r>
                    <w:rPr>
                      <w:rFonts w:ascii="宋体" w:hAnsi="宋体" w:cs="宋体" w:eastAsia="宋体"/>
                      <w:sz w:val="24"/>
                      <w:color w:val="000000"/>
                    </w:rPr>
                    <w:t>三、耐磨层</w:t>
                  </w:r>
                  <w:r>
                    <w:rPr>
                      <w:rFonts w:ascii="宋体" w:hAnsi="宋体" w:cs="宋体" w:eastAsia="宋体"/>
                      <w:sz w:val="24"/>
                      <w:color w:val="000000"/>
                    </w:rPr>
                    <w:t>≥25丝；</w:t>
                  </w:r>
                  <w:r>
                    <w:br/>
                  </w:r>
                  <w:r>
                    <w:rPr>
                      <w:rFonts w:ascii="宋体" w:hAnsi="宋体" w:cs="宋体" w:eastAsia="宋体"/>
                      <w:sz w:val="24"/>
                      <w:color w:val="000000"/>
                    </w:rPr>
                    <w:t>四、耐磨系数</w:t>
                  </w:r>
                  <w:r>
                    <w:rPr>
                      <w:rFonts w:ascii="宋体" w:hAnsi="宋体" w:cs="宋体" w:eastAsia="宋体"/>
                      <w:sz w:val="24"/>
                      <w:color w:val="000000"/>
                    </w:rPr>
                    <w:t>≥50000转；</w:t>
                  </w:r>
                  <w:r>
                    <w:br/>
                  </w:r>
                  <w:r>
                    <w:rPr>
                      <w:rFonts w:ascii="宋体" w:hAnsi="宋体" w:cs="宋体" w:eastAsia="宋体"/>
                      <w:sz w:val="24"/>
                      <w:color w:val="000000"/>
                    </w:rPr>
                    <w:t>五、环保等级</w:t>
                  </w:r>
                  <w:r>
                    <w:rPr>
                      <w:rFonts w:ascii="宋体" w:hAnsi="宋体" w:cs="宋体" w:eastAsia="宋体"/>
                      <w:sz w:val="24"/>
                      <w:color w:val="000000"/>
                    </w:rPr>
                    <w:t>≥E1级别；</w:t>
                  </w:r>
                  <w:r>
                    <w:br/>
                  </w:r>
                  <w:r>
                    <w:rPr>
                      <w:rFonts w:ascii="宋体" w:hAnsi="宋体" w:cs="宋体" w:eastAsia="宋体"/>
                      <w:sz w:val="24"/>
                      <w:color w:val="000000"/>
                    </w:rPr>
                    <w:t>六、防火等级</w:t>
                  </w:r>
                  <w:r>
                    <w:rPr>
                      <w:rFonts w:ascii="宋体" w:hAnsi="宋体" w:cs="宋体" w:eastAsia="宋体"/>
                      <w:sz w:val="24"/>
                      <w:color w:val="000000"/>
                    </w:rPr>
                    <w:t>≥B1级别；</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踢脚线</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m</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38</w:t>
                  </w: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成品踢脚、高度</w:t>
                  </w:r>
                  <w:r>
                    <w:rPr>
                      <w:rFonts w:ascii="宋体" w:hAnsi="宋体" w:cs="宋体" w:eastAsia="宋体"/>
                      <w:sz w:val="24"/>
                      <w:color w:val="000000"/>
                    </w:rPr>
                    <w:t>≥5cm</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3</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墙面腻子乳胶漆</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85</w:t>
                  </w: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两遍腻子、打磨</w:t>
                  </w:r>
                  <w:r>
                    <w:rPr>
                      <w:rFonts w:ascii="宋体" w:hAnsi="宋体" w:cs="宋体" w:eastAsia="宋体"/>
                      <w:sz w:val="24"/>
                      <w:color w:val="000000"/>
                    </w:rPr>
                    <w:t>+两遍滚刷彩色乳胶漆</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二</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b/>
                      <w:color w:val="000000"/>
                    </w:rPr>
                    <w:t>VR职业体验室</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塑胶地板铺设</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70</w:t>
                  </w: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一、全实心塑胶；</w:t>
                  </w:r>
                  <w:r>
                    <w:br/>
                  </w:r>
                  <w:r>
                    <w:rPr>
                      <w:rFonts w:ascii="宋体" w:hAnsi="宋体" w:cs="宋体" w:eastAsia="宋体"/>
                      <w:sz w:val="24"/>
                      <w:color w:val="000000"/>
                    </w:rPr>
                    <w:t>二、厚度</w:t>
                  </w:r>
                  <w:r>
                    <w:rPr>
                      <w:rFonts w:ascii="宋体" w:hAnsi="宋体" w:cs="宋体" w:eastAsia="宋体"/>
                      <w:sz w:val="24"/>
                      <w:color w:val="000000"/>
                    </w:rPr>
                    <w:t>≥1.8mm；</w:t>
                  </w:r>
                  <w:r>
                    <w:br/>
                  </w:r>
                  <w:r>
                    <w:rPr>
                      <w:rFonts w:ascii="宋体" w:hAnsi="宋体" w:cs="宋体" w:eastAsia="宋体"/>
                      <w:sz w:val="24"/>
                      <w:color w:val="000000"/>
                    </w:rPr>
                    <w:t>三、耐磨层</w:t>
                  </w:r>
                  <w:r>
                    <w:rPr>
                      <w:rFonts w:ascii="宋体" w:hAnsi="宋体" w:cs="宋体" w:eastAsia="宋体"/>
                      <w:sz w:val="24"/>
                      <w:color w:val="000000"/>
                    </w:rPr>
                    <w:t>≥25丝；</w:t>
                  </w:r>
                  <w:r>
                    <w:br/>
                  </w:r>
                  <w:r>
                    <w:rPr>
                      <w:rFonts w:ascii="宋体" w:hAnsi="宋体" w:cs="宋体" w:eastAsia="宋体"/>
                      <w:sz w:val="24"/>
                      <w:color w:val="000000"/>
                    </w:rPr>
                    <w:t>四、耐磨系数</w:t>
                  </w:r>
                  <w:r>
                    <w:rPr>
                      <w:rFonts w:ascii="宋体" w:hAnsi="宋体" w:cs="宋体" w:eastAsia="宋体"/>
                      <w:sz w:val="24"/>
                      <w:color w:val="000000"/>
                    </w:rPr>
                    <w:t>≥50000转；</w:t>
                  </w:r>
                  <w:r>
                    <w:br/>
                  </w:r>
                  <w:r>
                    <w:rPr>
                      <w:rFonts w:ascii="宋体" w:hAnsi="宋体" w:cs="宋体" w:eastAsia="宋体"/>
                      <w:sz w:val="24"/>
                      <w:color w:val="000000"/>
                    </w:rPr>
                    <w:t>五、环保等级</w:t>
                  </w:r>
                  <w:r>
                    <w:rPr>
                      <w:rFonts w:ascii="宋体" w:hAnsi="宋体" w:cs="宋体" w:eastAsia="宋体"/>
                      <w:sz w:val="24"/>
                      <w:color w:val="000000"/>
                    </w:rPr>
                    <w:t>≥E1级别；</w:t>
                  </w:r>
                  <w:r>
                    <w:br/>
                  </w:r>
                  <w:r>
                    <w:rPr>
                      <w:rFonts w:ascii="宋体" w:hAnsi="宋体" w:cs="宋体" w:eastAsia="宋体"/>
                      <w:sz w:val="24"/>
                      <w:color w:val="000000"/>
                    </w:rPr>
                    <w:t>六、防火等级</w:t>
                  </w:r>
                  <w:r>
                    <w:rPr>
                      <w:rFonts w:ascii="宋体" w:hAnsi="宋体" w:cs="宋体" w:eastAsia="宋体"/>
                      <w:sz w:val="24"/>
                      <w:color w:val="000000"/>
                    </w:rPr>
                    <w:t>≥B1级别；</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踢脚线</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m</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38</w:t>
                  </w: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成品踢脚、高度</w:t>
                  </w:r>
                  <w:r>
                    <w:rPr>
                      <w:rFonts w:ascii="宋体" w:hAnsi="宋体" w:cs="宋体" w:eastAsia="宋体"/>
                      <w:sz w:val="24"/>
                      <w:color w:val="000000"/>
                    </w:rPr>
                    <w:t>≥5cm</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3</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墙面腻子乳胶漆</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85</w:t>
                  </w: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两遍腻子、打磨</w:t>
                  </w:r>
                  <w:r>
                    <w:rPr>
                      <w:rFonts w:ascii="宋体" w:hAnsi="宋体" w:cs="宋体" w:eastAsia="宋体"/>
                      <w:sz w:val="24"/>
                      <w:color w:val="000000"/>
                    </w:rPr>
                    <w:t>+两遍滚刷彩色乳胶漆</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三</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b/>
                      <w:color w:val="000000"/>
                    </w:rPr>
                    <w:t>团体辅导室</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塑胶地板铺设</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70</w:t>
                  </w: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一、全实心塑胶；</w:t>
                  </w:r>
                  <w:r>
                    <w:br/>
                  </w:r>
                  <w:r>
                    <w:rPr>
                      <w:rFonts w:ascii="宋体" w:hAnsi="宋体" w:cs="宋体" w:eastAsia="宋体"/>
                      <w:sz w:val="24"/>
                      <w:color w:val="000000"/>
                    </w:rPr>
                    <w:t>二、厚度</w:t>
                  </w:r>
                  <w:r>
                    <w:rPr>
                      <w:rFonts w:ascii="宋体" w:hAnsi="宋体" w:cs="宋体" w:eastAsia="宋体"/>
                      <w:sz w:val="24"/>
                      <w:color w:val="000000"/>
                    </w:rPr>
                    <w:t>≥1.8mm；</w:t>
                  </w:r>
                  <w:r>
                    <w:br/>
                  </w:r>
                  <w:r>
                    <w:rPr>
                      <w:rFonts w:ascii="宋体" w:hAnsi="宋体" w:cs="宋体" w:eastAsia="宋体"/>
                      <w:sz w:val="24"/>
                      <w:color w:val="000000"/>
                    </w:rPr>
                    <w:t>三、耐磨层</w:t>
                  </w:r>
                  <w:r>
                    <w:rPr>
                      <w:rFonts w:ascii="宋体" w:hAnsi="宋体" w:cs="宋体" w:eastAsia="宋体"/>
                      <w:sz w:val="24"/>
                      <w:color w:val="000000"/>
                    </w:rPr>
                    <w:t>≥25丝；</w:t>
                  </w:r>
                  <w:r>
                    <w:br/>
                  </w:r>
                  <w:r>
                    <w:rPr>
                      <w:rFonts w:ascii="宋体" w:hAnsi="宋体" w:cs="宋体" w:eastAsia="宋体"/>
                      <w:sz w:val="24"/>
                      <w:color w:val="000000"/>
                    </w:rPr>
                    <w:t>四、耐磨系数</w:t>
                  </w:r>
                  <w:r>
                    <w:rPr>
                      <w:rFonts w:ascii="宋体" w:hAnsi="宋体" w:cs="宋体" w:eastAsia="宋体"/>
                      <w:sz w:val="24"/>
                      <w:color w:val="000000"/>
                    </w:rPr>
                    <w:t>≥50000转；</w:t>
                  </w:r>
                  <w:r>
                    <w:br/>
                  </w:r>
                  <w:r>
                    <w:rPr>
                      <w:rFonts w:ascii="宋体" w:hAnsi="宋体" w:cs="宋体" w:eastAsia="宋体"/>
                      <w:sz w:val="24"/>
                      <w:color w:val="000000"/>
                    </w:rPr>
                    <w:t>五、环保等级</w:t>
                  </w:r>
                  <w:r>
                    <w:rPr>
                      <w:rFonts w:ascii="宋体" w:hAnsi="宋体" w:cs="宋体" w:eastAsia="宋体"/>
                      <w:sz w:val="24"/>
                      <w:color w:val="000000"/>
                    </w:rPr>
                    <w:t>≥E1级别；</w:t>
                  </w:r>
                  <w:r>
                    <w:br/>
                  </w:r>
                  <w:r>
                    <w:rPr>
                      <w:rFonts w:ascii="宋体" w:hAnsi="宋体" w:cs="宋体" w:eastAsia="宋体"/>
                      <w:sz w:val="24"/>
                      <w:color w:val="000000"/>
                    </w:rPr>
                    <w:t>六、防火等级</w:t>
                  </w:r>
                  <w:r>
                    <w:rPr>
                      <w:rFonts w:ascii="宋体" w:hAnsi="宋体" w:cs="宋体" w:eastAsia="宋体"/>
                      <w:sz w:val="24"/>
                      <w:color w:val="000000"/>
                    </w:rPr>
                    <w:t>≥B1级别；</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踢脚线</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m</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36</w:t>
                  </w: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成品踢脚、高度</w:t>
                  </w:r>
                  <w:r>
                    <w:rPr>
                      <w:rFonts w:ascii="宋体" w:hAnsi="宋体" w:cs="宋体" w:eastAsia="宋体"/>
                      <w:sz w:val="24"/>
                      <w:color w:val="000000"/>
                    </w:rPr>
                    <w:t>≥5cm</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3</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墙面腻子乳胶漆</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75</w:t>
                  </w: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两遍腻子、打磨</w:t>
                  </w:r>
                  <w:r>
                    <w:rPr>
                      <w:rFonts w:ascii="宋体" w:hAnsi="宋体" w:cs="宋体" w:eastAsia="宋体"/>
                      <w:sz w:val="24"/>
                      <w:color w:val="000000"/>
                    </w:rPr>
                    <w:t>+两遍滚刷彩色乳胶漆</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四</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b/>
                      <w:color w:val="000000"/>
                    </w:rPr>
                    <w:t>音乐放松室</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塑胶地板铺设</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25</w:t>
                  </w: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一、全实心塑胶；</w:t>
                  </w:r>
                  <w:r>
                    <w:br/>
                  </w:r>
                  <w:r>
                    <w:rPr>
                      <w:rFonts w:ascii="宋体" w:hAnsi="宋体" w:cs="宋体" w:eastAsia="宋体"/>
                      <w:sz w:val="24"/>
                      <w:color w:val="000000"/>
                    </w:rPr>
                    <w:t>二、厚度</w:t>
                  </w:r>
                  <w:r>
                    <w:rPr>
                      <w:rFonts w:ascii="宋体" w:hAnsi="宋体" w:cs="宋体" w:eastAsia="宋体"/>
                      <w:sz w:val="24"/>
                      <w:color w:val="000000"/>
                    </w:rPr>
                    <w:t>≥1.8mm；</w:t>
                  </w:r>
                  <w:r>
                    <w:br/>
                  </w:r>
                  <w:r>
                    <w:rPr>
                      <w:rFonts w:ascii="宋体" w:hAnsi="宋体" w:cs="宋体" w:eastAsia="宋体"/>
                      <w:sz w:val="24"/>
                      <w:color w:val="000000"/>
                    </w:rPr>
                    <w:t>三、耐磨层</w:t>
                  </w:r>
                  <w:r>
                    <w:rPr>
                      <w:rFonts w:ascii="宋体" w:hAnsi="宋体" w:cs="宋体" w:eastAsia="宋体"/>
                      <w:sz w:val="24"/>
                      <w:color w:val="000000"/>
                    </w:rPr>
                    <w:t>≥25丝；</w:t>
                  </w:r>
                  <w:r>
                    <w:br/>
                  </w:r>
                  <w:r>
                    <w:rPr>
                      <w:rFonts w:ascii="宋体" w:hAnsi="宋体" w:cs="宋体" w:eastAsia="宋体"/>
                      <w:sz w:val="24"/>
                      <w:color w:val="000000"/>
                    </w:rPr>
                    <w:t>四、耐磨系数</w:t>
                  </w:r>
                  <w:r>
                    <w:rPr>
                      <w:rFonts w:ascii="宋体" w:hAnsi="宋体" w:cs="宋体" w:eastAsia="宋体"/>
                      <w:sz w:val="24"/>
                      <w:color w:val="000000"/>
                    </w:rPr>
                    <w:t>≥50000转；</w:t>
                  </w:r>
                  <w:r>
                    <w:br/>
                  </w:r>
                  <w:r>
                    <w:rPr>
                      <w:rFonts w:ascii="宋体" w:hAnsi="宋体" w:cs="宋体" w:eastAsia="宋体"/>
                      <w:sz w:val="24"/>
                      <w:color w:val="000000"/>
                    </w:rPr>
                    <w:t>五、环保等级</w:t>
                  </w:r>
                  <w:r>
                    <w:rPr>
                      <w:rFonts w:ascii="宋体" w:hAnsi="宋体" w:cs="宋体" w:eastAsia="宋体"/>
                      <w:sz w:val="24"/>
                      <w:color w:val="000000"/>
                    </w:rPr>
                    <w:t>≥E1级别；</w:t>
                  </w:r>
                  <w:r>
                    <w:br/>
                  </w:r>
                  <w:r>
                    <w:rPr>
                      <w:rFonts w:ascii="宋体" w:hAnsi="宋体" w:cs="宋体" w:eastAsia="宋体"/>
                      <w:sz w:val="24"/>
                      <w:color w:val="000000"/>
                    </w:rPr>
                    <w:t>六、防火等级</w:t>
                  </w:r>
                  <w:r>
                    <w:rPr>
                      <w:rFonts w:ascii="宋体" w:hAnsi="宋体" w:cs="宋体" w:eastAsia="宋体"/>
                      <w:sz w:val="24"/>
                      <w:color w:val="000000"/>
                    </w:rPr>
                    <w:t>≥B1级别；</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踢脚线</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m</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30</w:t>
                  </w: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成品踢脚、高度</w:t>
                  </w:r>
                  <w:r>
                    <w:rPr>
                      <w:rFonts w:ascii="宋体" w:hAnsi="宋体" w:cs="宋体" w:eastAsia="宋体"/>
                      <w:sz w:val="24"/>
                      <w:color w:val="000000"/>
                    </w:rPr>
                    <w:t>≥5cm</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3</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墙面腻子乳胶漆</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55</w:t>
                  </w: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两遍腻子、打磨</w:t>
                  </w:r>
                  <w:r>
                    <w:rPr>
                      <w:rFonts w:ascii="宋体" w:hAnsi="宋体" w:cs="宋体" w:eastAsia="宋体"/>
                      <w:sz w:val="24"/>
                      <w:color w:val="000000"/>
                    </w:rPr>
                    <w:t>+两遍滚刷彩色乳胶漆</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五</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b/>
                      <w:color w:val="000000"/>
                    </w:rPr>
                    <w:t>兴趣测评室</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塑胶地板铺设</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70</w:t>
                  </w: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一、全实心塑胶；</w:t>
                  </w:r>
                  <w:r>
                    <w:br/>
                  </w:r>
                  <w:r>
                    <w:rPr>
                      <w:rFonts w:ascii="宋体" w:hAnsi="宋体" w:cs="宋体" w:eastAsia="宋体"/>
                      <w:sz w:val="24"/>
                      <w:color w:val="000000"/>
                    </w:rPr>
                    <w:t>二、厚度</w:t>
                  </w:r>
                  <w:r>
                    <w:rPr>
                      <w:rFonts w:ascii="宋体" w:hAnsi="宋体" w:cs="宋体" w:eastAsia="宋体"/>
                      <w:sz w:val="24"/>
                      <w:color w:val="000000"/>
                    </w:rPr>
                    <w:t>≥1.8mm；</w:t>
                  </w:r>
                  <w:r>
                    <w:br/>
                  </w:r>
                  <w:r>
                    <w:rPr>
                      <w:rFonts w:ascii="宋体" w:hAnsi="宋体" w:cs="宋体" w:eastAsia="宋体"/>
                      <w:sz w:val="24"/>
                      <w:color w:val="000000"/>
                    </w:rPr>
                    <w:t>三、耐磨层</w:t>
                  </w:r>
                  <w:r>
                    <w:rPr>
                      <w:rFonts w:ascii="宋体" w:hAnsi="宋体" w:cs="宋体" w:eastAsia="宋体"/>
                      <w:sz w:val="24"/>
                      <w:color w:val="000000"/>
                    </w:rPr>
                    <w:t>≥25丝；</w:t>
                  </w:r>
                  <w:r>
                    <w:br/>
                  </w:r>
                  <w:r>
                    <w:rPr>
                      <w:rFonts w:ascii="宋体" w:hAnsi="宋体" w:cs="宋体" w:eastAsia="宋体"/>
                      <w:sz w:val="24"/>
                      <w:color w:val="000000"/>
                    </w:rPr>
                    <w:t>四、耐磨系数</w:t>
                  </w:r>
                  <w:r>
                    <w:rPr>
                      <w:rFonts w:ascii="宋体" w:hAnsi="宋体" w:cs="宋体" w:eastAsia="宋体"/>
                      <w:sz w:val="24"/>
                      <w:color w:val="000000"/>
                    </w:rPr>
                    <w:t>≥50000转；</w:t>
                  </w:r>
                  <w:r>
                    <w:br/>
                  </w:r>
                  <w:r>
                    <w:rPr>
                      <w:rFonts w:ascii="宋体" w:hAnsi="宋体" w:cs="宋体" w:eastAsia="宋体"/>
                      <w:sz w:val="24"/>
                      <w:color w:val="000000"/>
                    </w:rPr>
                    <w:t>五、环保等级</w:t>
                  </w:r>
                  <w:r>
                    <w:rPr>
                      <w:rFonts w:ascii="宋体" w:hAnsi="宋体" w:cs="宋体" w:eastAsia="宋体"/>
                      <w:sz w:val="24"/>
                      <w:color w:val="000000"/>
                    </w:rPr>
                    <w:t>≥E1级别；</w:t>
                  </w:r>
                  <w:r>
                    <w:br/>
                  </w:r>
                  <w:r>
                    <w:rPr>
                      <w:rFonts w:ascii="宋体" w:hAnsi="宋体" w:cs="宋体" w:eastAsia="宋体"/>
                      <w:sz w:val="24"/>
                      <w:color w:val="000000"/>
                    </w:rPr>
                    <w:t>六、防火等级</w:t>
                  </w:r>
                  <w:r>
                    <w:rPr>
                      <w:rFonts w:ascii="宋体" w:hAnsi="宋体" w:cs="宋体" w:eastAsia="宋体"/>
                      <w:sz w:val="24"/>
                      <w:color w:val="000000"/>
                    </w:rPr>
                    <w:t>≥B1级别；</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踢脚线</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m</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35</w:t>
                  </w: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成品踢脚、高度</w:t>
                  </w:r>
                  <w:r>
                    <w:rPr>
                      <w:rFonts w:ascii="宋体" w:hAnsi="宋体" w:cs="宋体" w:eastAsia="宋体"/>
                      <w:sz w:val="24"/>
                      <w:color w:val="000000"/>
                    </w:rPr>
                    <w:t>≥5cm</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3</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墙面腻子乳胶漆</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85</w:t>
                  </w: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两遍腻子、打磨</w:t>
                  </w:r>
                  <w:r>
                    <w:rPr>
                      <w:rFonts w:ascii="宋体" w:hAnsi="宋体" w:cs="宋体" w:eastAsia="宋体"/>
                      <w:sz w:val="24"/>
                      <w:color w:val="000000"/>
                    </w:rPr>
                    <w:t>+两遍滚刷彩色乳胶漆</w:t>
                  </w:r>
                </w:p>
              </w:tc>
            </w:tr>
          </w:tbl>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项目完工期;20天。</w:t>
      </w:r>
    </w:p>
    <w:p>
      <w:pPr>
        <w:pStyle w:val="null3"/>
        <w:outlineLvl w:val="3"/>
      </w:pPr>
      <w:r>
        <w:rPr>
          <w:sz w:val="24"/>
          <w:b/>
        </w:rPr>
        <w:t>3.4.2交货地点</w:t>
      </w:r>
    </w:p>
    <w:p>
      <w:pPr>
        <w:pStyle w:val="null3"/>
      </w:pPr>
      <w:r>
        <w:rPr/>
        <w:t>采购包1：</w:t>
      </w:r>
    </w:p>
    <w:p>
      <w:pPr>
        <w:pStyle w:val="null3"/>
      </w:pPr>
      <w:r>
        <w:rPr/>
        <w:t>采购人指定地点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验收合格后</w:t>
      </w:r>
      <w:r>
        <w:rPr/>
        <w:t xml:space="preserve"> ，达到付款条件起 </w:t>
      </w:r>
      <w:r>
        <w:rPr/>
        <w:t>3</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西安市第三十中学组织验收</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质保期：三年。</w:t>
      </w:r>
    </w:p>
    <w:p>
      <w:pPr>
        <w:pStyle w:val="null3"/>
        <w:outlineLvl w:val="3"/>
      </w:pPr>
      <w:r>
        <w:rPr>
          <w:sz w:val="24"/>
          <w:b/>
        </w:rPr>
        <w:t>3.4.8违约责任与解决争议的方法</w:t>
      </w:r>
    </w:p>
    <w:p>
      <w:pPr>
        <w:pStyle w:val="null3"/>
      </w:pPr>
      <w:r>
        <w:rPr/>
        <w:t>采购包1：</w:t>
      </w:r>
    </w:p>
    <w:p>
      <w:pPr>
        <w:pStyle w:val="null3"/>
      </w:pPr>
      <w:r>
        <w:rPr/>
        <w:t>根据招标文件要求及合同约定执行。</w:t>
      </w:r>
    </w:p>
    <w:p>
      <w:pPr>
        <w:pStyle w:val="null3"/>
        <w:jc w:val="left"/>
        <w:outlineLvl w:val="2"/>
      </w:pPr>
      <w:r>
        <w:rPr>
          <w:sz w:val="28"/>
          <w:b/>
        </w:rPr>
        <w:t>3.5其他要求</w:t>
      </w:r>
    </w:p>
    <w:p>
      <w:pPr>
        <w:pStyle w:val="null3"/>
      </w:pPr>
      <w:r>
        <w:rPr/>
        <w:t>中标单位领取中标通知书时，提交纸质响应文件正本壹份、副本贰份、电子版壹份（U盘壹份注明单位名称）编辑目录和页码，内容和通过电子化交易平台实施的政府采购项目提交的响应文件一致。2、纸质投标文件正副本分别胶装。</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应商需在项目电子化交易系统中按要求填写《投标函》完成承诺并进行电子签章。①有效的主体资格证明：具有独立承担民事责任能力的法人、其他组织或自然人，并出具合法有效的营业执照或事业单位法人证书等国家规定的相关证明，自然人参与的提供其身份证明。 ②税收缴纳证明：提供2023年10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 ③社会保障资金缴存证明：提供2023年10月至今已缴存的至少一个月的社会保障资金缴存单据或社保机构开具的社会保险参保缴费情况证明，依法不需要缴纳社会保障资金的单位应提供相关证明材料。 ④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⑤承诺函：提供具有履行合同所必需的设备和专业技术能力的承诺函。注：供应商需在项目电子化交易系统中上传①-⑤项相关证明文件并进行电子签章。</w:t>
            </w:r>
          </w:p>
        </w:tc>
        <w:tc>
          <w:tcPr>
            <w:tcW w:type="dxa" w:w="1661"/>
          </w:tcPr>
          <w:p>
            <w:pPr>
              <w:pStyle w:val="null3"/>
            </w:pPr>
            <w:r>
              <w:rPr/>
              <w:t>投标函 投标人资格证明文件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2023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t>投标人资格证明文件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投标人资格证明文件</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法定代表人授权书：</w:t>
            </w:r>
          </w:p>
        </w:tc>
        <w:tc>
          <w:tcPr>
            <w:tcW w:type="dxa" w:w="3322"/>
          </w:tcPr>
          <w:p>
            <w:pPr>
              <w:pStyle w:val="null3"/>
            </w:pPr>
            <w:r>
              <w:rPr/>
              <w:t>法定代表人授权书及被授权人身份证明。（法定代表人直接投标只须提供其身份证明）</w:t>
            </w:r>
          </w:p>
        </w:tc>
        <w:tc>
          <w:tcPr>
            <w:tcW w:type="dxa" w:w="1661"/>
          </w:tcPr>
          <w:p>
            <w:pPr>
              <w:pStyle w:val="null3"/>
            </w:pPr>
            <w:r>
              <w:rPr/>
              <w:t>投标人资格证明文件</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参与的供应商提供的货物全部由符合政策要求的中小企业制造。</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分项报价表 标的清单 开标一览表（报价表）</w:t>
            </w:r>
          </w:p>
        </w:tc>
      </w:tr>
      <w:tr>
        <w:tc>
          <w:tcPr>
            <w:tcW w:type="dxa" w:w="831"/>
          </w:tcPr>
          <w:p>
            <w:pPr>
              <w:pStyle w:val="null3"/>
            </w:pPr>
            <w:r>
              <w:rPr/>
              <w:t>2</w:t>
            </w:r>
          </w:p>
        </w:tc>
        <w:tc>
          <w:tcPr>
            <w:tcW w:type="dxa" w:w="2492"/>
          </w:tcPr>
          <w:p>
            <w:pPr>
              <w:pStyle w:val="null3"/>
            </w:pPr>
            <w:r>
              <w:rPr/>
              <w:t>投标文件的符合性审查</w:t>
            </w:r>
          </w:p>
        </w:tc>
        <w:tc>
          <w:tcPr>
            <w:tcW w:type="dxa" w:w="3322"/>
          </w:tcPr>
          <w:p>
            <w:pPr>
              <w:pStyle w:val="null3"/>
            </w:pPr>
            <w:r>
              <w:rPr/>
              <w:t>评标委员会应当对投标人提交的投标文件进行初步审查，包括投标文件的有效性、完整性、符合性。除可变动的技术、服务要求以及合同草案条款外，首次提交的投标文件有不符合下列情况的，其投标文件无效。1.投标人名称与营业执照、资质证书一致；2.投标文件按招标文件要求的数量、计量单位、报价货币及签字盖章；3.投标有效期达到招标文件要求；4.符合法律、法规和招标文件中规定的其他实质性要求。</w:t>
            </w:r>
          </w:p>
        </w:tc>
        <w:tc>
          <w:tcPr>
            <w:tcW w:type="dxa" w:w="1661"/>
          </w:tcPr>
          <w:p>
            <w:pPr>
              <w:pStyle w:val="null3"/>
            </w:pPr>
            <w:r>
              <w:rPr/>
              <w:t>开标一览表 分项报价表 中小企业声明函 开标一览表（报价表） 投标人资格证明文件 投标方案说明 商务条款响应说明 投标函 残疾人福利性单位声明函 标的清单 陕西省政府采购供应商拒绝政府采购领域商业贿赂承诺书 投标文件封面 投标人企业关系关联承诺书 监狱企业的证明文件 技术指标偏差表</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投标产品技术先进，技术参数清晰明确，符合使用要求，技术指标和性能完全响应招标文件要求计20分，“▲”每负偏离一项扣2分，非“▲”每负偏离一项扣0.5分，扣完为止。 注：提供投标产品技术指标、参数的相应的证明材料（包括但不限于检验报告、产品说明书、官网功能截图等），经评审专家审定。</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技术指标偏差表</w:t>
            </w:r>
          </w:p>
          <w:p>
            <w:pPr>
              <w:pStyle w:val="null3"/>
            </w:pPr>
            <w:r>
              <w:rPr/>
              <w:t>商务条款响应说明</w:t>
            </w:r>
          </w:p>
          <w:p>
            <w:pPr>
              <w:pStyle w:val="null3"/>
            </w:pPr>
            <w:r>
              <w:rPr/>
              <w:t>投标方案说明</w:t>
            </w:r>
          </w:p>
        </w:tc>
      </w:tr>
      <w:tr>
        <w:tc>
          <w:tcPr>
            <w:tcW w:type="dxa" w:w="831"/>
            <w:vMerge/>
          </w:tcPr>
          <w:p/>
        </w:tc>
        <w:tc>
          <w:tcPr>
            <w:tcW w:type="dxa" w:w="1661"/>
          </w:tcPr>
          <w:p>
            <w:pPr>
              <w:pStyle w:val="null3"/>
            </w:pPr>
            <w:r>
              <w:rPr/>
              <w:t>投标产品</w:t>
            </w:r>
          </w:p>
        </w:tc>
        <w:tc>
          <w:tcPr>
            <w:tcW w:type="dxa" w:w="2492"/>
          </w:tcPr>
          <w:p>
            <w:pPr>
              <w:pStyle w:val="null3"/>
            </w:pPr>
            <w:r>
              <w:rPr/>
              <w:t>投标产品为行业主流产品，方便操作，安全可靠，符合使用需求，整体配置具有合理性、一致性、兼容性，产品品牌、型号、产地明确，品牌、质量及信誉公认度高，并在投标文件中附有产品彩页或技术说明书等相关证明材料。1、资料详尽、齐全、有较高的针对性，计3.1-6分；2、资料较完整，可基本实现及满足采购要求，计0.1-3分；3、资料有明显缺陷，针对性较差不计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技术指标偏差表</w:t>
            </w:r>
          </w:p>
          <w:p>
            <w:pPr>
              <w:pStyle w:val="null3"/>
            </w:pPr>
            <w:r>
              <w:rPr/>
              <w:t>商务条款响应说明</w:t>
            </w:r>
          </w:p>
          <w:p>
            <w:pPr>
              <w:pStyle w:val="null3"/>
            </w:pPr>
            <w:r>
              <w:rPr/>
              <w:t>投标方案说明</w:t>
            </w:r>
          </w:p>
        </w:tc>
      </w:tr>
      <w:tr>
        <w:tc>
          <w:tcPr>
            <w:tcW w:type="dxa" w:w="831"/>
            <w:vMerge/>
          </w:tcPr>
          <w:p/>
        </w:tc>
        <w:tc>
          <w:tcPr>
            <w:tcW w:type="dxa" w:w="1661"/>
          </w:tcPr>
          <w:p>
            <w:pPr>
              <w:pStyle w:val="null3"/>
            </w:pPr>
            <w:r>
              <w:rPr/>
              <w:t>供货、安装调试方案</w:t>
            </w:r>
          </w:p>
        </w:tc>
        <w:tc>
          <w:tcPr>
            <w:tcW w:type="dxa" w:w="2492"/>
          </w:tcPr>
          <w:p>
            <w:pPr>
              <w:pStyle w:val="null3"/>
            </w:pPr>
            <w:r>
              <w:rPr/>
              <w:t>投标人针对本项目有具体的供货、安装调试方案（包含①备货及基础装修方案、②管理制度、③人员配置）。1、供货及安装、调试方案完善合理，针对性强，提供了详细的测试内容、方法和计划，测试内容完全满足采购需求，保障措施到位，计4.1-6分；2、供货及安装、调试方案基本完善合理，基本具有针对性，基本满足采购需求，保障措施基本到位，但存在个别不足，计2.1-4分；3、供货及安装、调试方案简单，无针对性，不能满足采购需求，保障措施不到位，不足之处较多，计0.1-2分；4、未提供不计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技术指标偏差表</w:t>
            </w:r>
          </w:p>
          <w:p>
            <w:pPr>
              <w:pStyle w:val="null3"/>
            </w:pPr>
            <w:r>
              <w:rPr/>
              <w:t>商务条款响应说明</w:t>
            </w:r>
          </w:p>
          <w:p>
            <w:pPr>
              <w:pStyle w:val="null3"/>
            </w:pPr>
            <w:r>
              <w:rPr/>
              <w:t>投标方案说明</w:t>
            </w:r>
          </w:p>
        </w:tc>
      </w:tr>
      <w:tr>
        <w:tc>
          <w:tcPr>
            <w:tcW w:type="dxa" w:w="831"/>
            <w:vMerge/>
          </w:tcPr>
          <w:p/>
        </w:tc>
        <w:tc>
          <w:tcPr>
            <w:tcW w:type="dxa" w:w="1661"/>
          </w:tcPr>
          <w:p>
            <w:pPr>
              <w:pStyle w:val="null3"/>
            </w:pPr>
            <w:r>
              <w:rPr/>
              <w:t>产品渠道</w:t>
            </w:r>
          </w:p>
        </w:tc>
        <w:tc>
          <w:tcPr>
            <w:tcW w:type="dxa" w:w="2492"/>
          </w:tcPr>
          <w:p>
            <w:pPr>
              <w:pStyle w:val="null3"/>
            </w:pPr>
            <w:r>
              <w:rPr/>
              <w:t>产品进货渠道正规，提供所投产品的合法来源渠道证明文件(包括但不限于销售协议、代理协议、原厂授权等），提供齐全计3分，未提供不计分。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技术指标偏差表</w:t>
            </w:r>
          </w:p>
          <w:p>
            <w:pPr>
              <w:pStyle w:val="null3"/>
            </w:pPr>
            <w:r>
              <w:rPr/>
              <w:t>商务条款响应说明</w:t>
            </w:r>
          </w:p>
          <w:p>
            <w:pPr>
              <w:pStyle w:val="null3"/>
            </w:pPr>
            <w:r>
              <w:rPr/>
              <w:t>投标方案说明</w:t>
            </w:r>
          </w:p>
        </w:tc>
      </w:tr>
      <w:tr>
        <w:tc>
          <w:tcPr>
            <w:tcW w:type="dxa" w:w="831"/>
            <w:vMerge/>
          </w:tcPr>
          <w:p/>
        </w:tc>
        <w:tc>
          <w:tcPr>
            <w:tcW w:type="dxa" w:w="1661"/>
          </w:tcPr>
          <w:p>
            <w:pPr>
              <w:pStyle w:val="null3"/>
            </w:pPr>
            <w:r>
              <w:rPr/>
              <w:t>进度计划</w:t>
            </w:r>
          </w:p>
        </w:tc>
        <w:tc>
          <w:tcPr>
            <w:tcW w:type="dxa" w:w="2492"/>
          </w:tcPr>
          <w:p>
            <w:pPr>
              <w:pStyle w:val="null3"/>
            </w:pPr>
            <w:r>
              <w:rPr/>
              <w:t>投标人针对本项目货物的进货进度计划及施工的进度计划施工措施。1、进度安排详细完整、描述条理清晰，内容齐全，有较高的针对性，计3.1-5分；2、进度安排较详细完整，可基本、满足采购要求，计0.1-3分；3、进度安排有明显缺陷，针对性较差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技术指标偏差表</w:t>
            </w:r>
          </w:p>
          <w:p>
            <w:pPr>
              <w:pStyle w:val="null3"/>
            </w:pPr>
            <w:r>
              <w:rPr/>
              <w:t>商务条款响应说明</w:t>
            </w:r>
          </w:p>
          <w:p>
            <w:pPr>
              <w:pStyle w:val="null3"/>
            </w:pPr>
            <w:r>
              <w:rPr/>
              <w:t>投标方案说明</w:t>
            </w:r>
          </w:p>
        </w:tc>
      </w:tr>
      <w:tr>
        <w:tc>
          <w:tcPr>
            <w:tcW w:type="dxa" w:w="831"/>
            <w:vMerge/>
          </w:tcPr>
          <w:p/>
        </w:tc>
        <w:tc>
          <w:tcPr>
            <w:tcW w:type="dxa" w:w="1661"/>
          </w:tcPr>
          <w:p>
            <w:pPr>
              <w:pStyle w:val="null3"/>
            </w:pPr>
            <w:r>
              <w:rPr/>
              <w:t>质量保证</w:t>
            </w:r>
          </w:p>
        </w:tc>
        <w:tc>
          <w:tcPr>
            <w:tcW w:type="dxa" w:w="2492"/>
          </w:tcPr>
          <w:p>
            <w:pPr>
              <w:pStyle w:val="null3"/>
            </w:pPr>
            <w:r>
              <w:rPr/>
              <w:t>所投产品技术工艺先进，性能稳定，具有较好的使用效果，质量保证完善，符合国际、国内相关标准或行业标准，能够提供质量保证承诺的。1.承诺细致完整、描述条理清晰，内容齐全，有较高的针对性，计3.1-5分；2、承诺较完整，可基本实现及满足采购要求，计0.1-3分；3、承诺有明显缺陷，针对性较差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技术指标偏差表</w:t>
            </w:r>
          </w:p>
          <w:p>
            <w:pPr>
              <w:pStyle w:val="null3"/>
            </w:pPr>
            <w:r>
              <w:rPr/>
              <w:t>商务条款响应说明</w:t>
            </w:r>
          </w:p>
          <w:p>
            <w:pPr>
              <w:pStyle w:val="null3"/>
            </w:pPr>
            <w:r>
              <w:rPr/>
              <w:t>投标方案说明</w:t>
            </w:r>
          </w:p>
        </w:tc>
      </w:tr>
      <w:tr>
        <w:tc>
          <w:tcPr>
            <w:tcW w:type="dxa" w:w="831"/>
            <w:vMerge/>
          </w:tcPr>
          <w:p/>
        </w:tc>
        <w:tc>
          <w:tcPr>
            <w:tcW w:type="dxa" w:w="1661"/>
          </w:tcPr>
          <w:p>
            <w:pPr>
              <w:pStyle w:val="null3"/>
            </w:pPr>
            <w:r>
              <w:rPr/>
              <w:t>安全施工保障措施</w:t>
            </w:r>
          </w:p>
        </w:tc>
        <w:tc>
          <w:tcPr>
            <w:tcW w:type="dxa" w:w="2492"/>
          </w:tcPr>
          <w:p>
            <w:pPr>
              <w:pStyle w:val="null3"/>
            </w:pPr>
            <w:r>
              <w:rPr/>
              <w:t>投标人针对本项目货物的安全保障措施及施工的安全施工保障措施。1、措施详细完整、描述条理清晰，内容齐全，有较高的针对性，计3.1-5分；2、措施较详细完整，可基本、满足采购要求，计0.1-3分；3、措施有明显缺陷，针对性较差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技术指标偏差表</w:t>
            </w:r>
          </w:p>
          <w:p>
            <w:pPr>
              <w:pStyle w:val="null3"/>
            </w:pPr>
            <w:r>
              <w:rPr/>
              <w:t>商务条款响应说明</w:t>
            </w:r>
          </w:p>
          <w:p>
            <w:pPr>
              <w:pStyle w:val="null3"/>
            </w:pPr>
            <w:r>
              <w:rPr/>
              <w:t>投标方案说明</w:t>
            </w:r>
          </w:p>
        </w:tc>
      </w:tr>
      <w:tr>
        <w:tc>
          <w:tcPr>
            <w:tcW w:type="dxa" w:w="831"/>
            <w:vMerge/>
          </w:tcPr>
          <w:p/>
        </w:tc>
        <w:tc>
          <w:tcPr>
            <w:tcW w:type="dxa" w:w="1661"/>
          </w:tcPr>
          <w:p>
            <w:pPr>
              <w:pStyle w:val="null3"/>
            </w:pPr>
            <w:r>
              <w:rPr/>
              <w:t>售后服务及维保方案</w:t>
            </w:r>
          </w:p>
        </w:tc>
        <w:tc>
          <w:tcPr>
            <w:tcW w:type="dxa" w:w="2492"/>
          </w:tcPr>
          <w:p>
            <w:pPr>
              <w:pStyle w:val="null3"/>
            </w:pPr>
            <w:r>
              <w:rPr/>
              <w:t>投标人提供项目售后服务及维保方案，包括售后服务承诺、对紧急或特殊情况有切实的服务保证措施，故障响应时间，维保方式、维保内容、对易损件及时更新以及售后服务期满后的后续服务承诺。1、售后服务及维保方案完善合理，针对性强，完全满足采购人实际需求，响应及时、保障措施到位，备件充足，计3.1-5分；2、售后服务及维保方案基本完善合理，针对性较强，基本满足采购人实际需求，保障措施基本到位，但存在个别不足，计1.1-3分；3、售后服务及维保方案完善合理性欠缺，无针对性，不能满足采购人实际需求，保障措施不到位，不足之处较多，计0.1-1分。4、未提供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技术指标偏差表</w:t>
            </w:r>
          </w:p>
          <w:p>
            <w:pPr>
              <w:pStyle w:val="null3"/>
            </w:pPr>
            <w:r>
              <w:rPr/>
              <w:t>商务条款响应说明</w:t>
            </w:r>
          </w:p>
          <w:p>
            <w:pPr>
              <w:pStyle w:val="null3"/>
            </w:pPr>
            <w:r>
              <w:rPr/>
              <w:t>投标方案说明</w:t>
            </w:r>
          </w:p>
        </w:tc>
      </w:tr>
      <w:tr>
        <w:tc>
          <w:tcPr>
            <w:tcW w:type="dxa" w:w="831"/>
            <w:vMerge/>
          </w:tcPr>
          <w:p/>
        </w:tc>
        <w:tc>
          <w:tcPr>
            <w:tcW w:type="dxa" w:w="1661"/>
          </w:tcPr>
          <w:p>
            <w:pPr>
              <w:pStyle w:val="null3"/>
            </w:pPr>
            <w:r>
              <w:rPr/>
              <w:t>培训方案</w:t>
            </w:r>
          </w:p>
        </w:tc>
        <w:tc>
          <w:tcPr>
            <w:tcW w:type="dxa" w:w="2492"/>
          </w:tcPr>
          <w:p>
            <w:pPr>
              <w:pStyle w:val="null3"/>
            </w:pPr>
            <w:r>
              <w:rPr/>
              <w:t>对投标人培训方案中承诺的培训内容、培训课时、培训地点、培训方式、师资材料等进行评分。1、培训方案全面，安排科学，面向受训人员符合采购需求，技术支持力度大，计2.1-4分；2、培训方案基本完整，安排基本合理，具有一定的技术支持力度，计0.1-2分；3、未提供或针对性较差不计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技术指标偏差表</w:t>
            </w:r>
          </w:p>
          <w:p>
            <w:pPr>
              <w:pStyle w:val="null3"/>
            </w:pPr>
            <w:r>
              <w:rPr/>
              <w:t>商务条款响应说明</w:t>
            </w:r>
          </w:p>
          <w:p>
            <w:pPr>
              <w:pStyle w:val="null3"/>
            </w:pPr>
            <w:r>
              <w:rPr/>
              <w:t>投标方案说明</w:t>
            </w:r>
          </w:p>
        </w:tc>
      </w:tr>
      <w:tr>
        <w:tc>
          <w:tcPr>
            <w:tcW w:type="dxa" w:w="831"/>
            <w:vMerge/>
          </w:tcPr>
          <w:p/>
        </w:tc>
        <w:tc>
          <w:tcPr>
            <w:tcW w:type="dxa" w:w="1661"/>
          </w:tcPr>
          <w:p>
            <w:pPr>
              <w:pStyle w:val="null3"/>
            </w:pPr>
            <w:r>
              <w:rPr/>
              <w:t>节能环保</w:t>
            </w:r>
          </w:p>
        </w:tc>
        <w:tc>
          <w:tcPr>
            <w:tcW w:type="dxa" w:w="2492"/>
          </w:tcPr>
          <w:p>
            <w:pPr>
              <w:pStyle w:val="null3"/>
            </w:pPr>
            <w:r>
              <w:rPr/>
              <w:t>投标人投标产品中每有一项为节能产品经国家认证的计0.5分，每有一项为环境标志产品经国家认证的计0.5分，投标人投标产品中每有一项产品同时为节能产品和环境标志产品计1分，最多计1分。（以经国家确定的认证机构出具的、处于有效期内的节能产品、环境标志产品认证证书为准。）</w:t>
            </w:r>
          </w:p>
        </w:tc>
        <w:tc>
          <w:tcPr>
            <w:tcW w:type="dxa" w:w="831"/>
          </w:tcPr>
          <w:p>
            <w:pPr>
              <w:pStyle w:val="null3"/>
              <w:jc w:val="right"/>
            </w:pPr>
            <w:r>
              <w:rPr/>
              <w:t>1.0000</w:t>
            </w:r>
          </w:p>
        </w:tc>
        <w:tc>
          <w:tcPr>
            <w:tcW w:type="dxa" w:w="831"/>
          </w:tcPr>
          <w:p>
            <w:pPr>
              <w:pStyle w:val="null3"/>
            </w:pPr>
            <w:r>
              <w:rPr/>
              <w:t>客观</w:t>
            </w:r>
          </w:p>
        </w:tc>
        <w:tc>
          <w:tcPr>
            <w:tcW w:type="dxa" w:w="1661"/>
          </w:tcPr>
          <w:p>
            <w:pPr>
              <w:pStyle w:val="null3"/>
            </w:pPr>
            <w:r>
              <w:rPr/>
              <w:t>技术指标偏差表</w:t>
            </w:r>
          </w:p>
          <w:p>
            <w:pPr>
              <w:pStyle w:val="null3"/>
            </w:pPr>
            <w:r>
              <w:rPr/>
              <w:t>商务条款响应说明</w:t>
            </w:r>
          </w:p>
          <w:p>
            <w:pPr>
              <w:pStyle w:val="null3"/>
            </w:pPr>
            <w:r>
              <w:rPr/>
              <w:t>投标方案说明</w:t>
            </w:r>
          </w:p>
        </w:tc>
      </w:tr>
      <w:tr>
        <w:tc>
          <w:tcPr>
            <w:tcW w:type="dxa" w:w="831"/>
            <w:vMerge/>
          </w:tcPr>
          <w:p/>
        </w:tc>
        <w:tc>
          <w:tcPr>
            <w:tcW w:type="dxa" w:w="1661"/>
          </w:tcPr>
          <w:p>
            <w:pPr>
              <w:pStyle w:val="null3"/>
            </w:pPr>
            <w:r>
              <w:rPr/>
              <w:t>业绩</w:t>
            </w:r>
          </w:p>
        </w:tc>
        <w:tc>
          <w:tcPr>
            <w:tcW w:type="dxa" w:w="2492"/>
          </w:tcPr>
          <w:p>
            <w:pPr>
              <w:pStyle w:val="null3"/>
            </w:pPr>
            <w:r>
              <w:rPr/>
              <w:t>提供投标人的2021年1月至今（以合同签订日期为准）同类项目业绩合同，每份计2分，满分10分。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投标方案说明</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投标人的价格分统一按照下列公式计算：投标报价得分=(评标基准价／投标报价)×价格权值×100计算分数时四舍五入取小数点后两位。</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开标一览表（报价表）</w:t>
            </w:r>
          </w:p>
          <w:p>
            <w:pPr>
              <w:pStyle w:val="null3"/>
            </w:pPr>
            <w:r>
              <w:rPr/>
              <w:t>分项报价表</w:t>
            </w:r>
          </w:p>
          <w:p>
            <w:pPr>
              <w:pStyle w:val="null3"/>
            </w:pPr>
            <w:r>
              <w:rPr/>
              <w:t>中小企业声明函</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详见附件：开标一览表（报价表）</w:t>
      </w:r>
    </w:p>
    <w:p>
      <w:pPr>
        <w:pStyle w:val="null3"/>
        <w:ind w:firstLine="960"/>
      </w:pPr>
      <w:r>
        <w:rPr/>
        <w:t>详见附件：分项报价表</w:t>
      </w:r>
    </w:p>
    <w:p>
      <w:pPr>
        <w:pStyle w:val="null3"/>
        <w:ind w:firstLine="960"/>
      </w:pPr>
      <w:r>
        <w:rPr/>
        <w:t>详见附件：技术指标偏差表</w:t>
      </w:r>
    </w:p>
    <w:p>
      <w:pPr>
        <w:pStyle w:val="null3"/>
        <w:ind w:firstLine="960"/>
      </w:pPr>
      <w:r>
        <w:rPr/>
        <w:t>详见附件：商务条款响应说明</w:t>
      </w:r>
    </w:p>
    <w:p>
      <w:pPr>
        <w:pStyle w:val="null3"/>
        <w:ind w:firstLine="960"/>
      </w:pPr>
      <w:r>
        <w:rPr/>
        <w:t>详见附件：投标人资格证明文件</w:t>
      </w:r>
    </w:p>
    <w:p>
      <w:pPr>
        <w:pStyle w:val="null3"/>
        <w:ind w:firstLine="960"/>
      </w:pPr>
      <w:r>
        <w:rPr/>
        <w:t>详见附件：陕西省政府采购供应商拒绝政府采购领域商业贿赂承诺书</w:t>
      </w:r>
    </w:p>
    <w:p>
      <w:pPr>
        <w:pStyle w:val="null3"/>
        <w:ind w:firstLine="960"/>
      </w:pPr>
      <w:r>
        <w:rPr/>
        <w:t>详见附件：投标人企业关系关联承诺书</w:t>
      </w:r>
    </w:p>
    <w:p>
      <w:pPr>
        <w:pStyle w:val="null3"/>
        <w:ind w:firstLine="960"/>
      </w:pPr>
      <w:r>
        <w:rPr/>
        <w:t>详见附件：中小企业声明函</w:t>
      </w:r>
    </w:p>
    <w:p>
      <w:pPr>
        <w:pStyle w:val="null3"/>
        <w:ind w:firstLine="960"/>
      </w:pPr>
      <w:r>
        <w:rPr/>
        <w:t>详见附件：投标方案说明</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详见附件：第七章拟签订合同文本.docx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