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2024年度桶装饮用水采购项目(二次)</w:t>
      </w:r>
    </w:p>
    <w:p>
      <w:pPr>
        <w:pStyle w:val="null3"/>
        <w:jc w:val="center"/>
        <w:outlineLvl w:val="2"/>
      </w:pPr>
      <w:r>
        <w:rPr>
          <w:sz w:val="28"/>
          <w:b/>
        </w:rPr>
        <w:t>采购项目编号：</w:t>
      </w:r>
      <w:r>
        <w:rPr>
          <w:sz w:val="28"/>
          <w:b/>
        </w:rPr>
        <w:t>HYTH-202410099.1B1</w:t>
      </w:r>
      <w:r>
        <w:br/>
      </w:r>
      <w:r>
        <w:br/>
      </w:r>
      <w:r>
        <w:br/>
      </w:r>
    </w:p>
    <w:p>
      <w:pPr>
        <w:pStyle w:val="null3"/>
        <w:jc w:val="center"/>
        <w:outlineLvl w:val="2"/>
      </w:pPr>
      <w:r>
        <w:rPr>
          <w:sz w:val="28"/>
          <w:b/>
        </w:rPr>
        <w:t>西安市公安局地铁分局</w:t>
      </w:r>
    </w:p>
    <w:p>
      <w:pPr>
        <w:pStyle w:val="null3"/>
        <w:jc w:val="center"/>
        <w:outlineLvl w:val="2"/>
      </w:pPr>
      <w:r>
        <w:rPr>
          <w:sz w:val="28"/>
          <w:b/>
        </w:rPr>
        <w:t>陕西四方衡裕项目管理有限公司</w:t>
      </w:r>
      <w:r>
        <w:rPr>
          <w:sz w:val="28"/>
          <w:b/>
        </w:rPr>
        <w:t>共同编制</w:t>
      </w:r>
    </w:p>
    <w:p>
      <w:pPr>
        <w:pStyle w:val="null3"/>
        <w:jc w:val="center"/>
        <w:outlineLvl w:val="2"/>
      </w:pPr>
      <w:r>
        <w:rPr>
          <w:sz w:val="28"/>
          <w:b/>
        </w:rPr>
        <w:t>2024年10月31日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陕西四方衡裕项目管理有限公司</w:t>
      </w:r>
      <w:r>
        <w:rPr/>
        <w:t>（以下简称“代理机构”）受</w:t>
      </w:r>
      <w:r>
        <w:rPr/>
        <w:t>西安市公安局地铁分局</w:t>
      </w:r>
      <w:r>
        <w:rPr/>
        <w:t>委托，拟对</w:t>
      </w:r>
      <w:r>
        <w:rPr/>
        <w:t>2024年度桶装饮用水采购项目(二次)</w:t>
      </w:r>
      <w:r>
        <w:rPr/>
        <w:t>采用竞争性磋商采购方式进行采购，兹邀请供应商参加本项目的竞争性磋商。</w:t>
      </w:r>
    </w:p>
    <w:p>
      <w:pPr>
        <w:pStyle w:val="null3"/>
        <w:outlineLvl w:val="2"/>
      </w:pPr>
      <w:r>
        <w:rPr>
          <w:sz w:val="28"/>
          <w:b/>
        </w:rPr>
        <w:t>一、项目编号：</w:t>
      </w:r>
      <w:r>
        <w:rPr>
          <w:sz w:val="28"/>
          <w:b/>
        </w:rPr>
        <w:t>HYTH-202410099.1B1</w:t>
      </w:r>
    </w:p>
    <w:p>
      <w:pPr>
        <w:pStyle w:val="null3"/>
        <w:outlineLvl w:val="2"/>
      </w:pPr>
      <w:r>
        <w:rPr>
          <w:sz w:val="28"/>
          <w:b/>
        </w:rPr>
        <w:t>二、项目名称：</w:t>
      </w:r>
      <w:r>
        <w:rPr>
          <w:sz w:val="28"/>
          <w:b/>
        </w:rPr>
        <w:t>2024年度桶装饮用水采购项目(二次)</w:t>
      </w:r>
    </w:p>
    <w:p>
      <w:pPr>
        <w:pStyle w:val="null3"/>
        <w:outlineLvl w:val="2"/>
      </w:pPr>
      <w:r>
        <w:rPr>
          <w:sz w:val="28"/>
          <w:b/>
        </w:rPr>
        <w:t>三、磋商项目简介</w:t>
      </w:r>
    </w:p>
    <w:p>
      <w:pPr>
        <w:pStyle w:val="null3"/>
        <w:ind w:firstLine="480"/>
      </w:pPr>
      <w:r>
        <w:rPr/>
        <w:t>2024年度桶装饮用水采购，1批。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采购包1（2024年度桶装饮用水采购项目）：属于专门面向中小企业采购。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1、营业执照等主体资格证明文件：提供有效存续的企业营业执照/事业单位法人证书/专业服务机构执业许可证/民办非企业单位登记证书，自然人投标的提供其身份证明；</w:t>
      </w:r>
    </w:p>
    <w:p>
      <w:pPr>
        <w:pStyle w:val="null3"/>
      </w:pPr>
      <w:r>
        <w:rPr/>
        <w:t>2、财务状况报告：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t>3、税收缴纳证明：提供2024年4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t>4、社保缴纳证明：提供2024年4月至今已缴存任意一个月社会保障资金缴存单据或社保机构开具的社会保险参保缴费证明，依法不需要缴纳社会保障资金的单位应提供相应证明文件；</w:t>
      </w:r>
    </w:p>
    <w:p>
      <w:pPr>
        <w:pStyle w:val="null3"/>
      </w:pPr>
      <w:r>
        <w:rPr/>
        <w:t>5、履行合同所必需的设备和专业技术能力：具备履行合同所必需的设备和专业技术能力的证明材料或书面声明；</w:t>
      </w:r>
    </w:p>
    <w:p>
      <w:pPr>
        <w:pStyle w:val="null3"/>
      </w:pPr>
      <w:r>
        <w:rPr/>
        <w:t>6、采购活动前三年内在经营活动中没有重大违法记录：参加政府采购活动前三年内在经营活动中没有重大违法记录的书面声明；</w:t>
      </w:r>
    </w:p>
    <w:p>
      <w:pPr>
        <w:pStyle w:val="null3"/>
      </w:pPr>
      <w:r>
        <w:rPr/>
        <w:t>7、法律、行政法规规定的其他条件：具备法律、行政法规规定的其他条件的证明材料。</w:t>
      </w:r>
    </w:p>
    <w:p>
      <w:pPr>
        <w:pStyle w:val="null3"/>
      </w:pPr>
      <w:r>
        <w:rPr/>
        <w:t>8、企业资质：供应商为桶装水生产厂家提供《食品生产许可证》；供应商为经销商或代理提供供应商的《食品经营许可证》、桶装水生产厂家的《食品生产许可证》；</w:t>
      </w:r>
    </w:p>
    <w:p>
      <w:pPr>
        <w:pStyle w:val="null3"/>
      </w:pPr>
      <w:r>
        <w:rPr/>
        <w:t>9、企业信用查询：供应商通过“信用中国”网站(www.creditchina.gov.cn)、中国政府采购网(www.ccgp.gov.cn)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t>10、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t>11、本项目不接受联合体投标，不允许分包：本项目不接受联合体投标，不允许分包。供应商提供《非联合体不分包投标声明》，视为独立投标，不分包。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西安市公安局地铁分局</w:t>
      </w:r>
    </w:p>
    <w:p>
      <w:pPr>
        <w:pStyle w:val="null3"/>
      </w:pPr>
      <w:r>
        <w:rPr/>
        <w:t xml:space="preserve"> 地址： </w:t>
      </w:r>
      <w:r>
        <w:rPr/>
        <w:t>西安市未央区凤城八路126号</w:t>
      </w:r>
    </w:p>
    <w:p>
      <w:pPr>
        <w:pStyle w:val="null3"/>
      </w:pPr>
      <w:r>
        <w:rPr/>
        <w:t xml:space="preserve"> 邮编： </w:t>
      </w:r>
      <w:r>
        <w:rPr/>
        <w:t xml:space="preserve"> 710021</w:t>
      </w:r>
    </w:p>
    <w:p>
      <w:pPr>
        <w:pStyle w:val="null3"/>
      </w:pPr>
      <w:r>
        <w:rPr/>
        <w:t xml:space="preserve"> 联系人： </w:t>
      </w:r>
      <w:r>
        <w:rPr/>
        <w:t>朱老师</w:t>
      </w:r>
    </w:p>
    <w:p>
      <w:pPr>
        <w:pStyle w:val="null3"/>
      </w:pPr>
      <w:r>
        <w:rPr/>
        <w:t xml:space="preserve"> 联系电话： </w:t>
      </w:r>
      <w:r>
        <w:rPr/>
        <w:t xml:space="preserve"> 029-86321055</w:t>
      </w:r>
    </w:p>
    <w:p>
      <w:pPr>
        <w:pStyle w:val="null3"/>
        <w:outlineLvl w:val="3"/>
      </w:pPr>
      <w:r>
        <w:rPr>
          <w:sz w:val="24"/>
          <w:b/>
        </w:rPr>
        <w:t>代理机构：</w:t>
      </w:r>
      <w:r>
        <w:rPr>
          <w:sz w:val="24"/>
          <w:b/>
        </w:rPr>
        <w:t>陕西四方衡裕项目管理有限公司</w:t>
      </w:r>
    </w:p>
    <w:p>
      <w:pPr>
        <w:pStyle w:val="null3"/>
      </w:pPr>
      <w:r>
        <w:rPr/>
        <w:t xml:space="preserve"> 地址： </w:t>
      </w:r>
      <w:r>
        <w:rPr/>
        <w:t>西安市高新区沣惠路16号泰华金贸国际8号楼28层</w:t>
      </w:r>
    </w:p>
    <w:p>
      <w:pPr>
        <w:pStyle w:val="null3"/>
      </w:pPr>
      <w:r>
        <w:rPr/>
        <w:t xml:space="preserve"> 邮编： </w:t>
      </w:r>
      <w:r>
        <w:rPr/>
        <w:t>710075</w:t>
      </w:r>
    </w:p>
    <w:p>
      <w:pPr>
        <w:pStyle w:val="null3"/>
      </w:pPr>
      <w:r>
        <w:rPr/>
        <w:t xml:space="preserve"> 联系人： </w:t>
      </w:r>
      <w:r>
        <w:rPr/>
        <w:t>李亚容、王维、赵维</w:t>
      </w:r>
    </w:p>
    <w:p>
      <w:pPr>
        <w:pStyle w:val="null3"/>
      </w:pPr>
      <w:r>
        <w:rPr/>
        <w:t xml:space="preserve"> 联系电话： </w:t>
      </w:r>
      <w:r>
        <w:rPr/>
        <w:t>029-89284433-603</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代理服务费收费标准：以预算金额为取费基数，采购代理服务费参照《国家计委关于印发&lt;招标 代理服务收费管理暂行办法&gt;的通知》（计价格[2002]1980号）和（发改办价格[2011]534号 ）文件规定的标准收取。 代理服务费缴纳账户信息： 银行户名：陕西四方衡裕项目管理有限公司 开户银行：兴业银行股份有限公司西安锦业路支行 账号：456700100100008334 联系人 ：蔡月茹 方淑丽 联系电话：029-89284433。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西安市公安局地铁分局</w:t>
      </w:r>
      <w:r>
        <w:rPr/>
        <w:t>和</w:t>
      </w:r>
      <w:r>
        <w:rPr/>
        <w:t>陕西四方衡裕项目管理有限公司</w:t>
      </w:r>
      <w:r>
        <w:rPr/>
        <w:t>享有。对磋商文件中供应商参加本次政府采购活动应当具备的条件，磋商项目技术、服务、商务及其他要求，评审细则及标准由</w:t>
      </w:r>
      <w:r>
        <w:rPr/>
        <w:t>西安市公安局地铁分局</w:t>
      </w:r>
      <w:r>
        <w:rPr/>
        <w:t>负责解释。除上述磋商文件内容，其他内容由</w:t>
      </w:r>
      <w:r>
        <w:rPr/>
        <w:t>陕西四方衡裕项目管理有限公司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陕西四方衡裕项目管理有限公司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（一）外观验收：产品及其备附件到达甲方指定地点后，甲方根据合同要求，在乙方和甲方相关负责人双方同时在场的情况下，进行外观验收，确认产地、规格和数量。 （二） 最终验收：经甲已双方确认后，甲方验收合格后，填写政府采购项目覆约验收单（一式伍份）作为对产品的最终认可。 （三） 验收依据 1、竞争性磋商文件、响应文件、澄清表（函）； 2、本合同及附件文本； 3、合同签订时国家及行业现行的标准和技术规范。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陕西四方衡裕项目管理有限公司</w:t>
      </w:r>
      <w:r>
        <w:rPr/>
        <w:t xml:space="preserve"> 负责答复；供应商对采购过程的询问、质疑由</w:t>
      </w:r>
      <w:r>
        <w:rPr/>
        <w:t>陕西四方衡裕项目管理有限公司</w:t>
      </w:r>
      <w:r>
        <w:rPr/>
        <w:t xml:space="preserve"> 负责答复；供应商对采购结果的询问、质疑由 </w:t>
      </w:r>
      <w:r>
        <w:rPr/>
        <w:t>陕西四方衡裕项目管理有限公司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联系人：赵维、王维</w:t>
      </w:r>
    </w:p>
    <w:p>
      <w:pPr>
        <w:pStyle w:val="null3"/>
      </w:pPr>
      <w:r>
        <w:rPr/>
        <w:t>联系电话：029-89284433-603</w:t>
      </w:r>
    </w:p>
    <w:p>
      <w:pPr>
        <w:pStyle w:val="null3"/>
      </w:pPr>
      <w:r>
        <w:rPr/>
        <w:t>地址：西安市高新区沣惠路16号泰华金贸国际8号楼28层</w:t>
      </w:r>
    </w:p>
    <w:p>
      <w:pPr>
        <w:pStyle w:val="null3"/>
      </w:pPr>
      <w:r>
        <w:rPr/>
        <w:t>邮编：710075</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2024年度桶装饮用水采购，1批。</w:t>
      </w:r>
    </w:p>
    <w:p>
      <w:pPr>
        <w:pStyle w:val="null3"/>
        <w:outlineLvl w:val="2"/>
      </w:pPr>
      <w:r>
        <w:rPr>
          <w:sz w:val="28"/>
          <w:b/>
        </w:rPr>
        <w:t>3.2采购内容</w:t>
      </w:r>
    </w:p>
    <w:p>
      <w:pPr>
        <w:pStyle w:val="null3"/>
      </w:pPr>
      <w:r>
        <w:rPr/>
        <w:t>采购包1：</w:t>
      </w:r>
    </w:p>
    <w:p>
      <w:pPr>
        <w:pStyle w:val="null3"/>
      </w:pPr>
      <w:r>
        <w:rPr/>
        <w:t>采购包预算金额（元）: 450,000.00</w:t>
      </w:r>
    </w:p>
    <w:p>
      <w:pPr>
        <w:pStyle w:val="null3"/>
      </w:pPr>
      <w:r>
        <w:rPr/>
        <w:t>采购包最高限价（元）: 450,000.00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桶装饮用水</w:t>
            </w:r>
          </w:p>
        </w:tc>
        <w:tc>
          <w:tcPr>
            <w:tcW w:type="dxa" w:w="831"/>
          </w:tcPr>
          <w:p>
            <w:pPr>
              <w:pStyle w:val="null3"/>
              <w:jc w:val="right"/>
            </w:pPr>
            <w:r>
              <w:rPr/>
              <w:t>1.00</w:t>
            </w:r>
          </w:p>
        </w:tc>
        <w:tc>
          <w:tcPr>
            <w:tcW w:type="dxa" w:w="831"/>
          </w:tcPr>
          <w:p>
            <w:pPr>
              <w:pStyle w:val="null3"/>
              <w:jc w:val="right"/>
            </w:pPr>
            <w:r>
              <w:rPr/>
              <w:t>450,000.00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标的名称：桶装饮用水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本项目核心产品：桶装水</w:t>
            </w:r>
          </w:p>
          <w:p>
            <w:pPr>
              <w:pStyle w:val="null3"/>
              <w:jc w:val="both"/>
            </w:pPr>
            <w:r>
              <w:rPr>
                <w:rFonts w:ascii="宋体" w:hAnsi="宋体" w:cs="宋体" w:eastAsia="宋体"/>
              </w:rPr>
              <w:t>一、</w:t>
            </w:r>
            <w:r>
              <w:rPr>
                <w:rFonts w:ascii="宋体" w:hAnsi="宋体" w:cs="宋体" w:eastAsia="宋体"/>
              </w:rPr>
              <w:t>采购内容</w:t>
            </w:r>
          </w:p>
          <w:p>
            <w:pPr>
              <w:pStyle w:val="null3"/>
              <w:jc w:val="both"/>
            </w:pPr>
            <w:r>
              <w:rPr>
                <w:rFonts w:ascii="calibri" w:hAnsi="calibri" w:cs="calibri" w:eastAsia="calibri"/>
              </w:rPr>
              <w:t>1.</w:t>
            </w:r>
            <w:r>
              <w:rPr>
                <w:rFonts w:ascii="宋体" w:hAnsi="宋体" w:cs="宋体" w:eastAsia="宋体"/>
              </w:rPr>
              <w:t>桶装水要求：≥</w:t>
            </w:r>
            <w:r>
              <w:rPr>
                <w:rFonts w:ascii="calibri" w:hAnsi="calibri" w:cs="calibri" w:eastAsia="calibri"/>
              </w:rPr>
              <w:t>16.8L/</w:t>
            </w:r>
            <w:r>
              <w:rPr>
                <w:rFonts w:ascii="宋体" w:hAnsi="宋体" w:cs="宋体" w:eastAsia="宋体"/>
              </w:rPr>
              <w:t>桶，饮用天然水，须符合国家和地方现行规范标准和食品标准。</w:t>
            </w:r>
          </w:p>
          <w:p>
            <w:pPr>
              <w:pStyle w:val="null3"/>
              <w:jc w:val="both"/>
            </w:pPr>
            <w:r>
              <w:rPr>
                <w:rFonts w:ascii="calibri" w:hAnsi="calibri" w:cs="calibri" w:eastAsia="calibri"/>
              </w:rPr>
              <w:t>2.</w:t>
            </w:r>
            <w:r>
              <w:rPr>
                <w:rFonts w:ascii="宋体" w:hAnsi="宋体" w:cs="宋体" w:eastAsia="宋体"/>
              </w:rPr>
              <w:t>配送要求：地铁分局机关及派出所办公地点需要配送，供应商负责供应水并按照采购人要求时限内进行响应，送至各指定办公地点。配送范围广，个别办公地点较偏僻，要求供应商能够按照要求履约，且不再另行支付额外费用；需要供应商具有满足需求的售后服务能力。</w:t>
            </w:r>
          </w:p>
          <w:p>
            <w:pPr>
              <w:pStyle w:val="null3"/>
              <w:jc w:val="both"/>
            </w:pPr>
            <w:r>
              <w:rPr>
                <w:rFonts w:ascii="宋体" w:hAnsi="宋体" w:cs="宋体" w:eastAsia="宋体"/>
              </w:rPr>
              <w:t>二、其他要求</w:t>
            </w:r>
          </w:p>
          <w:p>
            <w:pPr>
              <w:pStyle w:val="null3"/>
              <w:jc w:val="both"/>
            </w:pPr>
            <w:r>
              <w:rPr>
                <w:rFonts w:ascii="calibri" w:hAnsi="calibri" w:cs="calibri" w:eastAsia="calibri"/>
              </w:rPr>
              <w:t>1.</w:t>
            </w:r>
            <w:r>
              <w:rPr>
                <w:rFonts w:ascii="宋体" w:hAnsi="宋体" w:cs="宋体" w:eastAsia="宋体"/>
              </w:rPr>
              <w:t>供应商成交后定期提供水质检测报告；</w:t>
            </w:r>
          </w:p>
          <w:p>
            <w:pPr>
              <w:pStyle w:val="null3"/>
              <w:jc w:val="both"/>
            </w:pPr>
            <w:r>
              <w:rPr>
                <w:rFonts w:ascii="calibri" w:hAnsi="calibri" w:cs="calibri" w:eastAsia="calibri"/>
              </w:rPr>
              <w:t>2.</w:t>
            </w:r>
            <w:r>
              <w:rPr>
                <w:rFonts w:ascii="宋体" w:hAnsi="宋体" w:cs="宋体" w:eastAsia="宋体"/>
              </w:rPr>
              <w:t>送水人员具有有效的健康证；</w:t>
            </w:r>
          </w:p>
          <w:p>
            <w:pPr>
              <w:pStyle w:val="null3"/>
              <w:jc w:val="both"/>
            </w:pPr>
            <w:r>
              <w:rPr>
                <w:rFonts w:ascii="calibri" w:hAnsi="calibri" w:cs="calibri" w:eastAsia="calibri"/>
              </w:rPr>
              <w:t>3.</w:t>
            </w:r>
            <w:r>
              <w:rPr>
                <w:rFonts w:ascii="宋体" w:hAnsi="宋体" w:cs="宋体" w:eastAsia="宋体"/>
              </w:rPr>
              <w:t>如相关检查部门更改饮用水的检查指标，供应商也需无条件配合采购人，并提供相关合格资质（以具体检查标准为准）；</w:t>
            </w:r>
          </w:p>
          <w:p>
            <w:pPr>
              <w:pStyle w:val="null3"/>
              <w:jc w:val="both"/>
            </w:pPr>
            <w:r>
              <w:rPr>
                <w:rFonts w:ascii="calibri" w:hAnsi="calibri" w:cs="calibri" w:eastAsia="calibri"/>
              </w:rPr>
              <w:t>4.</w:t>
            </w:r>
            <w:r>
              <w:rPr>
                <w:rFonts w:ascii="宋体" w:hAnsi="宋体" w:cs="宋体" w:eastAsia="宋体"/>
              </w:rPr>
              <w:t>供应商中标后，如出现明显的水质问题（如水里有异物、水质内有沉淀物及漂浮物等），一旦发现，采购人有权利单方面解除合同，由此导致的经济及法律后果，由供应商承担；</w:t>
            </w:r>
          </w:p>
          <w:p>
            <w:pPr>
              <w:pStyle w:val="null3"/>
              <w:jc w:val="both"/>
            </w:pPr>
            <w:r>
              <w:rPr>
                <w:rFonts w:ascii="calibri" w:hAnsi="calibri" w:cs="calibri" w:eastAsia="calibri"/>
              </w:rPr>
              <w:t>5</w:t>
            </w:r>
            <w:r>
              <w:rPr>
                <w:rFonts w:ascii="宋体" w:hAnsi="宋体" w:cs="宋体" w:eastAsia="宋体"/>
              </w:rPr>
              <w:t>、本次采购的桶装饮用天然水必须符合《食品安全国家标准包装饮用水》</w:t>
            </w:r>
            <w:r>
              <w:rPr>
                <w:rFonts w:ascii="calibri" w:hAnsi="calibri" w:cs="calibri" w:eastAsia="calibri"/>
              </w:rPr>
              <w:t>GB19298-2014</w:t>
            </w:r>
            <w:r>
              <w:rPr>
                <w:rFonts w:ascii="宋体" w:hAnsi="宋体" w:cs="宋体" w:eastAsia="宋体"/>
              </w:rPr>
              <w:t>。</w:t>
            </w:r>
          </w:p>
          <w:p>
            <w:pPr>
              <w:pStyle w:val="null3"/>
              <w:jc w:val="both"/>
            </w:pPr>
            <w:r>
              <w:rPr>
                <w:rFonts w:ascii="宋体" w:hAnsi="宋体" w:cs="宋体" w:eastAsia="宋体"/>
              </w:rPr>
              <w:t>三、商务要求</w:t>
            </w:r>
          </w:p>
          <w:p>
            <w:pPr>
              <w:pStyle w:val="null3"/>
              <w:jc w:val="both"/>
            </w:pPr>
            <w:r>
              <w:rPr>
                <w:rFonts w:ascii="calibri" w:hAnsi="calibri" w:cs="calibri" w:eastAsia="calibri"/>
              </w:rPr>
              <w:t>1</w:t>
            </w:r>
            <w:r>
              <w:rPr>
                <w:rFonts w:ascii="宋体" w:hAnsi="宋体" w:cs="宋体" w:eastAsia="宋体"/>
              </w:rPr>
              <w:t>、服务期：自合同签订之日起一年。</w:t>
            </w:r>
          </w:p>
          <w:p>
            <w:pPr>
              <w:pStyle w:val="null3"/>
              <w:jc w:val="both"/>
            </w:pPr>
            <w:r>
              <w:rPr>
                <w:rFonts w:ascii="calibri" w:hAnsi="calibri" w:cs="calibri" w:eastAsia="calibri"/>
              </w:rPr>
              <w:t>2</w:t>
            </w:r>
            <w:r>
              <w:rPr>
                <w:rFonts w:ascii="宋体" w:hAnsi="宋体" w:cs="宋体" w:eastAsia="宋体"/>
              </w:rPr>
              <w:t>、服务地点：采购人指定地点。</w:t>
            </w:r>
          </w:p>
          <w:p>
            <w:pPr>
              <w:pStyle w:val="null3"/>
              <w:jc w:val="both"/>
            </w:pPr>
            <w:r>
              <w:rPr>
                <w:rFonts w:ascii="calibri" w:hAnsi="calibri" w:cs="calibri" w:eastAsia="calibri"/>
              </w:rPr>
              <w:t>3</w:t>
            </w:r>
            <w:r>
              <w:rPr>
                <w:rFonts w:ascii="宋体" w:hAnsi="宋体" w:cs="宋体" w:eastAsia="宋体"/>
              </w:rPr>
              <w:t>、付款方式：按季度据实结算。</w:t>
            </w:r>
          </w:p>
          <w:p>
            <w:pPr>
              <w:pStyle w:val="null3"/>
              <w:jc w:val="both"/>
            </w:pPr>
            <w:r>
              <w:rPr>
                <w:rFonts w:ascii="宋体" w:hAnsi="宋体" w:cs="宋体" w:eastAsia="宋体"/>
              </w:rPr>
              <w:t>四、验收标准、规范</w:t>
            </w:r>
          </w:p>
          <w:p>
            <w:pPr>
              <w:pStyle w:val="null3"/>
              <w:jc w:val="both"/>
            </w:pPr>
            <w:r>
              <w:rPr>
                <w:rFonts w:ascii="calibri" w:hAnsi="calibri" w:cs="calibri" w:eastAsia="calibri"/>
              </w:rPr>
              <w:t>1.</w:t>
            </w:r>
            <w:r>
              <w:rPr>
                <w:rFonts w:ascii="宋体" w:hAnsi="宋体" w:cs="宋体" w:eastAsia="宋体"/>
              </w:rPr>
              <w:t>须达到国家和地方现行规范标准和食品标准。</w:t>
            </w:r>
          </w:p>
          <w:p>
            <w:pPr>
              <w:pStyle w:val="null3"/>
              <w:jc w:val="both"/>
            </w:pPr>
            <w:r>
              <w:rPr>
                <w:rFonts w:ascii="calibri" w:hAnsi="calibri" w:cs="calibri" w:eastAsia="calibri"/>
              </w:rPr>
              <w:t>2.</w:t>
            </w:r>
            <w:r>
              <w:rPr>
                <w:rFonts w:ascii="宋体" w:hAnsi="宋体" w:cs="宋体" w:eastAsia="宋体"/>
              </w:rPr>
              <w:t>满足磋商文件要求；</w:t>
            </w:r>
          </w:p>
          <w:p>
            <w:pPr>
              <w:pStyle w:val="null3"/>
              <w:jc w:val="both"/>
            </w:pPr>
            <w:r>
              <w:rPr>
                <w:rFonts w:ascii="calibri" w:hAnsi="calibri" w:cs="calibri" w:eastAsia="calibri"/>
                <w:sz w:val="21"/>
              </w:rPr>
              <w:t>3.</w:t>
            </w:r>
            <w:r>
              <w:rPr>
                <w:rFonts w:ascii="宋体" w:hAnsi="宋体" w:cs="宋体" w:eastAsia="宋体"/>
                <w:sz w:val="21"/>
              </w:rPr>
              <w:t>满足采购人的需求。</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服务期：自合同签订之日起一年。</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按季度据实结算</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按季度据实结算</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按季度据实结算</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按季度据实结算</w:t>
      </w:r>
      <w:r>
        <w:rPr/>
        <w:t xml:space="preserve"> ，达到付款条件起 </w:t>
      </w:r>
      <w:r>
        <w:rPr/>
        <w:t>30</w:t>
      </w:r>
      <w:r>
        <w:rPr/>
        <w:t xml:space="preserve"> 日内，支付合同总金额的 </w:t>
      </w:r>
      <w:r>
        <w:rPr/>
        <w:t>25.00</w:t>
      </w:r>
      <w:r>
        <w:rPr/>
        <w:t>%。</w:t>
      </w:r>
    </w:p>
    <w:p>
      <w:pPr>
        <w:pStyle w:val="null3"/>
        <w:outlineLvl w:val="3"/>
      </w:pPr>
      <w:r>
        <w:rPr>
          <w:sz w:val="24"/>
          <w:b/>
        </w:rPr>
        <w:t>3.4.5验收标准和方法</w:t>
      </w:r>
    </w:p>
    <w:p>
      <w:pPr>
        <w:pStyle w:val="null3"/>
      </w:pPr>
      <w:r>
        <w:rPr/>
        <w:t>采购包1：</w:t>
      </w:r>
    </w:p>
    <w:p>
      <w:pPr>
        <w:pStyle w:val="null3"/>
      </w:pPr>
      <w:r>
        <w:rPr/>
        <w:t>采购人自行验收，交付内容与磋商响应内容、现场承诺内容一致。</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w:t>
      </w:r>
    </w:p>
    <w:p>
      <w:pPr>
        <w:pStyle w:val="null3"/>
        <w:outlineLvl w:val="3"/>
      </w:pPr>
      <w:r>
        <w:rPr>
          <w:sz w:val="24"/>
          <w:b/>
        </w:rPr>
        <w:t>3.4.8违约责任与解决争议的方法</w:t>
      </w:r>
    </w:p>
    <w:p>
      <w:pPr>
        <w:pStyle w:val="null3"/>
      </w:pPr>
      <w:r>
        <w:rPr/>
        <w:t>采购包1：</w:t>
      </w:r>
    </w:p>
    <w:p>
      <w:pPr>
        <w:pStyle w:val="null3"/>
      </w:pPr>
      <w:r>
        <w:rPr/>
        <w:t>详见供货合同</w:t>
      </w:r>
    </w:p>
    <w:p>
      <w:pPr>
        <w:pStyle w:val="null3"/>
        <w:jc w:val="left"/>
        <w:outlineLvl w:val="2"/>
      </w:pPr>
      <w:r>
        <w:rPr>
          <w:sz w:val="28"/>
          <w:b/>
        </w:rPr>
        <w:t>3.5其他要求</w:t>
      </w:r>
    </w:p>
    <w:p>
      <w:pPr>
        <w:pStyle w:val="null3"/>
      </w:pPr>
      <w:r>
        <w:rPr/>
        <w:t>1、本项目采购内容“2024年度桶装饮用水采购项目（二次）”对应的中小企业划分标准所属行业为：工业。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提供有效存续的企业营业执照/事业单位法人证书/专业服务机构执业许可证/民办非企业单位登记证书，自然人投标的提供其身份证明；</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提供2024年4月至今已缴纳任意一个月纳税证明或税务机关开具的完税证明（时间以税款所属日期为准，凭据应有税务机关或代收机关的公章或业务专用章。）依法免税或无须缴纳税收的单位应提供相应证明文件；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提供2024年4月至今已缴存任意一个月社会保障资金缴存单据或社保机构开具的社会保险参保缴费证明，依法不需要缴纳社会保障资金的单位应提供相应证明文件；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履行合同所必需的设备和专业技术能力</w:t>
            </w:r>
          </w:p>
        </w:tc>
        <w:tc>
          <w:tcPr>
            <w:tcW w:type="dxa" w:w="3322"/>
          </w:tcPr>
          <w:p>
            <w:pPr>
              <w:pStyle w:val="null3"/>
            </w:pPr>
            <w:r>
              <w:rPr/>
              <w:t>具备履行合同所必需的设备和专业技术能力的证明材料或书面声明；</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采购活动前三年内在经营活动中没有重大违法记录</w:t>
            </w:r>
          </w:p>
        </w:tc>
        <w:tc>
          <w:tcPr>
            <w:tcW w:type="dxa" w:w="3322"/>
          </w:tcPr>
          <w:p>
            <w:pPr>
              <w:pStyle w:val="null3"/>
            </w:pPr>
            <w:r>
              <w:rPr/>
              <w:t>参加政府采购活动前三年内在经营活动中没有重大违法记录的书面声明；</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法律、行政法规规定的其他条件</w:t>
            </w:r>
          </w:p>
        </w:tc>
        <w:tc>
          <w:tcPr>
            <w:tcW w:type="dxa" w:w="3322"/>
          </w:tcPr>
          <w:p>
            <w:pPr>
              <w:pStyle w:val="null3"/>
            </w:pPr>
            <w:r>
              <w:rPr/>
              <w:t>具备法律、行政法规规定的其他条件的证明材料。</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企业资质</w:t>
            </w:r>
          </w:p>
        </w:tc>
        <w:tc>
          <w:tcPr>
            <w:tcW w:type="dxa" w:w="3322"/>
          </w:tcPr>
          <w:p>
            <w:pPr>
              <w:pStyle w:val="null3"/>
            </w:pPr>
            <w:r>
              <w:rPr/>
              <w:t>供应商为桶装水生产厂家提供《食品生产许可证》；供应商为经销商或代理提供供应商的《食品经营许可证》、桶装水生产厂家的《食品生产许可证》；</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企业信用查询</w:t>
            </w:r>
          </w:p>
        </w:tc>
        <w:tc>
          <w:tcPr>
            <w:tcW w:type="dxa" w:w="3322"/>
          </w:tcPr>
          <w:p>
            <w:pPr>
              <w:pStyle w:val="null3"/>
            </w:pPr>
            <w:r>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t>资格证明材料</w:t>
            </w:r>
          </w:p>
        </w:tc>
      </w:tr>
      <w:tr>
        <w:tc>
          <w:tcPr>
            <w:tcW w:type="dxa" w:w="831"/>
          </w:tcPr>
          <w:p>
            <w:pPr>
              <w:pStyle w:val="null3"/>
            </w:pPr>
            <w:r>
              <w:rPr/>
              <w:t>10</w:t>
            </w:r>
          </w:p>
        </w:tc>
        <w:tc>
          <w:tcPr>
            <w:tcW w:type="dxa" w:w="2492"/>
          </w:tcPr>
          <w:p>
            <w:pPr>
              <w:pStyle w:val="null3"/>
            </w:pPr>
            <w:r>
              <w:rPr/>
              <w:t>法定代表人授权委托书</w:t>
            </w:r>
          </w:p>
        </w:tc>
        <w:tc>
          <w:tcPr>
            <w:tcW w:type="dxa" w:w="3322"/>
          </w:tcPr>
          <w:p>
            <w:pPr>
              <w:pStyle w:val="null3"/>
            </w:pPr>
            <w:r>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t>资格证明材料</w:t>
            </w:r>
          </w:p>
        </w:tc>
      </w:tr>
      <w:tr>
        <w:tc>
          <w:tcPr>
            <w:tcW w:type="dxa" w:w="831"/>
          </w:tcPr>
          <w:p>
            <w:pPr>
              <w:pStyle w:val="null3"/>
            </w:pPr>
            <w:r>
              <w:rPr/>
              <w:t>11</w:t>
            </w:r>
          </w:p>
        </w:tc>
        <w:tc>
          <w:tcPr>
            <w:tcW w:type="dxa" w:w="2492"/>
          </w:tcPr>
          <w:p>
            <w:pPr>
              <w:pStyle w:val="null3"/>
            </w:pPr>
            <w:r>
              <w:rPr/>
              <w:t>本项目不接受联合体投标，不允许分包</w:t>
            </w:r>
          </w:p>
        </w:tc>
        <w:tc>
          <w:tcPr>
            <w:tcW w:type="dxa" w:w="3322"/>
          </w:tcPr>
          <w:p>
            <w:pPr>
              <w:pStyle w:val="null3"/>
            </w:pPr>
            <w:r>
              <w:rPr/>
              <w:t>本项目不接受联合体投标，不允许分包。供应商提供《非联合体不分包投标声明》，视为独立投标，不分包。</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按照磋商文件规定要求签署、盖章</w:t>
            </w:r>
          </w:p>
        </w:tc>
        <w:tc>
          <w:tcPr>
            <w:tcW w:type="dxa" w:w="1661"/>
          </w:tcPr>
          <w:p>
            <w:pPr>
              <w:pStyle w:val="null3"/>
            </w:pPr>
            <w:r>
              <w:rPr/>
              <w:t>响应文件封面 偏离表 供应商认为有必要说明的其他资料 供货服务方案 中小企业声明函 残疾人福利性单位声明函 资格证明材料 标的清单 供应商承诺书 磋商报价表 响应函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w:t>
            </w:r>
          </w:p>
        </w:tc>
        <w:tc>
          <w:tcPr>
            <w:tcW w:type="dxa" w:w="1661"/>
          </w:tcPr>
          <w:p>
            <w:pPr>
              <w:pStyle w:val="null3"/>
            </w:pPr>
            <w:r>
              <w:rPr/>
              <w:t>磋商报价表</w:t>
            </w:r>
          </w:p>
        </w:tc>
      </w:tr>
      <w:tr>
        <w:tc>
          <w:tcPr>
            <w:tcW w:type="dxa" w:w="831"/>
          </w:tcPr>
          <w:p>
            <w:pPr>
              <w:pStyle w:val="null3"/>
            </w:pPr>
            <w:r>
              <w:rPr/>
              <w:t>4</w:t>
            </w:r>
          </w:p>
        </w:tc>
        <w:tc>
          <w:tcPr>
            <w:tcW w:type="dxa" w:w="2492"/>
          </w:tcPr>
          <w:p>
            <w:pPr>
              <w:pStyle w:val="null3"/>
            </w:pPr>
            <w:r>
              <w:rPr/>
              <w:t>磋商响应文件内容</w:t>
            </w:r>
          </w:p>
        </w:tc>
        <w:tc>
          <w:tcPr>
            <w:tcW w:type="dxa" w:w="3322"/>
          </w:tcPr>
          <w:p>
            <w:pPr>
              <w:pStyle w:val="null3"/>
            </w:pPr>
            <w:r>
              <w:rPr/>
              <w:t>磋商响应文件内容齐全、无遗漏</w:t>
            </w:r>
          </w:p>
        </w:tc>
        <w:tc>
          <w:tcPr>
            <w:tcW w:type="dxa" w:w="1661"/>
          </w:tcPr>
          <w:p>
            <w:pPr>
              <w:pStyle w:val="null3"/>
            </w:pPr>
            <w:r>
              <w:rPr/>
              <w:t>偏离表</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偏离表</w:t>
            </w:r>
          </w:p>
        </w:tc>
      </w:tr>
      <w:tr>
        <w:tc>
          <w:tcPr>
            <w:tcW w:type="dxa" w:w="831"/>
          </w:tcPr>
          <w:p>
            <w:pPr>
              <w:pStyle w:val="null3"/>
            </w:pPr>
            <w:r>
              <w:rPr/>
              <w:t>6</w:t>
            </w:r>
          </w:p>
        </w:tc>
        <w:tc>
          <w:tcPr>
            <w:tcW w:type="dxa" w:w="2492"/>
          </w:tcPr>
          <w:p>
            <w:pPr>
              <w:pStyle w:val="null3"/>
            </w:pPr>
            <w:r>
              <w:rPr/>
              <w:t>服务期</w:t>
            </w:r>
          </w:p>
        </w:tc>
        <w:tc>
          <w:tcPr>
            <w:tcW w:type="dxa" w:w="3322"/>
          </w:tcPr>
          <w:p>
            <w:pPr>
              <w:pStyle w:val="null3"/>
            </w:pPr>
            <w:r>
              <w:rPr/>
              <w:t>应满足磋商文件中要求的服务期</w:t>
            </w:r>
          </w:p>
        </w:tc>
        <w:tc>
          <w:tcPr>
            <w:tcW w:type="dxa" w:w="1661"/>
          </w:tcPr>
          <w:p>
            <w:pPr>
              <w:pStyle w:val="null3"/>
            </w:pPr>
            <w:r>
              <w:rPr/>
              <w:t>磋商报价表</w:t>
            </w:r>
          </w:p>
        </w:tc>
      </w:tr>
      <w:tr>
        <w:tc>
          <w:tcPr>
            <w:tcW w:type="dxa" w:w="831"/>
          </w:tcPr>
          <w:p>
            <w:pPr>
              <w:pStyle w:val="null3"/>
            </w:pPr>
            <w:r>
              <w:rPr/>
              <w:t>7</w:t>
            </w:r>
          </w:p>
        </w:tc>
        <w:tc>
          <w:tcPr>
            <w:tcW w:type="dxa" w:w="2492"/>
          </w:tcPr>
          <w:p>
            <w:pPr>
              <w:pStyle w:val="null3"/>
            </w:pPr>
            <w:r>
              <w:rPr/>
              <w:t>响应有效期</w:t>
            </w:r>
          </w:p>
        </w:tc>
        <w:tc>
          <w:tcPr>
            <w:tcW w:type="dxa" w:w="3322"/>
          </w:tcPr>
          <w:p>
            <w:pPr>
              <w:pStyle w:val="null3"/>
            </w:pPr>
            <w:r>
              <w:rPr/>
              <w:t>响应有效期满足磋商文件要求</w:t>
            </w:r>
          </w:p>
        </w:tc>
        <w:tc>
          <w:tcPr>
            <w:tcW w:type="dxa" w:w="1661"/>
          </w:tcPr>
          <w:p>
            <w:pPr>
              <w:pStyle w:val="null3"/>
            </w:pPr>
            <w:r>
              <w:rPr/>
              <w:t>资格证明材料 响应函</w:t>
            </w:r>
          </w:p>
        </w:tc>
      </w:tr>
      <w:tr>
        <w:tc>
          <w:tcPr>
            <w:tcW w:type="dxa" w:w="831"/>
          </w:tcPr>
          <w:p>
            <w:pPr>
              <w:pStyle w:val="null3"/>
            </w:pPr>
            <w:r>
              <w:rPr/>
              <w:t>8</w:t>
            </w:r>
          </w:p>
        </w:tc>
        <w:tc>
          <w:tcPr>
            <w:tcW w:type="dxa" w:w="2492"/>
          </w:tcPr>
          <w:p>
            <w:pPr>
              <w:pStyle w:val="null3"/>
            </w:pPr>
            <w:r>
              <w:rPr/>
              <w:t>报价有效性</w:t>
            </w:r>
          </w:p>
        </w:tc>
        <w:tc>
          <w:tcPr>
            <w:tcW w:type="dxa" w:w="3322"/>
          </w:tcPr>
          <w:p>
            <w:pPr>
              <w:pStyle w:val="null3"/>
            </w:pPr>
            <w:r>
              <w:rPr/>
              <w:t>报价未超过磋商文件中规定的采购预算金额或最高限价</w:t>
            </w:r>
          </w:p>
        </w:tc>
        <w:tc>
          <w:tcPr>
            <w:tcW w:type="dxa" w:w="1661"/>
          </w:tcPr>
          <w:p>
            <w:pPr>
              <w:pStyle w:val="null3"/>
            </w:pPr>
            <w:r>
              <w:rPr/>
              <w:t>磋商报价表</w:t>
            </w:r>
          </w:p>
        </w:tc>
      </w:tr>
      <w:tr>
        <w:tc>
          <w:tcPr>
            <w:tcW w:type="dxa" w:w="831"/>
          </w:tcPr>
          <w:p>
            <w:pPr>
              <w:pStyle w:val="null3"/>
            </w:pPr>
            <w:r>
              <w:rPr/>
              <w:t>9</w:t>
            </w:r>
          </w:p>
        </w:tc>
        <w:tc>
          <w:tcPr>
            <w:tcW w:type="dxa" w:w="2492"/>
          </w:tcPr>
          <w:p>
            <w:pPr>
              <w:pStyle w:val="null3"/>
            </w:pPr>
            <w:r>
              <w:rPr/>
              <w:t>实质性条款</w:t>
            </w:r>
          </w:p>
        </w:tc>
        <w:tc>
          <w:tcPr>
            <w:tcW w:type="dxa" w:w="3322"/>
          </w:tcPr>
          <w:p>
            <w:pPr>
              <w:pStyle w:val="null3"/>
            </w:pPr>
            <w:r>
              <w:rPr/>
              <w:t>满足本磋商文件中的实质性条款（服务期、交货地点、付款方式）要求</w:t>
            </w:r>
          </w:p>
        </w:tc>
        <w:tc>
          <w:tcPr>
            <w:tcW w:type="dxa" w:w="1661"/>
          </w:tcPr>
          <w:p>
            <w:pPr>
              <w:pStyle w:val="null3"/>
            </w:pPr>
            <w:r>
              <w:rPr/>
              <w:t>偏离表</w:t>
            </w:r>
          </w:p>
        </w:tc>
      </w:tr>
      <w:tr>
        <w:tc>
          <w:tcPr>
            <w:tcW w:type="dxa" w:w="831"/>
          </w:tcPr>
          <w:p>
            <w:pPr>
              <w:pStyle w:val="null3"/>
            </w:pPr>
            <w:r>
              <w:rPr/>
              <w:t>10</w:t>
            </w:r>
          </w:p>
        </w:tc>
        <w:tc>
          <w:tcPr>
            <w:tcW w:type="dxa" w:w="2492"/>
          </w:tcPr>
          <w:p>
            <w:pPr>
              <w:pStyle w:val="null3"/>
            </w:pPr>
            <w:r>
              <w:rPr/>
              <w:t>其他情形</w:t>
            </w:r>
          </w:p>
        </w:tc>
        <w:tc>
          <w:tcPr>
            <w:tcW w:type="dxa" w:w="3322"/>
          </w:tcPr>
          <w:p>
            <w:pPr>
              <w:pStyle w:val="null3"/>
            </w:pPr>
            <w:r>
              <w:rPr/>
              <w:t>无法律、规章、规范性文件和磋商文件规定的其他无效情形</w:t>
            </w:r>
          </w:p>
        </w:tc>
        <w:tc>
          <w:tcPr>
            <w:tcW w:type="dxa" w:w="1661"/>
          </w:tcPr>
          <w:p>
            <w:pPr>
              <w:pStyle w:val="null3"/>
            </w:pPr>
            <w:r>
              <w:rPr/>
              <w:t>响应文件封面 偏离表 供应商认为有必要说明的其他资料 供货服务方案 中小企业声明函 残疾人福利性单位声明函 资格证明材料 标的清单 供应商承诺书 磋商报价表 响应函 监狱企业的证明文件</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 环保、 环境标志产品</w:t>
            </w:r>
          </w:p>
        </w:tc>
        <w:tc>
          <w:tcPr>
            <w:tcW w:type="dxa" w:w="2492"/>
          </w:tcPr>
          <w:p>
            <w:pPr>
              <w:pStyle w:val="null3"/>
            </w:pPr>
            <w:r>
              <w:rPr/>
              <w:t>响应产品为节能、环保、环境标志产品清单中的产品，符合磋商文件要求的，可优先采购并根据其占磋商报价的百分比计算得分，计算公式为：得分=（节能、环保、环境标志产品清单中的产品报价/磋商报价）×2</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磋商报价表</w:t>
            </w:r>
          </w:p>
        </w:tc>
      </w:tr>
      <w:tr>
        <w:tc>
          <w:tcPr>
            <w:tcW w:type="dxa" w:w="831"/>
            <w:vMerge/>
          </w:tcPr>
          <w:p/>
        </w:tc>
        <w:tc>
          <w:tcPr>
            <w:tcW w:type="dxa" w:w="1661"/>
          </w:tcPr>
          <w:p>
            <w:pPr>
              <w:pStyle w:val="null3"/>
            </w:pPr>
            <w:r>
              <w:rPr/>
              <w:t>实施方案以及重、难点分析</w:t>
            </w:r>
          </w:p>
        </w:tc>
        <w:tc>
          <w:tcPr>
            <w:tcW w:type="dxa" w:w="2492"/>
          </w:tcPr>
          <w:p>
            <w:pPr>
              <w:pStyle w:val="null3"/>
            </w:pPr>
            <w:r>
              <w:rPr/>
              <w:t>根据供应商提供的针对本项目的实施方案以及重、难点分析进行评审。 1、实施方案全面，分析准确，解决方案合理、可行得(6-10]分； 2、实施方案基本全面，分析基本准确，解决方案基本合理、可行得(3-6]分； 3、实施方案混乱，解决方案未明确得[0-3]分。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确保质量的保障措施</w:t>
            </w:r>
          </w:p>
        </w:tc>
        <w:tc>
          <w:tcPr>
            <w:tcW w:type="dxa" w:w="2492"/>
          </w:tcPr>
          <w:p>
            <w:pPr>
              <w:pStyle w:val="null3"/>
            </w:pPr>
            <w:r>
              <w:rPr/>
              <w:t>供应商提供针对本项目确保质量的保障措施，包括进货渠道、质量保障等相关证明材料（不限于产品的合法来源渠道、授权书、代理协议、销售协议等），供应商的证明文件齐全，保障措施有效得0-3分。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生产设备</w:t>
            </w:r>
          </w:p>
        </w:tc>
        <w:tc>
          <w:tcPr>
            <w:tcW w:type="dxa" w:w="2492"/>
          </w:tcPr>
          <w:p>
            <w:pPr>
              <w:pStyle w:val="null3"/>
            </w:pPr>
            <w:r>
              <w:rPr/>
              <w:t>根据供应商提供的针对本项目桶装水生产厂家的生产设备，厂房、取水实地照片进行评审。 1、生产设备先进、齐全，厂房、取水地环境卫生得(3-6]分； 2、生产设备基本齐全，厂房、取水地环境基本卫生得[0-3]分。 注：提供相关证明材料。</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固定服务网点，配送范围</w:t>
            </w:r>
          </w:p>
        </w:tc>
        <w:tc>
          <w:tcPr>
            <w:tcW w:type="dxa" w:w="2492"/>
          </w:tcPr>
          <w:p>
            <w:pPr>
              <w:pStyle w:val="null3"/>
            </w:pPr>
            <w:r>
              <w:rPr/>
              <w:t>根据供应商提供的本地固定服务网点，配送范围进行评审。 1、供应商在本地具有固定服务网点，配送范围广得(2-5]分； 2、供应商在本地有固定服务网点，配送范围小得[0-2]分。 注：提供相关证明材料。</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配送方案</w:t>
            </w:r>
          </w:p>
        </w:tc>
        <w:tc>
          <w:tcPr>
            <w:tcW w:type="dxa" w:w="2492"/>
          </w:tcPr>
          <w:p>
            <w:pPr>
              <w:pStyle w:val="null3"/>
            </w:pPr>
            <w:r>
              <w:rPr/>
              <w:t>根据供应商提供的配送方案进行评审。 1、配送方案全面，保障措施合理、可行得(2-5]分； 2、配送方案未全面，保障措施基本合理、可行得[0-2]分。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水源地、水质</w:t>
            </w:r>
          </w:p>
        </w:tc>
        <w:tc>
          <w:tcPr>
            <w:tcW w:type="dxa" w:w="2492"/>
          </w:tcPr>
          <w:p>
            <w:pPr>
              <w:pStyle w:val="null3"/>
            </w:pPr>
            <w:r>
              <w:rPr/>
              <w:t>根据供应商提供的水源地、水质进行评审。 1、供应商的水源地丰富、水质无污染得(3-6]分； 2、供应商的水源地基本丰富、水质基本无污染得[0-3]分。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桶装水清洗方案以及工艺</w:t>
            </w:r>
          </w:p>
        </w:tc>
        <w:tc>
          <w:tcPr>
            <w:tcW w:type="dxa" w:w="2492"/>
          </w:tcPr>
          <w:p>
            <w:pPr>
              <w:pStyle w:val="null3"/>
            </w:pPr>
            <w:r>
              <w:rPr/>
              <w:t>根据供应商提供的桶装水清洗方案以及工艺进行评审。 1、清洗方案先进、工艺精细，能够清洗充分得(2-5]分； 2、清洗方案基本能够满足本项目使用需求得[0-2]分。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应急方案</w:t>
            </w:r>
          </w:p>
        </w:tc>
        <w:tc>
          <w:tcPr>
            <w:tcW w:type="dxa" w:w="2492"/>
          </w:tcPr>
          <w:p>
            <w:pPr>
              <w:pStyle w:val="null3"/>
            </w:pPr>
            <w:r>
              <w:rPr/>
              <w:t>供应商提供遇采购人举办大型会议等用水需求临时增加的情形的应急方案。 1、应急方案详细、合理有效计(2-5]分； 2、应急方案混乱、不合理计[0-2]分。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配备的服务团队</w:t>
            </w:r>
          </w:p>
        </w:tc>
        <w:tc>
          <w:tcPr>
            <w:tcW w:type="dxa" w:w="2492"/>
          </w:tcPr>
          <w:p>
            <w:pPr>
              <w:pStyle w:val="null3"/>
            </w:pPr>
            <w:r>
              <w:rPr/>
              <w:t>根据供应商提供的针对本项目配备的服务团队进行评审。服务团队配备合理，有针对本项目的专项服务小组，分工明确得0-3分。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拟配备的配送工具及设备</w:t>
            </w:r>
          </w:p>
        </w:tc>
        <w:tc>
          <w:tcPr>
            <w:tcW w:type="dxa" w:w="2492"/>
          </w:tcPr>
          <w:p>
            <w:pPr>
              <w:pStyle w:val="null3"/>
            </w:pPr>
            <w:r>
              <w:rPr/>
              <w:t>根据供应商提供的拟配备的配送工具及设备进行评审打分。 1、所提供的配送工具、设备齐全，完全满足项目需求得(2-4]分； 2、所提供的配送工具、设备基本齐全，基本满足项目需求得[0-2]分。 注：提供相关证明材料。</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增值服务</w:t>
            </w:r>
          </w:p>
        </w:tc>
        <w:tc>
          <w:tcPr>
            <w:tcW w:type="dxa" w:w="2492"/>
          </w:tcPr>
          <w:p>
            <w:pPr>
              <w:pStyle w:val="null3"/>
            </w:pPr>
            <w:r>
              <w:rPr/>
              <w:t>根据供应商提供的针对本项目其他增值服务进行评审。 1、增值服务内容全面，合理、可行，对本项目有实质性提升，得(2-5]分； 2、增值服务内容基本全面，合理、可行得[0-2]分。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配送产品的投诉，处理的时效性及应对方案</w:t>
            </w:r>
          </w:p>
        </w:tc>
        <w:tc>
          <w:tcPr>
            <w:tcW w:type="dxa" w:w="2492"/>
          </w:tcPr>
          <w:p>
            <w:pPr>
              <w:pStyle w:val="null3"/>
            </w:pPr>
            <w:r>
              <w:rPr/>
              <w:t>根据供应商收到采购人对于配送产品的投诉，处理的时效性及应对方案进行评审。 1、处理及时，应对方案细致、合理、可行性高得（2-3]分； 2、处理基本及时，应对方案基本合理、具有可行性得[0-2]分。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服务承诺</w:t>
            </w:r>
          </w:p>
        </w:tc>
        <w:tc>
          <w:tcPr>
            <w:tcW w:type="dxa" w:w="2492"/>
          </w:tcPr>
          <w:p>
            <w:pPr>
              <w:pStyle w:val="null3"/>
            </w:pPr>
            <w:r>
              <w:rPr/>
              <w:t>提供针对本项目的服务承诺，包括但不限于配合采购人承诺、时效性承诺、水质承诺等，承诺具体有效得0-3分。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供货服务方案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供应商提供2021年1月1日至今类似项目业绩，业绩以合同签订时间为准，每提供一份得1分（同一合同项目服务周期内连续签订的合同视为1份业绩），满分5分。 注：响应文件中提供复印件加盖供应商公章。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供货服务方案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详见附件：偏离表</w:t>
      </w:r>
    </w:p>
    <w:p>
      <w:pPr>
        <w:pStyle w:val="null3"/>
        <w:ind w:firstLine="960"/>
      </w:pPr>
      <w:r>
        <w:rPr/>
        <w:t>详见附件：供应商承诺书</w:t>
      </w:r>
    </w:p>
    <w:p>
      <w:pPr>
        <w:pStyle w:val="null3"/>
        <w:ind w:firstLine="960"/>
      </w:pPr>
      <w:r>
        <w:rPr/>
        <w:t>详见附件：资格证明材料</w:t>
      </w:r>
    </w:p>
    <w:p>
      <w:pPr>
        <w:pStyle w:val="null3"/>
        <w:ind w:firstLine="960"/>
      </w:pPr>
      <w:r>
        <w:rPr/>
        <w:t>详见附件：供货服务方案</w:t>
      </w:r>
    </w:p>
    <w:p>
      <w:pPr>
        <w:pStyle w:val="null3"/>
        <w:ind w:firstLine="960"/>
      </w:pPr>
      <w:r>
        <w:rPr/>
        <w:t>详见附件：供应商认为有必要说明的其他资料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