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2025年西安市体育训练中心足球场天然草坪养护(二次)</w:t>
      </w:r>
    </w:p>
    <w:p>
      <w:pPr>
        <w:pStyle w:val="null3"/>
        <w:jc w:val="center"/>
        <w:outlineLvl w:val="2"/>
      </w:pPr>
      <w:r>
        <w:rPr>
          <w:sz w:val="28"/>
          <w:b/>
        </w:rPr>
        <w:t>采购项目编号：</w:t>
      </w:r>
      <w:r>
        <w:rPr>
          <w:sz w:val="28"/>
          <w:b/>
        </w:rPr>
        <w:t>0617-2476FZ3195</w:t>
      </w:r>
      <w:r>
        <w:br/>
      </w:r>
      <w:r>
        <w:br/>
      </w:r>
      <w:r>
        <w:br/>
      </w:r>
    </w:p>
    <w:p>
      <w:pPr>
        <w:pStyle w:val="null3"/>
        <w:jc w:val="center"/>
        <w:outlineLvl w:val="2"/>
      </w:pPr>
      <w:r>
        <w:rPr>
          <w:sz w:val="28"/>
          <w:b/>
        </w:rPr>
        <w:t>西安市足球运动管理中心</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西安市足球运动管理中心</w:t>
      </w:r>
      <w:r>
        <w:rPr/>
        <w:t>委托，拟对</w:t>
      </w:r>
      <w:r>
        <w:rPr/>
        <w:t>2025年西安市体育训练中心足球场天然草坪养护(二次)</w:t>
      </w:r>
      <w:r>
        <w:rPr/>
        <w:t>采用竞争性磋商采购方式进行采购，兹邀请供应商参加本项目的竞争性磋商。</w:t>
      </w:r>
    </w:p>
    <w:p>
      <w:pPr>
        <w:pStyle w:val="null3"/>
        <w:outlineLvl w:val="2"/>
      </w:pPr>
      <w:r>
        <w:rPr>
          <w:sz w:val="28"/>
          <w:b/>
        </w:rPr>
        <w:t>一、项目编号：</w:t>
      </w:r>
      <w:r>
        <w:rPr>
          <w:sz w:val="28"/>
          <w:b/>
        </w:rPr>
        <w:t>0617-2476FZ3195</w:t>
      </w:r>
    </w:p>
    <w:p>
      <w:pPr>
        <w:pStyle w:val="null3"/>
        <w:outlineLvl w:val="2"/>
      </w:pPr>
      <w:r>
        <w:rPr>
          <w:sz w:val="28"/>
          <w:b/>
        </w:rPr>
        <w:t>二、项目名称：</w:t>
      </w:r>
      <w:r>
        <w:rPr>
          <w:sz w:val="28"/>
          <w:b/>
        </w:rPr>
        <w:t>2025年西安市体育训练中心足球场天然草坪养护(二次)</w:t>
      </w:r>
    </w:p>
    <w:p>
      <w:pPr>
        <w:pStyle w:val="null3"/>
        <w:outlineLvl w:val="2"/>
      </w:pPr>
      <w:r>
        <w:rPr>
          <w:sz w:val="28"/>
          <w:b/>
        </w:rPr>
        <w:t>三、磋商项目简介</w:t>
      </w:r>
    </w:p>
    <w:p>
      <w:pPr>
        <w:pStyle w:val="null3"/>
        <w:ind w:firstLine="480"/>
      </w:pPr>
      <w:r>
        <w:rPr/>
        <w:t>2025年西安市体育训练中心足球场天然草坪养护。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录名单的情形，不得存在列入中国政府采购网 （www.ccgp.gov.cn）政府采购严重违法失信 行为记录名单的情形。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西安市足球运动管理中心</w:t>
      </w:r>
    </w:p>
    <w:p>
      <w:pPr>
        <w:pStyle w:val="null3"/>
      </w:pPr>
      <w:r>
        <w:rPr/>
        <w:t xml:space="preserve"> 地址： </w:t>
      </w:r>
      <w:r>
        <w:rPr/>
        <w:t>丝路国际体育文化交流培训基地</w:t>
      </w:r>
    </w:p>
    <w:p>
      <w:pPr>
        <w:pStyle w:val="null3"/>
      </w:pPr>
      <w:r>
        <w:rPr/>
        <w:t xml:space="preserve"> 邮编： </w:t>
      </w:r>
      <w:r>
        <w:rPr/>
        <w:t>710000</w:t>
      </w:r>
    </w:p>
    <w:p>
      <w:pPr>
        <w:pStyle w:val="null3"/>
      </w:pPr>
      <w:r>
        <w:rPr/>
        <w:t xml:space="preserve"> 联系人： </w:t>
      </w:r>
      <w:r>
        <w:rPr/>
        <w:t>王佳</w:t>
      </w:r>
    </w:p>
    <w:p>
      <w:pPr>
        <w:pStyle w:val="null3"/>
      </w:pPr>
      <w:r>
        <w:rPr/>
        <w:t xml:space="preserve"> 联系电话： </w:t>
      </w:r>
      <w:r>
        <w:rPr/>
        <w:t>029-88065083</w:t>
      </w:r>
    </w:p>
    <w:p>
      <w:pPr>
        <w:pStyle w:val="null3"/>
        <w:outlineLvl w:val="3"/>
      </w:pPr>
      <w:r>
        <w:rPr>
          <w:sz w:val="24"/>
          <w:b/>
        </w:rPr>
        <w:t>代理机构：</w:t>
      </w:r>
      <w:r>
        <w:rPr>
          <w:sz w:val="24"/>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石皓楠</w:t>
      </w:r>
    </w:p>
    <w:p>
      <w:pPr>
        <w:pStyle w:val="null3"/>
      </w:pPr>
      <w:r>
        <w:rPr/>
        <w:t xml:space="preserve"> 联系电话： </w:t>
      </w:r>
      <w:r>
        <w:rPr/>
        <w:t>029-89328565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标准下浮35%计算，向中标（成交）供应商收取代理服务费。若代理服务费不足伍仟元按伍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西安市足球运动管理中心</w:t>
      </w:r>
      <w:r>
        <w:rPr/>
        <w:t>和</w:t>
      </w:r>
      <w:r>
        <w:rPr/>
        <w:t>西北(陕西)国际招标有限公司</w:t>
      </w:r>
      <w:r>
        <w:rPr/>
        <w:t>享有。对磋商文件中供应商参加本次政府采购活动应当具备的条件，磋商项目技术、服务、商务及其他要求，评审细则及标准由</w:t>
      </w:r>
      <w:r>
        <w:rPr/>
        <w:t>西安市足球运动管理中心</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西安市足球运动管理中心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满足采购人需求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2025年西安市体育训练中心足球场天然草坪养护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2025年西安市体育训练中心足球场天然草坪养护</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标的名称：2025年西安市体育训练中心足球场天然草坪养护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1、养护内容：西安市体育训练中心足球场2块十一人制标准天然草坪；</w:t>
            </w:r>
          </w:p>
          <w:p>
            <w:pPr>
              <w:pStyle w:val="null3"/>
              <w:jc w:val="both"/>
            </w:pPr>
            <w:r>
              <w:rPr>
                <w:rFonts w:ascii="宋体" w:hAnsi="宋体" w:cs="宋体" w:eastAsia="宋体"/>
                <w:sz w:val="21"/>
              </w:rPr>
              <w:t>2、技术要求</w:t>
            </w:r>
          </w:p>
          <w:p>
            <w:pPr>
              <w:pStyle w:val="null3"/>
              <w:ind w:firstLine="420"/>
              <w:jc w:val="both"/>
            </w:pPr>
            <w:r>
              <w:rPr>
                <w:rFonts w:ascii="宋体" w:hAnsi="宋体" w:cs="宋体" w:eastAsia="宋体"/>
                <w:sz w:val="21"/>
              </w:rPr>
              <w:t>2.1、打孔：每年不少于4次，春季两次，夏季一次，秋季一次；</w:t>
            </w:r>
          </w:p>
          <w:p>
            <w:pPr>
              <w:pStyle w:val="null3"/>
              <w:ind w:firstLine="420"/>
              <w:jc w:val="both"/>
            </w:pPr>
            <w:r>
              <w:rPr>
                <w:rFonts w:ascii="宋体" w:hAnsi="宋体" w:cs="宋体" w:eastAsia="宋体"/>
                <w:sz w:val="21"/>
              </w:rPr>
              <w:t>2.2、覆沙：每次5mm，全年机械整体覆沙找平次数不得少于4次，每次比赛后要及时进行覆沙找平。可结合打孔，梳草同时进行，平整度要求：每次整体覆沙找平后平整度要求直径3m范围内间隙应不大于10mm；</w:t>
            </w:r>
          </w:p>
          <w:p>
            <w:pPr>
              <w:pStyle w:val="null3"/>
              <w:ind w:firstLine="420"/>
              <w:jc w:val="both"/>
            </w:pPr>
            <w:r>
              <w:rPr>
                <w:rFonts w:ascii="宋体" w:hAnsi="宋体" w:cs="宋体" w:eastAsia="宋体"/>
                <w:sz w:val="21"/>
              </w:rPr>
              <w:t>2.3、施肥：保证15天施肥一次，一直到入冬覆盖每平方米用量25g；</w:t>
            </w:r>
          </w:p>
          <w:p>
            <w:pPr>
              <w:pStyle w:val="null3"/>
              <w:ind w:firstLine="420"/>
              <w:jc w:val="both"/>
            </w:pPr>
            <w:r>
              <w:rPr>
                <w:rFonts w:ascii="宋体" w:hAnsi="宋体" w:cs="宋体" w:eastAsia="宋体"/>
                <w:sz w:val="21"/>
              </w:rPr>
              <w:t>2.4、杀菌剂：打药频率：四月1次，五月2次，六月3次，七八月各4次，九月3次，十月1次，共计18次；</w:t>
            </w:r>
          </w:p>
          <w:p>
            <w:pPr>
              <w:pStyle w:val="null3"/>
              <w:ind w:firstLine="420"/>
              <w:jc w:val="both"/>
            </w:pPr>
            <w:r>
              <w:rPr>
                <w:rFonts w:ascii="宋体" w:hAnsi="宋体" w:cs="宋体" w:eastAsia="宋体"/>
                <w:sz w:val="21"/>
              </w:rPr>
              <w:t>2.5、杀虫剂：打药频率：四月1次， 五月1次， 六月-九月各2次，计14次，0.4g/㎡/次；</w:t>
            </w:r>
          </w:p>
          <w:p>
            <w:pPr>
              <w:pStyle w:val="null3"/>
              <w:ind w:firstLine="420"/>
              <w:jc w:val="both"/>
            </w:pPr>
            <w:r>
              <w:rPr>
                <w:rFonts w:ascii="宋体" w:hAnsi="宋体" w:cs="宋体" w:eastAsia="宋体"/>
                <w:sz w:val="21"/>
              </w:rPr>
              <w:t>2.6、修剪：年剪草60次，剪草、搂草、倒草；日常3-5天剪草一次，具体视季节天气等愿因而定，每次留草高度2.5-3公分；</w:t>
            </w:r>
          </w:p>
          <w:p>
            <w:pPr>
              <w:pStyle w:val="null3"/>
              <w:ind w:firstLine="420"/>
              <w:jc w:val="both"/>
            </w:pPr>
            <w:r>
              <w:rPr>
                <w:rFonts w:ascii="宋体" w:hAnsi="宋体" w:cs="宋体" w:eastAsia="宋体"/>
                <w:sz w:val="21"/>
              </w:rPr>
              <w:t>2.7、梳草：梳草机梳草，深度2mm，年梳草4次，5月初2次；八月初2次；</w:t>
            </w:r>
          </w:p>
          <w:p>
            <w:pPr>
              <w:pStyle w:val="null3"/>
              <w:ind w:firstLine="420"/>
              <w:jc w:val="both"/>
            </w:pPr>
            <w:r>
              <w:rPr>
                <w:rFonts w:ascii="宋体" w:hAnsi="宋体" w:cs="宋体" w:eastAsia="宋体"/>
                <w:sz w:val="21"/>
              </w:rPr>
              <w:t>2.8、划线：每场比赛前2天；</w:t>
            </w:r>
          </w:p>
          <w:p>
            <w:pPr>
              <w:pStyle w:val="null3"/>
              <w:ind w:firstLine="420"/>
              <w:jc w:val="both"/>
            </w:pPr>
            <w:r>
              <w:rPr>
                <w:rFonts w:ascii="宋体" w:hAnsi="宋体" w:cs="宋体" w:eastAsia="宋体"/>
                <w:sz w:val="21"/>
              </w:rPr>
              <w:t>2.9、冬季覆盖：无纺布+遮阳网；</w:t>
            </w:r>
          </w:p>
          <w:p>
            <w:pPr>
              <w:pStyle w:val="null3"/>
              <w:ind w:firstLine="420"/>
              <w:jc w:val="both"/>
            </w:pPr>
            <w:r>
              <w:rPr>
                <w:rFonts w:ascii="宋体" w:hAnsi="宋体" w:cs="宋体" w:eastAsia="宋体"/>
                <w:sz w:val="21"/>
              </w:rPr>
              <w:t>2.10、补草：赛后草坪修补；</w:t>
            </w:r>
          </w:p>
          <w:p>
            <w:pPr>
              <w:pStyle w:val="null3"/>
              <w:ind w:firstLine="420"/>
              <w:jc w:val="both"/>
            </w:pPr>
            <w:r>
              <w:rPr>
                <w:rFonts w:ascii="宋体" w:hAnsi="宋体" w:cs="宋体" w:eastAsia="宋体"/>
                <w:sz w:val="21"/>
              </w:rPr>
              <w:t>2.11、灌溉：根据草坪生长而定，原则上一天不少于两次；</w:t>
            </w:r>
          </w:p>
          <w:p>
            <w:pPr>
              <w:pStyle w:val="null3"/>
              <w:ind w:firstLine="420"/>
              <w:jc w:val="both"/>
            </w:pPr>
            <w:r>
              <w:rPr>
                <w:rFonts w:ascii="宋体" w:hAnsi="宋体" w:cs="宋体" w:eastAsia="宋体"/>
                <w:sz w:val="21"/>
              </w:rPr>
              <w:t>2.12、机械滚压：每年不少于4次；</w:t>
            </w:r>
          </w:p>
          <w:p>
            <w:pPr>
              <w:pStyle w:val="null3"/>
              <w:ind w:firstLine="420"/>
              <w:jc w:val="both"/>
            </w:pPr>
            <w:r>
              <w:rPr>
                <w:rFonts w:ascii="宋体" w:hAnsi="宋体" w:cs="宋体" w:eastAsia="宋体"/>
                <w:sz w:val="21"/>
              </w:rPr>
              <w:t>2.13、清捡场地垃圾、保持场地清洁；</w:t>
            </w:r>
          </w:p>
          <w:p>
            <w:pPr>
              <w:pStyle w:val="null3"/>
              <w:ind w:firstLine="420"/>
              <w:jc w:val="both"/>
            </w:pPr>
            <w:r>
              <w:rPr>
                <w:rFonts w:ascii="宋体" w:hAnsi="宋体" w:cs="宋体" w:eastAsia="宋体"/>
                <w:sz w:val="21"/>
              </w:rPr>
              <w:t>2.14、设施修补：喷头、水管、机械设备等场地设施的更换与维修。</w:t>
            </w:r>
          </w:p>
          <w:p>
            <w:pPr>
              <w:pStyle w:val="null3"/>
              <w:jc w:val="both"/>
            </w:pPr>
            <w:r>
              <w:rPr>
                <w:rFonts w:ascii="宋体" w:hAnsi="宋体" w:cs="宋体" w:eastAsia="宋体"/>
                <w:sz w:val="21"/>
              </w:rPr>
              <w:t>3、制定场地的养护标准和养护方案，养护标准应达到中国足协所有赛事对场地的要求或者达到国际B类标准。</w:t>
            </w:r>
          </w:p>
          <w:p>
            <w:pPr>
              <w:pStyle w:val="null3"/>
              <w:jc w:val="both"/>
            </w:pPr>
            <w:r>
              <w:rPr>
                <w:rFonts w:ascii="宋体" w:hAnsi="宋体" w:cs="宋体" w:eastAsia="宋体"/>
                <w:sz w:val="21"/>
              </w:rPr>
              <w:t>4、保证草坪的日常养护工作（施肥、修剪、灌溉、打药、打孔、覆沙、滚压、除杂草及病虫害防治、梳草等）；</w:t>
            </w:r>
          </w:p>
          <w:p>
            <w:pPr>
              <w:pStyle w:val="null3"/>
              <w:jc w:val="both"/>
            </w:pPr>
            <w:r>
              <w:rPr>
                <w:rFonts w:ascii="宋体" w:hAnsi="宋体" w:cs="宋体" w:eastAsia="宋体"/>
                <w:sz w:val="21"/>
              </w:rPr>
              <w:t>5、保障各种赛事期间足球项目比赛的场地使用；</w:t>
            </w:r>
          </w:p>
          <w:p>
            <w:pPr>
              <w:pStyle w:val="null3"/>
              <w:jc w:val="both"/>
            </w:pPr>
            <w:r>
              <w:rPr>
                <w:rFonts w:ascii="宋体" w:hAnsi="宋体" w:cs="宋体" w:eastAsia="宋体"/>
                <w:sz w:val="21"/>
              </w:rPr>
              <w:t>6、保证大型活动使用后场地草坪恢复工作。</w:t>
            </w: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★2025年01月01日至2025年12月31日。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★采购人按照政府采购合同规定的技术、服务、安全标准组织对供应商履约情况进行验收，并出具验收书。</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剩余款项按季度支付，每季度养护相关工作完成且经甲方确认后，甲方一个月内向乙方支付该季度养护费用。（首付款作为第一个季度已支付金额相应抵扣，若首付款超过第一季度结算金额，则第一季度不予支付，首付款超出第一季度结算金额部分，作为第二季度养护工作完成已支付金额，不足部分在第二季度养护工作完成后支付。）</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 ★2 甲方应当根据本合同约定按时向乙方付款，无正当理由迟延付款的，每迟延支付一日，应支付迟延付款金额0.1‰的违约金。</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1、供应商需在项目电子化交易系统中按要求填写《投标函》完成承诺并进行电子签章。2、提供注册登记凭证（营业执照、其他组织经营的合法凭证，自然人的提供身份证明文件）。 3、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t>响应文件封面 法人代表授权书 资格证明文件 服务内容及服务邀请应答表 法定代表人身份证明 陕西省政府采购供应商拒绝政府采购领域商业贿赂承诺书 响应函 供应商基本情况表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信用查询</w:t>
            </w:r>
          </w:p>
        </w:tc>
        <w:tc>
          <w:tcPr>
            <w:tcW w:type="dxa" w:w="3322"/>
          </w:tcPr>
          <w:p>
            <w:pPr>
              <w:pStyle w:val="null3"/>
            </w:pPr>
            <w:r>
              <w:rPr/>
              <w:t>在磋商截止时间，供应商不得存在列入失信被 执行人（“中国执行信息公开网”http://zxgk.co urt.gov.cn/shixin/）的情形、不得存在列入信 用中国（www.creditchina.gov.cn）重大税收 违法失信主体和政府采购严重违法失信行为记 录名单的情形，不得存在列入中国政府采购网 （www.ccgp.gov.cn）政府采购严重违法失信 行为记录名单的情形。</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响应文件的完整性审查</w:t>
            </w:r>
          </w:p>
        </w:tc>
        <w:tc>
          <w:tcPr>
            <w:tcW w:type="dxa" w:w="3322"/>
          </w:tcPr>
          <w:p>
            <w:pPr>
              <w:pStyle w:val="null3"/>
            </w:pPr>
            <w:r>
              <w:rPr/>
              <w:t>磋商响应文件是否按照竞争性磋商文件要求的格式编写； 磋商响应文件内容是否有重大缺漏项。</w:t>
            </w:r>
          </w:p>
        </w:tc>
        <w:tc>
          <w:tcPr>
            <w:tcW w:type="dxa" w:w="1661"/>
          </w:tcPr>
          <w:p>
            <w:pPr>
              <w:pStyle w:val="null3"/>
            </w:pPr>
            <w:r>
              <w:rPr/>
              <w:t>法人代表授权书 服务内容及服务邀请应答表 中小企业声明函 商务应答表 法定代表人身份证明 报价表 响应文件封面 资格证明文件 残疾人福利性单位声明函 服务方案 标的清单 陕西省政府采购供应商拒绝政府采购领域商业贿赂承诺书 响应函 监狱企业的证明文件 供应商基本情况表</w:t>
            </w:r>
          </w:p>
        </w:tc>
      </w:tr>
      <w:tr>
        <w:tc>
          <w:tcPr>
            <w:tcW w:type="dxa" w:w="831"/>
          </w:tcPr>
          <w:p>
            <w:pPr>
              <w:pStyle w:val="null3"/>
            </w:pPr>
            <w:r>
              <w:rPr/>
              <w:t>3</w:t>
            </w:r>
          </w:p>
        </w:tc>
        <w:tc>
          <w:tcPr>
            <w:tcW w:type="dxa" w:w="2492"/>
          </w:tcPr>
          <w:p>
            <w:pPr>
              <w:pStyle w:val="null3"/>
            </w:pPr>
            <w:r>
              <w:rPr/>
              <w:t>响应文件的有效性审查</w:t>
            </w:r>
          </w:p>
        </w:tc>
        <w:tc>
          <w:tcPr>
            <w:tcW w:type="dxa" w:w="3322"/>
          </w:tcPr>
          <w:p>
            <w:pPr>
              <w:pStyle w:val="null3"/>
            </w:pPr>
            <w:r>
              <w:rPr/>
              <w:t>磋商响应文件的签署、加盖印章是否有效；提供的 各种证明文件、数据、资料是否有效。</w:t>
            </w:r>
          </w:p>
        </w:tc>
        <w:tc>
          <w:tcPr>
            <w:tcW w:type="dxa" w:w="1661"/>
          </w:tcPr>
          <w:p>
            <w:pPr>
              <w:pStyle w:val="null3"/>
            </w:pPr>
            <w:r>
              <w:rPr/>
              <w:t>法人代表授权书 服务内容及服务邀请应答表 中小企业声明函 商务应答表 法定代表人身份证明 报价表 响应文件封面 资格证明文件 残疾人福利性单位声明函 标的清单 陕西省政府采购供应商拒绝政府采购领域商业贿赂承诺书 响应函 监狱企业的证明文件 供应商基本情况表</w:t>
            </w:r>
          </w:p>
        </w:tc>
      </w:tr>
      <w:tr>
        <w:tc>
          <w:tcPr>
            <w:tcW w:type="dxa" w:w="831"/>
          </w:tcPr>
          <w:p>
            <w:pPr>
              <w:pStyle w:val="null3"/>
            </w:pPr>
            <w:r>
              <w:rPr/>
              <w:t>4</w:t>
            </w:r>
          </w:p>
        </w:tc>
        <w:tc>
          <w:tcPr>
            <w:tcW w:type="dxa" w:w="2492"/>
          </w:tcPr>
          <w:p>
            <w:pPr>
              <w:pStyle w:val="null3"/>
            </w:pPr>
            <w:r>
              <w:rPr/>
              <w:t>响应文件的响应性审查</w:t>
            </w:r>
          </w:p>
        </w:tc>
        <w:tc>
          <w:tcPr>
            <w:tcW w:type="dxa" w:w="3322"/>
          </w:tcPr>
          <w:p>
            <w:pPr>
              <w:pStyle w:val="null3"/>
            </w:pPr>
            <w:r>
              <w:rPr/>
              <w:t>① 响应报价是否超过采购预算；② 响应报价有 效期是否符合竞争性磋商文件的要求；③ 响应文件内 容是否符合国家法律法规，没有重大偏离；④ 对竞争性磋商文件中规定的要求是否做出了实质性响 应。</w:t>
            </w:r>
          </w:p>
        </w:tc>
        <w:tc>
          <w:tcPr>
            <w:tcW w:type="dxa" w:w="1661"/>
          </w:tcPr>
          <w:p>
            <w:pPr>
              <w:pStyle w:val="null3"/>
            </w:pPr>
            <w:r>
              <w:rPr/>
              <w:t>响应文件封面 服务内容及服务邀请应答表 商务应答表 服务方案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提供服务方案，根据响应程度得分：服务方案内容贴合项目实际，能从专业足球场场地基层结构、冷季型草坪和暖季型草坪进行分析，能够体现出自身优势，全面可行，科学合理得[10,15]分；服务方案内容基本满足本项目实际需求，内容完整、可行得[5,10）分；服务方案内容凌乱，有缺漏项，很难满足本项目实际需求得[1,5）分。未提供本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拟派团队</w:t>
            </w:r>
          </w:p>
        </w:tc>
        <w:tc>
          <w:tcPr>
            <w:tcW w:type="dxa" w:w="2492"/>
          </w:tcPr>
          <w:p>
            <w:pPr>
              <w:pStyle w:val="null3"/>
            </w:pPr>
            <w:r>
              <w:rPr/>
              <w:t>针对本项目拟投入团队人员情况（包含但不限于姓名、年龄、专业、主要职务、职能信息等内容），根据响应程度得分：投入本项目团队人员内容齐全，分工合理得[5,8]分；投入本项目团队人员内容有缺漏，分工不明确得[1,5）分。未提供本项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机具配备</w:t>
            </w:r>
          </w:p>
        </w:tc>
        <w:tc>
          <w:tcPr>
            <w:tcW w:type="dxa" w:w="2492"/>
          </w:tcPr>
          <w:p>
            <w:pPr>
              <w:pStyle w:val="null3"/>
            </w:pPr>
            <w:r>
              <w:rPr/>
              <w:t>针对本项目配备所需机具，依据机具配备齐全程度，根据响应程度得分：配备机具、备品备件齐全，能够满足本项目实际需求并及时补充更换得[5,10]分；配备机具能够满足本项目基本需求得[1,5）分。未提供本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实施过程中可能出现的问题提供应急预案，根据响应程度得分：根据项目实际需求，进行项目风险预测与防范，应急处理方案考虑全面，切实可行，针对性强，科学合理得[10,15]分；应急方案完整，合理可行得[5,10）分；应急预案内容粗略，较难实施得[1,5）分。未提供本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供应商具有自有草坪基地、天然足球场、自有专业设备机具，提供相关图文证明材料（包括但不限于官网截图，图片等），按其响应程度得分：具有自有草坪基地得2分，具有天然足球场得2分，具有自有专业设备机具得2分。未提供本项得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承诺及合理化建议</w:t>
            </w:r>
          </w:p>
        </w:tc>
        <w:tc>
          <w:tcPr>
            <w:tcW w:type="dxa" w:w="2492"/>
          </w:tcPr>
          <w:p>
            <w:pPr>
              <w:pStyle w:val="null3"/>
            </w:pPr>
            <w:r>
              <w:rPr/>
              <w:t>针对本项目及采购人实际需求提供详细具体可行的服务承诺及合理化建议，服务承诺及合理化建议内容符合项目实际需求，可实施性、针对性强得[3,6]，提供服务承诺及合理化建议，但内容宽泛，针对性不强得[1,3）分。未提供本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日常维护方案</w:t>
            </w:r>
          </w:p>
        </w:tc>
        <w:tc>
          <w:tcPr>
            <w:tcW w:type="dxa" w:w="2492"/>
          </w:tcPr>
          <w:p>
            <w:pPr>
              <w:pStyle w:val="null3"/>
            </w:pPr>
            <w:r>
              <w:rPr/>
              <w:t>针对本项目提供日常维护方案，根据响应程度得分：具有完善的监督巡查体制，拟派日常维护人员善于现场沟通，能给出专业解决方案，机械设备维修专人化，且有定期维护方案得[5,10]分；日常维护方案内容粗略，较难保障日常正常维护的[1,5）分。未提供本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针对本项目提供质量保证措施，根据响应程度得分：质量目标明确，质量管理体系健全，预控和动态控制措施完整、科学合理，能有效保证服务质量，根据响应程度得[5,10]分；质量保证措施内容粗略，预控和动态控制措施难以保障项目质量要求得[1,5）分。未提供本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安全保证措施</w:t>
            </w:r>
          </w:p>
        </w:tc>
        <w:tc>
          <w:tcPr>
            <w:tcW w:type="dxa" w:w="2492"/>
          </w:tcPr>
          <w:p>
            <w:pPr>
              <w:pStyle w:val="null3"/>
            </w:pPr>
            <w:r>
              <w:rPr/>
              <w:t>针对本项目提供安全保证措施，根据响应程度得分：安全作业目标明确，安全管理体系健全，预控和动态控制措施完整、科学合理，能有效保证项目安全实施得[5,10]分；安全保证措施内容粗略，预控和动态控制措施难以保障项目安全实施得[1,5）分。未提供本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1.评审基准价=有效最终总报价中的最低价，最终总报价等于评审基准价的，得满分； 2.磋商总报价得分=（评审基准价/最终总报价）×10。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w:t>
      </w:r>
    </w:p>
    <w:p>
      <w:pPr>
        <w:pStyle w:val="null3"/>
        <w:ind w:firstLine="960"/>
      </w:pPr>
      <w:r>
        <w:rPr/>
        <w:t>详见附件：供应商基本情况表</w:t>
      </w:r>
    </w:p>
    <w:p>
      <w:pPr>
        <w:pStyle w:val="null3"/>
        <w:ind w:firstLine="960"/>
      </w:pPr>
      <w:r>
        <w:rPr/>
        <w:t>详见附件：陕西省政府采购供应商拒绝政府采购领域商业贿赂承诺书</w:t>
      </w:r>
    </w:p>
    <w:p>
      <w:pPr>
        <w:pStyle w:val="null3"/>
        <w:ind w:firstLine="960"/>
      </w:pPr>
      <w:r>
        <w:rPr/>
        <w:t>详见附件：法人代表授权书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