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版本号：241120001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西安市公安局警训支队CQB模块化战术街区系统项目</w:t>
      </w:r>
    </w:p>
    <w:p>
      <w:pPr>
        <w:pStyle w:val="null3"/>
        <w:jc w:val="center"/>
        <w:outlineLvl w:val="2"/>
      </w:pPr>
      <w:r>
        <w:rPr>
          <w:sz w:val="28"/>
          <w:b/>
        </w:rPr>
        <w:t>采购项目编号：</w:t>
      </w:r>
      <w:r>
        <w:rPr>
          <w:sz w:val="28"/>
          <w:b/>
        </w:rPr>
        <w:t>SXHJZB-2024-18</w:t>
      </w:r>
      <w:r>
        <w:br/>
      </w:r>
      <w:r>
        <w:br/>
      </w:r>
      <w:r>
        <w:br/>
      </w:r>
    </w:p>
    <w:p>
      <w:pPr>
        <w:pStyle w:val="null3"/>
        <w:jc w:val="center"/>
        <w:outlineLvl w:val="2"/>
      </w:pPr>
      <w:r>
        <w:rPr>
          <w:sz w:val="28"/>
          <w:b/>
        </w:rPr>
        <w:t>西安市公安局警察训练支队</w:t>
      </w:r>
    </w:p>
    <w:p>
      <w:pPr>
        <w:pStyle w:val="null3"/>
        <w:jc w:val="center"/>
        <w:outlineLvl w:val="2"/>
      </w:pPr>
      <w:r>
        <w:rPr>
          <w:sz w:val="28"/>
          <w:b/>
        </w:rPr>
        <w:t>陕西华璟项目管理有限公司</w:t>
      </w:r>
      <w:r>
        <w:rPr>
          <w:sz w:val="28"/>
          <w:b/>
        </w:rPr>
        <w:t>共同编制</w:t>
      </w:r>
    </w:p>
    <w:p>
      <w:pPr>
        <w:pStyle w:val="null3"/>
        <w:jc w:val="center"/>
        <w:outlineLvl w:val="2"/>
      </w:pPr>
      <w:r>
        <w:rPr>
          <w:sz w:val="28"/>
          <w:b/>
        </w:rPr>
        <w:t>2024年11月20日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陕西华璟项目管理有限公司</w:t>
      </w:r>
      <w:r>
        <w:rPr/>
        <w:t>（以下简称“代理机构”）受</w:t>
      </w:r>
      <w:r>
        <w:rPr/>
        <w:t>西安市公安局警察训练支队</w:t>
      </w:r>
      <w:r>
        <w:rPr/>
        <w:t>委托，拟对</w:t>
      </w:r>
      <w:r>
        <w:rPr/>
        <w:t>西安市公安局警训支队CQB模块化战术街区系统项目</w:t>
      </w:r>
      <w:r>
        <w:rPr/>
        <w:t>进行国内公开招标，兹邀请符合本次招标要求的供应商参加投标。</w:t>
      </w:r>
    </w:p>
    <w:p>
      <w:pPr>
        <w:pStyle w:val="null3"/>
        <w:outlineLvl w:val="2"/>
      </w:pPr>
      <w:r>
        <w:rPr>
          <w:sz w:val="28"/>
          <w:b/>
        </w:rPr>
        <w:t>一、采购项目编号：</w:t>
      </w:r>
      <w:r>
        <w:rPr>
          <w:sz w:val="28"/>
          <w:b/>
        </w:rPr>
        <w:t>SXHJZB-2024-18</w:t>
      </w:r>
    </w:p>
    <w:p>
      <w:pPr>
        <w:pStyle w:val="null3"/>
        <w:outlineLvl w:val="2"/>
      </w:pPr>
      <w:r>
        <w:rPr>
          <w:sz w:val="28"/>
          <w:b/>
        </w:rPr>
        <w:t>二、采购项目名称：</w:t>
      </w:r>
      <w:r>
        <w:rPr>
          <w:sz w:val="28"/>
          <w:b/>
        </w:rPr>
        <w:t>西安市公安局警训支队CQB模块化战术街区系统项目</w:t>
      </w:r>
    </w:p>
    <w:p>
      <w:pPr>
        <w:pStyle w:val="null3"/>
        <w:outlineLvl w:val="2"/>
      </w:pPr>
      <w:r>
        <w:rPr>
          <w:sz w:val="28"/>
          <w:b/>
        </w:rPr>
        <w:t>三、招标项目简介</w:t>
      </w:r>
    </w:p>
    <w:p>
      <w:pPr>
        <w:pStyle w:val="null3"/>
        <w:ind w:firstLine="480"/>
      </w:pPr>
      <w:r>
        <w:rPr/>
        <w:t>西安市公安局警训支队CQB模块化战术街区系统项目采购，具体内容详见第三部分。</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t>2、参加政府采购活动前3年内在经营活动中没有重大违法记录：参加政府采购活动前3年内在经营活动中没有重大违法记录；供应商需在项目电子化交易系统中按要求填写《响应函》完成承诺并进行电子签章；供应商需在项目电子化交易系统中按要求上传相应证明文件并进行电子签章；</w:t>
      </w:r>
    </w:p>
    <w:p>
      <w:pPr>
        <w:pStyle w:val="null3"/>
      </w:pPr>
      <w:r>
        <w:rPr/>
        <w:t>3、信用主体查询：供应商未被列入“中国执行信息公开网”网站（http://zxgk.court.gov.cn/shixin/）记录“失信被执行人”“重大税收违法案件当事人名单”“政府采购严重违法失信行为记录名单”；不处于中国政府采购网（www.ccgp.gov.cn）政府采购严重违法失信行为信息记录中的禁止参加政府采购活动期间；供应商应提供网站查询截图；</w:t>
      </w:r>
    </w:p>
    <w:p>
      <w:pPr>
        <w:pStyle w:val="null3"/>
      </w:pPr>
      <w:r>
        <w:rPr/>
        <w:t>4、财务状况报告：提供2023年度经会计事务所或审计机构出具完整的财务审计报告（成立时间至提交响应文件截止时间不足一年的可提供成立后任意时段的资产负债表），或其基本存款账户开户银行出具的资信证明。（以上两种形式的资料提供任何一种即可）；供应商需在项目电子化交易系统中按要求上传相应证明文件并进行电子签章；</w:t>
      </w:r>
    </w:p>
    <w:p>
      <w:pPr>
        <w:pStyle w:val="null3"/>
      </w:pPr>
      <w:r>
        <w:rPr/>
        <w:t>5、社保缴纳证明：提供投标截止之日起近六个月以来已缴存的至少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p>
      <w:pPr>
        <w:pStyle w:val="null3"/>
      </w:pPr>
      <w:r>
        <w:rPr/>
        <w:t>6、税收缴纳证明：提供投标截止之日起近六个月以来已缴纳的至少一个月的纳税证明或完税证明（任意税种），纳税证明或完税证明上应有代收机构或税务机关的公章或业务专用章；依法免税的投标人应提供相关文件证明（复印件加盖投标人公章）；供应商需在项目电子化交易系统中按要求上传相应证明文件并进行电子签章；</w:t>
      </w:r>
    </w:p>
    <w:p>
      <w:pPr>
        <w:pStyle w:val="null3"/>
      </w:pPr>
      <w:r>
        <w:rPr/>
        <w:t>7、法定代表人授权书：法定代表人授权书及被授权人身份证复印件（法定代表人直接参加投标只须提供法定代表人身份证明）；供应商需在项目电子化交易系统中按要求上传相应证明文件并进行电子签章；</w:t>
      </w:r>
    </w:p>
    <w:p>
      <w:pPr>
        <w:pStyle w:val="null3"/>
      </w:pPr>
      <w:r>
        <w:rPr/>
        <w:t>8、本项目不接受联合体响应，不允许分包：本项目不接受联合体响应，不允许分包：供应商提供《非联合体、不分包投标声明》，视为独立响应，不分包；供应商应提供承诺书，格式及内容具体参见“响应文件格式”。</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西安市公安局警察训练支队</w:t>
      </w:r>
    </w:p>
    <w:p>
      <w:pPr>
        <w:pStyle w:val="null3"/>
      </w:pPr>
      <w:r>
        <w:rPr/>
        <w:t xml:space="preserve"> 地址： </w:t>
      </w:r>
      <w:r>
        <w:rPr/>
        <w:t>西安市长安区滦镇沣峪口甲字2号</w:t>
      </w:r>
    </w:p>
    <w:p>
      <w:pPr>
        <w:pStyle w:val="null3"/>
      </w:pPr>
      <w:r>
        <w:rPr/>
        <w:t xml:space="preserve"> 邮编： </w:t>
      </w:r>
      <w:r>
        <w:rPr/>
        <w:t>710100</w:t>
      </w:r>
    </w:p>
    <w:p>
      <w:pPr>
        <w:pStyle w:val="null3"/>
      </w:pPr>
      <w:r>
        <w:rPr/>
        <w:t xml:space="preserve"> 联系人： </w:t>
      </w:r>
      <w:r>
        <w:rPr/>
        <w:t>荆主任</w:t>
      </w:r>
    </w:p>
    <w:p>
      <w:pPr>
        <w:pStyle w:val="null3"/>
      </w:pPr>
      <w:r>
        <w:rPr/>
        <w:t xml:space="preserve"> 联系电话： </w:t>
      </w:r>
      <w:r>
        <w:rPr/>
        <w:t>029-85675117</w:t>
      </w:r>
    </w:p>
    <w:p>
      <w:pPr>
        <w:pStyle w:val="null3"/>
        <w:outlineLvl w:val="2"/>
      </w:pPr>
      <w:r>
        <w:rPr>
          <w:sz w:val="28"/>
          <w:b/>
        </w:rPr>
        <w:t>代理机构：</w:t>
      </w:r>
      <w:r>
        <w:rPr>
          <w:sz w:val="28"/>
          <w:b/>
        </w:rPr>
        <w:t>陕西华璟项目管理有限公司</w:t>
      </w:r>
    </w:p>
    <w:p>
      <w:pPr>
        <w:pStyle w:val="null3"/>
      </w:pPr>
      <w:r>
        <w:rPr/>
        <w:t xml:space="preserve"> 地址： </w:t>
      </w:r>
      <w:r>
        <w:rPr/>
        <w:t>陕西省西安市高新区沣惠南路与科技二路交叉路口西南侧泰华金贸国际6号楼902室</w:t>
      </w:r>
    </w:p>
    <w:p>
      <w:pPr>
        <w:pStyle w:val="null3"/>
      </w:pPr>
      <w:r>
        <w:rPr/>
        <w:t xml:space="preserve"> 邮编： </w:t>
      </w:r>
      <w:r>
        <w:rPr/>
        <w:t>710000</w:t>
      </w:r>
    </w:p>
    <w:p>
      <w:pPr>
        <w:pStyle w:val="null3"/>
      </w:pPr>
      <w:r>
        <w:rPr/>
        <w:t xml:space="preserve"> 联系人： </w:t>
      </w:r>
      <w:r>
        <w:rPr/>
        <w:t>史工</w:t>
      </w:r>
    </w:p>
    <w:p>
      <w:pPr>
        <w:pStyle w:val="null3"/>
      </w:pPr>
      <w:r>
        <w:rPr/>
        <w:t xml:space="preserve"> 联系电话： </w:t>
      </w:r>
      <w:r>
        <w:rPr/>
        <w:t>13239105520</w:t>
      </w:r>
    </w:p>
    <w:p>
      <w:pPr>
        <w:pStyle w:val="null3"/>
        <w:outlineLvl w:val="2"/>
      </w:pPr>
      <w:r>
        <w:rPr>
          <w:sz w:val="28"/>
          <w:b/>
        </w:rPr>
        <w:t>采购监督机构：</w:t>
      </w:r>
      <w:r>
        <w:rPr>
          <w:sz w:val="28"/>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采购包1：1,707,695.00元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供应商应依据成交金额向采购代理机构交纳成交服务费，交费金额参照国家计委颁布的《招标代理服务收费管理暂行办法》（计价格[2002]1980号）及发改办价格[2003]857号文件的规定计取，以成交金额作为基数，差额累进法进行计算。 开户名称：陕西华璟项目管理有限公司 开户行：中国工商银行股份有限公司西安高新技术开发区支行 账号：3700024609200529721 汇款备注：项目名称+代理服务费（可简写） 请成交供应商按照要求将服务费汇入以上指定账户，如因自身原因发生错误，产生的不利后果均由供应商自行承担。</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西安市公安局警察训练支队</w:t>
      </w:r>
      <w:r>
        <w:rPr/>
        <w:t>和</w:t>
      </w:r>
      <w:r>
        <w:rPr/>
        <w:t>陕西华璟项目管理有限公司</w:t>
      </w:r>
      <w:r>
        <w:rPr/>
        <w:t>享有。对招标文件中供应商参加本次政府采购活动应当具备的条件，招标项目技术、服务、商务及其他要求，评标细则及标准由</w:t>
      </w:r>
      <w:r>
        <w:rPr/>
        <w:t>西安市公安局警察训练支队</w:t>
      </w:r>
      <w:r>
        <w:rPr/>
        <w:t>负责解释。除上述招标文件内容，其他内容由</w:t>
      </w:r>
      <w:r>
        <w:rPr/>
        <w:t>陕西华璟项目管理有限公司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西安市公安局警察训练支队</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陕西华璟项目管理有限公司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陕西华璟项目管理有限公司</w:t>
      </w:r>
      <w:r>
        <w:rPr/>
        <w:t xml:space="preserve"> 负责答复；供应商对除采购需求外的采购文件的询问、质疑由</w:t>
      </w:r>
      <w:r>
        <w:rPr/>
        <w:t>陕西华璟项目管理有限公司</w:t>
      </w:r>
      <w:r>
        <w:rPr/>
        <w:t xml:space="preserve"> 负责答复；供应商对采购过程、采购结果的询问、质疑由 </w:t>
      </w:r>
      <w:r>
        <w:rPr/>
        <w:t>陕西华璟项目管理有限公司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联系人：史工</w:t>
      </w:r>
    </w:p>
    <w:p>
      <w:pPr>
        <w:pStyle w:val="null3"/>
      </w:pPr>
      <w:r>
        <w:rPr/>
        <w:t>联系电话：13239105520</w:t>
      </w:r>
    </w:p>
    <w:p>
      <w:pPr>
        <w:pStyle w:val="null3"/>
      </w:pPr>
      <w:r>
        <w:rPr/>
        <w:t>地址：陕西省西安市高新区沣惠南路与科技二路交叉路口西南侧泰华金贸国际6号楼902室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实现实景化的房屋建筑物搜索、突入战术训练和车辆阻截、盘查的实战训练。</w:t>
      </w:r>
    </w:p>
    <w:p>
      <w:pPr>
        <w:pStyle w:val="null3"/>
        <w:outlineLvl w:val="2"/>
      </w:pPr>
      <w:r>
        <w:rPr>
          <w:sz w:val="28"/>
          <w:b/>
        </w:rPr>
        <w:t>3.2采购内容</w:t>
      </w:r>
    </w:p>
    <w:p>
      <w:pPr>
        <w:pStyle w:val="null3"/>
      </w:pPr>
      <w:r>
        <w:rPr/>
        <w:t>采购包1：</w:t>
      </w:r>
    </w:p>
    <w:p>
      <w:pPr>
        <w:pStyle w:val="null3"/>
      </w:pPr>
      <w:r>
        <w:rPr/>
        <w:t>采购包预算金额（元）: 1,707,695.00</w:t>
      </w:r>
    </w:p>
    <w:p>
      <w:pPr>
        <w:pStyle w:val="null3"/>
      </w:pPr>
      <w:r>
        <w:rPr/>
        <w:t>采购包最高限价（元）: 1,707,695.00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CQB模块化战术街区系统</w:t>
            </w:r>
          </w:p>
        </w:tc>
        <w:tc>
          <w:tcPr>
            <w:tcW w:type="dxa" w:w="831"/>
          </w:tcPr>
          <w:p>
            <w:pPr>
              <w:pStyle w:val="null3"/>
              <w:jc w:val="right"/>
            </w:pPr>
            <w:r>
              <w:rPr/>
              <w:t>1.00</w:t>
            </w:r>
          </w:p>
        </w:tc>
        <w:tc>
          <w:tcPr>
            <w:tcW w:type="dxa" w:w="831"/>
          </w:tcPr>
          <w:p>
            <w:pPr>
              <w:pStyle w:val="null3"/>
              <w:jc w:val="right"/>
            </w:pPr>
            <w:r>
              <w:rPr/>
              <w:t>1,707,695.00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标的名称：CQB模块化战术街区系统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93"/>
              <w:gridCol w:w="134"/>
              <w:gridCol w:w="79"/>
              <w:gridCol w:w="2247"/>
            </w:tblGrid>
            <w:tr>
              <w:tc>
                <w:tcPr>
                  <w:tcW w:type="dxa" w:w="9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right="30"/>
                    <w:jc w:val="center"/>
                  </w:pPr>
                  <w:r>
                    <w:rPr>
                      <w:rFonts w:ascii="宋体" w:hAnsi="宋体" w:cs="宋体" w:eastAsia="宋体"/>
                      <w:sz w:val="21"/>
                      <w:b/>
                    </w:rPr>
                    <w:t>序号</w:t>
                  </w:r>
                </w:p>
              </w:tc>
              <w:tc>
                <w:tcPr>
                  <w:tcW w:type="dxa" w:w="13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宋体" w:hAnsi="宋体" w:cs="宋体" w:eastAsia="宋体"/>
                      <w:sz w:val="21"/>
                      <w:b/>
                    </w:rPr>
                    <w:t>名称</w:t>
                  </w:r>
                </w:p>
              </w:tc>
              <w:tc>
                <w:tcPr>
                  <w:tcW w:type="dxa" w:w="7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宋体" w:hAnsi="宋体" w:cs="宋体" w:eastAsia="宋体"/>
                      <w:sz w:val="21"/>
                      <w:b/>
                    </w:rPr>
                    <w:t>数量</w:t>
                  </w:r>
                </w:p>
              </w:tc>
              <w:tc>
                <w:tcPr>
                  <w:tcW w:type="dxa" w:w="224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right="5100"/>
                    <w:jc w:val="center"/>
                  </w:pPr>
                  <w:r>
                    <w:rPr>
                      <w:rFonts w:ascii="宋体" w:hAnsi="宋体" w:cs="宋体" w:eastAsia="宋体"/>
                      <w:sz w:val="21"/>
                      <w:b/>
                    </w:rPr>
                    <w:t>技术</w:t>
                  </w:r>
                  <w:r>
                    <w:rPr>
                      <w:rFonts w:ascii="宋体" w:hAnsi="宋体" w:cs="宋体" w:eastAsia="宋体"/>
                      <w:sz w:val="21"/>
                      <w:b/>
                    </w:rPr>
                    <w:t>参数</w:t>
                  </w:r>
                </w:p>
              </w:tc>
            </w:tr>
            <w:tr>
              <w:tc>
                <w:tcPr>
                  <w:tcW w:type="dxa" w:w="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right="30"/>
                    <w:jc w:val="center"/>
                  </w:pPr>
                  <w:r>
                    <w:rPr>
                      <w:rFonts w:ascii="宋体" w:hAnsi="宋体" w:cs="宋体" w:eastAsia="宋体"/>
                      <w:sz w:val="21"/>
                      <w:b/>
                    </w:rPr>
                    <w:t>1</w:t>
                  </w:r>
                </w:p>
              </w:tc>
              <w:tc>
                <w:tcPr>
                  <w:tcW w:type="dxa" w:w="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宋体" w:hAnsi="宋体" w:cs="宋体" w:eastAsia="宋体"/>
                      <w:sz w:val="21"/>
                    </w:rPr>
                    <w:t>CQB模拟战术街区</w:t>
                  </w:r>
                </w:p>
              </w:tc>
              <w:tc>
                <w:tcPr>
                  <w:tcW w:type="dxa" w:w="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宋体" w:hAnsi="宋体" w:cs="宋体" w:eastAsia="宋体"/>
                      <w:sz w:val="21"/>
                      <w:b/>
                    </w:rPr>
                    <w:t>1套</w:t>
                  </w:r>
                </w:p>
              </w:tc>
              <w:tc>
                <w:tcPr>
                  <w:tcW w:type="dxa" w:w="2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05"/>
                    <w:jc w:val="both"/>
                  </w:pPr>
                  <w:r>
                    <w:rPr>
                      <w:rFonts w:ascii="宋体" w:hAnsi="宋体" w:cs="宋体" w:eastAsia="宋体"/>
                      <w:sz w:val="21"/>
                      <w:color w:val="000000"/>
                    </w:rPr>
                    <w:t>CQB模拟战术街区主要解决目前民警训练所面临的场地强度保障低，建筑传统且结构单一，场地运行维护成本高等缺陷。CQB模拟战术街区建筑结构组合多变，室内环境多样，拆装操作简单，可重复使用，便于使用者维护，无需固定场地使用，节省训练开支，为军警室内近距离战斗动作实战与战术训练提供专用场地。</w:t>
                  </w:r>
                  <w:r>
                    <w:br/>
                  </w:r>
                  <w:r>
                    <w:rPr>
                      <w:rFonts w:ascii="宋体" w:hAnsi="宋体" w:cs="宋体" w:eastAsia="宋体"/>
                      <w:sz w:val="21"/>
                      <w:color w:val="000000"/>
                    </w:rPr>
                    <w:t>CQB模拟战术街区可满足酒店模拟、道路盘查模拟、民居院落模拟、车站模拟、商场模拟等多场景搭建，满足冲房训练、清房训练、破拆训练、安全检查、车辆检查、追逃等多科目视频化教学，可实现远程视频教学，训练过程错误标记、训练全过程自动生成完整教学和复盘视频。CQB模拟战术街区占地面积≥2500㎡（含模拟道路、模拟停车场、模拟设备间等其他功能模块）。</w:t>
                  </w:r>
                  <w:r>
                    <w:br/>
                  </w:r>
                  <w:r>
                    <w:rPr>
                      <w:rFonts w:ascii="宋体" w:hAnsi="宋体" w:cs="宋体" w:eastAsia="宋体"/>
                      <w:sz w:val="21"/>
                      <w:color w:val="000000"/>
                    </w:rPr>
                    <w:t>1.CQB战术组合模块 8套</w:t>
                  </w:r>
                  <w:r>
                    <w:br/>
                  </w:r>
                  <w:r>
                    <w:rPr>
                      <w:rFonts w:ascii="宋体" w:hAnsi="宋体" w:cs="宋体" w:eastAsia="宋体"/>
                      <w:sz w:val="21"/>
                      <w:color w:val="000000"/>
                    </w:rPr>
                    <w:t>（</w:t>
                  </w:r>
                  <w:r>
                    <w:rPr>
                      <w:rFonts w:ascii="宋体" w:hAnsi="宋体" w:cs="宋体" w:eastAsia="宋体"/>
                      <w:sz w:val="21"/>
                      <w:color w:val="000000"/>
                    </w:rPr>
                    <w:t>1）可快速安装拆解，模拟多种场景进行作战训练，可结合选配件截弹墙板满足定向实弹射击训练；</w:t>
                  </w:r>
                  <w:r>
                    <w:br/>
                  </w:r>
                  <w:r>
                    <w:rPr>
                      <w:rFonts w:ascii="宋体" w:hAnsi="宋体" w:cs="宋体" w:eastAsia="宋体"/>
                      <w:sz w:val="21"/>
                      <w:color w:val="000000"/>
                    </w:rPr>
                    <w:t>（</w:t>
                  </w:r>
                  <w:r>
                    <w:rPr>
                      <w:rFonts w:ascii="宋体" w:hAnsi="宋体" w:cs="宋体" w:eastAsia="宋体"/>
                      <w:sz w:val="21"/>
                      <w:color w:val="000000"/>
                    </w:rPr>
                    <w:t>2）CQB战术组合模块主要由组合单元和连接单元组成：组合单元有4种，分别为撞击门板、普通墙板、多功能墙板、多孔射击墙板；连接单元共4种，分别为L型立柱、T型立柱、十字型立柱、U型插销，可根据不同需求自由组合连接；</w:t>
                  </w:r>
                  <w:r>
                    <w:br/>
                  </w:r>
                  <w:r>
                    <w:rPr>
                      <w:rFonts w:ascii="宋体" w:hAnsi="宋体" w:cs="宋体" w:eastAsia="宋体"/>
                      <w:sz w:val="21"/>
                      <w:color w:val="000000"/>
                    </w:rPr>
                    <w:t>（</w:t>
                  </w:r>
                  <w:r>
                    <w:rPr>
                      <w:rFonts w:ascii="宋体" w:hAnsi="宋体" w:cs="宋体" w:eastAsia="宋体"/>
                      <w:sz w:val="21"/>
                      <w:color w:val="000000"/>
                    </w:rPr>
                    <w:t>3）多功能墙板上部分中间为活动内框，可拆卸，可模拟窗口、卡槽可安装玻璃，两边可以向下翻转，分别可模拟墙板及网状教学板；产品外框：不小于40mm×40mm×1.2mm镀锌碳钢管焊接而成；框内覆板：采用镀锌瓦楞板，板厚不小于1mm；规格尺寸高：1930±50mm，宽：1050mm±50mm，厚80mm±10mm（含支撑管），网状教学板钢网：直径不小于2mm钢网，重量≤35kg；</w:t>
                  </w:r>
                  <w:r>
                    <w:br/>
                  </w:r>
                  <w:r>
                    <w:rPr>
                      <w:rFonts w:ascii="宋体" w:hAnsi="宋体" w:cs="宋体" w:eastAsia="宋体"/>
                      <w:sz w:val="21"/>
                      <w:color w:val="000000"/>
                    </w:rPr>
                    <w:t>（</w:t>
                  </w:r>
                  <w:r>
                    <w:rPr>
                      <w:rFonts w:ascii="宋体" w:hAnsi="宋体" w:cs="宋体" w:eastAsia="宋体"/>
                      <w:sz w:val="21"/>
                      <w:color w:val="000000"/>
                    </w:rPr>
                    <w:t>4）战术撞击门板内置可开合镀锌瓦楞板门面，门面安装开关拉手、限位磁力卡榫，磁力锁，可实现真实破门、破窗动作训练；产品外框：不小于40mm×40mm×1.2mm镀锌碳钢管焊接而成；战术门板内置可开合镀锌瓦楞板门面，门面安装开关拉手、限位磁力卡榫、磁力锁；规格尺寸高：1930±50mm，宽：1050mm±50mm，厚80mm±10mm（含支撑管），重量≤42kg；</w:t>
                  </w:r>
                  <w:r>
                    <w:br/>
                  </w:r>
                  <w:r>
                    <w:rPr>
                      <w:rFonts w:ascii="宋体" w:hAnsi="宋体" w:cs="宋体" w:eastAsia="宋体"/>
                      <w:sz w:val="21"/>
                      <w:color w:val="000000"/>
                    </w:rPr>
                    <w:t>（</w:t>
                  </w:r>
                  <w:r>
                    <w:rPr>
                      <w:rFonts w:ascii="宋体" w:hAnsi="宋体" w:cs="宋体" w:eastAsia="宋体"/>
                      <w:sz w:val="21"/>
                      <w:color w:val="000000"/>
                    </w:rPr>
                    <w:t>5）普通墙板，产品外框：不小于40mm×40mm×1.2mm镀锌碳钢管焊接而成；框内覆板：采用镀锌瓦楞板，板厚不小于1mm；规格尺寸高：1930±50mm，宽：1050mm±50mm，厚80mm±10mm（含支撑管），重量≤30kg；</w:t>
                  </w:r>
                  <w:r>
                    <w:br/>
                  </w:r>
                  <w:r>
                    <w:rPr>
                      <w:rFonts w:ascii="宋体" w:hAnsi="宋体" w:cs="宋体" w:eastAsia="宋体"/>
                      <w:sz w:val="21"/>
                      <w:color w:val="000000"/>
                    </w:rPr>
                    <w:t>（</w:t>
                  </w:r>
                  <w:r>
                    <w:rPr>
                      <w:rFonts w:ascii="宋体" w:hAnsi="宋体" w:cs="宋体" w:eastAsia="宋体"/>
                      <w:sz w:val="21"/>
                      <w:color w:val="000000"/>
                    </w:rPr>
                    <w:t>6）战术射击墙板，产品外框：不小于40mm×40mm×1.2mm镀锌碳钢管焊接而成；框内覆板：采用高强度PP中空蜂窝板，板上开设不少于8个不同大小射击口；规格尺寸高：1930±50mm，宽：1050mm±50mm，厚80mm±10mm（含支撑管），重量≤26kg；</w:t>
                  </w:r>
                  <w:r>
                    <w:br/>
                  </w:r>
                  <w:r>
                    <w:rPr>
                      <w:rFonts w:ascii="宋体" w:hAnsi="宋体" w:cs="宋体" w:eastAsia="宋体"/>
                      <w:sz w:val="21"/>
                      <w:color w:val="000000"/>
                    </w:rPr>
                    <w:t>（</w:t>
                  </w:r>
                  <w:r>
                    <w:rPr>
                      <w:rFonts w:ascii="宋体" w:hAnsi="宋体" w:cs="宋体" w:eastAsia="宋体"/>
                      <w:sz w:val="21"/>
                      <w:color w:val="000000"/>
                    </w:rPr>
                    <w:t>7）L型立柱：不小于60mm×60mm×1.2mm镀锌碳钢管和40mm×40mm×1.2mm镀锌碳钢管焊接而成；立柱支撑管使用规格不小于20mm×20mm×1.2mm的镀锌碳钢或不锈钢方管焊接而成；规格尺寸高：1930±50mm，宽：110mm±5mm，厚：110mm±5mm，重量≤16kg；</w:t>
                  </w:r>
                  <w:r>
                    <w:br/>
                  </w:r>
                  <w:r>
                    <w:rPr>
                      <w:rFonts w:ascii="宋体" w:hAnsi="宋体" w:cs="宋体" w:eastAsia="宋体"/>
                      <w:sz w:val="21"/>
                      <w:color w:val="000000"/>
                    </w:rPr>
                    <w:t>（</w:t>
                  </w:r>
                  <w:r>
                    <w:rPr>
                      <w:rFonts w:ascii="宋体" w:hAnsi="宋体" w:cs="宋体" w:eastAsia="宋体"/>
                      <w:sz w:val="21"/>
                      <w:color w:val="000000"/>
                    </w:rPr>
                    <w:t>8）T型立柱：不小于60mm×60mm×1.2mm镀锌碳钢管和40mm×40mm×1.2mm镀锌碳钢管焊接而成；立柱支撑管使用规格不小于20mm×20mm×1.2mm的镀锌碳钢或不锈钢方管焊接而成；规格尺寸高：1930±50mm，宽：140mm±5mm，厚：110mm±5mm，重量≤19kg；</w:t>
                  </w:r>
                  <w:r>
                    <w:br/>
                  </w:r>
                  <w:r>
                    <w:rPr>
                      <w:rFonts w:ascii="宋体" w:hAnsi="宋体" w:cs="宋体" w:eastAsia="宋体"/>
                      <w:sz w:val="21"/>
                      <w:color w:val="000000"/>
                    </w:rPr>
                    <w:t>（</w:t>
                  </w:r>
                  <w:r>
                    <w:rPr>
                      <w:rFonts w:ascii="宋体" w:hAnsi="宋体" w:cs="宋体" w:eastAsia="宋体"/>
                      <w:sz w:val="21"/>
                      <w:color w:val="000000"/>
                    </w:rPr>
                    <w:t>9）十字型立柱：不小于60mm×60mm×1.2mm镀锌碳钢管和40mm×40mm×1.2mm镀锌碳钢管焊接而成；立柱支撑管使用规格不小于20mm×20mm×1.2mm的镀锌碳钢或不锈钢方管焊接而成；规格尺寸高：1930±50mm，宽：140mm±5mm，厚：140mm±5mm，重量≤23kg；</w:t>
                  </w:r>
                  <w:r>
                    <w:br/>
                  </w:r>
                  <w:r>
                    <w:rPr>
                      <w:rFonts w:ascii="宋体" w:hAnsi="宋体" w:cs="宋体" w:eastAsia="宋体"/>
                      <w:sz w:val="21"/>
                      <w:color w:val="000000"/>
                    </w:rPr>
                    <w:t>（</w:t>
                  </w:r>
                  <w:r>
                    <w:rPr>
                      <w:rFonts w:ascii="宋体" w:hAnsi="宋体" w:cs="宋体" w:eastAsia="宋体"/>
                      <w:sz w:val="21"/>
                      <w:color w:val="000000"/>
                    </w:rPr>
                    <w:t>10）CQB战术组合模块组合单元可选配件为：①防盗门门板，由外框和标准的防盗门组成，可以配合CQB战术组合模块进行防盗门的切割、撬锁、撞击等模拟训练。②室内门门板，由外框和室内门组成，可进行室内门的切割、撬锁、撞击等模拟训练。③截弹墙板，由专用防弾钢板、高密度木板、耐弾橡胶转等组成，可进行定向实弹射击训练，也可单独使用进行实弹射击训练。</w:t>
                  </w:r>
                  <w:r>
                    <w:br/>
                  </w:r>
                  <w:r>
                    <w:rPr>
                      <w:rFonts w:ascii="宋体" w:hAnsi="宋体" w:cs="宋体" w:eastAsia="宋体"/>
                      <w:sz w:val="21"/>
                      <w:color w:val="000000"/>
                    </w:rPr>
                    <w:t>▲（11）组合单元连接部位强度：任意两块组合单元连接后水平放置，连接部位承受垂直于面板方向不小于1960N静压力,保持1min，试验期间应始终保持锁定不脱钩；任意两块组合单元连接后，连接部位承受平行于面板方向不小于9800N静压力,保持1min，试验期间应始终保持锁定不脱钩；</w:t>
                  </w:r>
                  <w:r>
                    <w:br/>
                  </w:r>
                  <w:r>
                    <w:rPr>
                      <w:rFonts w:ascii="宋体" w:hAnsi="宋体" w:cs="宋体" w:eastAsia="宋体"/>
                      <w:sz w:val="21"/>
                      <w:color w:val="000000"/>
                    </w:rPr>
                    <w:t>▲（12）组合单元抗冲击强度:参照GA294-2001《警用防暴头盔》中6.16条抗冲击强度性能的试验方法对训练房屋壁板单元的单元覆板进行试验，应能承受1g±0.1g铅弹以150m/s±10m/s速度冲击，冲击后单元覆板不应被击穿或破碎；</w:t>
                  </w:r>
                  <w:r>
                    <w:br/>
                  </w:r>
                  <w:r>
                    <w:rPr>
                      <w:rFonts w:ascii="宋体" w:hAnsi="宋体" w:cs="宋体" w:eastAsia="宋体"/>
                      <w:sz w:val="21"/>
                      <w:color w:val="000000"/>
                    </w:rPr>
                    <w:t>▲（13）组合单元耐腐蚀性能：参照GB/T 10125-2012标准，经不少于12h中性盐雾（NSS）试验，试验后样品表面应无严重腐蚀情况；</w:t>
                  </w:r>
                  <w:r>
                    <w:br/>
                  </w:r>
                  <w:r>
                    <w:rPr>
                      <w:rFonts w:ascii="宋体" w:hAnsi="宋体" w:cs="宋体" w:eastAsia="宋体"/>
                      <w:sz w:val="21"/>
                      <w:color w:val="000000"/>
                    </w:rPr>
                    <w:t>▲（14）选配件截弹墙板性能：在常温条件下，试样样品在距离≤10m处经95自动步枪、5.8mm普通弹（钢芯）有效射击5发，均未被穿透、无飞溅物且样品完整，防弹性能满足GA/T 1709-2020的要求。</w:t>
                  </w:r>
                  <w:r>
                    <w:br/>
                  </w:r>
                  <w:r>
                    <w:rPr>
                      <w:rFonts w:ascii="宋体" w:hAnsi="宋体" w:cs="宋体" w:eastAsia="宋体"/>
                      <w:sz w:val="21"/>
                      <w:color w:val="000000"/>
                    </w:rPr>
                    <w:t>▲（15）温度适应性检验：①试样样品在﹣40℃±2℃的环境下，持续放置不少于1h，试验后墙板应不变形②试样样品在60℃±2℃的环境下，持续放置不少于1h，试验后墙板应不变形。</w:t>
                  </w:r>
                  <w:r>
                    <w:br/>
                  </w:r>
                  <w:r>
                    <w:rPr>
                      <w:rFonts w:ascii="宋体" w:hAnsi="宋体" w:cs="宋体" w:eastAsia="宋体"/>
                      <w:sz w:val="21"/>
                      <w:color w:val="000000"/>
                    </w:rPr>
                    <w:t>（</w:t>
                  </w:r>
                  <w:r>
                    <w:rPr>
                      <w:rFonts w:ascii="宋体" w:hAnsi="宋体" w:cs="宋体" w:eastAsia="宋体"/>
                      <w:sz w:val="21"/>
                      <w:color w:val="000000"/>
                    </w:rPr>
                    <w:t>16）表面喷涂附着力：参照GB/T 9286-1998标准，试验结果等级不小于2级。</w:t>
                  </w:r>
                  <w:r>
                    <w:br/>
                  </w:r>
                  <w:r>
                    <w:rPr>
                      <w:rFonts w:ascii="宋体" w:hAnsi="宋体" w:cs="宋体" w:eastAsia="宋体"/>
                      <w:sz w:val="21"/>
                      <w:color w:val="000000"/>
                    </w:rPr>
                    <w:t>（</w:t>
                  </w:r>
                  <w:r>
                    <w:rPr>
                      <w:rFonts w:ascii="宋体" w:hAnsi="宋体" w:cs="宋体" w:eastAsia="宋体"/>
                      <w:sz w:val="21"/>
                      <w:color w:val="000000"/>
                    </w:rPr>
                    <w:t>17）产品配置清单（单套）：4种门板单元共计35块，分别由撞击门板、普通墙板、多功能墙板、多孔射击墙板组成；4种连接单元，分别为L型立柱≥6根、T型立柱≥12根、十字型立柱≥1根、U型插销≥246个；两种破拆门组件，室内和室外防盗门各一个。</w:t>
                  </w:r>
                  <w:r>
                    <w:br/>
                  </w:r>
                  <w:r>
                    <w:rPr>
                      <w:rFonts w:ascii="宋体" w:hAnsi="宋体" w:cs="宋体" w:eastAsia="宋体"/>
                      <w:sz w:val="21"/>
                      <w:color w:val="000000"/>
                    </w:rPr>
                    <w:t>▲须提供由国家认可的第三方检测机构出具的产品检测报告复印件，并加盖公章，原件备查。</w:t>
                  </w:r>
                </w:p>
                <w:p>
                  <w:pPr>
                    <w:pStyle w:val="null3"/>
                    <w:numPr>
                      <w:ilvl w:val="0"/>
                      <w:numId w:val="1"/>
                    </w:numPr>
                    <w:ind w:right="105"/>
                    <w:jc w:val="both"/>
                  </w:pPr>
                  <w:r>
                    <w:rPr>
                      <w:rFonts w:ascii="宋体" w:hAnsi="宋体" w:cs="宋体" w:eastAsia="宋体"/>
                      <w:sz w:val="21"/>
                      <w:b/>
                      <w:color w:val="000000"/>
                    </w:rPr>
                    <w:t>弱光战术训练系统</w:t>
                  </w:r>
                  <w:r>
                    <w:rPr>
                      <w:rFonts w:ascii="宋体" w:hAnsi="宋体" w:cs="宋体" w:eastAsia="宋体"/>
                      <w:sz w:val="21"/>
                      <w:b/>
                      <w:color w:val="000000"/>
                    </w:rPr>
                    <w:t>1套</w:t>
                  </w:r>
                </w:p>
                <w:p>
                  <w:pPr>
                    <w:pStyle w:val="null3"/>
                    <w:ind w:left="105" w:right="105"/>
                  </w:pPr>
                  <w:r>
                    <w:rPr>
                      <w:rFonts w:ascii="宋体" w:hAnsi="宋体" w:cs="宋体" w:eastAsia="宋体"/>
                      <w:sz w:val="21"/>
                      <w:color w:val="000000"/>
                    </w:rPr>
                    <w:t>(1)主要材料采用优质碳素结构钢，遮光防护布采用优质防雨遮光带涂层的 PU牛津布；</w:t>
                  </w:r>
                  <w:r>
                    <w:br/>
                  </w:r>
                  <w:r>
                    <w:rPr>
                      <w:rFonts w:ascii="宋体" w:hAnsi="宋体" w:cs="宋体" w:eastAsia="宋体"/>
                      <w:sz w:val="21"/>
                      <w:color w:val="000000"/>
                    </w:rPr>
                    <w:t>(2)该系统需有龙骨、迷彩避光布、远程通信装置、供电电池。</w:t>
                  </w:r>
                  <w:r>
                    <w:br/>
                  </w:r>
                  <w:r>
                    <w:rPr>
                      <w:rFonts w:ascii="宋体" w:hAnsi="宋体" w:cs="宋体" w:eastAsia="宋体"/>
                      <w:sz w:val="21"/>
                      <w:color w:val="000000"/>
                    </w:rPr>
                    <w:t>(3)系统通过综合战训系统进行灯光亮度的控制，可调节无光、微光、弱光、强光、爆闪多种光亮效果。</w:t>
                  </w:r>
                </w:p>
                <w:p>
                  <w:pPr>
                    <w:pStyle w:val="null3"/>
                    <w:numPr>
                      <w:ilvl w:val="0"/>
                      <w:numId w:val="1"/>
                    </w:numPr>
                    <w:ind w:right="105"/>
                    <w:jc w:val="both"/>
                  </w:pPr>
                  <w:r>
                    <w:rPr>
                      <w:rFonts w:ascii="宋体" w:hAnsi="宋体" w:cs="宋体" w:eastAsia="宋体"/>
                      <w:sz w:val="21"/>
                      <w:b/>
                      <w:color w:val="000000"/>
                    </w:rPr>
                    <w:t>综合管理平台</w:t>
                  </w:r>
                  <w:r>
                    <w:rPr>
                      <w:rFonts w:ascii="宋体" w:hAnsi="宋体" w:cs="宋体" w:eastAsia="宋体"/>
                      <w:sz w:val="21"/>
                      <w:b/>
                      <w:color w:val="000000"/>
                    </w:rPr>
                    <w:t>1套</w:t>
                  </w:r>
                </w:p>
                <w:p>
                  <w:pPr>
                    <w:pStyle w:val="null3"/>
                    <w:ind w:left="105" w:right="105"/>
                  </w:pPr>
                  <w:r>
                    <w:rPr>
                      <w:rFonts w:ascii="宋体" w:hAnsi="宋体" w:cs="宋体" w:eastAsia="宋体"/>
                      <w:sz w:val="21"/>
                      <w:color w:val="000000"/>
                    </w:rPr>
                    <w:t>（</w:t>
                  </w:r>
                  <w:r>
                    <w:rPr>
                      <w:rFonts w:ascii="宋体" w:hAnsi="宋体" w:cs="宋体" w:eastAsia="宋体"/>
                      <w:sz w:val="21"/>
                      <w:color w:val="000000"/>
                    </w:rPr>
                    <w:t>1）战训管理系统是由射击训练、战术训练、队员管理、分组管理、设备管理、系统管理组成。</w:t>
                  </w:r>
                  <w:r>
                    <w:br/>
                  </w:r>
                  <w:r>
                    <w:rPr>
                      <w:rFonts w:ascii="宋体" w:hAnsi="宋体" w:cs="宋体" w:eastAsia="宋体"/>
                      <w:sz w:val="21"/>
                      <w:color w:val="000000"/>
                    </w:rPr>
                    <w:t>（</w:t>
                  </w:r>
                  <w:r>
                    <w:rPr>
                      <w:rFonts w:ascii="宋体" w:hAnsi="宋体" w:cs="宋体" w:eastAsia="宋体"/>
                      <w:sz w:val="21"/>
                      <w:color w:val="000000"/>
                    </w:rPr>
                    <w:t>2）设备管理系统首页可以展示正在训练人员的训练科目、训练总成绩、训练总时长、训练数据汇总和排序。</w:t>
                  </w:r>
                  <w:r>
                    <w:br/>
                  </w:r>
                  <w:r>
                    <w:rPr>
                      <w:rFonts w:ascii="宋体" w:hAnsi="宋体" w:cs="宋体" w:eastAsia="宋体"/>
                      <w:sz w:val="21"/>
                      <w:color w:val="000000"/>
                    </w:rPr>
                    <w:t>（</w:t>
                  </w:r>
                  <w:r>
                    <w:rPr>
                      <w:rFonts w:ascii="宋体" w:hAnsi="宋体" w:cs="宋体" w:eastAsia="宋体"/>
                      <w:sz w:val="21"/>
                      <w:color w:val="000000"/>
                    </w:rPr>
                    <w:t>3）射击训练可以进行训练科目、训练人员、训练设备的管理以及单人或分组的成绩汇总。</w:t>
                  </w:r>
                  <w:r>
                    <w:br/>
                  </w:r>
                  <w:r>
                    <w:rPr>
                      <w:rFonts w:ascii="宋体" w:hAnsi="宋体" w:cs="宋体" w:eastAsia="宋体"/>
                      <w:sz w:val="21"/>
                      <w:color w:val="000000"/>
                    </w:rPr>
                    <w:t>（</w:t>
                  </w:r>
                  <w:r>
                    <w:rPr>
                      <w:rFonts w:ascii="宋体" w:hAnsi="宋体" w:cs="宋体" w:eastAsia="宋体"/>
                      <w:sz w:val="21"/>
                      <w:color w:val="000000"/>
                    </w:rPr>
                    <w:t>4）战术训练可以进行训练计划、训练科目、环境设置、训练人员、训练设备的管理以及训练考评、综合成绩的汇总。</w:t>
                  </w:r>
                  <w:r>
                    <w:br/>
                  </w:r>
                  <w:r>
                    <w:rPr>
                      <w:rFonts w:ascii="宋体" w:hAnsi="宋体" w:cs="宋体" w:eastAsia="宋体"/>
                      <w:sz w:val="21"/>
                      <w:color w:val="000000"/>
                    </w:rPr>
                    <w:t>（</w:t>
                  </w:r>
                  <w:r>
                    <w:rPr>
                      <w:rFonts w:ascii="宋体" w:hAnsi="宋体" w:cs="宋体" w:eastAsia="宋体"/>
                      <w:sz w:val="21"/>
                      <w:color w:val="000000"/>
                    </w:rPr>
                    <w:t>5）队员管理可以编辑人员信息，并显示个人成绩、训练考评、已完成训练计划、未完成训练计划等。</w:t>
                  </w:r>
                  <w:r>
                    <w:br/>
                  </w:r>
                  <w:r>
                    <w:rPr>
                      <w:rFonts w:ascii="宋体" w:hAnsi="宋体" w:cs="宋体" w:eastAsia="宋体"/>
                      <w:sz w:val="21"/>
                      <w:color w:val="000000"/>
                    </w:rPr>
                    <w:t>（</w:t>
                  </w:r>
                  <w:r>
                    <w:rPr>
                      <w:rFonts w:ascii="宋体" w:hAnsi="宋体" w:cs="宋体" w:eastAsia="宋体"/>
                      <w:sz w:val="21"/>
                      <w:color w:val="000000"/>
                    </w:rPr>
                    <w:t>6）分组管理可以将队员进行分组管理，方便开展分组训练及对抗训练。</w:t>
                  </w:r>
                  <w:r>
                    <w:br/>
                  </w:r>
                  <w:r>
                    <w:rPr>
                      <w:rFonts w:ascii="宋体" w:hAnsi="宋体" w:cs="宋体" w:eastAsia="宋体"/>
                      <w:sz w:val="21"/>
                      <w:color w:val="000000"/>
                    </w:rPr>
                    <w:t>（</w:t>
                  </w:r>
                  <w:r>
                    <w:rPr>
                      <w:rFonts w:ascii="宋体" w:hAnsi="宋体" w:cs="宋体" w:eastAsia="宋体"/>
                      <w:sz w:val="21"/>
                      <w:color w:val="000000"/>
                    </w:rPr>
                    <w:t>7）设备管理可以对训练设备进行设置，并记录显示使用纪录、维护提醒、设备增减、设备信息等。</w:t>
                  </w:r>
                </w:p>
                <w:p>
                  <w:pPr>
                    <w:pStyle w:val="null3"/>
                    <w:numPr>
                      <w:ilvl w:val="0"/>
                      <w:numId w:val="1"/>
                    </w:numPr>
                    <w:ind w:right="105"/>
                    <w:jc w:val="both"/>
                  </w:pPr>
                  <w:r>
                    <w:rPr>
                      <w:rFonts w:ascii="宋体" w:hAnsi="宋体" w:cs="宋体" w:eastAsia="宋体"/>
                      <w:sz w:val="21"/>
                      <w:b/>
                      <w:color w:val="000000"/>
                    </w:rPr>
                    <w:t>综合控制三防平板电脑</w:t>
                  </w:r>
                  <w:r>
                    <w:rPr>
                      <w:rFonts w:ascii="宋体" w:hAnsi="宋体" w:cs="宋体" w:eastAsia="宋体"/>
                      <w:sz w:val="21"/>
                      <w:b/>
                      <w:color w:val="000000"/>
                    </w:rPr>
                    <w:t>1台</w:t>
                  </w:r>
                </w:p>
                <w:p>
                  <w:pPr>
                    <w:pStyle w:val="null3"/>
                    <w:ind w:left="105" w:right="105"/>
                  </w:pPr>
                  <w:r>
                    <w:rPr>
                      <w:rFonts w:ascii="宋体" w:hAnsi="宋体" w:cs="宋体" w:eastAsia="宋体"/>
                      <w:sz w:val="21"/>
                      <w:color w:val="000000"/>
                    </w:rPr>
                    <w:t>（</w:t>
                  </w:r>
                  <w:r>
                    <w:rPr>
                      <w:rFonts w:ascii="宋体" w:hAnsi="宋体" w:cs="宋体" w:eastAsia="宋体"/>
                      <w:sz w:val="21"/>
                      <w:color w:val="000000"/>
                    </w:rPr>
                    <w:t>1）手持终端操作平板，用于加载综合训练管理系统，满足教官设置训练科目，现场操作各类型设备，组织训练，现场讲评使用；</w:t>
                  </w:r>
                  <w:r>
                    <w:br/>
                  </w:r>
                  <w:r>
                    <w:rPr>
                      <w:rFonts w:ascii="宋体" w:hAnsi="宋体" w:cs="宋体" w:eastAsia="宋体"/>
                      <w:sz w:val="21"/>
                      <w:color w:val="000000"/>
                    </w:rPr>
                    <w:t>（</w:t>
                  </w:r>
                  <w:r>
                    <w:rPr>
                      <w:rFonts w:ascii="宋体" w:hAnsi="宋体" w:cs="宋体" w:eastAsia="宋体"/>
                      <w:sz w:val="21"/>
                      <w:color w:val="000000"/>
                    </w:rPr>
                    <w:t>2）cpu 核数：≥四核；cpu性能：≥处理器Z8350屏幕：≥10英寸；屏幕分辨率：≥1024x720；运行内存：≥4GB；机身内存：≥128GB；操作系统：Windows 10。</w:t>
                  </w:r>
                  <w:r>
                    <w:br/>
                  </w:r>
                  <w:r>
                    <w:rPr>
                      <w:rFonts w:ascii="宋体" w:hAnsi="宋体" w:cs="宋体" w:eastAsia="宋体"/>
                      <w:sz w:val="21"/>
                      <w:color w:val="000000"/>
                    </w:rPr>
                    <w:t>（</w:t>
                  </w:r>
                  <w:r>
                    <w:rPr>
                      <w:rFonts w:ascii="宋体" w:hAnsi="宋体" w:cs="宋体" w:eastAsia="宋体"/>
                      <w:sz w:val="21"/>
                      <w:color w:val="000000"/>
                    </w:rPr>
                    <w:t>3）具备防水、防尘、防摔工业级三防功能</w:t>
                  </w:r>
                </w:p>
                <w:p>
                  <w:pPr>
                    <w:pStyle w:val="null3"/>
                    <w:numPr>
                      <w:ilvl w:val="0"/>
                      <w:numId w:val="1"/>
                    </w:numPr>
                    <w:ind w:right="105"/>
                    <w:jc w:val="both"/>
                  </w:pPr>
                  <w:r>
                    <w:rPr>
                      <w:rFonts w:ascii="宋体" w:hAnsi="宋体" w:cs="宋体" w:eastAsia="宋体"/>
                      <w:sz w:val="21"/>
                      <w:b/>
                      <w:color w:val="000000"/>
                    </w:rPr>
                    <w:t>模拟音频播放系统</w:t>
                  </w:r>
                  <w:r>
                    <w:rPr>
                      <w:rFonts w:ascii="宋体" w:hAnsi="宋体" w:cs="宋体" w:eastAsia="宋体"/>
                      <w:sz w:val="21"/>
                      <w:b/>
                      <w:color w:val="000000"/>
                    </w:rPr>
                    <w:t>1套</w:t>
                  </w:r>
                </w:p>
                <w:p>
                  <w:pPr>
                    <w:pStyle w:val="null3"/>
                    <w:ind w:left="105" w:right="105"/>
                  </w:pPr>
                  <w:r>
                    <w:rPr>
                      <w:rFonts w:ascii="宋体" w:hAnsi="宋体" w:cs="宋体" w:eastAsia="宋体"/>
                      <w:sz w:val="21"/>
                      <w:color w:val="000000"/>
                    </w:rPr>
                    <w:t>音频模拟系统配备专业音箱，通过专业音频处理系统可实现现场教练员指挥口令的广播扩音，而且可以播放模拟处置现场爆炸声、枪声、雨声、人声等环境音效，进一步提高训练仿真效果。</w:t>
                  </w:r>
                  <w:r>
                    <w:br/>
                  </w:r>
                  <w:r>
                    <w:rPr>
                      <w:rFonts w:ascii="宋体" w:hAnsi="宋体" w:cs="宋体" w:eastAsia="宋体"/>
                      <w:sz w:val="21"/>
                      <w:color w:val="000000"/>
                    </w:rPr>
                    <w:t>配置如下：</w:t>
                  </w:r>
                  <w:r>
                    <w:br/>
                  </w:r>
                  <w:r>
                    <w:rPr>
                      <w:rFonts w:ascii="宋体" w:hAnsi="宋体" w:cs="宋体" w:eastAsia="宋体"/>
                      <w:sz w:val="21"/>
                      <w:color w:val="000000"/>
                    </w:rPr>
                    <w:t>1.低音音箱：数量：2个，尺寸：≥15寸；频率范围(±3dB): 32Hz-400Hz</w:t>
                  </w:r>
                  <w:r>
                    <w:br/>
                  </w:r>
                  <w:r>
                    <w:rPr>
                      <w:rFonts w:ascii="宋体" w:hAnsi="宋体" w:cs="宋体" w:eastAsia="宋体"/>
                      <w:sz w:val="21"/>
                      <w:color w:val="000000"/>
                    </w:rPr>
                    <w:t>灵敏度</w:t>
                  </w:r>
                  <w:r>
                    <w:rPr>
                      <w:rFonts w:ascii="宋体" w:hAnsi="宋体" w:cs="宋体" w:eastAsia="宋体"/>
                      <w:sz w:val="21"/>
                      <w:color w:val="000000"/>
                    </w:rPr>
                    <w:t>(1W@1M) :≥ 102dB   最大声压级输出:不小于 120dB 输入功率:≥1200W</w:t>
                  </w:r>
                  <w:r>
                    <w:br/>
                  </w:r>
                  <w:r>
                    <w:rPr>
                      <w:rFonts w:ascii="宋体" w:hAnsi="宋体" w:cs="宋体" w:eastAsia="宋体"/>
                      <w:sz w:val="21"/>
                      <w:color w:val="000000"/>
                    </w:rPr>
                    <w:t>2.全频音箱：数量：8个，尺寸：≥10寸；频率范围(±3dB): 58Hz-19kHz</w:t>
                  </w:r>
                  <w:r>
                    <w:br/>
                  </w:r>
                  <w:r>
                    <w:rPr>
                      <w:rFonts w:ascii="宋体" w:hAnsi="宋体" w:cs="宋体" w:eastAsia="宋体"/>
                      <w:sz w:val="21"/>
                      <w:color w:val="000000"/>
                    </w:rPr>
                    <w:t>灵敏度</w:t>
                  </w:r>
                  <w:r>
                    <w:rPr>
                      <w:rFonts w:ascii="宋体" w:hAnsi="宋体" w:cs="宋体" w:eastAsia="宋体"/>
                      <w:sz w:val="21"/>
                      <w:color w:val="000000"/>
                    </w:rPr>
                    <w:t>(1W@1M) :≥  119dB   最大声压级输出: 不小于 120dB   输入功率:  ≥800W</w:t>
                  </w:r>
                  <w:r>
                    <w:br/>
                  </w:r>
                  <w:r>
                    <w:rPr>
                      <w:rFonts w:ascii="宋体" w:hAnsi="宋体" w:cs="宋体" w:eastAsia="宋体"/>
                      <w:sz w:val="21"/>
                      <w:color w:val="000000"/>
                    </w:rPr>
                    <w:t>3.低音音响功放：数量：1台；频率响应：±0.5dB   总谐波失真：＜0.1%  转换速度：30V/us</w:t>
                  </w:r>
                  <w:r>
                    <w:br/>
                  </w:r>
                  <w:r>
                    <w:rPr>
                      <w:rFonts w:ascii="宋体" w:hAnsi="宋体" w:cs="宋体" w:eastAsia="宋体"/>
                      <w:sz w:val="21"/>
                      <w:color w:val="000000"/>
                    </w:rPr>
                    <w:t>阻尼系数：＞</w:t>
                  </w:r>
                  <w:r>
                    <w:rPr>
                      <w:rFonts w:ascii="宋体" w:hAnsi="宋体" w:cs="宋体" w:eastAsia="宋体"/>
                      <w:sz w:val="21"/>
                      <w:color w:val="000000"/>
                    </w:rPr>
                    <w:t>500:1 信噪比：102dB（A） 声道分离度：＞65dB   工作电压：AC220V/50-60Hz</w:t>
                  </w:r>
                  <w:r>
                    <w:br/>
                  </w:r>
                  <w:r>
                    <w:rPr>
                      <w:rFonts w:ascii="宋体" w:hAnsi="宋体" w:cs="宋体" w:eastAsia="宋体"/>
                      <w:sz w:val="21"/>
                      <w:color w:val="000000"/>
                    </w:rPr>
                    <w:t>4.全频音响功放：数量：2台；频率响应：±0.5dB   总谐波失真：＜0.1%  转换速度：30V/us</w:t>
                  </w:r>
                  <w:r>
                    <w:br/>
                  </w:r>
                  <w:r>
                    <w:rPr>
                      <w:rFonts w:ascii="宋体" w:hAnsi="宋体" w:cs="宋体" w:eastAsia="宋体"/>
                      <w:sz w:val="21"/>
                      <w:color w:val="000000"/>
                    </w:rPr>
                    <w:t>阻尼系数：＞</w:t>
                  </w:r>
                  <w:r>
                    <w:rPr>
                      <w:rFonts w:ascii="宋体" w:hAnsi="宋体" w:cs="宋体" w:eastAsia="宋体"/>
                      <w:sz w:val="21"/>
                      <w:color w:val="000000"/>
                    </w:rPr>
                    <w:t>500:1 信噪比：102dB（A） 声道分离度：＞65dB   工作电压：AC220V/50-60Hz</w:t>
                  </w:r>
                  <w:r>
                    <w:br/>
                  </w:r>
                  <w:r>
                    <w:rPr>
                      <w:rFonts w:ascii="宋体" w:hAnsi="宋体" w:cs="宋体" w:eastAsia="宋体"/>
                      <w:sz w:val="21"/>
                      <w:color w:val="000000"/>
                    </w:rPr>
                    <w:t>5.音频处理器：数量：1台；四进八出音频处理器。具有强大的DSP处理能力。每个输入、输出有16段参数滤波器，增益控制、噪声门功能、RMS压限、内置的粉红/白噪声发生器，以及可调的延时。</w:t>
                  </w:r>
                  <w:r>
                    <w:br/>
                  </w:r>
                  <w:r>
                    <w:rPr>
                      <w:rFonts w:ascii="宋体" w:hAnsi="宋体" w:cs="宋体" w:eastAsia="宋体"/>
                      <w:sz w:val="21"/>
                      <w:color w:val="000000"/>
                    </w:rPr>
                    <w:t>6.16路调音台：数量：1台；频率响应：20Hz-20KHz+1dB，-3dB@+4dB，600Ω  总谐波失真：&lt;0.1%（THD+N）@+14dB， 20Hz-20KHz哼声和噪声：-128dB相当于输入噪声</w:t>
                  </w:r>
                  <w:r>
                    <w:br/>
                  </w:r>
                  <w:r>
                    <w:rPr>
                      <w:rFonts w:ascii="宋体" w:hAnsi="宋体" w:cs="宋体" w:eastAsia="宋体"/>
                      <w:sz w:val="21"/>
                      <w:color w:val="000000"/>
                    </w:rPr>
                    <w:t>7.时序器：数量：1台；电力输入条件(单相3线)：AC90-260V 50-60HZ两相（三线：零，火，地）通道数量：8路万用插座继电器受控与2路万用插座直接输出。</w:t>
                  </w:r>
                  <w:r>
                    <w:br/>
                  </w:r>
                  <w:r>
                    <w:rPr>
                      <w:rFonts w:ascii="宋体" w:hAnsi="宋体" w:cs="宋体" w:eastAsia="宋体"/>
                      <w:sz w:val="21"/>
                      <w:color w:val="000000"/>
                    </w:rPr>
                    <w:t>8.无线话筒：数量：1套。频率范围：(641-690.8MHz); 信道数：  100+100个信道；接收方式：一次变频超内差，二次变频超外差；接收灵敏度：-99~-69dBm； 音频频响：40~18000Hz;失真度：≤0.5%;  信噪比：≥110dB； 音频输出：(XLR)卡侬座独立平衡输出和Φ6.35插座混合不平衡输出；电源规格：100V~240V/50~60Hz。</w:t>
                  </w:r>
                </w:p>
                <w:p>
                  <w:pPr>
                    <w:pStyle w:val="null3"/>
                    <w:numPr>
                      <w:ilvl w:val="0"/>
                      <w:numId w:val="1"/>
                    </w:numPr>
                    <w:ind w:right="105"/>
                    <w:jc w:val="both"/>
                  </w:pPr>
                  <w:r>
                    <w:rPr>
                      <w:rFonts w:ascii="宋体" w:hAnsi="宋体" w:cs="宋体" w:eastAsia="宋体"/>
                      <w:sz w:val="21"/>
                      <w:b/>
                      <w:color w:val="000000"/>
                    </w:rPr>
                    <w:t>智能视频训练系统</w:t>
                  </w:r>
                  <w:r>
                    <w:rPr>
                      <w:rFonts w:ascii="宋体" w:hAnsi="宋体" w:cs="宋体" w:eastAsia="宋体"/>
                      <w:sz w:val="21"/>
                      <w:b/>
                      <w:color w:val="000000"/>
                    </w:rPr>
                    <w:t>1套</w:t>
                  </w:r>
                </w:p>
                <w:p>
                  <w:pPr>
                    <w:pStyle w:val="null3"/>
                    <w:ind w:left="105" w:right="105"/>
                  </w:pPr>
                  <w:r>
                    <w:rPr>
                      <w:rFonts w:ascii="宋体" w:hAnsi="宋体" w:cs="宋体" w:eastAsia="宋体"/>
                      <w:sz w:val="21"/>
                      <w:color w:val="000000"/>
                    </w:rPr>
                    <w:t>智能视频训练系统支持多机位多画面同步录制，支持现场声音采集，全流程拍摄记录，高度还原警务战术实况，无需训练辅助警员手持设备实时跟拍。</w:t>
                  </w:r>
                  <w:r>
                    <w:br/>
                  </w:r>
                  <w:r>
                    <w:rPr>
                      <w:rFonts w:ascii="宋体" w:hAnsi="宋体" w:cs="宋体" w:eastAsia="宋体"/>
                      <w:sz w:val="21"/>
                      <w:color w:val="000000"/>
                    </w:rPr>
                    <w:t>智能视频训练系统针对红蓝对抗、冲房训练、反恐处突、反劫</w:t>
                  </w:r>
                  <w:r>
                    <w:rPr>
                      <w:rFonts w:ascii="宋体" w:hAnsi="宋体" w:cs="宋体" w:eastAsia="宋体"/>
                      <w:sz w:val="21"/>
                      <w:color w:val="000000"/>
                    </w:rPr>
                    <w:t>持人质等训练任务的战术安排及内容，结合银行、车站、民宅、酒店等多种模拟训练场景，同步追踪与录制目标人物及活动路线。</w:t>
                  </w:r>
                  <w:r>
                    <w:br/>
                  </w:r>
                  <w:r>
                    <w:rPr>
                      <w:rFonts w:ascii="宋体" w:hAnsi="宋体" w:cs="宋体" w:eastAsia="宋体"/>
                      <w:sz w:val="21"/>
                      <w:color w:val="000000"/>
                    </w:rPr>
                    <w:t>实战训练区外可设置讲评室，授课教官可对模拟演练现场进行同步讲评授课。</w:t>
                  </w:r>
                  <w:r>
                    <w:br/>
                  </w:r>
                  <w:r>
                    <w:rPr>
                      <w:rFonts w:ascii="宋体" w:hAnsi="宋体" w:cs="宋体" w:eastAsia="宋体"/>
                      <w:sz w:val="21"/>
                      <w:color w:val="000000"/>
                    </w:rPr>
                    <w:t>一、录播主机：</w:t>
                  </w:r>
                  <w:r>
                    <w:br/>
                  </w:r>
                  <w:r>
                    <w:rPr>
                      <w:rFonts w:ascii="宋体" w:hAnsi="宋体" w:cs="宋体" w:eastAsia="宋体"/>
                      <w:sz w:val="21"/>
                      <w:color w:val="000000"/>
                    </w:rPr>
                    <w:t>1.主机须采用嵌入式一体化纯硬件设计架构，静音空气流散热设计，稳态运行条件下，噪声最大值≤20dB(A)，主机功耗≤20w，并且支持7*24小时工作，系统集成录播系统、音频处理、编解码技术为一体，更符合信息化行业有关产品发展微小型化、低功耗、智能化和高可靠性政策。</w:t>
                  </w:r>
                  <w:r>
                    <w:br/>
                  </w:r>
                  <w:r>
                    <w:rPr>
                      <w:rFonts w:ascii="宋体" w:hAnsi="宋体" w:cs="宋体" w:eastAsia="宋体"/>
                      <w:sz w:val="21"/>
                      <w:color w:val="000000"/>
                    </w:rPr>
                    <w:t>2.视频输入输出：主机视频输入支持RTSP视频流输入、SDI视频接口输入、HDMI视频接口输入，以满足不同采集终端的接入需求。最大支持24路RTSP网络视频接入；高清输出接口HDMI out*3。</w:t>
                  </w:r>
                  <w:r>
                    <w:br/>
                  </w:r>
                  <w:r>
                    <w:rPr>
                      <w:rFonts w:ascii="宋体" w:hAnsi="宋体" w:cs="宋体" w:eastAsia="宋体"/>
                      <w:sz w:val="21"/>
                      <w:color w:val="000000"/>
                    </w:rPr>
                    <w:t>3.视频编解码：支持标准H.264/H.265视频编解码协议，要求支持1080P@30fps、720P@30fps分辨率格式编解码。</w:t>
                  </w:r>
                  <w:r>
                    <w:br/>
                  </w:r>
                  <w:r>
                    <w:rPr>
                      <w:rFonts w:ascii="宋体" w:hAnsi="宋体" w:cs="宋体" w:eastAsia="宋体"/>
                      <w:sz w:val="21"/>
                      <w:color w:val="000000"/>
                    </w:rPr>
                    <w:t>4.存储容量：内置不少于1T存储空间，用于录制视频文件的本地存储。</w:t>
                  </w:r>
                  <w:r>
                    <w:br/>
                  </w:r>
                  <w:r>
                    <w:rPr>
                      <w:rFonts w:ascii="宋体" w:hAnsi="宋体" w:cs="宋体" w:eastAsia="宋体"/>
                      <w:sz w:val="21"/>
                      <w:color w:val="000000"/>
                    </w:rPr>
                    <w:t>5.网络接口：具备标准RJ45网络接口，支持10/100/1000M网络自适应，并要求支持IPv4、IPv6双协议栈，</w:t>
                  </w:r>
                  <w:r>
                    <w:br/>
                  </w:r>
                  <w:r>
                    <w:rPr>
                      <w:rFonts w:ascii="宋体" w:hAnsi="宋体" w:cs="宋体" w:eastAsia="宋体"/>
                      <w:sz w:val="21"/>
                      <w:color w:val="000000"/>
                    </w:rPr>
                    <w:t>6.主机控制：具备Console控制接口≥2，支持RS232/422协议。</w:t>
                  </w:r>
                  <w:r>
                    <w:br/>
                  </w:r>
                  <w:r>
                    <w:rPr>
                      <w:rFonts w:ascii="宋体" w:hAnsi="宋体" w:cs="宋体" w:eastAsia="宋体"/>
                      <w:sz w:val="21"/>
                      <w:color w:val="000000"/>
                    </w:rPr>
                    <w:t>7.其他接口：具备USB 2.0接口≥2，可用于连接U盘等外设</w:t>
                  </w:r>
                  <w:r>
                    <w:br/>
                  </w:r>
                  <w:r>
                    <w:rPr>
                      <w:rFonts w:ascii="宋体" w:hAnsi="宋体" w:cs="宋体" w:eastAsia="宋体"/>
                      <w:sz w:val="21"/>
                      <w:color w:val="000000"/>
                    </w:rPr>
                    <w:t>二、摄像系统</w:t>
                  </w:r>
                  <w:r>
                    <w:br/>
                  </w:r>
                  <w:r>
                    <w:rPr>
                      <w:rFonts w:ascii="宋体" w:hAnsi="宋体" w:cs="宋体" w:eastAsia="宋体"/>
                      <w:sz w:val="21"/>
                      <w:color w:val="000000"/>
                    </w:rPr>
                    <w:t>1.传感器类型：CMOS、1/2.5英寸，采集分辨率不小于1080p 30fps</w:t>
                  </w:r>
                  <w:r>
                    <w:br/>
                  </w:r>
                  <w:r>
                    <w:rPr>
                      <w:rFonts w:ascii="宋体" w:hAnsi="宋体" w:cs="宋体" w:eastAsia="宋体"/>
                      <w:sz w:val="21"/>
                      <w:color w:val="000000"/>
                    </w:rPr>
                    <w:t>2.▲采用逐行扫描模式，有效像素不低于1130万。</w:t>
                  </w:r>
                  <w:r>
                    <w:br/>
                  </w:r>
                  <w:r>
                    <w:rPr>
                      <w:rFonts w:ascii="宋体" w:hAnsi="宋体" w:cs="宋体" w:eastAsia="宋体"/>
                      <w:sz w:val="21"/>
                      <w:color w:val="000000"/>
                    </w:rPr>
                    <w:t>3.采用了2D和基于运动估计的3D降噪算法</w:t>
                  </w:r>
                  <w:r>
                    <w:br/>
                  </w:r>
                  <w:r>
                    <w:rPr>
                      <w:rFonts w:ascii="宋体" w:hAnsi="宋体" w:cs="宋体" w:eastAsia="宋体"/>
                      <w:sz w:val="21"/>
                      <w:color w:val="000000"/>
                    </w:rPr>
                    <w:t>4.最大水平视场角84.7°，最大垂直视场角53.4°</w:t>
                  </w:r>
                  <w:r>
                    <w:br/>
                  </w:r>
                  <w:r>
                    <w:rPr>
                      <w:rFonts w:ascii="宋体" w:hAnsi="宋体" w:cs="宋体" w:eastAsia="宋体"/>
                      <w:sz w:val="21"/>
                      <w:color w:val="000000"/>
                    </w:rPr>
                    <w:t>5.网络接口：RJ45≥1，10/100/1000M自适应</w:t>
                  </w:r>
                  <w:r>
                    <w:br/>
                  </w:r>
                  <w:r>
                    <w:rPr>
                      <w:rFonts w:ascii="宋体" w:hAnsi="宋体" w:cs="宋体" w:eastAsia="宋体"/>
                      <w:sz w:val="21"/>
                      <w:color w:val="000000"/>
                    </w:rPr>
                    <w:t>6.视频接口：3G-SDI≥1</w:t>
                  </w:r>
                  <w:r>
                    <w:br/>
                  </w:r>
                  <w:r>
                    <w:rPr>
                      <w:rFonts w:ascii="宋体" w:hAnsi="宋体" w:cs="宋体" w:eastAsia="宋体"/>
                      <w:sz w:val="21"/>
                      <w:color w:val="000000"/>
                    </w:rPr>
                    <w:t>7.编码技术：视频H.264/H.265</w:t>
                  </w:r>
                  <w:r>
                    <w:br/>
                  </w:r>
                  <w:r>
                    <w:rPr>
                      <w:rFonts w:ascii="宋体" w:hAnsi="宋体" w:cs="宋体" w:eastAsia="宋体"/>
                      <w:sz w:val="21"/>
                      <w:color w:val="000000"/>
                    </w:rPr>
                    <w:t>8.▲支持DC12V电源适配器供电与POC供电方式</w:t>
                  </w:r>
                  <w:r>
                    <w:br/>
                  </w:r>
                  <w:r>
                    <w:rPr>
                      <w:rFonts w:ascii="宋体" w:hAnsi="宋体" w:cs="宋体" w:eastAsia="宋体"/>
                      <w:sz w:val="21"/>
                      <w:color w:val="000000"/>
                    </w:rPr>
                    <w:t>9.▲内置跟踪分析功能，无需辅助跟踪摄像头即可完成标识物跟踪捕捉</w:t>
                  </w:r>
                  <w:r>
                    <w:br/>
                  </w:r>
                  <w:r>
                    <w:rPr>
                      <w:rFonts w:ascii="宋体" w:hAnsi="宋体" w:cs="宋体" w:eastAsia="宋体"/>
                      <w:sz w:val="21"/>
                      <w:color w:val="000000"/>
                    </w:rPr>
                    <w:t>10.摄像机传输处理软件采用B/S架构，支持通用浏览器直接访问进行管理。</w:t>
                  </w:r>
                  <w:r>
                    <w:br/>
                  </w:r>
                  <w:r>
                    <w:rPr>
                      <w:rFonts w:ascii="宋体" w:hAnsi="宋体" w:cs="宋体" w:eastAsia="宋体"/>
                      <w:sz w:val="21"/>
                      <w:color w:val="000000"/>
                    </w:rPr>
                    <w:t>11.支持网络参数设置与修改，支持一键恢复默认参数。</w:t>
                  </w:r>
                  <w:r>
                    <w:br/>
                  </w:r>
                  <w:r>
                    <w:rPr>
                      <w:rFonts w:ascii="宋体" w:hAnsi="宋体" w:cs="宋体" w:eastAsia="宋体"/>
                      <w:sz w:val="21"/>
                      <w:color w:val="000000"/>
                    </w:rPr>
                    <w:t>12.支持曝光模式设置功能，包括自动、手动。</w:t>
                  </w:r>
                  <w:r>
                    <w:br/>
                  </w:r>
                  <w:r>
                    <w:rPr>
                      <w:rFonts w:ascii="宋体" w:hAnsi="宋体" w:cs="宋体" w:eastAsia="宋体"/>
                      <w:sz w:val="21"/>
                      <w:color w:val="000000"/>
                    </w:rPr>
                    <w:t>13.支持抗闪烁频率、动态范围、光圈、快门参数设置。</w:t>
                  </w:r>
                  <w:r>
                    <w:br/>
                  </w:r>
                  <w:r>
                    <w:rPr>
                      <w:rFonts w:ascii="宋体" w:hAnsi="宋体" w:cs="宋体" w:eastAsia="宋体"/>
                      <w:sz w:val="21"/>
                      <w:color w:val="000000"/>
                    </w:rPr>
                    <w:t>14.支持自动白平衡设置功能，红、蓝增益可调。</w:t>
                  </w:r>
                  <w:r>
                    <w:br/>
                  </w:r>
                  <w:r>
                    <w:rPr>
                      <w:rFonts w:ascii="宋体" w:hAnsi="宋体" w:cs="宋体" w:eastAsia="宋体"/>
                      <w:sz w:val="21"/>
                      <w:color w:val="000000"/>
                    </w:rPr>
                    <w:t>15.支持噪声抑制设置功能，支持2D、3D降噪。</w:t>
                  </w:r>
                  <w:r>
                    <w:br/>
                  </w:r>
                  <w:r>
                    <w:rPr>
                      <w:rFonts w:ascii="宋体" w:hAnsi="宋体" w:cs="宋体" w:eastAsia="宋体"/>
                      <w:sz w:val="21"/>
                      <w:color w:val="000000"/>
                    </w:rPr>
                    <w:t>16.支持摄像机图像质量调节功能，包括亮度、对比度、色调、饱和度。</w:t>
                  </w:r>
                  <w:r>
                    <w:br/>
                  </w:r>
                  <w:r>
                    <w:rPr>
                      <w:rFonts w:ascii="宋体" w:hAnsi="宋体" w:cs="宋体" w:eastAsia="宋体"/>
                      <w:sz w:val="21"/>
                      <w:color w:val="000000"/>
                    </w:rPr>
                    <w:t>17.支持自动跟踪切换，支持摄像机识别标识物，并根据AI算法调取切换最优摄像机画面。</w:t>
                  </w:r>
                  <w:r>
                    <w:br/>
                  </w:r>
                  <w:r>
                    <w:rPr>
                      <w:rFonts w:ascii="宋体" w:hAnsi="宋体" w:cs="宋体" w:eastAsia="宋体"/>
                      <w:sz w:val="21"/>
                      <w:color w:val="000000"/>
                    </w:rPr>
                    <w:t>三、智能视频训练系统管理软件</w:t>
                  </w:r>
                  <w:r>
                    <w:br/>
                  </w:r>
                  <w:r>
                    <w:rPr>
                      <w:rFonts w:ascii="宋体" w:hAnsi="宋体" w:cs="宋体" w:eastAsia="宋体"/>
                      <w:sz w:val="21"/>
                      <w:color w:val="000000"/>
                    </w:rPr>
                    <w:t>1.要求配套的智能视频训练系统管理软件在出厂时内置于录播主机中。</w:t>
                  </w:r>
                  <w:r>
                    <w:br/>
                  </w:r>
                  <w:r>
                    <w:rPr>
                      <w:rFonts w:ascii="宋体" w:hAnsi="宋体" w:cs="宋体" w:eastAsia="宋体"/>
                      <w:sz w:val="21"/>
                      <w:color w:val="000000"/>
                    </w:rPr>
                    <w:t>2.软件架构：软件需采用B/S架构设计，使用主流浏览器通过网络即可访问软件后台进行管理应用。</w:t>
                  </w:r>
                  <w:r>
                    <w:br/>
                  </w:r>
                  <w:r>
                    <w:rPr>
                      <w:rFonts w:ascii="宋体" w:hAnsi="宋体" w:cs="宋体" w:eastAsia="宋体"/>
                      <w:sz w:val="21"/>
                      <w:color w:val="000000"/>
                    </w:rPr>
                    <w:t>3.录制存储：要求在断网情况下也可以对本地教室进行视频录制，并将录制文件保存在录播主机的内置硬盘中。并要求支持1080P高清分辨率录制，采用MP4视频格式封装。</w:t>
                  </w:r>
                  <w:r>
                    <w:br/>
                  </w:r>
                  <w:r>
                    <w:rPr>
                      <w:rFonts w:ascii="宋体" w:hAnsi="宋体" w:cs="宋体" w:eastAsia="宋体"/>
                      <w:sz w:val="21"/>
                      <w:color w:val="000000"/>
                    </w:rPr>
                    <w:t>4.AI录制跟踪：要求内置录制画面跟踪功能，当摄像机识别到标识物时，根据AI算法完成摄像机画面的跟踪检测和切换，调取最优摄像机画面。为保障系统使用、管理便捷稳定，不接受使用额外配置跟踪主机的方式。</w:t>
                  </w:r>
                  <w:r>
                    <w:br/>
                  </w:r>
                  <w:r>
                    <w:rPr>
                      <w:rFonts w:ascii="宋体" w:hAnsi="宋体" w:cs="宋体" w:eastAsia="宋体"/>
                      <w:sz w:val="21"/>
                      <w:color w:val="000000"/>
                    </w:rPr>
                    <w:t>5.摄像机接入与场景设置：支持根据教学实际需求设置不同场景，最多支持3个教学场景，最大支持添加24路摄像机。</w:t>
                  </w:r>
                  <w:r>
                    <w:br/>
                  </w:r>
                  <w:r>
                    <w:rPr>
                      <w:rFonts w:ascii="宋体" w:hAnsi="宋体" w:cs="宋体" w:eastAsia="宋体"/>
                      <w:sz w:val="21"/>
                      <w:color w:val="000000"/>
                    </w:rPr>
                    <w:t>6.多流录制：支持最大同时8路画面录制，且画面质量不低于720P。</w:t>
                  </w:r>
                  <w:r>
                    <w:br/>
                  </w:r>
                  <w:r>
                    <w:rPr>
                      <w:rFonts w:ascii="宋体" w:hAnsi="宋体" w:cs="宋体" w:eastAsia="宋体"/>
                      <w:sz w:val="21"/>
                      <w:color w:val="000000"/>
                    </w:rPr>
                    <w:t>7.地图导入：支持导入实训室的真实地图，并在地图上呈现对应摄像机编号，可在实训地图上自主移动每个摄像机编号位置与真实部署位置一一对应，让教员通过地图对实训课室的拍摄部署一目了然。</w:t>
                  </w:r>
                  <w:r>
                    <w:br/>
                  </w:r>
                  <w:r>
                    <w:rPr>
                      <w:rFonts w:ascii="宋体" w:hAnsi="宋体" w:cs="宋体" w:eastAsia="宋体"/>
                      <w:sz w:val="21"/>
                      <w:color w:val="000000"/>
                    </w:rPr>
                    <w:t>8.录像管理：支持对录制视频按标题、主持人、时间、时长进行排序，便于快速检索所需视频。支持对录像文件进行回放和下载</w:t>
                  </w:r>
                  <w:r>
                    <w:br/>
                  </w:r>
                  <w:r>
                    <w:rPr>
                      <w:rFonts w:ascii="宋体" w:hAnsi="宋体" w:cs="宋体" w:eastAsia="宋体"/>
                      <w:sz w:val="21"/>
                      <w:color w:val="000000"/>
                    </w:rPr>
                    <w:t>9.视频修复：支持硬盘格式化功能，支持对设备异常断电、宕机造成的损坏视频文件进行修复。</w:t>
                  </w:r>
                  <w:r>
                    <w:br/>
                  </w:r>
                  <w:r>
                    <w:rPr>
                      <w:rFonts w:ascii="宋体" w:hAnsi="宋体" w:cs="宋体" w:eastAsia="宋体"/>
                      <w:sz w:val="21"/>
                      <w:color w:val="000000"/>
                    </w:rPr>
                    <w:t>10.多画面预览：单个场景下最大支持同时八路画面预览导播，并且支持选择任意一路视频画面放大至全屏，同时教学布局画面缩小至屏幕右上角，便于教员来回切换单路画面细节和全景画面布局。</w:t>
                  </w:r>
                  <w:r>
                    <w:br/>
                  </w:r>
                  <w:r>
                    <w:rPr>
                      <w:rFonts w:ascii="宋体" w:hAnsi="宋体" w:cs="宋体" w:eastAsia="宋体"/>
                      <w:sz w:val="21"/>
                      <w:color w:val="000000"/>
                    </w:rPr>
                    <w:t>11.全自动画面跟踪：支持根据当前场景内的所有摄像机和特定颜色标识物进行最优教学画面的实时切换，无需手动切换画面，实现实训教学过程中的智能分区跟踪与全自动切换拍摄。</w:t>
                  </w:r>
                  <w:r>
                    <w:br/>
                  </w:r>
                  <w:r>
                    <w:rPr>
                      <w:rFonts w:ascii="宋体" w:hAnsi="宋体" w:cs="宋体" w:eastAsia="宋体"/>
                      <w:sz w:val="21"/>
                      <w:color w:val="000000"/>
                    </w:rPr>
                    <w:t>12.画面拖拽：支持拖拽画面布局中任意机位画面，完成画面位置互换。</w:t>
                  </w:r>
                  <w:r>
                    <w:br/>
                  </w:r>
                  <w:r>
                    <w:rPr>
                      <w:rFonts w:ascii="宋体" w:hAnsi="宋体" w:cs="宋体" w:eastAsia="宋体"/>
                      <w:sz w:val="21"/>
                      <w:color w:val="000000"/>
                    </w:rPr>
                    <w:t>13.画面布局：要求具备单画面、双分屏、三分屏、四分屏、1主5副和1主7副等画面布局模式，方便教员按照实际需要进行调整使用。</w:t>
                  </w:r>
                  <w:r>
                    <w:br/>
                  </w:r>
                  <w:r>
                    <w:rPr>
                      <w:rFonts w:ascii="宋体" w:hAnsi="宋体" w:cs="宋体" w:eastAsia="宋体"/>
                      <w:sz w:val="21"/>
                      <w:color w:val="000000"/>
                    </w:rPr>
                    <w:t>14.画面信息：支持各画面左上角显示当前画面对应的教室或摄像机信息，便于教员快速查找所需画面</w:t>
                  </w:r>
                  <w:r>
                    <w:br/>
                  </w:r>
                  <w:r>
                    <w:rPr>
                      <w:rFonts w:ascii="宋体" w:hAnsi="宋体" w:cs="宋体" w:eastAsia="宋体"/>
                      <w:sz w:val="21"/>
                      <w:color w:val="000000"/>
                    </w:rPr>
                    <w:t>15.▲实训地图：支持手动通过触屏点击某个拍摄机位编号，即可轻松控制摄像机的实时拍摄画面开启或关闭，单个分组内实训地图支持缩放和拖拽功能，让教员可以在实训过程中仔细观摩。</w:t>
                  </w:r>
                  <w:r>
                    <w:br/>
                  </w:r>
                  <w:r>
                    <w:rPr>
                      <w:rFonts w:ascii="宋体" w:hAnsi="宋体" w:cs="宋体" w:eastAsia="宋体"/>
                      <w:sz w:val="21"/>
                      <w:color w:val="000000"/>
                    </w:rPr>
                    <w:t>16.地图切换：支持实训地图和教学拍摄画面单击切换，放大实训地图画面后，教学拍摄画面将缩小至屏幕左下角，再次点击后即可放大教学画面，地图画面缩小至屏幕左下角，便于教员在实训过程来回切换实训地图和教学画面。</w:t>
                  </w:r>
                  <w:r>
                    <w:br/>
                  </w:r>
                  <w:r>
                    <w:rPr>
                      <w:rFonts w:ascii="宋体" w:hAnsi="宋体" w:cs="宋体" w:eastAsia="宋体"/>
                      <w:sz w:val="21"/>
                      <w:color w:val="000000"/>
                    </w:rPr>
                    <w:t>17.教学录制：支持一键录制、暂停、停止等功能操作，录制视频源可从接入的摄像机中自由选择，并支持统计从录制开始到结束的录制时间，统一呈现在录制界面。</w:t>
                  </w:r>
                  <w:r>
                    <w:br/>
                  </w:r>
                  <w:r>
                    <w:rPr>
                      <w:rFonts w:ascii="宋体" w:hAnsi="宋体" w:cs="宋体" w:eastAsia="宋体"/>
                      <w:sz w:val="21"/>
                      <w:color w:val="000000"/>
                    </w:rPr>
                    <w:t>18.多流视频观摩：支持对多分屏复合画面和各个分屏画面进行录制，形成单独的录制文件，教员可随时查看某路教学画面的录制视频信息。</w:t>
                  </w:r>
                  <w:r>
                    <w:br/>
                  </w:r>
                  <w:r>
                    <w:rPr>
                      <w:rFonts w:ascii="宋体" w:hAnsi="宋体" w:cs="宋体" w:eastAsia="宋体"/>
                      <w:sz w:val="21"/>
                      <w:color w:val="000000"/>
                    </w:rPr>
                    <w:t>19.▲手动打点标记：支持视频录制时进行手动打点标记。</w:t>
                  </w:r>
                  <w:r>
                    <w:br/>
                  </w:r>
                  <w:r>
                    <w:rPr>
                      <w:rFonts w:ascii="宋体" w:hAnsi="宋体" w:cs="宋体" w:eastAsia="宋体"/>
                      <w:sz w:val="21"/>
                      <w:color w:val="000000"/>
                    </w:rPr>
                    <w:t>20.课程回放：支持课前编辑录制课程主题信息、指导教员信息，课程录制完成后可通过课程回放观看以上课程信息和回放视频。</w:t>
                  </w:r>
                  <w:r>
                    <w:br/>
                  </w:r>
                  <w:r>
                    <w:rPr>
                      <w:rFonts w:ascii="宋体" w:hAnsi="宋体" w:cs="宋体" w:eastAsia="宋体"/>
                      <w:sz w:val="21"/>
                      <w:color w:val="000000"/>
                    </w:rPr>
                    <w:t>21.回放画面放大：回放复合画面布局的视频时，可以双击选择各分屏画面进行放大、全屏播放。</w:t>
                  </w:r>
                  <w:r>
                    <w:br/>
                  </w:r>
                  <w:r>
                    <w:rPr>
                      <w:rFonts w:ascii="宋体" w:hAnsi="宋体" w:cs="宋体" w:eastAsia="宋体"/>
                      <w:sz w:val="21"/>
                      <w:color w:val="000000"/>
                    </w:rPr>
                    <w:t>22.▲画笔工具：在课后回放的过程中，提供画笔工具，对实训视频课程进行重点批注，画笔使用过程中视频画面冻结。</w:t>
                  </w:r>
                  <w:r>
                    <w:br/>
                  </w:r>
                  <w:r>
                    <w:rPr>
                      <w:rFonts w:ascii="宋体" w:hAnsi="宋体" w:cs="宋体" w:eastAsia="宋体"/>
                      <w:sz w:val="21"/>
                      <w:color w:val="000000"/>
                    </w:rPr>
                    <w:t>23.打点回放：支持显示打点记录图片打点时间点、截图信息，选择对应打点记录即可从该打点时间节点播放已录制的视频。</w:t>
                  </w:r>
                  <w:r>
                    <w:br/>
                  </w:r>
                  <w:r>
                    <w:rPr>
                      <w:rFonts w:ascii="宋体" w:hAnsi="宋体" w:cs="宋体" w:eastAsia="宋体"/>
                      <w:sz w:val="21"/>
                      <w:color w:val="000000"/>
                    </w:rPr>
                    <w:t>24.▲自动打点：支持教员在观看录制视频的时候使用画笔工具和双击放大等重点动作时，系统会自动打点记录，选择对应打点记录即可从该打点时间节点播放已录制的视频。</w:t>
                  </w:r>
                  <w:r>
                    <w:br/>
                  </w:r>
                  <w:r>
                    <w:rPr>
                      <w:rFonts w:ascii="宋体" w:hAnsi="宋体" w:cs="宋体" w:eastAsia="宋体"/>
                      <w:sz w:val="21"/>
                      <w:color w:val="000000"/>
                    </w:rPr>
                    <w:t>25.视频倍速功能：为方便细致展示回顾讲解，要求视频回放中具备倍速播放功能，可选择1倍、0.75倍、0.5倍速进行播放。</w:t>
                  </w:r>
                  <w:r>
                    <w:br/>
                  </w:r>
                  <w:r>
                    <w:rPr>
                      <w:rFonts w:ascii="宋体" w:hAnsi="宋体" w:cs="宋体" w:eastAsia="宋体"/>
                      <w:sz w:val="21"/>
                      <w:color w:val="000000"/>
                    </w:rPr>
                    <w:t>26.远程控制：支持远程控制实训主机关机和重启。</w:t>
                  </w:r>
                  <w:r>
                    <w:br/>
                  </w:r>
                  <w:r>
                    <w:rPr>
                      <w:rFonts w:ascii="宋体" w:hAnsi="宋体" w:cs="宋体" w:eastAsia="宋体"/>
                      <w:sz w:val="21"/>
                      <w:color w:val="000000"/>
                    </w:rPr>
                    <w:t>四、其他配套</w:t>
                  </w:r>
                  <w:r>
                    <w:br/>
                  </w:r>
                  <w:r>
                    <w:rPr>
                      <w:rFonts w:ascii="宋体" w:hAnsi="宋体" w:cs="宋体" w:eastAsia="宋体"/>
                      <w:sz w:val="21"/>
                      <w:color w:val="000000"/>
                    </w:rPr>
                    <w:t>1.交换机：材质为金属，供电方式为可拓展电源，自然散热，端口数量24个，下行端口速率千兆，下行接口类型为以太网交换机；线材：满足实际需求数量</w:t>
                  </w:r>
                  <w:r>
                    <w:br/>
                  </w:r>
                  <w:r>
                    <w:rPr>
                      <w:rFonts w:ascii="宋体" w:hAnsi="宋体" w:cs="宋体" w:eastAsia="宋体"/>
                      <w:sz w:val="21"/>
                      <w:color w:val="000000"/>
                    </w:rPr>
                    <w:t>2.机柜：定制</w:t>
                  </w:r>
                </w:p>
                <w:p>
                  <w:pPr>
                    <w:pStyle w:val="null3"/>
                    <w:numPr>
                      <w:ilvl w:val="0"/>
                      <w:numId w:val="1"/>
                    </w:numPr>
                    <w:ind w:right="105"/>
                    <w:jc w:val="both"/>
                  </w:pPr>
                  <w:r>
                    <w:rPr>
                      <w:rFonts w:ascii="宋体" w:hAnsi="宋体" w:cs="宋体" w:eastAsia="宋体"/>
                      <w:sz w:val="21"/>
                      <w:b/>
                      <w:color w:val="000000"/>
                    </w:rPr>
                    <w:t>烟雾释放设备</w:t>
                  </w:r>
                  <w:r>
                    <w:rPr>
                      <w:rFonts w:ascii="宋体" w:hAnsi="宋体" w:cs="宋体" w:eastAsia="宋体"/>
                      <w:sz w:val="21"/>
                      <w:b/>
                      <w:color w:val="000000"/>
                    </w:rPr>
                    <w:t>1套</w:t>
                  </w:r>
                </w:p>
                <w:p>
                  <w:pPr>
                    <w:pStyle w:val="null3"/>
                    <w:ind w:left="105" w:right="105"/>
                  </w:pPr>
                  <w:r>
                    <w:rPr>
                      <w:rFonts w:ascii="宋体" w:hAnsi="宋体" w:cs="宋体" w:eastAsia="宋体"/>
                      <w:sz w:val="21"/>
                      <w:color w:val="000000"/>
                    </w:rPr>
                    <w:t>（</w:t>
                  </w:r>
                  <w:r>
                    <w:rPr>
                      <w:rFonts w:ascii="宋体" w:hAnsi="宋体" w:cs="宋体" w:eastAsia="宋体"/>
                      <w:sz w:val="21"/>
                      <w:color w:val="000000"/>
                    </w:rPr>
                    <w:t>1）用于烟雾环境的模拟；具备电量显示功能；遥控距离≥300m；</w:t>
                  </w:r>
                  <w:r>
                    <w:br/>
                  </w:r>
                  <w:r>
                    <w:rPr>
                      <w:rFonts w:ascii="宋体" w:hAnsi="宋体" w:cs="宋体" w:eastAsia="宋体"/>
                      <w:sz w:val="21"/>
                      <w:color w:val="000000"/>
                    </w:rPr>
                    <w:t>（</w:t>
                  </w:r>
                  <w:r>
                    <w:rPr>
                      <w:rFonts w:ascii="宋体" w:hAnsi="宋体" w:cs="宋体" w:eastAsia="宋体"/>
                      <w:sz w:val="21"/>
                      <w:color w:val="000000"/>
                    </w:rPr>
                    <w:t>2）主机尺寸要求：长≤430mm，宽≤240mm，高≤170mm；</w:t>
                  </w:r>
                  <w:r>
                    <w:br/>
                  </w:r>
                  <w:r>
                    <w:rPr>
                      <w:rFonts w:ascii="宋体" w:hAnsi="宋体" w:cs="宋体" w:eastAsia="宋体"/>
                      <w:sz w:val="21"/>
                      <w:color w:val="000000"/>
                    </w:rPr>
                    <w:t>（</w:t>
                  </w:r>
                  <w:r>
                    <w:rPr>
                      <w:rFonts w:ascii="宋体" w:hAnsi="宋体" w:cs="宋体" w:eastAsia="宋体"/>
                      <w:sz w:val="21"/>
                      <w:color w:val="000000"/>
                    </w:rPr>
                    <w:t>3）主机重量：≤5.5kg；</w:t>
                  </w:r>
                  <w:r>
                    <w:br/>
                  </w:r>
                  <w:r>
                    <w:rPr>
                      <w:rFonts w:ascii="宋体" w:hAnsi="宋体" w:cs="宋体" w:eastAsia="宋体"/>
                      <w:sz w:val="21"/>
                      <w:color w:val="000000"/>
                    </w:rPr>
                    <w:t>（</w:t>
                  </w:r>
                  <w:r>
                    <w:rPr>
                      <w:rFonts w:ascii="宋体" w:hAnsi="宋体" w:cs="宋体" w:eastAsia="宋体"/>
                      <w:sz w:val="21"/>
                      <w:color w:val="000000"/>
                    </w:rPr>
                    <w:t>4）单次喷烟时长≥20s，</w:t>
                  </w:r>
                  <w:r>
                    <w:br/>
                  </w:r>
                  <w:r>
                    <w:rPr>
                      <w:rFonts w:ascii="宋体" w:hAnsi="宋体" w:cs="宋体" w:eastAsia="宋体"/>
                      <w:sz w:val="21"/>
                      <w:color w:val="000000"/>
                    </w:rPr>
                    <w:t>（</w:t>
                  </w:r>
                  <w:r>
                    <w:rPr>
                      <w:rFonts w:ascii="宋体" w:hAnsi="宋体" w:cs="宋体" w:eastAsia="宋体"/>
                      <w:sz w:val="21"/>
                      <w:color w:val="000000"/>
                    </w:rPr>
                    <w:t>5）单次喷烟覆盖面积≥20㎡，</w:t>
                  </w:r>
                  <w:r>
                    <w:br/>
                  </w:r>
                  <w:r>
                    <w:rPr>
                      <w:rFonts w:ascii="宋体" w:hAnsi="宋体" w:cs="宋体" w:eastAsia="宋体"/>
                      <w:sz w:val="21"/>
                      <w:color w:val="000000"/>
                    </w:rPr>
                    <w:t>（</w:t>
                  </w:r>
                  <w:r>
                    <w:rPr>
                      <w:rFonts w:ascii="宋体" w:hAnsi="宋体" w:cs="宋体" w:eastAsia="宋体"/>
                      <w:sz w:val="21"/>
                      <w:color w:val="000000"/>
                    </w:rPr>
                    <w:t>6）外壳防护等级≥IP54。</w:t>
                  </w:r>
                </w:p>
                <w:p>
                  <w:pPr>
                    <w:pStyle w:val="null3"/>
                    <w:numPr>
                      <w:ilvl w:val="0"/>
                      <w:numId w:val="1"/>
                    </w:numPr>
                    <w:ind w:right="105"/>
                    <w:jc w:val="both"/>
                  </w:pPr>
                  <w:r>
                    <w:rPr>
                      <w:rFonts w:ascii="宋体" w:hAnsi="宋体" w:cs="宋体" w:eastAsia="宋体"/>
                      <w:sz w:val="21"/>
                      <w:b/>
                      <w:color w:val="000000"/>
                    </w:rPr>
                    <w:t>非实弹感应靶</w:t>
                  </w:r>
                  <w:r>
                    <w:rPr>
                      <w:rFonts w:ascii="宋体" w:hAnsi="宋体" w:cs="宋体" w:eastAsia="宋体"/>
                      <w:sz w:val="21"/>
                      <w:b/>
                      <w:color w:val="000000"/>
                    </w:rPr>
                    <w:t>4台</w:t>
                  </w:r>
                </w:p>
                <w:p>
                  <w:pPr>
                    <w:pStyle w:val="null3"/>
                    <w:numPr>
                      <w:ilvl w:val="0"/>
                      <w:numId w:val="1"/>
                    </w:numPr>
                    <w:ind w:right="105"/>
                  </w:pPr>
                  <w:r>
                    <w:rPr>
                      <w:rFonts w:ascii="宋体" w:hAnsi="宋体" w:cs="宋体" w:eastAsia="宋体"/>
                      <w:sz w:val="21"/>
                      <w:color w:val="000000"/>
                    </w:rPr>
                    <w:t>非实弹感应靶（环形靶及部位靶）主要结构由感应靶牌、支撑柱、底座三部分组成；具备可拆卸功能，模块化组装及便于收纳；用于非实弹射击训练，适用标记弹、橡胶弹、</w:t>
                  </w:r>
                  <w:r>
                    <w:rPr>
                      <w:rFonts w:ascii="宋体" w:hAnsi="宋体" w:cs="宋体" w:eastAsia="宋体"/>
                      <w:sz w:val="21"/>
                      <w:color w:val="000000"/>
                    </w:rPr>
                    <w:t>BB弹等；靶牌分为多个部位，枪械命中后产品可以检测记录队员命中靶机环数，并实时上传到战训系统中，用于记录训练得分；</w:t>
                  </w:r>
                  <w:r>
                    <w:br/>
                  </w:r>
                  <w:r>
                    <w:rPr>
                      <w:rFonts w:ascii="宋体" w:hAnsi="宋体" w:cs="宋体" w:eastAsia="宋体"/>
                      <w:sz w:val="21"/>
                      <w:color w:val="000000"/>
                    </w:rPr>
                    <w:t>（</w:t>
                  </w:r>
                  <w:r>
                    <w:rPr>
                      <w:rFonts w:ascii="宋体" w:hAnsi="宋体" w:cs="宋体" w:eastAsia="宋体"/>
                      <w:sz w:val="21"/>
                      <w:color w:val="000000"/>
                    </w:rPr>
                    <w:t>2）靶牌尺寸（感应区域）：宽500mm±10mm,高505mm±10mm,厚27±3mm；</w:t>
                  </w:r>
                  <w:r>
                    <w:br/>
                  </w:r>
                  <w:r>
                    <w:rPr>
                      <w:rFonts w:ascii="宋体" w:hAnsi="宋体" w:cs="宋体" w:eastAsia="宋体"/>
                      <w:sz w:val="21"/>
                      <w:color w:val="000000"/>
                    </w:rPr>
                    <w:t>（</w:t>
                  </w:r>
                  <w:r>
                    <w:rPr>
                      <w:rFonts w:ascii="宋体" w:hAnsi="宋体" w:cs="宋体" w:eastAsia="宋体"/>
                      <w:sz w:val="21"/>
                      <w:color w:val="000000"/>
                    </w:rPr>
                    <w:t>3）靶心尺寸（环形靶）：圆直径98mm±5mm（10环）；</w:t>
                  </w:r>
                  <w:r>
                    <w:br/>
                  </w:r>
                  <w:r>
                    <w:rPr>
                      <w:rFonts w:ascii="宋体" w:hAnsi="宋体" w:cs="宋体" w:eastAsia="宋体"/>
                      <w:sz w:val="21"/>
                      <w:color w:val="000000"/>
                    </w:rPr>
                    <w:t>（</w:t>
                  </w:r>
                  <w:r>
                    <w:rPr>
                      <w:rFonts w:ascii="宋体" w:hAnsi="宋体" w:cs="宋体" w:eastAsia="宋体"/>
                      <w:sz w:val="21"/>
                      <w:color w:val="000000"/>
                    </w:rPr>
                    <w:t>4）7环、8环、9环各同心环感应区域宽度：50mm±5mm，其余感应区域为6环；</w:t>
                  </w:r>
                  <w:r>
                    <w:br/>
                  </w:r>
                  <w:r>
                    <w:rPr>
                      <w:rFonts w:ascii="宋体" w:hAnsi="宋体" w:cs="宋体" w:eastAsia="宋体"/>
                      <w:sz w:val="21"/>
                      <w:color w:val="000000"/>
                    </w:rPr>
                    <w:t>（</w:t>
                  </w:r>
                  <w:r>
                    <w:rPr>
                      <w:rFonts w:ascii="宋体" w:hAnsi="宋体" w:cs="宋体" w:eastAsia="宋体"/>
                      <w:sz w:val="21"/>
                      <w:color w:val="000000"/>
                    </w:rPr>
                    <w:t>5）面部和心脏感应区域尺寸（部位靶）：圆直径120mm±5mm；</w:t>
                  </w:r>
                  <w:r>
                    <w:br/>
                  </w:r>
                  <w:r>
                    <w:rPr>
                      <w:rFonts w:ascii="宋体" w:hAnsi="宋体" w:cs="宋体" w:eastAsia="宋体"/>
                      <w:sz w:val="21"/>
                      <w:color w:val="000000"/>
                    </w:rPr>
                    <w:t>（</w:t>
                  </w:r>
                  <w:r>
                    <w:rPr>
                      <w:rFonts w:ascii="宋体" w:hAnsi="宋体" w:cs="宋体" w:eastAsia="宋体"/>
                      <w:sz w:val="21"/>
                      <w:color w:val="000000"/>
                    </w:rPr>
                    <w:t>6）靶机成品重量：≦10kg；</w:t>
                  </w:r>
                </w:p>
                <w:p>
                  <w:pPr>
                    <w:pStyle w:val="null3"/>
                    <w:numPr>
                      <w:ilvl w:val="0"/>
                      <w:numId w:val="1"/>
                    </w:numPr>
                    <w:ind w:right="105"/>
                    <w:jc w:val="both"/>
                  </w:pPr>
                  <w:r>
                    <w:rPr>
                      <w:rFonts w:ascii="宋体" w:hAnsi="宋体" w:cs="宋体" w:eastAsia="宋体"/>
                      <w:sz w:val="21"/>
                      <w:b/>
                      <w:color w:val="000000"/>
                    </w:rPr>
                    <w:t>观察梯</w:t>
                  </w:r>
                  <w:r>
                    <w:rPr>
                      <w:rFonts w:ascii="宋体" w:hAnsi="宋体" w:cs="宋体" w:eastAsia="宋体"/>
                      <w:sz w:val="21"/>
                      <w:b/>
                      <w:color w:val="000000"/>
                    </w:rPr>
                    <w:t xml:space="preserve">  </w:t>
                  </w:r>
                  <w:r>
                    <w:rPr>
                      <w:rFonts w:ascii="宋体" w:hAnsi="宋体" w:cs="宋体" w:eastAsia="宋体"/>
                      <w:sz w:val="21"/>
                      <w:b/>
                      <w:color w:val="000000"/>
                    </w:rPr>
                    <w:t>4部</w:t>
                  </w:r>
                </w:p>
                <w:p>
                  <w:pPr>
                    <w:pStyle w:val="null3"/>
                    <w:ind w:left="105" w:right="105"/>
                    <w:jc w:val="both"/>
                  </w:pPr>
                  <w:r>
                    <w:rPr>
                      <w:rFonts w:ascii="宋体" w:hAnsi="宋体" w:cs="宋体" w:eastAsia="宋体"/>
                      <w:sz w:val="21"/>
                      <w:color w:val="000000"/>
                    </w:rPr>
                    <w:t>（</w:t>
                  </w:r>
                  <w:r>
                    <w:rPr>
                      <w:rFonts w:ascii="宋体" w:hAnsi="宋体" w:cs="宋体" w:eastAsia="宋体"/>
                      <w:sz w:val="21"/>
                      <w:color w:val="000000"/>
                    </w:rPr>
                    <w:t>1）站立平台高度1.85米；</w:t>
                  </w:r>
                  <w:r>
                    <w:br/>
                  </w:r>
                  <w:r>
                    <w:rPr>
                      <w:rFonts w:ascii="宋体" w:hAnsi="宋体" w:cs="宋体" w:eastAsia="宋体"/>
                      <w:sz w:val="21"/>
                      <w:color w:val="000000"/>
                    </w:rPr>
                    <w:t>（</w:t>
                  </w:r>
                  <w:r>
                    <w:rPr>
                      <w:rFonts w:ascii="宋体" w:hAnsi="宋体" w:cs="宋体" w:eastAsia="宋体"/>
                      <w:sz w:val="21"/>
                      <w:color w:val="000000"/>
                    </w:rPr>
                    <w:t>2）主材选用优质冷轧钢板经过剪切、冲压、折弯、焊接等工艺装配而成；</w:t>
                  </w:r>
                  <w:r>
                    <w:br/>
                  </w:r>
                  <w:r>
                    <w:rPr>
                      <w:rFonts w:ascii="宋体" w:hAnsi="宋体" w:cs="宋体" w:eastAsia="宋体"/>
                      <w:sz w:val="21"/>
                      <w:color w:val="000000"/>
                    </w:rPr>
                    <w:t>（</w:t>
                  </w:r>
                  <w:r>
                    <w:rPr>
                      <w:rFonts w:ascii="宋体" w:hAnsi="宋体" w:cs="宋体" w:eastAsia="宋体"/>
                      <w:sz w:val="21"/>
                      <w:color w:val="000000"/>
                    </w:rPr>
                    <w:t>3）结构合理，定位精确，符合人体工程学更耐用。</w:t>
                  </w:r>
                  <w:r>
                    <w:br/>
                  </w:r>
                  <w:r>
                    <w:rPr>
                      <w:rFonts w:ascii="宋体" w:hAnsi="宋体" w:cs="宋体" w:eastAsia="宋体"/>
                      <w:sz w:val="21"/>
                      <w:color w:val="000000"/>
                    </w:rPr>
                    <w:t>（</w:t>
                  </w:r>
                  <w:r>
                    <w:rPr>
                      <w:rFonts w:ascii="宋体" w:hAnsi="宋体" w:cs="宋体" w:eastAsia="宋体"/>
                      <w:sz w:val="21"/>
                      <w:color w:val="000000"/>
                    </w:rPr>
                    <w:t>4）表面喷涂处理，底部配有4个万向轮，轮子具备刹车功能。</w:t>
                  </w:r>
                  <w:r>
                    <w:br/>
                  </w:r>
                  <w:r>
                    <w:rPr>
                      <w:rFonts w:ascii="宋体" w:hAnsi="宋体" w:cs="宋体" w:eastAsia="宋体"/>
                      <w:sz w:val="21"/>
                      <w:color w:val="000000"/>
                    </w:rPr>
                    <w:t>（</w:t>
                  </w:r>
                  <w:r>
                    <w:rPr>
                      <w:rFonts w:ascii="宋体" w:hAnsi="宋体" w:cs="宋体" w:eastAsia="宋体"/>
                      <w:sz w:val="21"/>
                      <w:color w:val="000000"/>
                    </w:rPr>
                    <w:t>5）可与战训房屋通过U型插销连接，配合使用、加固。</w:t>
                  </w:r>
                  <w:r>
                    <w:br/>
                  </w:r>
                  <w:r>
                    <w:rPr>
                      <w:rFonts w:ascii="宋体" w:hAnsi="宋体" w:cs="宋体" w:eastAsia="宋体"/>
                      <w:sz w:val="21"/>
                      <w:color w:val="000000"/>
                    </w:rPr>
                    <w:t>（</w:t>
                  </w:r>
                  <w:r>
                    <w:rPr>
                      <w:rFonts w:ascii="宋体" w:hAnsi="宋体" w:cs="宋体" w:eastAsia="宋体"/>
                      <w:sz w:val="21"/>
                      <w:color w:val="000000"/>
                    </w:rPr>
                    <w:t>6）产品规格：宽1050mm，长1800mm（不含轮子），高2850mm(不含轮子)，用户站立平台距离地面≥1850mm（不含轮子）。</w:t>
                  </w:r>
                  <w:r>
                    <w:br/>
                  </w:r>
                  <w:r>
                    <w:rPr>
                      <w:rFonts w:ascii="宋体" w:hAnsi="宋体" w:cs="宋体" w:eastAsia="宋体"/>
                      <w:sz w:val="21"/>
                      <w:color w:val="000000"/>
                    </w:rPr>
                    <w:t>（</w:t>
                  </w:r>
                  <w:r>
                    <w:rPr>
                      <w:rFonts w:ascii="宋体" w:hAnsi="宋体" w:cs="宋体" w:eastAsia="宋体"/>
                      <w:sz w:val="21"/>
                      <w:color w:val="000000"/>
                    </w:rPr>
                    <w:t>7）承重≥150KG。</w:t>
                  </w:r>
                </w:p>
                <w:p>
                  <w:pPr>
                    <w:pStyle w:val="null3"/>
                    <w:numPr>
                      <w:ilvl w:val="0"/>
                      <w:numId w:val="1"/>
                    </w:numPr>
                    <w:ind w:right="105"/>
                    <w:jc w:val="both"/>
                  </w:pPr>
                  <w:r>
                    <w:rPr>
                      <w:rFonts w:ascii="宋体" w:hAnsi="宋体" w:cs="宋体" w:eastAsia="宋体"/>
                      <w:sz w:val="21"/>
                      <w:b/>
                      <w:color w:val="000000"/>
                    </w:rPr>
                    <w:t>高亮电子屏</w:t>
                  </w:r>
                  <w:r>
                    <w:rPr>
                      <w:rFonts w:ascii="宋体" w:hAnsi="宋体" w:cs="宋体" w:eastAsia="宋体"/>
                      <w:sz w:val="21"/>
                      <w:b/>
                      <w:color w:val="000000"/>
                    </w:rPr>
                    <w:t xml:space="preserve">  </w:t>
                  </w:r>
                  <w:r>
                    <w:rPr>
                      <w:rFonts w:ascii="宋体" w:hAnsi="宋体" w:cs="宋体" w:eastAsia="宋体"/>
                      <w:sz w:val="21"/>
                      <w:b/>
                      <w:color w:val="000000"/>
                    </w:rPr>
                    <w:t>1台</w:t>
                  </w:r>
                </w:p>
                <w:p>
                  <w:pPr>
                    <w:pStyle w:val="null3"/>
                    <w:ind w:left="105" w:right="105"/>
                    <w:jc w:val="both"/>
                  </w:pPr>
                  <w:r>
                    <w:rPr>
                      <w:rFonts w:ascii="宋体" w:hAnsi="宋体" w:cs="宋体" w:eastAsia="宋体"/>
                      <w:sz w:val="21"/>
                      <w:color w:val="000000"/>
                    </w:rPr>
                    <w:t>面板尺寸</w:t>
                  </w:r>
                  <w:r>
                    <w:rPr>
                      <w:rFonts w:ascii="宋体" w:hAnsi="宋体" w:cs="宋体" w:eastAsia="宋体"/>
                      <w:sz w:val="21"/>
                      <w:color w:val="000000"/>
                    </w:rPr>
                    <w:t>：</w:t>
                  </w:r>
                  <w:r>
                    <w:rPr>
                      <w:rFonts w:ascii="宋体" w:hAnsi="宋体" w:cs="宋体" w:eastAsia="宋体"/>
                      <w:sz w:val="21"/>
                      <w:color w:val="000000"/>
                    </w:rPr>
                    <w:t>≥75″</w:t>
                  </w:r>
                  <w:r>
                    <w:br/>
                  </w:r>
                  <w:r>
                    <w:rPr>
                      <w:rFonts w:ascii="宋体" w:hAnsi="宋体" w:cs="宋体" w:eastAsia="宋体"/>
                      <w:sz w:val="21"/>
                      <w:color w:val="000000"/>
                    </w:rPr>
                    <w:t>显示面积</w:t>
                  </w:r>
                  <w:r>
                    <w:rPr>
                      <w:rFonts w:ascii="宋体" w:hAnsi="宋体" w:cs="宋体" w:eastAsia="宋体"/>
                      <w:sz w:val="21"/>
                      <w:color w:val="000000"/>
                    </w:rPr>
                    <w:t>：</w:t>
                  </w:r>
                  <w:r>
                    <w:rPr>
                      <w:rFonts w:ascii="宋体" w:hAnsi="宋体" w:cs="宋体" w:eastAsia="宋体"/>
                      <w:sz w:val="21"/>
                      <w:color w:val="000000"/>
                    </w:rPr>
                    <w:t>≥1650(H)×928(V)mm</w:t>
                  </w:r>
                  <w:r>
                    <w:br/>
                  </w:r>
                  <w:r>
                    <w:rPr>
                      <w:rFonts w:ascii="宋体" w:hAnsi="宋体" w:cs="宋体" w:eastAsia="宋体"/>
                      <w:sz w:val="21"/>
                      <w:color w:val="000000"/>
                    </w:rPr>
                    <w:t>整机尺寸：</w:t>
                  </w:r>
                  <w:r>
                    <w:rPr>
                      <w:rFonts w:ascii="宋体" w:hAnsi="宋体" w:cs="宋体" w:eastAsia="宋体"/>
                      <w:sz w:val="21"/>
                      <w:color w:val="000000"/>
                    </w:rPr>
                    <w:t>≥1689×968x65mm</w:t>
                  </w:r>
                  <w:r>
                    <w:br/>
                  </w:r>
                  <w:r>
                    <w:rPr>
                      <w:rFonts w:ascii="宋体" w:hAnsi="宋体" w:cs="宋体" w:eastAsia="宋体"/>
                      <w:sz w:val="21"/>
                      <w:color w:val="000000"/>
                    </w:rPr>
                    <w:t>液晶类型：</w:t>
                  </w:r>
                  <w:r>
                    <w:rPr>
                      <w:rFonts w:ascii="宋体" w:hAnsi="宋体" w:cs="宋体" w:eastAsia="宋体"/>
                      <w:sz w:val="21"/>
                      <w:color w:val="000000"/>
                    </w:rPr>
                    <w:t>TFT-LCD</w:t>
                  </w:r>
                  <w:r>
                    <w:br/>
                  </w:r>
                  <w:r>
                    <w:rPr>
                      <w:rFonts w:ascii="宋体" w:hAnsi="宋体" w:cs="宋体" w:eastAsia="宋体"/>
                      <w:sz w:val="21"/>
                      <w:color w:val="000000"/>
                    </w:rPr>
                    <w:t>物理分辨率：</w:t>
                  </w:r>
                  <w:r>
                    <w:rPr>
                      <w:rFonts w:ascii="宋体" w:hAnsi="宋体" w:cs="宋体" w:eastAsia="宋体"/>
                      <w:sz w:val="21"/>
                      <w:color w:val="000000"/>
                    </w:rPr>
                    <w:t>≥3840×2160</w:t>
                  </w:r>
                  <w:r>
                    <w:br/>
                  </w:r>
                  <w:r>
                    <w:rPr>
                      <w:rFonts w:ascii="宋体" w:hAnsi="宋体" w:cs="宋体" w:eastAsia="宋体"/>
                      <w:sz w:val="21"/>
                      <w:color w:val="000000"/>
                    </w:rPr>
                    <w:t>显示色彩：</w:t>
                  </w:r>
                  <w:r>
                    <w:rPr>
                      <w:rFonts w:ascii="宋体" w:hAnsi="宋体" w:cs="宋体" w:eastAsia="宋体"/>
                      <w:sz w:val="21"/>
                      <w:color w:val="000000"/>
                    </w:rPr>
                    <w:t>≥16.7M</w:t>
                  </w:r>
                  <w:r>
                    <w:br/>
                  </w:r>
                  <w:r>
                    <w:rPr>
                      <w:rFonts w:ascii="宋体" w:hAnsi="宋体" w:cs="宋体" w:eastAsia="宋体"/>
                      <w:sz w:val="21"/>
                      <w:color w:val="000000"/>
                    </w:rPr>
                    <w:t>亮度</w:t>
                  </w:r>
                  <w:r>
                    <w:rPr>
                      <w:rFonts w:ascii="宋体" w:hAnsi="宋体" w:cs="宋体" w:eastAsia="宋体"/>
                      <w:sz w:val="21"/>
                      <w:color w:val="000000"/>
                    </w:rPr>
                    <w:t>(nits)：≥1500cd/㎡（亮度可定制）</w:t>
                  </w:r>
                  <w:r>
                    <w:br/>
                  </w:r>
                  <w:r>
                    <w:rPr>
                      <w:rFonts w:ascii="宋体" w:hAnsi="宋体" w:cs="宋体" w:eastAsia="宋体"/>
                      <w:sz w:val="21"/>
                      <w:color w:val="000000"/>
                    </w:rPr>
                    <w:t>对比度：</w:t>
                  </w:r>
                  <w:r>
                    <w:rPr>
                      <w:rFonts w:ascii="宋体" w:hAnsi="宋体" w:cs="宋体" w:eastAsia="宋体"/>
                      <w:sz w:val="21"/>
                      <w:color w:val="000000"/>
                    </w:rPr>
                    <w:t>≥1500：1</w:t>
                  </w:r>
                  <w:r>
                    <w:br/>
                  </w:r>
                  <w:r>
                    <w:rPr>
                      <w:rFonts w:ascii="宋体" w:hAnsi="宋体" w:cs="宋体" w:eastAsia="宋体"/>
                      <w:sz w:val="21"/>
                      <w:color w:val="000000"/>
                    </w:rPr>
                    <w:t>可视视角：</w:t>
                  </w:r>
                  <w:r>
                    <w:rPr>
                      <w:rFonts w:ascii="宋体" w:hAnsi="宋体" w:cs="宋体" w:eastAsia="宋体"/>
                      <w:sz w:val="21"/>
                      <w:color w:val="000000"/>
                    </w:rPr>
                    <w:t>≥89/89/89/89(cr≥10)(上下左右)</w:t>
                  </w:r>
                  <w:r>
                    <w:br/>
                  </w:r>
                  <w:r>
                    <w:rPr>
                      <w:rFonts w:ascii="宋体" w:hAnsi="宋体" w:cs="宋体" w:eastAsia="宋体"/>
                      <w:sz w:val="21"/>
                      <w:color w:val="000000"/>
                    </w:rPr>
                    <w:t>响应时间：</w:t>
                  </w:r>
                  <w:r>
                    <w:rPr>
                      <w:rFonts w:ascii="宋体" w:hAnsi="宋体" w:cs="宋体" w:eastAsia="宋体"/>
                      <w:sz w:val="21"/>
                      <w:color w:val="000000"/>
                    </w:rPr>
                    <w:t>≤8ms</w:t>
                  </w:r>
                  <w:r>
                    <w:br/>
                  </w:r>
                  <w:r>
                    <w:rPr>
                      <w:rFonts w:ascii="宋体" w:hAnsi="宋体" w:cs="宋体" w:eastAsia="宋体"/>
                      <w:sz w:val="21"/>
                      <w:color w:val="000000"/>
                    </w:rPr>
                    <w:t>适用频率：</w:t>
                  </w:r>
                  <w:r>
                    <w:rPr>
                      <w:rFonts w:ascii="宋体" w:hAnsi="宋体" w:cs="宋体" w:eastAsia="宋体"/>
                      <w:sz w:val="21"/>
                      <w:color w:val="000000"/>
                    </w:rPr>
                    <w:t xml:space="preserve">≥60Hz；          </w:t>
                  </w:r>
                </w:p>
              </w:tc>
            </w:tr>
            <w:tr>
              <w:tc>
                <w:tcPr>
                  <w:tcW w:type="dxa" w:w="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80" w:right="30"/>
                    <w:jc w:val="center"/>
                  </w:pPr>
                  <w:r>
                    <w:rPr>
                      <w:rFonts w:ascii="宋体" w:hAnsi="宋体" w:cs="宋体" w:eastAsia="宋体"/>
                      <w:sz w:val="21"/>
                      <w:b/>
                    </w:rPr>
                    <w:t>2</w:t>
                  </w:r>
                </w:p>
              </w:tc>
              <w:tc>
                <w:tcPr>
                  <w:tcW w:type="dxa" w:w="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宋体" w:hAnsi="宋体" w:cs="宋体" w:eastAsia="宋体"/>
                      <w:sz w:val="21"/>
                    </w:rPr>
                    <w:t>基础建设及相关设施</w:t>
                  </w:r>
                </w:p>
              </w:tc>
              <w:tc>
                <w:tcPr>
                  <w:tcW w:type="dxa" w:w="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宋体" w:hAnsi="宋体" w:cs="宋体" w:eastAsia="宋体"/>
                      <w:sz w:val="21"/>
                      <w:b/>
                    </w:rPr>
                    <w:t>/</w:t>
                  </w:r>
                </w:p>
              </w:tc>
              <w:tc>
                <w:tcPr>
                  <w:tcW w:type="dxa" w:w="2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ind w:right="105"/>
                    <w:jc w:val="both"/>
                  </w:pPr>
                  <w:r>
                    <w:rPr>
                      <w:rFonts w:ascii="宋体" w:hAnsi="宋体" w:cs="宋体" w:eastAsia="宋体"/>
                      <w:sz w:val="21"/>
                      <w:b/>
                      <w:color w:val="000000"/>
                    </w:rPr>
                    <w:t>电动防雨棚</w:t>
                  </w:r>
                </w:p>
                <w:p>
                  <w:pPr>
                    <w:pStyle w:val="null3"/>
                    <w:ind w:left="105" w:right="105"/>
                    <w:jc w:val="both"/>
                  </w:pPr>
                  <w:r>
                    <w:rPr>
                      <w:rFonts w:ascii="宋体" w:hAnsi="宋体" w:cs="宋体" w:eastAsia="宋体"/>
                      <w:sz w:val="21"/>
                      <w:color w:val="000000"/>
                    </w:rPr>
                    <w:t>（</w:t>
                  </w:r>
                  <w:r>
                    <w:rPr>
                      <w:rFonts w:ascii="宋体" w:hAnsi="宋体" w:cs="宋体" w:eastAsia="宋体"/>
                      <w:sz w:val="21"/>
                      <w:color w:val="000000"/>
                    </w:rPr>
                    <w:t>1）材质：PVC膜布 950克/㎡，透光率8%±2，厚度0.7mm±0.1mm。</w:t>
                  </w:r>
                  <w:r>
                    <w:br/>
                  </w:r>
                  <w:r>
                    <w:rPr>
                      <w:rFonts w:ascii="宋体" w:hAnsi="宋体" w:cs="宋体" w:eastAsia="宋体"/>
                      <w:sz w:val="21"/>
                      <w:color w:val="000000"/>
                    </w:rPr>
                    <w:t>（</w:t>
                  </w:r>
                  <w:r>
                    <w:rPr>
                      <w:rFonts w:ascii="宋体" w:hAnsi="宋体" w:cs="宋体" w:eastAsia="宋体"/>
                      <w:sz w:val="21"/>
                      <w:color w:val="000000"/>
                    </w:rPr>
                    <w:t>2）电机规格：≥ 0.8kw</w:t>
                  </w:r>
                  <w:r>
                    <w:br/>
                  </w:r>
                  <w:r>
                    <w:rPr>
                      <w:rFonts w:ascii="宋体" w:hAnsi="宋体" w:cs="宋体" w:eastAsia="宋体"/>
                      <w:sz w:val="21"/>
                      <w:color w:val="000000"/>
                    </w:rPr>
                    <w:t>（</w:t>
                  </w:r>
                  <w:r>
                    <w:rPr>
                      <w:rFonts w:ascii="宋体" w:hAnsi="宋体" w:cs="宋体" w:eastAsia="宋体"/>
                      <w:sz w:val="21"/>
                      <w:color w:val="000000"/>
                    </w:rPr>
                    <w:t>3）方管规格： Q235B，底梁50x50x1.8mm,狐梁30x50x1.8mm,剪刀架20x40x1.8mm,雨棚立柱76圆管x1.8mm</w:t>
                  </w:r>
                  <w:r>
                    <w:br/>
                  </w:r>
                  <w:r>
                    <w:rPr>
                      <w:rFonts w:ascii="宋体" w:hAnsi="宋体" w:cs="宋体" w:eastAsia="宋体"/>
                      <w:sz w:val="21"/>
                      <w:color w:val="000000"/>
                    </w:rPr>
                    <w:t>（</w:t>
                  </w:r>
                  <w:r>
                    <w:rPr>
                      <w:rFonts w:ascii="宋体" w:hAnsi="宋体" w:cs="宋体" w:eastAsia="宋体"/>
                      <w:sz w:val="21"/>
                      <w:color w:val="000000"/>
                    </w:rPr>
                    <w:t>4）H钢方柱：100*200*5.5mm</w:t>
                  </w:r>
                  <w:r>
                    <w:br/>
                  </w:r>
                  <w:r>
                    <w:rPr>
                      <w:rFonts w:ascii="宋体" w:hAnsi="宋体" w:cs="宋体" w:eastAsia="宋体"/>
                      <w:sz w:val="21"/>
                      <w:color w:val="000000"/>
                    </w:rPr>
                    <w:t>（</w:t>
                  </w:r>
                  <w:r>
                    <w:rPr>
                      <w:rFonts w:ascii="宋体" w:hAnsi="宋体" w:cs="宋体" w:eastAsia="宋体"/>
                      <w:sz w:val="21"/>
                      <w:color w:val="000000"/>
                    </w:rPr>
                    <w:t>5）面积：≥99㎡</w:t>
                  </w:r>
                </w:p>
                <w:p>
                  <w:pPr>
                    <w:pStyle w:val="null3"/>
                    <w:numPr>
                      <w:ilvl w:val="0"/>
                      <w:numId w:val="1"/>
                    </w:numPr>
                    <w:ind w:right="105"/>
                    <w:jc w:val="both"/>
                  </w:pPr>
                  <w:r>
                    <w:rPr>
                      <w:rFonts w:ascii="宋体" w:hAnsi="宋体" w:cs="宋体" w:eastAsia="宋体"/>
                      <w:sz w:val="21"/>
                      <w:b/>
                      <w:color w:val="000000"/>
                    </w:rPr>
                    <w:t>地面及道路处理</w:t>
                  </w:r>
                </w:p>
                <w:p>
                  <w:pPr>
                    <w:pStyle w:val="null3"/>
                    <w:ind w:left="105" w:right="105"/>
                    <w:jc w:val="both"/>
                  </w:pPr>
                  <w:r>
                    <w:rPr>
                      <w:rFonts w:ascii="宋体" w:hAnsi="宋体" w:cs="宋体" w:eastAsia="宋体"/>
                      <w:sz w:val="21"/>
                      <w:color w:val="000000"/>
                    </w:rPr>
                    <w:t>1.地面硬化处理：面积≥500㎡，素土夯实，150厚C30混凝土面层分块捣制，每块长度不大于6米，缝宽5-10㎜；;</w:t>
                  </w:r>
                </w:p>
                <w:p>
                  <w:pPr>
                    <w:pStyle w:val="null3"/>
                    <w:ind w:left="105" w:right="105"/>
                    <w:jc w:val="both"/>
                  </w:pPr>
                  <w:r>
                    <w:rPr>
                      <w:rFonts w:ascii="宋体" w:hAnsi="宋体" w:cs="宋体" w:eastAsia="宋体"/>
                      <w:sz w:val="21"/>
                      <w:color w:val="000000"/>
                    </w:rPr>
                    <w:t>2.行车路面硬化处理：面积≥500㎡，素土夯实，200厚C30混凝土面层分块捣制，每块长度不大于6米，缝宽5-10㎜，沥青砂子或者沥青处理；</w:t>
                  </w:r>
                </w:p>
                <w:p>
                  <w:pPr>
                    <w:pStyle w:val="null3"/>
                    <w:ind w:left="105" w:right="105"/>
                    <w:jc w:val="both"/>
                  </w:pPr>
                  <w:r>
                    <w:rPr>
                      <w:rFonts w:ascii="宋体" w:hAnsi="宋体" w:cs="宋体" w:eastAsia="宋体"/>
                      <w:sz w:val="21"/>
                      <w:color w:val="000000"/>
                    </w:rPr>
                    <w:t>3.停车位硬化处理：面积约500㎡，150厚C30混凝土面层，完成后划分停车位线2500*5400mm，线宽120mm；</w:t>
                  </w:r>
                </w:p>
                <w:p>
                  <w:pPr>
                    <w:pStyle w:val="null3"/>
                    <w:ind w:left="105" w:right="105"/>
                    <w:jc w:val="both"/>
                  </w:pPr>
                  <w:r>
                    <w:rPr>
                      <w:rFonts w:ascii="宋体" w:hAnsi="宋体" w:cs="宋体" w:eastAsia="宋体"/>
                      <w:sz w:val="21"/>
                      <w:color w:val="000000"/>
                    </w:rPr>
                    <w:t>4.卫生间：PPR冷水管DN25给水管道，橡塑保温两次，埋地铺设；卫生间采用不锈钢成品套件，安装完成只需水电接驳即可;卫生间尺寸长 6 米宽 4.2 米、层高 2.8 米，外墙体颜色为白色乳胶漆，卫生间内室为白色瓷砖墙面，地面为灰色防滑瓷砖，屋面为斜坡灰色树脂瓦材质。男女各两套蹲便池，男卫生间两套小便池，两套洗手盆。</w:t>
                  </w:r>
                </w:p>
                <w:p>
                  <w:pPr>
                    <w:pStyle w:val="null3"/>
                    <w:ind w:left="105" w:right="105"/>
                    <w:jc w:val="both"/>
                  </w:pPr>
                  <w:r>
                    <w:rPr>
                      <w:rFonts w:ascii="宋体" w:hAnsi="宋体" w:cs="宋体" w:eastAsia="宋体"/>
                      <w:sz w:val="21"/>
                      <w:color w:val="000000"/>
                    </w:rPr>
                    <w:t>5.化粪池构筑：人工开挖基坑，开挖深度为2米，长度4米，宽度2米,素土夯实，30 公分 3:7 灰土回填、夯实，10公分c20混凝土垫层，放4立方玻璃钢成品化粪池，开挖及预埋污水管道、回填。</w:t>
                  </w:r>
                </w:p>
                <w:p>
                  <w:pPr>
                    <w:pStyle w:val="null3"/>
                    <w:ind w:left="105" w:right="105"/>
                    <w:jc w:val="both"/>
                  </w:pPr>
                  <w:r>
                    <w:rPr>
                      <w:rFonts w:ascii="宋体" w:hAnsi="宋体" w:cs="宋体" w:eastAsia="宋体"/>
                      <w:sz w:val="21"/>
                      <w:color w:val="000000"/>
                    </w:rPr>
                    <w:t>6.场地苗木清理：机械+人工清理；场地区域内9棵树，直径小于20cm。</w:t>
                  </w:r>
                </w:p>
                <w:p>
                  <w:pPr>
                    <w:pStyle w:val="null3"/>
                    <w:ind w:left="105" w:right="105"/>
                    <w:jc w:val="both"/>
                  </w:pPr>
                  <w:r>
                    <w:rPr>
                      <w:rFonts w:ascii="宋体" w:hAnsi="宋体" w:cs="宋体" w:eastAsia="宋体"/>
                      <w:sz w:val="21"/>
                      <w:color w:val="000000"/>
                    </w:rPr>
                    <w:t>7.强弱电管线预埋：预埋套管及强弱电长度大于等于150米,采用HDPE穿线管，规格DN32，埋地敷设，跨公路部位采用钢管套管保护；电线采用国标YJV3*4电缆。</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合同签订后60日历天内完成产品配送到位，并交付招标人最终验收合格。</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合同签订，全部货物配送到位经双方共同核验无误后，甲方在30日内，向乙方支付合同总金额的65%；</w:t>
      </w:r>
      <w:r>
        <w:rPr/>
        <w:t xml:space="preserve"> ，达到付款条件起 </w:t>
      </w:r>
      <w:r>
        <w:rPr/>
        <w:t>30</w:t>
      </w:r>
      <w:r>
        <w:rPr/>
        <w:t xml:space="preserve"> 日内，支付合同总金额的 </w:t>
      </w:r>
      <w:r>
        <w:rPr/>
        <w:t>65.00</w:t>
      </w:r>
      <w:r>
        <w:rPr/>
        <w:t>%。</w:t>
      </w:r>
    </w:p>
    <w:p>
      <w:pPr>
        <w:pStyle w:val="null3"/>
      </w:pPr>
      <w:r>
        <w:rPr/>
        <w:t>采购包1：</w:t>
      </w:r>
      <w:r>
        <w:rPr/>
        <w:t xml:space="preserve"> 付款条件说明： </w:t>
      </w:r>
      <w:r>
        <w:rPr/>
        <w:t>乙方安装调试完毕，且经甲方最终验收合格并完成技术培训后，甲方在30日内，向乙方支付剩余合同总金额的35%。</w:t>
      </w:r>
      <w:r>
        <w:rPr/>
        <w:t xml:space="preserve"> ，达到付款条件起 </w:t>
      </w:r>
      <w:r>
        <w:rPr/>
        <w:t>30</w:t>
      </w:r>
      <w:r>
        <w:rPr/>
        <w:t xml:space="preserve"> 日内，支付合同总金额的 </w:t>
      </w:r>
      <w:r>
        <w:rPr/>
        <w:t>35.00</w:t>
      </w:r>
      <w:r>
        <w:rPr/>
        <w:t>%。</w:t>
      </w:r>
    </w:p>
    <w:p>
      <w:pPr>
        <w:pStyle w:val="null3"/>
        <w:outlineLvl w:val="3"/>
      </w:pPr>
      <w:r>
        <w:rPr>
          <w:sz w:val="24"/>
          <w:b/>
        </w:rPr>
        <w:t>3.4.5验收标准和方法</w:t>
      </w:r>
    </w:p>
    <w:p>
      <w:pPr>
        <w:pStyle w:val="null3"/>
      </w:pPr>
      <w:r>
        <w:rPr/>
        <w:t>采购包1：</w:t>
      </w:r>
    </w:p>
    <w:p>
      <w:pPr>
        <w:pStyle w:val="null3"/>
      </w:pPr>
      <w:r>
        <w:rPr/>
        <w:t>现行的国家标准或国家行政部门颁布的法律法规、规章制度等，是项目验收的另一个重要依据。没有国家标准的，可以参考行业标准。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（1）所有产品质量必须符合现行的国家标准或国家行政部门颁布的法律法规、规章制度等。没有国家标准的，可以参考行业标准。所有设备及辅材必须是未使用过的新产品，质量优良、渠道正当，配置合理。 （2）质保期：自验收合格后不低于3年。免费质保期从货物供货、安装、调试正常且经采购人最终验收合格后开始计算。免费质保期内对所投产品进行免费维修，免费质保期满后，供应商负责终身维修，如产生维修费用的供应商仅收取维修成本费。</w:t>
      </w:r>
    </w:p>
    <w:p>
      <w:pPr>
        <w:pStyle w:val="null3"/>
        <w:outlineLvl w:val="3"/>
      </w:pPr>
      <w:r>
        <w:rPr>
          <w:sz w:val="24"/>
          <w:b/>
        </w:rPr>
        <w:t>3.4.8违约责任与解决争议的方法</w:t>
      </w:r>
    </w:p>
    <w:p>
      <w:pPr>
        <w:pStyle w:val="null3"/>
      </w:pPr>
      <w:r>
        <w:rPr/>
        <w:t>采购包1：</w:t>
      </w:r>
    </w:p>
    <w:p>
      <w:pPr>
        <w:pStyle w:val="null3"/>
      </w:pPr>
      <w:r>
        <w:rPr/>
        <w:t>因执行本合同所发生的或与本合同有关的一切争议,双方应通过友好协商解决。如果协商开始后六十（60）天还不能解决，双方可依以下一种方式解决：①双方达成仲裁协议，向约定的仲裁委员会申请仲裁；②向有管辖权的人民法院起诉。</w:t>
      </w:r>
    </w:p>
    <w:p>
      <w:pPr>
        <w:pStyle w:val="null3"/>
        <w:jc w:val="left"/>
        <w:outlineLvl w:val="2"/>
      </w:pPr>
      <w:r>
        <w:rPr>
          <w:sz w:val="28"/>
          <w:b/>
        </w:rPr>
        <w:t>3.5其他要求</w:t>
      </w:r>
    </w:p>
    <w:p>
      <w:pPr>
        <w:pStyle w:val="null3"/>
      </w:pPr>
      <w:r>
        <w:rPr/>
        <w:t>2021年1月1日至今（以合同签订日期为准），类似项目业绩。</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投标人资格证明文件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投标人资格证明文件 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投标人资格证明文件 投标人应提交的相关资格证明材料</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参加政府采购活动前3年内在经营活动中没有重大违法记录</w:t>
            </w:r>
          </w:p>
        </w:tc>
        <w:tc>
          <w:tcPr>
            <w:tcW w:type="dxa" w:w="3322"/>
          </w:tcPr>
          <w:p>
            <w:pPr>
              <w:pStyle w:val="null3"/>
            </w:pPr>
            <w:r>
              <w:rPr/>
              <w:t>参加政府采购活动前3年内在经营活动中没有重大违法记录；供应商需在项目电子化交易系统中按要求填写《响应函》完成承诺并进行电子签章；供应商需在项目电子化交易系统中按要求上传相应证明文件并进行电子签章；</w:t>
            </w:r>
          </w:p>
        </w:tc>
        <w:tc>
          <w:tcPr>
            <w:tcW w:type="dxa" w:w="1661"/>
          </w:tcPr>
          <w:p>
            <w:pPr>
              <w:pStyle w:val="null3"/>
            </w:pPr>
            <w:r>
              <w:rPr/>
              <w:t>投标函 投标人资格证明文件</w:t>
            </w:r>
          </w:p>
        </w:tc>
      </w:tr>
      <w:tr>
        <w:tc>
          <w:tcPr>
            <w:tcW w:type="dxa" w:w="831"/>
          </w:tcPr>
          <w:p>
            <w:pPr>
              <w:pStyle w:val="null3"/>
            </w:pPr>
            <w:r>
              <w:rPr/>
              <w:t>3</w:t>
            </w:r>
          </w:p>
        </w:tc>
        <w:tc>
          <w:tcPr>
            <w:tcW w:type="dxa" w:w="2492"/>
          </w:tcPr>
          <w:p>
            <w:pPr>
              <w:pStyle w:val="null3"/>
            </w:pPr>
            <w:r>
              <w:rPr/>
              <w:t>信用主体查询</w:t>
            </w:r>
          </w:p>
        </w:tc>
        <w:tc>
          <w:tcPr>
            <w:tcW w:type="dxa" w:w="3322"/>
          </w:tcPr>
          <w:p>
            <w:pPr>
              <w:pStyle w:val="null3"/>
            </w:pPr>
            <w:r>
              <w:rPr/>
              <w:t>供应商未被列入“中国执行信息公开网”网站（http://zxgk.court.gov.cn/shixin/）记录“失信被执行人”“重大税收违法案件当事人名单”“政府采购严重违法失信行为记录名单”；不处于中国政府采购网（www.ccgp.gov.cn）政府采购严重违法失信行为信息记录中的禁止参加政府采购活动期间；供应商应提供网站查询截图；</w:t>
            </w:r>
          </w:p>
        </w:tc>
        <w:tc>
          <w:tcPr>
            <w:tcW w:type="dxa" w:w="1661"/>
          </w:tcPr>
          <w:p>
            <w:pPr>
              <w:pStyle w:val="null3"/>
            </w:pPr>
            <w:r>
              <w:rPr/>
              <w:t>投标人资格证明文件</w:t>
            </w:r>
          </w:p>
        </w:tc>
      </w:tr>
      <w:tr>
        <w:tc>
          <w:tcPr>
            <w:tcW w:type="dxa" w:w="831"/>
          </w:tcPr>
          <w:p>
            <w:pPr>
              <w:pStyle w:val="null3"/>
            </w:pPr>
            <w:r>
              <w:rPr/>
              <w:t>4</w:t>
            </w:r>
          </w:p>
        </w:tc>
        <w:tc>
          <w:tcPr>
            <w:tcW w:type="dxa" w:w="2492"/>
          </w:tcPr>
          <w:p>
            <w:pPr>
              <w:pStyle w:val="null3"/>
            </w:pPr>
            <w:r>
              <w:rPr/>
              <w:t>财务状况报告</w:t>
            </w:r>
          </w:p>
        </w:tc>
        <w:tc>
          <w:tcPr>
            <w:tcW w:type="dxa" w:w="3322"/>
          </w:tcPr>
          <w:p>
            <w:pPr>
              <w:pStyle w:val="null3"/>
            </w:pPr>
            <w:r>
              <w:rPr/>
              <w:t>提供2023年度经会计事务所或审计机构出具完整的财务审计报告（成立时间至提交响应文件截止时间不足一年的可提供成立后任意时段的资产负债表），或其基本存款账户开户银行出具的资信证明。（以上两种形式的资料提供任何一种即可）；供应商需在项目电子化交易系统中按要求上传相应证明文件并进行电子签章；</w:t>
            </w:r>
          </w:p>
        </w:tc>
        <w:tc>
          <w:tcPr>
            <w:tcW w:type="dxa" w:w="1661"/>
          </w:tcPr>
          <w:p>
            <w:pPr>
              <w:pStyle w:val="null3"/>
            </w:pPr>
            <w:r>
              <w:rPr/>
              <w:t>投标函 投标人资格证明文件</w:t>
            </w:r>
          </w:p>
        </w:tc>
      </w:tr>
      <w:tr>
        <w:tc>
          <w:tcPr>
            <w:tcW w:type="dxa" w:w="831"/>
          </w:tcPr>
          <w:p>
            <w:pPr>
              <w:pStyle w:val="null3"/>
            </w:pPr>
            <w:r>
              <w:rPr/>
              <w:t>5</w:t>
            </w:r>
          </w:p>
        </w:tc>
        <w:tc>
          <w:tcPr>
            <w:tcW w:type="dxa" w:w="2492"/>
          </w:tcPr>
          <w:p>
            <w:pPr>
              <w:pStyle w:val="null3"/>
            </w:pPr>
            <w:r>
              <w:rPr/>
              <w:t>社保缴纳证明</w:t>
            </w:r>
          </w:p>
        </w:tc>
        <w:tc>
          <w:tcPr>
            <w:tcW w:type="dxa" w:w="3322"/>
          </w:tcPr>
          <w:p>
            <w:pPr>
              <w:pStyle w:val="null3"/>
            </w:pPr>
            <w:r>
              <w:rPr/>
              <w:t>提供投标截止之日起近六个月以来已缴存的至少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tc>
        <w:tc>
          <w:tcPr>
            <w:tcW w:type="dxa" w:w="1661"/>
          </w:tcPr>
          <w:p>
            <w:pPr>
              <w:pStyle w:val="null3"/>
            </w:pPr>
            <w:r>
              <w:rPr/>
              <w:t>投标函 投标人资格证明文件</w:t>
            </w:r>
          </w:p>
        </w:tc>
      </w:tr>
      <w:tr>
        <w:tc>
          <w:tcPr>
            <w:tcW w:type="dxa" w:w="831"/>
          </w:tcPr>
          <w:p>
            <w:pPr>
              <w:pStyle w:val="null3"/>
            </w:pPr>
            <w:r>
              <w:rPr/>
              <w:t>6</w:t>
            </w:r>
          </w:p>
        </w:tc>
        <w:tc>
          <w:tcPr>
            <w:tcW w:type="dxa" w:w="2492"/>
          </w:tcPr>
          <w:p>
            <w:pPr>
              <w:pStyle w:val="null3"/>
            </w:pPr>
            <w:r>
              <w:rPr/>
              <w:t>税收缴纳证明</w:t>
            </w:r>
          </w:p>
        </w:tc>
        <w:tc>
          <w:tcPr>
            <w:tcW w:type="dxa" w:w="3322"/>
          </w:tcPr>
          <w:p>
            <w:pPr>
              <w:pStyle w:val="null3"/>
            </w:pPr>
            <w:r>
              <w:rPr/>
              <w:t>提供投标截止之日起近六个月以来已缴纳的至少一个月的纳税证明或完税证明（任意税种），纳税证明或完税证明上应有代收机构或税务机关的公章或业务专用章；依法免税的投标人应提供相关文件证明（复印件加盖投标人公章）；供应商需在项目电子化交易系统中按要求上传相应证明文件并进行电子签章；</w:t>
            </w:r>
          </w:p>
        </w:tc>
        <w:tc>
          <w:tcPr>
            <w:tcW w:type="dxa" w:w="1661"/>
          </w:tcPr>
          <w:p>
            <w:pPr>
              <w:pStyle w:val="null3"/>
            </w:pPr>
            <w:r>
              <w:rPr/>
              <w:t>投标函 投标人资格证明文件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法定代表人授权书及被授权人身份证复印件（法定代表人直接参加投标只须提供法定代表人身份证明）；供应商需在项目电子化交易系统中按要求上传相应证明文件并进行电子签章；</w:t>
            </w:r>
          </w:p>
        </w:tc>
        <w:tc>
          <w:tcPr>
            <w:tcW w:type="dxa" w:w="1661"/>
          </w:tcPr>
          <w:p>
            <w:pPr>
              <w:pStyle w:val="null3"/>
            </w:pPr>
            <w:r>
              <w:rPr/>
              <w:t>投标人资格证明文件</w:t>
            </w:r>
          </w:p>
        </w:tc>
      </w:tr>
      <w:tr>
        <w:tc>
          <w:tcPr>
            <w:tcW w:type="dxa" w:w="831"/>
          </w:tcPr>
          <w:p>
            <w:pPr>
              <w:pStyle w:val="null3"/>
            </w:pPr>
            <w:r>
              <w:rPr/>
              <w:t>8</w:t>
            </w:r>
          </w:p>
        </w:tc>
        <w:tc>
          <w:tcPr>
            <w:tcW w:type="dxa" w:w="2492"/>
          </w:tcPr>
          <w:p>
            <w:pPr>
              <w:pStyle w:val="null3"/>
            </w:pPr>
            <w:r>
              <w:rPr/>
              <w:t>本项目不接受联合体响应，不允许分包</w:t>
            </w:r>
          </w:p>
        </w:tc>
        <w:tc>
          <w:tcPr>
            <w:tcW w:type="dxa" w:w="3322"/>
          </w:tcPr>
          <w:p>
            <w:pPr>
              <w:pStyle w:val="null3"/>
            </w:pPr>
            <w:r>
              <w:rPr/>
              <w:t>本项目不接受联合体响应，不允许分包：供应商提供《非联合体、不分包投标声明》，视为独立响应，不分包；供应商应提供承诺书，格式及内容具体参见“响应文件格式”。</w:t>
            </w:r>
          </w:p>
        </w:tc>
        <w:tc>
          <w:tcPr>
            <w:tcW w:type="dxa" w:w="1661"/>
          </w:tcPr>
          <w:p>
            <w:pPr>
              <w:pStyle w:val="null3"/>
            </w:pPr>
            <w:r>
              <w:rPr/>
              <w:t>投标函 投标人资格证明文件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w:t>
            </w:r>
          </w:p>
        </w:tc>
      </w:tr>
      <w:tr>
        <w:tc>
          <w:tcPr>
            <w:tcW w:type="dxa" w:w="831"/>
          </w:tcPr>
          <w:p>
            <w:pPr>
              <w:pStyle w:val="null3"/>
            </w:pPr>
            <w:r>
              <w:rPr/>
              <w:t>2</w:t>
            </w:r>
          </w:p>
        </w:tc>
        <w:tc>
          <w:tcPr>
            <w:tcW w:type="dxa" w:w="2492"/>
          </w:tcPr>
          <w:p>
            <w:pPr>
              <w:pStyle w:val="null3"/>
            </w:pPr>
            <w:r>
              <w:rPr/>
              <w:t>投标文件的签署、盖章</w:t>
            </w:r>
          </w:p>
        </w:tc>
        <w:tc>
          <w:tcPr>
            <w:tcW w:type="dxa" w:w="3322"/>
          </w:tcPr>
          <w:p>
            <w:pPr>
              <w:pStyle w:val="null3"/>
            </w:pPr>
            <w:r>
              <w:rPr/>
              <w:t>符合招标文件要求</w:t>
            </w:r>
          </w:p>
        </w:tc>
        <w:tc>
          <w:tcPr>
            <w:tcW w:type="dxa" w:w="1661"/>
          </w:tcPr>
          <w:p>
            <w:pPr>
              <w:pStyle w:val="null3"/>
            </w:pPr>
            <w:r>
              <w:rPr/>
              <w:t>分项报价表 中小企业声明函 商务应答表 投标人认为有必要说明、阐述的事项或其他材料 投标人资格证明文件 投标人应提交的相关资格证明材料 业绩一览表 产品技术参数表 投标函 货物简要说明一览表 残疾人福利性单位声明函 服务方案 标的清单 陕西省政府采购供应商拒绝政府采购领域商业贿赂承诺书 投标文件封面 监狱企业的证明文件</w:t>
            </w:r>
          </w:p>
        </w:tc>
      </w:tr>
      <w:tr>
        <w:tc>
          <w:tcPr>
            <w:tcW w:type="dxa" w:w="831"/>
          </w:tcPr>
          <w:p>
            <w:pPr>
              <w:pStyle w:val="null3"/>
            </w:pPr>
            <w:r>
              <w:rPr/>
              <w:t>3</w:t>
            </w:r>
          </w:p>
        </w:tc>
        <w:tc>
          <w:tcPr>
            <w:tcW w:type="dxa" w:w="2492"/>
          </w:tcPr>
          <w:p>
            <w:pPr>
              <w:pStyle w:val="null3"/>
            </w:pPr>
            <w:r>
              <w:rPr/>
              <w:t>投标文件的有效期达到招标文件要求</w:t>
            </w:r>
          </w:p>
        </w:tc>
        <w:tc>
          <w:tcPr>
            <w:tcW w:type="dxa" w:w="3322"/>
          </w:tcPr>
          <w:p>
            <w:pPr>
              <w:pStyle w:val="null3"/>
            </w:pPr>
            <w:r>
              <w:rPr/>
              <w:t>符合招标文件要求</w:t>
            </w:r>
          </w:p>
        </w:tc>
        <w:tc>
          <w:tcPr>
            <w:tcW w:type="dxa" w:w="1661"/>
          </w:tcPr>
          <w:p>
            <w:pPr>
              <w:pStyle w:val="null3"/>
            </w:pPr>
            <w:r>
              <w:rPr/>
              <w:t>投标函</w:t>
            </w:r>
          </w:p>
        </w:tc>
      </w:tr>
      <w:tr>
        <w:tc>
          <w:tcPr>
            <w:tcW w:type="dxa" w:w="831"/>
          </w:tcPr>
          <w:p>
            <w:pPr>
              <w:pStyle w:val="null3"/>
            </w:pPr>
            <w:r>
              <w:rPr/>
              <w:t>4</w:t>
            </w:r>
          </w:p>
        </w:tc>
        <w:tc>
          <w:tcPr>
            <w:tcW w:type="dxa" w:w="2492"/>
          </w:tcPr>
          <w:p>
            <w:pPr>
              <w:pStyle w:val="null3"/>
            </w:pPr>
            <w:r>
              <w:rPr/>
              <w:t>授权委托书</w:t>
            </w:r>
          </w:p>
        </w:tc>
        <w:tc>
          <w:tcPr>
            <w:tcW w:type="dxa" w:w="3322"/>
          </w:tcPr>
          <w:p>
            <w:pPr>
              <w:pStyle w:val="null3"/>
            </w:pPr>
            <w:r>
              <w:rPr/>
              <w:t>符合招标文件要求</w:t>
            </w:r>
          </w:p>
        </w:tc>
        <w:tc>
          <w:tcPr>
            <w:tcW w:type="dxa" w:w="1661"/>
          </w:tcPr>
          <w:p>
            <w:pPr>
              <w:pStyle w:val="null3"/>
            </w:pPr>
            <w:r>
              <w:rPr/>
              <w:t>投标人资格证明文件</w:t>
            </w:r>
          </w:p>
        </w:tc>
      </w:tr>
      <w:tr>
        <w:tc>
          <w:tcPr>
            <w:tcW w:type="dxa" w:w="831"/>
          </w:tcPr>
          <w:p>
            <w:pPr>
              <w:pStyle w:val="null3"/>
            </w:pPr>
            <w:r>
              <w:rPr/>
              <w:t>5</w:t>
            </w:r>
          </w:p>
        </w:tc>
        <w:tc>
          <w:tcPr>
            <w:tcW w:type="dxa" w:w="2492"/>
          </w:tcPr>
          <w:p>
            <w:pPr>
              <w:pStyle w:val="null3"/>
            </w:pPr>
            <w:r>
              <w:rPr/>
              <w:t>报价</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标的清单</w:t>
            </w:r>
          </w:p>
        </w:tc>
      </w:tr>
      <w:tr>
        <w:tc>
          <w:tcPr>
            <w:tcW w:type="dxa" w:w="831"/>
          </w:tcPr>
          <w:p>
            <w:pPr>
              <w:pStyle w:val="null3"/>
            </w:pPr>
            <w:r>
              <w:rPr/>
              <w:t>6</w:t>
            </w:r>
          </w:p>
        </w:tc>
        <w:tc>
          <w:tcPr>
            <w:tcW w:type="dxa" w:w="2492"/>
          </w:tcPr>
          <w:p>
            <w:pPr>
              <w:pStyle w:val="null3"/>
            </w:pPr>
            <w:r>
              <w:rPr/>
              <w:t>交货期</w:t>
            </w:r>
          </w:p>
        </w:tc>
        <w:tc>
          <w:tcPr>
            <w:tcW w:type="dxa" w:w="3322"/>
          </w:tcPr>
          <w:p>
            <w:pPr>
              <w:pStyle w:val="null3"/>
            </w:pPr>
            <w:r>
              <w:rPr/>
              <w:t>满足招标文件要求</w:t>
            </w:r>
          </w:p>
        </w:tc>
        <w:tc>
          <w:tcPr>
            <w:tcW w:type="dxa" w:w="1661"/>
          </w:tcPr>
          <w:p>
            <w:pPr>
              <w:pStyle w:val="null3"/>
            </w:pPr>
            <w:r>
              <w:rPr/>
              <w:t>投标函 商务应答表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1、技术参数明确配置齐全、功能满足招标文件要求，对每个要求逐条进行明确响应，技术指标全部响应，没有负偏离得基础分26分； 2、参数中带“▲”的参数需求为重要指标，供应商必须响应并满足的参数需求，且提供相关证明材料，证明材料中每一条带▲技术指标负偏离或未提供证明材料扣2分，扣完为止；（佐证材料例如：第三方检测报告、软件界面功能截图等内容） 3、如评审小组认为供应商出现复制粘贴招标文件技术要求的情况，每出现一处扣1分，最高不超过5分。</w:t>
            </w:r>
          </w:p>
        </w:tc>
        <w:tc>
          <w:tcPr>
            <w:tcW w:type="dxa" w:w="831"/>
          </w:tcPr>
          <w:p>
            <w:pPr>
              <w:pStyle w:val="null3"/>
              <w:jc w:val="right"/>
            </w:pPr>
            <w:r>
              <w:rPr/>
              <w:t>26.0000</w:t>
            </w:r>
          </w:p>
        </w:tc>
        <w:tc>
          <w:tcPr>
            <w:tcW w:type="dxa" w:w="831"/>
          </w:tcPr>
          <w:p>
            <w:pPr>
              <w:pStyle w:val="null3"/>
            </w:pPr>
            <w:r>
              <w:rPr/>
              <w:t>客观</w:t>
            </w:r>
          </w:p>
        </w:tc>
        <w:tc>
          <w:tcPr>
            <w:tcW w:type="dxa" w:w="1661"/>
          </w:tcPr>
          <w:p>
            <w:pPr>
              <w:pStyle w:val="null3"/>
            </w:pPr>
            <w:r>
              <w:rPr/>
              <w:t>产品技术参数表</w:t>
            </w:r>
          </w:p>
          <w:p>
            <w:pPr>
              <w:pStyle w:val="null3"/>
            </w:pPr>
            <w:r>
              <w:rPr/>
              <w:t>货物简要说明一览表</w:t>
            </w:r>
          </w:p>
        </w:tc>
      </w:tr>
      <w:tr>
        <w:tc>
          <w:tcPr>
            <w:tcW w:type="dxa" w:w="831"/>
            <w:vMerge/>
          </w:tcPr>
          <w:p/>
        </w:tc>
        <w:tc>
          <w:tcPr>
            <w:tcW w:type="dxa" w:w="1661"/>
          </w:tcPr>
          <w:p>
            <w:pPr>
              <w:pStyle w:val="null3"/>
            </w:pPr>
            <w:r>
              <w:rPr/>
              <w:t>质量保证</w:t>
            </w:r>
          </w:p>
        </w:tc>
        <w:tc>
          <w:tcPr>
            <w:tcW w:type="dxa" w:w="2492"/>
          </w:tcPr>
          <w:p>
            <w:pPr>
              <w:pStyle w:val="null3"/>
            </w:pPr>
            <w:r>
              <w:rPr/>
              <w:t>产品来源渠道：所供产品货源渠道正常，技术资料齐全、符合国家标准、无产权纠纷，提供所投产品合法来源渠道证明文件（原厂授权），表述清楚明确、充分。 其中缺少一项扣1.5分，扣完为止。</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实施方案</w:t>
            </w:r>
          </w:p>
        </w:tc>
        <w:tc>
          <w:tcPr>
            <w:tcW w:type="dxa" w:w="2492"/>
          </w:tcPr>
          <w:p>
            <w:pPr>
              <w:pStyle w:val="null3"/>
            </w:pPr>
            <w:r>
              <w:rPr/>
              <w:t>（一）评审内容 根据本项目实际需求及特点，制定实施方案，实施方案内容包含①项目实施图及布局图②实施进度计划；③供货、安装、调试；④验收措施计划。 上述评审内容全部满足评审标准得8分，每有一个评审内容缺项扣2分，每有一项评审内容存在缺陷，扣1分，扣完为止。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保障措施</w:t>
            </w:r>
          </w:p>
        </w:tc>
        <w:tc>
          <w:tcPr>
            <w:tcW w:type="dxa" w:w="2492"/>
          </w:tcPr>
          <w:p>
            <w:pPr>
              <w:pStyle w:val="null3"/>
            </w:pPr>
            <w:r>
              <w:rPr/>
              <w:t>（一）评审内容 针对本项目提供保障措施，包括但不限于①合理的进度计划安排②质量保障措施及承诺③安全保证措施完善。 上述评审内容全部满足评审标准得6分，每有一个评审内容缺项扣2分，每有一项评审内容存在缺陷，扣1-2分，扣完为止。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应急措施</w:t>
            </w:r>
          </w:p>
        </w:tc>
        <w:tc>
          <w:tcPr>
            <w:tcW w:type="dxa" w:w="2492"/>
          </w:tcPr>
          <w:p>
            <w:pPr>
              <w:pStyle w:val="null3"/>
            </w:pPr>
            <w:r>
              <w:rPr/>
              <w:t>（一）评审内容 根据本项目特点制定应急方案，方案应包括但不限于①应急供货方案②其他应急突发状况处置措施。 上述评审内容全部满足评审标准得6分，每有一个评审内容缺项扣3分，每有一项评审内容存在缺陷，扣1-2分，扣完为止。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技术培训方案</w:t>
            </w:r>
          </w:p>
        </w:tc>
        <w:tc>
          <w:tcPr>
            <w:tcW w:type="dxa" w:w="2492"/>
          </w:tcPr>
          <w:p>
            <w:pPr>
              <w:pStyle w:val="null3"/>
            </w:pPr>
            <w:r>
              <w:rPr/>
              <w:t>（一）评审内容 根据本项目制定技术培训，方案应包括但不限于①技术培训方案②培训内容、方式等。 上述评审内容全部满足评审标准得6分，每有一个评审内容缺项扣3分，每有一项评审内容存在缺陷，扣1-2分，扣完为止。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售后服务方案</w:t>
            </w:r>
          </w:p>
        </w:tc>
        <w:tc>
          <w:tcPr>
            <w:tcW w:type="dxa" w:w="2492"/>
          </w:tcPr>
          <w:p>
            <w:pPr>
              <w:pStyle w:val="null3"/>
            </w:pPr>
            <w:r>
              <w:rPr/>
              <w:t>（一）评审内容 针对本项目提供具体可行的售后服务，包括：①针对本项目的售后质量保证方案及承诺；②具有建全的售后服务机构、配备专职配送人员及应急处理人员。 上述评审内容全部满足评审标准得6分，每有一个评审内容缺项扣3分，每有一项评审内容存在缺陷，扣1-2分，扣完为止。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提供供应商2021年至截标时间前类似项目业绩（以合同签订日期为准）每1份符合类似项目业绩合同计3分，满分9分。 备注：业绩证明（以合同为准，须在投标文件中附合同扫描件加盖单位公章）弄虚作假者，取消其中标资格。</w:t>
            </w:r>
          </w:p>
        </w:tc>
        <w:tc>
          <w:tcPr>
            <w:tcW w:type="dxa" w:w="831"/>
          </w:tcPr>
          <w:p>
            <w:pPr>
              <w:pStyle w:val="null3"/>
              <w:jc w:val="right"/>
            </w:pPr>
            <w:r>
              <w:rPr/>
              <w:t>9.0000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投标报价得分=(评标基准价／投标报价)×30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投标函</w:t>
            </w:r>
          </w:p>
          <w:p>
            <w:pPr>
              <w:pStyle w:val="null3"/>
            </w:pPr>
            <w:r>
              <w:rPr/>
              <w:t>分项报价表</w:t>
            </w:r>
          </w:p>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分项报价表 投标函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详见附件：服务方案</w:t>
      </w:r>
    </w:p>
    <w:p>
      <w:pPr>
        <w:pStyle w:val="null3"/>
        <w:ind w:firstLine="960"/>
      </w:pPr>
      <w:r>
        <w:rPr/>
        <w:t>详见附件：货物简要说明一览表</w:t>
      </w:r>
    </w:p>
    <w:p>
      <w:pPr>
        <w:pStyle w:val="null3"/>
        <w:ind w:firstLine="960"/>
      </w:pPr>
      <w:r>
        <w:rPr/>
        <w:t>详见附件：陕西省政府采购供应商拒绝政府采购领域商业贿赂承诺书</w:t>
      </w:r>
    </w:p>
    <w:p>
      <w:pPr>
        <w:pStyle w:val="null3"/>
        <w:ind w:firstLine="960"/>
      </w:pPr>
      <w:r>
        <w:rPr/>
        <w:t>详见附件：业绩一览表</w:t>
      </w:r>
    </w:p>
    <w:p>
      <w:pPr>
        <w:pStyle w:val="null3"/>
        <w:ind w:firstLine="960"/>
      </w:pPr>
      <w:r>
        <w:rPr/>
        <w:t>详见附件：投标人认为有必要说明、阐述的事项或其他材料</w:t>
      </w:r>
    </w:p>
    <w:p>
      <w:pPr>
        <w:pStyle w:val="null3"/>
        <w:ind w:firstLine="960"/>
      </w:pPr>
      <w:r>
        <w:rPr/>
        <w:t>详见附件：投标人资格证明文件</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