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参加2024全球高端食品及优质农产品（深圳）博览会并举办“长安好物·湾区共享”专场推介会活动项目</w:t>
      </w:r>
    </w:p>
    <w:p>
      <w:pPr>
        <w:pStyle w:val="null3"/>
        <w:jc w:val="center"/>
        <w:outlineLvl w:val="2"/>
      </w:pPr>
      <w:r>
        <w:rPr>
          <w:sz w:val="28"/>
          <w:b/>
        </w:rPr>
        <w:t>采购项目编号：</w:t>
      </w:r>
      <w:r>
        <w:rPr>
          <w:sz w:val="28"/>
          <w:b/>
        </w:rPr>
        <w:t>SXWZ2024ZB-SWJ-308</w:t>
      </w:r>
      <w:r>
        <w:br/>
      </w:r>
      <w:r>
        <w:br/>
      </w:r>
      <w:r>
        <w:br/>
      </w:r>
    </w:p>
    <w:p>
      <w:pPr>
        <w:pStyle w:val="null3"/>
        <w:jc w:val="center"/>
        <w:outlineLvl w:val="2"/>
      </w:pPr>
      <w:r>
        <w:rPr>
          <w:sz w:val="28"/>
          <w:b/>
        </w:rPr>
        <w:t>西安市商务局（本级）</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陕西万泽招标有限公司</w:t>
      </w:r>
      <w:r>
        <w:rPr/>
        <w:t>（以下简称“代理机构”）受</w:t>
      </w:r>
      <w:r>
        <w:rPr/>
        <w:t>西安市商务局（本级）</w:t>
      </w:r>
      <w:r>
        <w:rPr/>
        <w:t>委托，拟对</w:t>
      </w:r>
      <w:r>
        <w:rPr/>
        <w:t>参加2024全球高端食品及优质农产品（深圳）博览会并举办“长安好物·湾区共享”专场推介会活动项目</w:t>
      </w:r>
      <w:r>
        <w:rPr/>
        <w:t>采用竞争性磋商采购方式进行采购，兹邀请供应商参加本项目的竞争性磋商。</w:t>
      </w:r>
    </w:p>
    <w:p>
      <w:pPr>
        <w:pStyle w:val="null3"/>
        <w:outlineLvl w:val="2"/>
      </w:pPr>
      <w:r>
        <w:rPr>
          <w:sz w:val="28"/>
          <w:b/>
        </w:rPr>
        <w:t>一、项目编号：</w:t>
      </w:r>
      <w:r>
        <w:rPr>
          <w:sz w:val="28"/>
          <w:b/>
        </w:rPr>
        <w:t>SXWZ2024ZB-SWJ-308</w:t>
      </w:r>
    </w:p>
    <w:p>
      <w:pPr>
        <w:pStyle w:val="null3"/>
        <w:outlineLvl w:val="2"/>
      </w:pPr>
      <w:r>
        <w:rPr>
          <w:sz w:val="28"/>
          <w:b/>
        </w:rPr>
        <w:t>二、项目名称：</w:t>
      </w:r>
      <w:r>
        <w:rPr>
          <w:sz w:val="28"/>
          <w:b/>
        </w:rPr>
        <w:t>参加2024全球高端食品及优质农产品（深圳）博览会并举办“长安好物·湾区共享”专场推介会活动项目</w:t>
      </w:r>
    </w:p>
    <w:p>
      <w:pPr>
        <w:pStyle w:val="null3"/>
        <w:outlineLvl w:val="2"/>
      </w:pPr>
      <w:r>
        <w:rPr>
          <w:sz w:val="28"/>
          <w:b/>
        </w:rPr>
        <w:t>三、磋商项目简介</w:t>
      </w:r>
    </w:p>
    <w:p>
      <w:pPr>
        <w:pStyle w:val="null3"/>
        <w:ind w:firstLine="480"/>
      </w:pPr>
      <w:r>
        <w:rPr/>
        <w:t>参加2024全球高端食品及优质农产品（深圳）博览会并举办“长安好物·湾区共享”专场推介会活动项目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采购包1（参加2024全球高端食品及优质农产品（深圳）博览会并举办“长安好物·湾区共享”专场推介会活动项目）：属于专门面向中小企业采购。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社会保障资金缴纳证明：供应商须提供2023年11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3、税收缴纳证明：供应商须提供2023年11月至今已缴纳的至少一个月纳税证明或完税证明，依法免税的单位应提供相关证明材料；（以税款所属期限为准）</w:t>
      </w:r>
    </w:p>
    <w:p>
      <w:pPr>
        <w:pStyle w:val="null3"/>
      </w:pPr>
      <w:r>
        <w:rPr/>
        <w:t>4、财务状况证明：提供2023年度的财务审计报告（至少包括资产负债表和利润表，成立时间至提交响应文件截止时间不足一年的可提供成立后任意时段的资产负债表）或其基本存款账户开户银行出具的资信证明及基本存款账户开户许可证（基本账户存款信息）</w:t>
      </w:r>
    </w:p>
    <w:p>
      <w:pPr>
        <w:pStyle w:val="null3"/>
      </w:pPr>
      <w:r>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t>6、法定代表人或授权代表：非法定代表人参加投标，须提供法定代表人授权委托书及被授权人身份证原件；法定代表人参加投标时,只须提供法定代表人身份证原件</w:t>
      </w:r>
    </w:p>
    <w:p>
      <w:pPr>
        <w:pStyle w:val="null3"/>
      </w:pPr>
      <w:r>
        <w:rPr/>
        <w:t>7、专业能力承诺：提供具有履行合同所必需的设备和专业技术能力的承诺</w:t>
      </w:r>
    </w:p>
    <w:p>
      <w:pPr>
        <w:pStyle w:val="null3"/>
      </w:pPr>
      <w:r>
        <w:rPr/>
        <w:t>8、是否联合体投标：本项目不接受联合体参与。</w:t>
      </w:r>
    </w:p>
    <w:p>
      <w:pPr>
        <w:pStyle w:val="null3"/>
      </w:pPr>
      <w:r>
        <w:rPr/>
        <w:t>9、中小企业声明函：本项目专门面向中小企业，供应商须提供中小企业声明函；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西安市商务局（本级）</w:t>
      </w:r>
    </w:p>
    <w:p>
      <w:pPr>
        <w:pStyle w:val="null3"/>
      </w:pPr>
      <w:r>
        <w:rPr/>
        <w:t xml:space="preserve"> 地址： </w:t>
      </w:r>
      <w:r>
        <w:rPr/>
        <w:t>西安市未央区凤城八路109号</w:t>
      </w:r>
    </w:p>
    <w:p>
      <w:pPr>
        <w:pStyle w:val="null3"/>
      </w:pPr>
      <w:r>
        <w:rPr/>
        <w:t xml:space="preserve"> 邮编： </w:t>
      </w:r>
      <w:r>
        <w:rPr/>
        <w:t>710000</w:t>
      </w:r>
    </w:p>
    <w:p>
      <w:pPr>
        <w:pStyle w:val="null3"/>
      </w:pPr>
      <w:r>
        <w:rPr/>
        <w:t xml:space="preserve"> 联系人： </w:t>
      </w:r>
      <w:r>
        <w:rPr/>
        <w:t>尚老师</w:t>
      </w:r>
    </w:p>
    <w:p>
      <w:pPr>
        <w:pStyle w:val="null3"/>
      </w:pPr>
      <w:r>
        <w:rPr/>
        <w:t xml:space="preserve"> 联系电话： </w:t>
      </w:r>
      <w:r>
        <w:rPr/>
        <w:t>029-86786520</w:t>
      </w:r>
    </w:p>
    <w:p>
      <w:pPr>
        <w:pStyle w:val="null3"/>
        <w:outlineLvl w:val="3"/>
      </w:pPr>
      <w:r>
        <w:rPr>
          <w:sz w:val="24"/>
          <w:b/>
        </w:rPr>
        <w:t>代理机构：</w:t>
      </w:r>
      <w:r>
        <w:rPr>
          <w:sz w:val="24"/>
          <w:b/>
        </w:rPr>
        <w:t>陕西万泽招标有限公司</w:t>
      </w:r>
    </w:p>
    <w:p>
      <w:pPr>
        <w:pStyle w:val="null3"/>
      </w:pPr>
      <w:r>
        <w:rPr/>
        <w:t xml:space="preserve"> 地址： </w:t>
      </w:r>
      <w:r>
        <w:rPr/>
        <w:t>西安市高新区唐延路旺座现代城C座25楼2502室</w:t>
      </w:r>
    </w:p>
    <w:p>
      <w:pPr>
        <w:pStyle w:val="null3"/>
      </w:pPr>
      <w:r>
        <w:rPr/>
        <w:t xml:space="preserve"> 邮编： </w:t>
      </w:r>
      <w:r>
        <w:rPr/>
        <w:t>710065</w:t>
      </w:r>
    </w:p>
    <w:p>
      <w:pPr>
        <w:pStyle w:val="null3"/>
      </w:pPr>
      <w:r>
        <w:rPr/>
        <w:t xml:space="preserve"> 联系人： </w:t>
      </w:r>
      <w:r>
        <w:rPr/>
        <w:t>张刘艳 陈晓航</w:t>
      </w:r>
    </w:p>
    <w:p>
      <w:pPr>
        <w:pStyle w:val="null3"/>
      </w:pPr>
      <w:r>
        <w:rPr/>
        <w:t xml:space="preserve"> 联系电话： </w:t>
      </w:r>
      <w:r>
        <w:rPr/>
        <w:t>029-88319689-8006/8004</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采购包1：311,400.00元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以本采购项目成交价为基数，参照国家计委颁发的《招标代理服务收费管理暂行办法》（计价格[2002]1980号）和国家发展改革委员会办公厅颁发的《关于招标代理服务收费有关问题的通知》（发改办价格[2003]857号）、《关于降低部分建设项目收费标准规范收费行为等有关问题的通知》(发改价格[2011]534号)文件规定的标准收费，由成交供应商在领取成交通知书时向招标代理机构交纳代理服务费，不足3000元的按照3000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西安市商务局（本级）</w:t>
      </w:r>
      <w:r>
        <w:rPr/>
        <w:t>和</w:t>
      </w:r>
      <w:r>
        <w:rPr/>
        <w:t>陕西万泽招标有限公司</w:t>
      </w:r>
      <w:r>
        <w:rPr/>
        <w:t>享有。对磋商文件中供应商参加本次政府采购活动应当具备的条件，磋商项目技术、服务、商务及其他要求，评审细则及标准由</w:t>
      </w:r>
      <w:r>
        <w:rPr/>
        <w:t>西安市商务局（本级）</w:t>
      </w:r>
      <w:r>
        <w:rPr/>
        <w:t>负责解释。除上述磋商文件内容，其他内容由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西安市商务局（本级）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符合采购文件、响应文件和合同文件的相关要求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联系人：张刘艳 陈晓航</w:t>
      </w:r>
    </w:p>
    <w:p>
      <w:pPr>
        <w:pStyle w:val="null3"/>
      </w:pPr>
      <w:r>
        <w:rPr/>
        <w:t>联系电话：029-88319689-8006/8004</w:t>
      </w:r>
    </w:p>
    <w:p>
      <w:pPr>
        <w:pStyle w:val="null3"/>
      </w:pPr>
      <w:r>
        <w:rPr/>
        <w:t>地址：西安市高新区唐延路旺座现代城C座25楼2502室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12月7日-9日期间，组织我市相关区县及企业赴深圳市参加2024全球高端食品及优质农产品（深圳）博览会，在博览会现场举办西安市“长安好物•湾区共享”专场推介会。</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311,400.00</w:t>
      </w:r>
    </w:p>
    <w:p>
      <w:pPr>
        <w:pStyle w:val="null3"/>
      </w:pPr>
      <w:r>
        <w:rPr/>
        <w:t>采购包最高限价（元）: 311,400.00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博览会展位及搭建等服务</w:t>
            </w:r>
          </w:p>
        </w:tc>
        <w:tc>
          <w:tcPr>
            <w:tcW w:type="dxa" w:w="831"/>
          </w:tcPr>
          <w:p>
            <w:pPr>
              <w:pStyle w:val="null3"/>
              <w:jc w:val="right"/>
            </w:pPr>
            <w:r>
              <w:rPr/>
              <w:t>1.00</w:t>
            </w:r>
          </w:p>
        </w:tc>
        <w:tc>
          <w:tcPr>
            <w:tcW w:type="dxa" w:w="831"/>
          </w:tcPr>
          <w:p>
            <w:pPr>
              <w:pStyle w:val="null3"/>
              <w:jc w:val="right"/>
            </w:pPr>
            <w:r>
              <w:rPr/>
              <w:t>311,400.00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标的名称：博览会展位及搭建等服务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b/>
              </w:rPr>
              <w:t>一、商务条款（商务条款内容如有不一致以此处为准）</w:t>
            </w:r>
          </w:p>
          <w:p>
            <w:pPr>
              <w:pStyle w:val="null3"/>
              <w:ind w:right="60"/>
              <w:jc w:val="both"/>
            </w:pPr>
            <w:r>
              <w:rPr>
                <w:rFonts w:ascii="calibri" w:hAnsi="calibri" w:cs="calibri" w:eastAsia="calibri"/>
              </w:rPr>
              <w:t>1.</w:t>
            </w:r>
            <w:r>
              <w:rPr>
                <w:rFonts w:ascii="宋体" w:hAnsi="宋体" w:cs="宋体" w:eastAsia="宋体"/>
                <w:sz w:val="21"/>
              </w:rPr>
              <w:t>服务期限：</w:t>
            </w:r>
            <w:r>
              <w:rPr>
                <w:rFonts w:ascii="宋体" w:hAnsi="宋体" w:cs="宋体" w:eastAsia="宋体"/>
                <w:sz w:val="21"/>
              </w:rPr>
              <w:t>自合同签订之日起至活动验收完毕</w:t>
            </w:r>
            <w:r>
              <w:rPr>
                <w:rFonts w:ascii="宋体" w:hAnsi="宋体" w:cs="宋体" w:eastAsia="宋体"/>
                <w:sz w:val="21"/>
              </w:rPr>
              <w:t>；</w:t>
            </w:r>
          </w:p>
          <w:p>
            <w:pPr>
              <w:pStyle w:val="null3"/>
              <w:ind w:right="60"/>
              <w:jc w:val="both"/>
            </w:pPr>
            <w:r>
              <w:rPr>
                <w:rFonts w:ascii="calibri" w:hAnsi="calibri" w:cs="calibri" w:eastAsia="calibri"/>
              </w:rPr>
              <w:t>2.</w:t>
            </w:r>
            <w:r>
              <w:rPr>
                <w:rFonts w:ascii="宋体" w:hAnsi="宋体" w:cs="宋体" w:eastAsia="宋体"/>
                <w:sz w:val="21"/>
              </w:rPr>
              <w:t>服务地点：采购人指定地点；</w:t>
            </w:r>
          </w:p>
          <w:p>
            <w:pPr>
              <w:pStyle w:val="null3"/>
              <w:ind w:right="60"/>
              <w:jc w:val="both"/>
            </w:pPr>
            <w:r>
              <w:rPr>
                <w:rFonts w:ascii="calibri" w:hAnsi="calibri" w:cs="calibri" w:eastAsia="calibri"/>
              </w:rPr>
              <w:t>3.</w:t>
            </w:r>
            <w:r>
              <w:rPr>
                <w:rFonts w:ascii="宋体" w:hAnsi="宋体" w:cs="宋体" w:eastAsia="宋体"/>
                <w:sz w:val="21"/>
              </w:rPr>
              <w:t>付款方式：</w:t>
            </w:r>
            <w:r>
              <w:rPr>
                <w:rFonts w:ascii="宋体" w:hAnsi="宋体" w:cs="宋体" w:eastAsia="宋体"/>
                <w:sz w:val="21"/>
              </w:rPr>
              <w:t>签订合同后</w:t>
            </w:r>
            <w:r>
              <w:rPr>
                <w:rFonts w:ascii="宋体" w:hAnsi="宋体" w:cs="宋体" w:eastAsia="宋体"/>
                <w:sz w:val="21"/>
              </w:rPr>
              <w:t>10个工作日内支付</w:t>
            </w:r>
            <w:r>
              <w:rPr>
                <w:rFonts w:ascii="宋体" w:hAnsi="宋体" w:cs="宋体" w:eastAsia="宋体"/>
                <w:sz w:val="21"/>
              </w:rPr>
              <w:t>合同金额</w:t>
            </w:r>
            <w:r>
              <w:rPr>
                <w:rFonts w:ascii="宋体" w:hAnsi="宋体" w:cs="宋体" w:eastAsia="宋体"/>
                <w:sz w:val="21"/>
              </w:rPr>
              <w:t>80%，活动完成并进行验收合格后支付</w:t>
            </w:r>
            <w:r>
              <w:rPr>
                <w:rFonts w:ascii="宋体" w:hAnsi="宋体" w:cs="宋体" w:eastAsia="宋体"/>
                <w:sz w:val="21"/>
              </w:rPr>
              <w:t>剩余合同金额</w:t>
            </w:r>
            <w:r>
              <w:rPr>
                <w:rFonts w:ascii="宋体" w:hAnsi="宋体" w:cs="宋体" w:eastAsia="宋体"/>
                <w:sz w:val="21"/>
              </w:rPr>
              <w:t>。</w:t>
            </w:r>
          </w:p>
          <w:p>
            <w:pPr>
              <w:pStyle w:val="null3"/>
              <w:jc w:val="left"/>
            </w:pPr>
            <w:r>
              <w:rPr>
                <w:rFonts w:ascii="宋体" w:hAnsi="宋体" w:cs="宋体" w:eastAsia="宋体"/>
                <w:sz w:val="21"/>
                <w:b/>
              </w:rPr>
              <w:t>二、采购内容</w:t>
            </w:r>
          </w:p>
          <w:p>
            <w:pPr>
              <w:pStyle w:val="null3"/>
              <w:jc w:val="both"/>
            </w:pPr>
            <w:r>
              <w:rPr>
                <w:rFonts w:ascii="宋体" w:hAnsi="宋体" w:cs="宋体" w:eastAsia="宋体"/>
                <w:sz w:val="21"/>
                <w:b/>
              </w:rPr>
              <w:t>（一）项目概况</w:t>
            </w:r>
          </w:p>
          <w:p>
            <w:pPr>
              <w:pStyle w:val="null3"/>
              <w:ind w:firstLine="420"/>
              <w:jc w:val="both"/>
            </w:pPr>
            <w:r>
              <w:rPr>
                <w:rFonts w:ascii="宋体" w:hAnsi="宋体" w:cs="宋体" w:eastAsia="宋体"/>
                <w:sz w:val="21"/>
              </w:rPr>
              <w:t>12月7日-9日期间，组织西安市相关区县及企业赴深圳市参加2024全球高端食品及优质农产品（深圳）博览会，在博览会现场举办西安市“长安好物·湾区共享”专场推介会。</w:t>
            </w:r>
          </w:p>
          <w:p>
            <w:pPr>
              <w:pStyle w:val="null3"/>
              <w:jc w:val="both"/>
            </w:pPr>
            <w:r>
              <w:rPr>
                <w:rFonts w:ascii="宋体" w:hAnsi="宋体" w:cs="宋体" w:eastAsia="宋体"/>
                <w:sz w:val="21"/>
                <w:b/>
              </w:rPr>
              <w:t>（二）</w:t>
            </w:r>
            <w:r>
              <w:rPr>
                <w:rFonts w:ascii="宋体" w:hAnsi="宋体" w:cs="宋体" w:eastAsia="宋体"/>
                <w:sz w:val="21"/>
                <w:b/>
              </w:rPr>
              <w:t>服务内容</w:t>
            </w:r>
          </w:p>
          <w:p>
            <w:pPr>
              <w:pStyle w:val="null3"/>
              <w:ind w:firstLine="420"/>
              <w:jc w:val="both"/>
            </w:pPr>
            <w:r>
              <w:rPr>
                <w:rFonts w:ascii="宋体" w:hAnsi="宋体" w:cs="宋体" w:eastAsia="宋体"/>
                <w:sz w:val="21"/>
              </w:rPr>
              <w:t>1.供应商需在2024全球高端食品及优质农产品（深圳）博览会现场为我市</w:t>
            </w:r>
            <w:r>
              <w:rPr>
                <w:rFonts w:ascii="宋体" w:hAnsi="宋体" w:cs="宋体" w:eastAsia="宋体"/>
                <w:sz w:val="21"/>
                <w:color w:val="0000FF"/>
              </w:rPr>
              <w:t>租赁</w:t>
            </w:r>
            <w:r>
              <w:rPr>
                <w:rFonts w:ascii="宋体" w:hAnsi="宋体" w:cs="宋体" w:eastAsia="宋体"/>
                <w:sz w:val="21"/>
              </w:rPr>
              <w:t>不低于</w:t>
            </w:r>
            <w:r>
              <w:rPr>
                <w:rFonts w:ascii="宋体" w:hAnsi="宋体" w:cs="宋体" w:eastAsia="宋体"/>
                <w:sz w:val="21"/>
              </w:rPr>
              <w:t>108平米的光地展位并进行符合</w:t>
            </w:r>
            <w:r>
              <w:rPr>
                <w:rFonts w:ascii="宋体" w:hAnsi="宋体" w:cs="宋体" w:eastAsia="宋体"/>
                <w:sz w:val="21"/>
                <w:color w:val="0000FF"/>
              </w:rPr>
              <w:t>西安市</w:t>
            </w:r>
            <w:r>
              <w:rPr>
                <w:rFonts w:ascii="宋体" w:hAnsi="宋体" w:cs="宋体" w:eastAsia="宋体"/>
                <w:sz w:val="21"/>
              </w:rPr>
              <w:t>所有参展企业需求的特装设计搭建；</w:t>
            </w:r>
          </w:p>
          <w:p>
            <w:pPr>
              <w:pStyle w:val="null3"/>
              <w:ind w:firstLine="420"/>
              <w:jc w:val="both"/>
            </w:pPr>
            <w:r>
              <w:rPr>
                <w:rFonts w:ascii="宋体" w:hAnsi="宋体" w:cs="宋体" w:eastAsia="宋体"/>
                <w:sz w:val="21"/>
              </w:rPr>
              <w:t>2.在2024全球高端食品及优质农产品（深圳）博览会现场举办西安市“长安好物·湾区共享”专场推介会；</w:t>
            </w:r>
          </w:p>
          <w:p>
            <w:pPr>
              <w:pStyle w:val="null3"/>
              <w:ind w:firstLine="420"/>
              <w:jc w:val="both"/>
            </w:pPr>
            <w:r>
              <w:rPr>
                <w:rFonts w:ascii="宋体" w:hAnsi="宋体" w:cs="宋体" w:eastAsia="宋体"/>
                <w:sz w:val="21"/>
              </w:rPr>
              <w:t>3.会议规模80人，邀请参会粤港澳大湾区商贸流通企业，电商平台、社区团购、直播电商企业及相关行业协会代表不低于60人，</w:t>
            </w:r>
            <w:r>
              <w:rPr>
                <w:rFonts w:ascii="宋体" w:hAnsi="宋体" w:cs="宋体" w:eastAsia="宋体"/>
                <w:sz w:val="21"/>
                <w:color w:val="0000FF"/>
              </w:rPr>
              <w:t>供应商须负责所有参会代表邀请及接待；</w:t>
            </w:r>
          </w:p>
          <w:p>
            <w:pPr>
              <w:pStyle w:val="null3"/>
              <w:ind w:firstLine="420"/>
              <w:jc w:val="both"/>
            </w:pPr>
            <w:r>
              <w:rPr>
                <w:rFonts w:ascii="宋体" w:hAnsi="宋体" w:cs="宋体" w:eastAsia="宋体"/>
                <w:sz w:val="21"/>
              </w:rPr>
              <w:t>4.提供专业会议场地及配套设备。包括活动所需的音频、视频、灯光等设备，现场布置所需的物料制作安装，配备相关的专业工作人员；</w:t>
            </w:r>
          </w:p>
          <w:p>
            <w:pPr>
              <w:pStyle w:val="null3"/>
              <w:ind w:firstLine="420"/>
              <w:jc w:val="both"/>
            </w:pPr>
            <w:r>
              <w:rPr>
                <w:rFonts w:ascii="宋体" w:hAnsi="宋体" w:cs="宋体" w:eastAsia="宋体"/>
                <w:sz w:val="21"/>
              </w:rPr>
              <w:t>5.邀请主流电视台对活动内容进行宣传推广；</w:t>
            </w:r>
          </w:p>
          <w:p>
            <w:pPr>
              <w:pStyle w:val="null3"/>
              <w:ind w:firstLine="420"/>
              <w:jc w:val="both"/>
            </w:pPr>
            <w:r>
              <w:rPr>
                <w:rFonts w:ascii="宋体" w:hAnsi="宋体" w:cs="宋体" w:eastAsia="宋体"/>
                <w:sz w:val="21"/>
              </w:rPr>
              <w:t>6.负责在食博会现场进行广告宣传，发布会刊广告及户外立牌广告等。</w:t>
            </w:r>
          </w:p>
          <w:p>
            <w:pPr>
              <w:pStyle w:val="null3"/>
              <w:jc w:val="both"/>
            </w:pPr>
            <w:r>
              <w:rPr>
                <w:rFonts w:ascii="宋体" w:hAnsi="宋体" w:cs="宋体" w:eastAsia="宋体"/>
                <w:sz w:val="21"/>
                <w:b/>
              </w:rPr>
              <w:t>（三）</w:t>
            </w:r>
            <w:r>
              <w:rPr>
                <w:rFonts w:ascii="宋体" w:hAnsi="宋体" w:cs="宋体" w:eastAsia="宋体"/>
                <w:sz w:val="21"/>
                <w:b/>
              </w:rPr>
              <w:t>技术要求</w:t>
            </w:r>
          </w:p>
          <w:p>
            <w:pPr>
              <w:pStyle w:val="null3"/>
              <w:ind w:firstLine="420"/>
              <w:jc w:val="both"/>
            </w:pPr>
            <w:r>
              <w:rPr>
                <w:rFonts w:ascii="宋体" w:hAnsi="宋体" w:cs="宋体" w:eastAsia="宋体"/>
                <w:sz w:val="21"/>
              </w:rPr>
              <w:t>1、按照活动要求，在严格遵守安保、消防等相关安全规定的情况下，按时按质按量完成活动各项工作，保证声、光、电、影音设备等正常使用，确保活动效果呈现及活动宣发效果。</w:t>
            </w:r>
          </w:p>
          <w:p>
            <w:pPr>
              <w:pStyle w:val="null3"/>
              <w:ind w:firstLine="420"/>
              <w:jc w:val="both"/>
            </w:pPr>
            <w:r>
              <w:rPr>
                <w:rFonts w:ascii="宋体" w:hAnsi="宋体" w:cs="宋体" w:eastAsia="宋体"/>
                <w:sz w:val="21"/>
              </w:rPr>
              <w:t>2、按照要求，设计、印刷活动户外宣传媒介物料。</w:t>
            </w:r>
          </w:p>
          <w:p>
            <w:pPr>
              <w:pStyle w:val="null3"/>
              <w:jc w:val="both"/>
            </w:pPr>
            <w:r>
              <w:rPr>
                <w:rFonts w:ascii="宋体" w:hAnsi="宋体" w:cs="宋体" w:eastAsia="宋体"/>
                <w:sz w:val="21"/>
                <w:b/>
              </w:rPr>
              <w:t>（四）服务要求</w:t>
            </w:r>
          </w:p>
          <w:p>
            <w:pPr>
              <w:pStyle w:val="null3"/>
              <w:jc w:val="both"/>
              <w:outlineLvl w:val="1"/>
            </w:pPr>
            <w:r>
              <w:rPr>
                <w:rFonts w:ascii="宋体" w:hAnsi="宋体" w:cs="宋体" w:eastAsia="宋体"/>
                <w:sz w:val="21"/>
                <w:b/>
              </w:rPr>
              <w:t>1、执行要求：供应商必须按磋商文件的要求，在规定的时间内，完成活动策划和视觉设计。根据需要对方案进行完善，并严格执行方案，确保活动效果。</w:t>
            </w:r>
          </w:p>
          <w:p>
            <w:pPr>
              <w:pStyle w:val="null3"/>
              <w:jc w:val="both"/>
              <w:outlineLvl w:val="1"/>
            </w:pPr>
            <w:r>
              <w:rPr>
                <w:rFonts w:ascii="宋体" w:hAnsi="宋体" w:cs="宋体" w:eastAsia="宋体"/>
                <w:sz w:val="21"/>
                <w:b/>
              </w:rPr>
              <w:t>2、安全要求：结合实际，制订安防预案，严格抓好落实，在确保安全前提下组织实施活动。</w:t>
            </w:r>
          </w:p>
          <w:p>
            <w:pPr>
              <w:pStyle w:val="null3"/>
              <w:jc w:val="both"/>
              <w:outlineLvl w:val="1"/>
            </w:pPr>
            <w:r>
              <w:rPr>
                <w:rFonts w:ascii="宋体" w:hAnsi="宋体" w:cs="宋体" w:eastAsia="宋体"/>
                <w:sz w:val="21"/>
                <w:b/>
              </w:rPr>
              <w:t>（五）其他要求</w:t>
            </w:r>
          </w:p>
          <w:p>
            <w:pPr>
              <w:pStyle w:val="null3"/>
              <w:jc w:val="both"/>
              <w:outlineLvl w:val="1"/>
            </w:pPr>
            <w:r>
              <w:rPr>
                <w:rFonts w:ascii="宋体" w:hAnsi="宋体" w:cs="宋体" w:eastAsia="宋体"/>
                <w:sz w:val="21"/>
                <w:b/>
              </w:rPr>
              <w:t>1、成果交付要求</w:t>
            </w:r>
          </w:p>
          <w:p>
            <w:pPr>
              <w:pStyle w:val="null3"/>
              <w:jc w:val="both"/>
              <w:outlineLvl w:val="1"/>
            </w:pPr>
            <w:r>
              <w:rPr>
                <w:rFonts w:ascii="宋体" w:hAnsi="宋体" w:cs="宋体" w:eastAsia="宋体"/>
                <w:sz w:val="21"/>
                <w:b/>
              </w:rPr>
              <w:t>按合同约定条款，保质保量完成整体活动执行，以文、图、视频形式整理成完整验收报告。</w:t>
            </w:r>
          </w:p>
          <w:p>
            <w:pPr>
              <w:pStyle w:val="null3"/>
              <w:jc w:val="both"/>
              <w:outlineLvl w:val="1"/>
            </w:pPr>
            <w:r>
              <w:rPr>
                <w:rFonts w:ascii="宋体" w:hAnsi="宋体" w:cs="宋体" w:eastAsia="宋体"/>
                <w:sz w:val="21"/>
                <w:b/>
              </w:rPr>
              <w:t>2、质量验收标准或规范</w:t>
            </w:r>
          </w:p>
          <w:p>
            <w:pPr>
              <w:pStyle w:val="null3"/>
              <w:jc w:val="both"/>
              <w:outlineLvl w:val="1"/>
            </w:pPr>
            <w:r>
              <w:rPr>
                <w:rFonts w:ascii="宋体" w:hAnsi="宋体" w:cs="宋体" w:eastAsia="宋体"/>
                <w:sz w:val="21"/>
                <w:b/>
              </w:rPr>
              <w:t>2.1服务期满后按照成交供应商所提供的资料及数据进行验收；</w:t>
            </w:r>
          </w:p>
          <w:p>
            <w:pPr>
              <w:pStyle w:val="null3"/>
              <w:jc w:val="both"/>
              <w:outlineLvl w:val="1"/>
            </w:pPr>
            <w:r>
              <w:rPr>
                <w:rFonts w:ascii="宋体" w:hAnsi="宋体" w:cs="宋体" w:eastAsia="宋体"/>
                <w:sz w:val="21"/>
                <w:b/>
              </w:rPr>
              <w:t>2.2最终验收：自合同签订之日起至完成全部项目内容，需按照采购人确定的时间完成交付并验收合格，验收合格后，填写验收单。</w:t>
            </w:r>
          </w:p>
          <w:p>
            <w:pPr>
              <w:pStyle w:val="null3"/>
              <w:jc w:val="both"/>
              <w:outlineLvl w:val="1"/>
            </w:pPr>
            <w:r>
              <w:rPr>
                <w:rFonts w:ascii="宋体" w:hAnsi="宋体" w:cs="宋体" w:eastAsia="宋体"/>
                <w:sz w:val="21"/>
                <w:b/>
              </w:rPr>
              <w:t>2.3验收和评价方式</w:t>
            </w:r>
          </w:p>
          <w:p>
            <w:pPr>
              <w:pStyle w:val="null3"/>
              <w:jc w:val="both"/>
              <w:outlineLvl w:val="1"/>
            </w:pPr>
            <w:r>
              <w:rPr>
                <w:rFonts w:ascii="宋体" w:hAnsi="宋体" w:cs="宋体" w:eastAsia="宋体"/>
                <w:sz w:val="21"/>
                <w:b/>
              </w:rPr>
              <w:t>2.3.1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jc w:val="both"/>
              <w:outlineLvl w:val="1"/>
            </w:pPr>
            <w:r>
              <w:rPr>
                <w:rFonts w:ascii="宋体" w:hAnsi="宋体" w:cs="宋体" w:eastAsia="宋体"/>
                <w:sz w:val="21"/>
                <w:b/>
              </w:rPr>
              <w:t>2.3.2  若发现乙方有弄虚作假的，及在项目实施阶段故意或随意夸大服务，本项目合同解除，乙方赔偿甲方相应的损失。</w:t>
            </w:r>
          </w:p>
          <w:p>
            <w:pPr>
              <w:pStyle w:val="null3"/>
              <w:jc w:val="both"/>
              <w:outlineLvl w:val="1"/>
            </w:pPr>
            <w:r>
              <w:rPr>
                <w:rFonts w:ascii="宋体" w:hAnsi="宋体" w:cs="宋体" w:eastAsia="宋体"/>
                <w:sz w:val="21"/>
                <w:b/>
              </w:rPr>
              <w:t>2.3.3  验收标准：按磋商文件、磋商响应文件等服务指标进行逐项验收，各项指标均应符合验收标准及要求。</w:t>
            </w:r>
          </w:p>
          <w:p>
            <w:pPr>
              <w:pStyle w:val="null3"/>
              <w:jc w:val="both"/>
              <w:outlineLvl w:val="1"/>
            </w:pPr>
            <w:r>
              <w:rPr>
                <w:rFonts w:ascii="宋体" w:hAnsi="宋体" w:cs="宋体" w:eastAsia="宋体"/>
                <w:sz w:val="21"/>
                <w:b/>
              </w:rPr>
              <w:t>2.3.4  验收合格后，填写验收单，双方盖章、签字生效。</w:t>
            </w:r>
          </w:p>
          <w:p>
            <w:pPr>
              <w:pStyle w:val="null3"/>
              <w:jc w:val="both"/>
              <w:outlineLvl w:val="1"/>
            </w:pPr>
            <w:r>
              <w:rPr>
                <w:rFonts w:ascii="宋体" w:hAnsi="宋体" w:cs="宋体" w:eastAsia="宋体"/>
                <w:sz w:val="21"/>
                <w:b/>
              </w:rPr>
              <w:t>2.3.5  验收依据</w:t>
            </w:r>
          </w:p>
          <w:p>
            <w:pPr>
              <w:pStyle w:val="null3"/>
              <w:jc w:val="both"/>
              <w:outlineLvl w:val="1"/>
            </w:pPr>
            <w:r>
              <w:rPr>
                <w:rFonts w:ascii="宋体" w:hAnsi="宋体" w:cs="宋体" w:eastAsia="宋体"/>
                <w:sz w:val="21"/>
                <w:b/>
              </w:rPr>
              <w:t>（1）合同文本。</w:t>
            </w:r>
          </w:p>
          <w:p>
            <w:pPr>
              <w:pStyle w:val="null3"/>
              <w:jc w:val="both"/>
              <w:outlineLvl w:val="1"/>
            </w:pPr>
            <w:r>
              <w:rPr>
                <w:rFonts w:ascii="宋体" w:hAnsi="宋体" w:cs="宋体" w:eastAsia="宋体"/>
                <w:sz w:val="21"/>
                <w:b/>
              </w:rPr>
              <w:t>（2）磋商响应文件、磋商文件、澄清函。</w:t>
            </w:r>
          </w:p>
          <w:p>
            <w:pPr>
              <w:pStyle w:val="null3"/>
              <w:jc w:val="both"/>
              <w:outlineLvl w:val="1"/>
            </w:pPr>
            <w:r>
              <w:rPr>
                <w:rFonts w:ascii="宋体" w:hAnsi="宋体" w:cs="宋体" w:eastAsia="宋体"/>
                <w:sz w:val="21"/>
                <w:b/>
              </w:rPr>
              <w:t>（3）国家和行业制定的相应的标准和规范。</w:t>
            </w:r>
          </w:p>
          <w:p>
            <w:pPr>
              <w:pStyle w:val="null3"/>
              <w:jc w:val="both"/>
              <w:outlineLvl w:val="1"/>
            </w:pPr>
            <w:r>
              <w:rPr>
                <w:rFonts w:ascii="宋体" w:hAnsi="宋体" w:cs="宋体" w:eastAsia="宋体"/>
                <w:sz w:val="21"/>
                <w:b/>
              </w:rPr>
              <w:t>（六）违约责任</w:t>
            </w:r>
          </w:p>
          <w:p>
            <w:pPr>
              <w:pStyle w:val="null3"/>
              <w:jc w:val="both"/>
              <w:outlineLvl w:val="1"/>
            </w:pPr>
            <w:r>
              <w:rPr>
                <w:rFonts w:ascii="宋体" w:hAnsi="宋体" w:cs="宋体" w:eastAsia="宋体"/>
                <w:sz w:val="21"/>
                <w:b/>
              </w:rPr>
              <w:t>1、按《中华人民共和国民法典》中的相关条款执行。</w:t>
            </w:r>
          </w:p>
          <w:p>
            <w:pPr>
              <w:pStyle w:val="null3"/>
              <w:jc w:val="both"/>
              <w:outlineLvl w:val="1"/>
            </w:pPr>
            <w:r>
              <w:rPr>
                <w:rFonts w:ascii="宋体" w:hAnsi="宋体" w:cs="宋体" w:eastAsia="宋体"/>
                <w:sz w:val="21"/>
                <w:b/>
              </w:rPr>
              <w:t>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pPr>
              <w:pStyle w:val="null3"/>
              <w:jc w:val="both"/>
              <w:outlineLvl w:val="1"/>
            </w:pPr>
            <w:r>
              <w:rPr>
                <w:rFonts w:ascii="宋体" w:hAnsi="宋体" w:cs="宋体" w:eastAsia="宋体"/>
                <w:sz w:val="21"/>
                <w:b/>
              </w:rPr>
              <w:t>3、因为不可抗力因素造成无法按照原计划提供服务，双方互不追究违约责任，供应商如未按照采购要求完成服务内容，除应赔偿采购人所受全部损失以外，还应承担本合同总额20%的违约金。</w:t>
            </w:r>
          </w:p>
          <w:p>
            <w:pPr>
              <w:pStyle w:val="null3"/>
            </w:pPr>
            <w:r>
              <w:rPr>
                <w:rFonts w:ascii="宋体" w:hAnsi="宋体" w:cs="宋体" w:eastAsia="宋体"/>
                <w:sz w:val="21"/>
              </w:rPr>
              <w:t>4、如有异议另行协商。</w:t>
            </w:r>
          </w:p>
        </w:tc>
      </w:tr>
    </w:tbl>
    <w:p>
      <w:pPr>
        <w:pStyle w:val="null3"/>
        <w:outlineLvl w:val="2"/>
      </w:pPr>
      <w:r>
        <w:rPr>
          <w:sz w:val="28"/>
          <w:b/>
        </w:rPr>
        <w:t>3.2.3人员配置要求</w:t>
      </w:r>
    </w:p>
    <w:p>
      <w:pPr>
        <w:pStyle w:val="null3"/>
      </w:pPr>
      <w:r>
        <w:rPr/>
        <w:t>采购包1：</w:t>
      </w:r>
    </w:p>
    <w:p>
      <w:pPr>
        <w:pStyle w:val="null3"/>
      </w:pPr>
      <w:r>
        <w:rPr/>
        <w:t>符合采购文件要求</w:t>
      </w:r>
    </w:p>
    <w:p>
      <w:pPr>
        <w:pStyle w:val="null3"/>
        <w:outlineLvl w:val="2"/>
      </w:pPr>
      <w:r>
        <w:rPr>
          <w:sz w:val="28"/>
          <w:b/>
        </w:rPr>
        <w:t>3.2.4设施设备要求</w:t>
      </w:r>
    </w:p>
    <w:p>
      <w:pPr>
        <w:pStyle w:val="null3"/>
      </w:pPr>
      <w:r>
        <w:rPr/>
        <w:t>采购包1：</w:t>
      </w:r>
    </w:p>
    <w:p>
      <w:pPr>
        <w:pStyle w:val="null3"/>
      </w:pPr>
      <w:r>
        <w:rPr/>
        <w:t>符合采购文件要求</w:t>
      </w:r>
    </w:p>
    <w:p>
      <w:pPr>
        <w:pStyle w:val="null3"/>
        <w:outlineLvl w:val="2"/>
      </w:pPr>
      <w:r>
        <w:rPr>
          <w:sz w:val="28"/>
          <w:b/>
        </w:rPr>
        <w:t>3.2.5其他要求</w:t>
      </w:r>
    </w:p>
    <w:p>
      <w:pPr>
        <w:pStyle w:val="null3"/>
      </w:pPr>
      <w:r>
        <w:rPr/>
        <w:t>采购包1：</w:t>
      </w:r>
    </w:p>
    <w:p>
      <w:pPr>
        <w:pStyle w:val="null3"/>
      </w:pPr>
      <w:r>
        <w:rPr/>
        <w:t>符合采购文件要求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自合同签订之日起至活动验收完毕。</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乙方提供的服务最终验收达不到磋商文件要求和磋商响应文件承诺及国家或行业标准，或在使用中发现甲方不能容忍的缺陷等，将视为验收不合格，乙方应在甲方要求的时间内无条件完善或要求赔付采购人损失。 2、若发现乙方有弄虚作假的，及在项目实施阶段故意或随意夸大服务，本项目合同解除，乙方赔偿甲方相应的损失。 3、 验收标准：按磋商文件、磋商响应文件等服务指标进行逐项验收，各项指标均应符合验收标准及要求。 4、 验收合格后，填写验收单，双方盖章、签字生效。 5、 验收依据 （1）合同文本。 （2）磋商响应文件、磋商文件、澄清函。 （3）国家和行业制定的相应的标准和规范。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签订合同后10个工作日内支付合同总价80%</w:t>
      </w:r>
      <w:r>
        <w:rPr/>
        <w:t xml:space="preserve"> ，达到付款条件起 </w:t>
      </w:r>
      <w:r>
        <w:rPr/>
        <w:t>15</w:t>
      </w:r>
      <w:r>
        <w:rPr/>
        <w:t xml:space="preserve"> 日内，支付合同总金额的 </w:t>
      </w:r>
      <w:r>
        <w:rPr/>
        <w:t>80.00</w:t>
      </w:r>
      <w:r>
        <w:rPr/>
        <w:t>%。</w:t>
      </w:r>
    </w:p>
    <w:p>
      <w:pPr>
        <w:pStyle w:val="null3"/>
      </w:pPr>
      <w:r>
        <w:rPr/>
        <w:t>采购包1：</w:t>
      </w:r>
      <w:r>
        <w:rPr/>
        <w:t xml:space="preserve"> 付款条件说明： </w:t>
      </w:r>
      <w:r>
        <w:rPr/>
        <w:t>活动完成并进行验收合格后支付合同总价款20%</w:t>
      </w:r>
      <w:r>
        <w:rPr/>
        <w:t xml:space="preserve"> ，达到付款条件起 </w:t>
      </w:r>
      <w:r>
        <w:rPr/>
        <w:t>15</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1、按《民法典》中的相关条款执行。 2、乙方未按协议要求提供服务或服务质量不能满足协议要求的，甲方应当将供应 商违约的情况以及拟采取的措施以书面形式报政府采购监管部门，根据政府采购监管部门的处理意见，甲方有权依据《民法 典》有关条款及合同约定终止合同，并要求乙方承担违约责任。同时，政府采购监管部门有权依据《政府采购法》及相关法律 法规对乙方的违法行为进行相应的处罚。 3、如有异议另行协商。</w:t>
      </w:r>
    </w:p>
    <w:p>
      <w:pPr>
        <w:pStyle w:val="null3"/>
        <w:outlineLvl w:val="2"/>
      </w:pPr>
      <w:r>
        <w:rPr>
          <w:sz w:val="28"/>
          <w:b/>
        </w:rPr>
        <w:t>3.4其他要求</w:t>
      </w:r>
    </w:p>
    <w:p>
      <w:pPr>
        <w:pStyle w:val="null3"/>
      </w:pPr>
      <w:r>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 证。供应商一年内累计出现三次该情形，将被监管部门记录为失信行为。 2、供应商需要在线提交所有通过电子化交易平台实 施的政府采购项目的投标文件，同时，线下提交纸质投标文件正本壹份、副本叁份。 纸质投标文件正副本需胶装，标明供应 商名称密封递交，递交截止时间同在线递交电子投标文件截止时间一致。 若电子投标文件与纸质投标文件不一致的，以在线 提交的电子投标文件为准； 线下递交文件时间：同开标时间 线下递交文件地点： 西安市高新区唐延路旺座现代城C座25楼2502室；若选择邮寄，请邮寄至旺座现代城C座25楼2502室。联系电话：029-88319689-8006/8004 邮箱： sxwzzb123@163.com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02供应商资格证明资料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02供应商资格证明资料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须提供2023年11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02供应商资格证明资料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供应商须提供2023年11月至今已缴纳的至少一个月纳税证明或完税证明，依法免税的单位应提供相关证明材料；（以税款所属期限为准）</w:t>
            </w:r>
          </w:p>
        </w:tc>
        <w:tc>
          <w:tcPr>
            <w:tcW w:type="dxa" w:w="1661"/>
          </w:tcPr>
          <w:p>
            <w:pPr>
              <w:pStyle w:val="null3"/>
            </w:pPr>
            <w:r>
              <w:rPr/>
              <w:t>02供应商资格证明资料</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的财务审计报告（至少包括资产负债表和利润表，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t>02供应商资格证明资料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t>02供应商资格证明资料</w:t>
            </w:r>
          </w:p>
        </w:tc>
      </w:tr>
      <w:tr>
        <w:tc>
          <w:tcPr>
            <w:tcW w:type="dxa" w:w="831"/>
          </w:tcPr>
          <w:p>
            <w:pPr>
              <w:pStyle w:val="null3"/>
            </w:pPr>
            <w:r>
              <w:rPr/>
              <w:t>6</w:t>
            </w:r>
          </w:p>
        </w:tc>
        <w:tc>
          <w:tcPr>
            <w:tcW w:type="dxa" w:w="2492"/>
          </w:tcPr>
          <w:p>
            <w:pPr>
              <w:pStyle w:val="null3"/>
            </w:pPr>
            <w:r>
              <w:rPr/>
              <w:t>法定代表人或授权代表</w:t>
            </w:r>
          </w:p>
        </w:tc>
        <w:tc>
          <w:tcPr>
            <w:tcW w:type="dxa" w:w="3322"/>
          </w:tcPr>
          <w:p>
            <w:pPr>
              <w:pStyle w:val="null3"/>
            </w:pPr>
            <w:r>
              <w:rPr/>
              <w:t>非法定代表人参加投标，须提供法定代表人授权委托书及被授权人身份证原件；法定代表人参加投标时,只须提供法定代表人身份证原件</w:t>
            </w:r>
          </w:p>
        </w:tc>
        <w:tc>
          <w:tcPr>
            <w:tcW w:type="dxa" w:w="1661"/>
          </w:tcPr>
          <w:p>
            <w:pPr>
              <w:pStyle w:val="null3"/>
            </w:pPr>
            <w:r>
              <w:rPr/>
              <w:t>02供应商资格证明资料</w:t>
            </w:r>
          </w:p>
        </w:tc>
      </w:tr>
      <w:tr>
        <w:tc>
          <w:tcPr>
            <w:tcW w:type="dxa" w:w="831"/>
          </w:tcPr>
          <w:p>
            <w:pPr>
              <w:pStyle w:val="null3"/>
            </w:pPr>
            <w:r>
              <w:rPr/>
              <w:t>7</w:t>
            </w:r>
          </w:p>
        </w:tc>
        <w:tc>
          <w:tcPr>
            <w:tcW w:type="dxa" w:w="2492"/>
          </w:tcPr>
          <w:p>
            <w:pPr>
              <w:pStyle w:val="null3"/>
            </w:pPr>
            <w:r>
              <w:rPr/>
              <w:t>专业能力承诺</w:t>
            </w:r>
          </w:p>
        </w:tc>
        <w:tc>
          <w:tcPr>
            <w:tcW w:type="dxa" w:w="3322"/>
          </w:tcPr>
          <w:p>
            <w:pPr>
              <w:pStyle w:val="null3"/>
            </w:pPr>
            <w:r>
              <w:rPr/>
              <w:t>提供具有履行合同所必需的设备和专业技术能力的承诺</w:t>
            </w:r>
          </w:p>
        </w:tc>
        <w:tc>
          <w:tcPr>
            <w:tcW w:type="dxa" w:w="1661"/>
          </w:tcPr>
          <w:p>
            <w:pPr>
              <w:pStyle w:val="null3"/>
            </w:pPr>
            <w:r>
              <w:rPr/>
              <w:t>02供应商资格证明资料</w:t>
            </w:r>
          </w:p>
        </w:tc>
      </w:tr>
      <w:tr>
        <w:tc>
          <w:tcPr>
            <w:tcW w:type="dxa" w:w="831"/>
          </w:tcPr>
          <w:p>
            <w:pPr>
              <w:pStyle w:val="null3"/>
            </w:pPr>
            <w:r>
              <w:rPr/>
              <w:t>8</w:t>
            </w:r>
          </w:p>
        </w:tc>
        <w:tc>
          <w:tcPr>
            <w:tcW w:type="dxa" w:w="2492"/>
          </w:tcPr>
          <w:p>
            <w:pPr>
              <w:pStyle w:val="null3"/>
            </w:pPr>
            <w:r>
              <w:rPr/>
              <w:t>是否联合体投标</w:t>
            </w:r>
          </w:p>
        </w:tc>
        <w:tc>
          <w:tcPr>
            <w:tcW w:type="dxa" w:w="3322"/>
          </w:tcPr>
          <w:p>
            <w:pPr>
              <w:pStyle w:val="null3"/>
            </w:pPr>
            <w:r>
              <w:rPr/>
              <w:t>本项目不接受联合体参与。</w:t>
            </w:r>
          </w:p>
        </w:tc>
        <w:tc>
          <w:tcPr>
            <w:tcW w:type="dxa" w:w="1661"/>
          </w:tcPr>
          <w:p>
            <w:pPr>
              <w:pStyle w:val="null3"/>
            </w:pPr>
            <w:r>
              <w:rPr/>
              <w:t>02供应商资格证明资料</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本项目专门面向中小企业，供应商须提供中小企业声明函；</w:t>
            </w:r>
          </w:p>
        </w:tc>
        <w:tc>
          <w:tcPr>
            <w:tcW w:type="dxa" w:w="1661"/>
          </w:tcPr>
          <w:p>
            <w:pPr>
              <w:pStyle w:val="null3"/>
            </w:pPr>
            <w:r>
              <w:rPr/>
              <w:t>02供应商资格证明资料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响应报价是否超过预算或最高限价</w:t>
            </w:r>
          </w:p>
        </w:tc>
        <w:tc>
          <w:tcPr>
            <w:tcW w:type="dxa" w:w="1661"/>
          </w:tcPr>
          <w:p>
            <w:pPr>
              <w:pStyle w:val="null3"/>
            </w:pPr>
            <w:r>
              <w:rPr/>
              <w:t>01分项报价表 标的清单 报价表</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服务期限是否满足竞争性磋商文件要求</w:t>
            </w:r>
          </w:p>
        </w:tc>
        <w:tc>
          <w:tcPr>
            <w:tcW w:type="dxa" w:w="1661"/>
          </w:tcPr>
          <w:p>
            <w:pPr>
              <w:pStyle w:val="null3"/>
            </w:pPr>
            <w:r>
              <w:rPr/>
              <w:t>01分项报价表 标的清单</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响应文件签字、盖章、装订是否满足竞争性磋商文件要求</w:t>
            </w:r>
          </w:p>
        </w:tc>
        <w:tc>
          <w:tcPr>
            <w:tcW w:type="dxa" w:w="1661"/>
          </w:tcPr>
          <w:p>
            <w:pPr>
              <w:pStyle w:val="null3"/>
            </w:pPr>
            <w:r>
              <w:rPr/>
              <w:t>中小企业声明函 报价表 13.供应商业绩一览表 响应文件封面 01分项报价表 14.供应商承诺书 残疾人福利性单位声明函 02供应商资格证明资料 标的清单 15.供应商认为其他有必要说明的其他问题 响应函 3.商务和服务响应偏离表 监狱企业的证明文件</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磋商有效期是否满足竞争性磋商文件要求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商务条款</w:t>
            </w:r>
          </w:p>
        </w:tc>
        <w:tc>
          <w:tcPr>
            <w:tcW w:type="dxa" w:w="3322"/>
          </w:tcPr>
          <w:p>
            <w:pPr>
              <w:pStyle w:val="null3"/>
            </w:pPr>
            <w:r>
              <w:rPr/>
              <w:t>与磋商文件商务要求条款不一致或增加了采购人难以接受的条款</w:t>
            </w:r>
          </w:p>
        </w:tc>
        <w:tc>
          <w:tcPr>
            <w:tcW w:type="dxa" w:w="1661"/>
          </w:tcPr>
          <w:p>
            <w:pPr>
              <w:pStyle w:val="null3"/>
            </w:pPr>
            <w:r>
              <w:rPr/>
              <w:t>15.供应商认为其他有必要说明的其他问题 3.商务和服务响应偏离表</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法律法规和实质性要求：是否符合法律法规和磋商文件规定的其他实质性要求</w:t>
            </w:r>
          </w:p>
        </w:tc>
        <w:tc>
          <w:tcPr>
            <w:tcW w:type="dxa" w:w="1661"/>
          </w:tcPr>
          <w:p>
            <w:pPr>
              <w:pStyle w:val="null3"/>
            </w:pPr>
            <w:r>
              <w:rPr/>
              <w:t>14.供应商承诺书 02供应商资格证明资料 12.项目汇总及资料移交 3.商务和服务响应偏离表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项目需求理解及分析</w:t>
            </w:r>
          </w:p>
        </w:tc>
        <w:tc>
          <w:tcPr>
            <w:tcW w:type="dxa" w:w="2492"/>
          </w:tcPr>
          <w:p>
            <w:pPr>
              <w:pStyle w:val="null3"/>
            </w:pPr>
            <w:r>
              <w:rPr/>
              <w:t>针对本项目提出适用于本项目的需求响应方案，包括但不限于：①项目理解②需求分析③项目重难点分析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4.项目需求理解及分析</w:t>
            </w:r>
          </w:p>
        </w:tc>
      </w:tr>
      <w:tr>
        <w:tc>
          <w:tcPr>
            <w:tcW w:type="dxa" w:w="831"/>
            <w:vMerge/>
          </w:tcPr>
          <w:p/>
        </w:tc>
        <w:tc>
          <w:tcPr>
            <w:tcW w:type="dxa" w:w="1661"/>
          </w:tcPr>
          <w:p>
            <w:pPr>
              <w:pStyle w:val="null3"/>
            </w:pPr>
            <w:r>
              <w:rPr/>
              <w:t>推介策划方案</w:t>
            </w:r>
          </w:p>
        </w:tc>
        <w:tc>
          <w:tcPr>
            <w:tcW w:type="dxa" w:w="2492"/>
          </w:tcPr>
          <w:p>
            <w:pPr>
              <w:pStyle w:val="null3"/>
            </w:pPr>
            <w:r>
              <w:rPr/>
              <w:t>供应商针对本项目的策划方案说明，提供活动策划方案，策划方案包括但不限于产品推荐及展销、拟邀参会代表等。 1.长安好物推荐精准优质极具亮点、特色、拟邀参会代表完全满足项目需求计10分； 2.长安好物推荐基本符合要求，拟邀参会代表基本满足项目需求计7分； 3.长安好物推荐选品一般，拟邀参会代表不满足项目需求计4分； 4.长安好物推荐选品偏离项目需求，拟邀参会代表与项目需求存在较大偏离计1分。 5.未提供本项不得分。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5.推介策划方案</w:t>
            </w:r>
          </w:p>
        </w:tc>
      </w:tr>
      <w:tr>
        <w:tc>
          <w:tcPr>
            <w:tcW w:type="dxa" w:w="831"/>
            <w:vMerge/>
          </w:tcPr>
          <w:p/>
        </w:tc>
        <w:tc>
          <w:tcPr>
            <w:tcW w:type="dxa" w:w="1661"/>
          </w:tcPr>
          <w:p>
            <w:pPr>
              <w:pStyle w:val="null3"/>
            </w:pPr>
            <w:r>
              <w:rPr/>
              <w:t>场地设计及布置方案</w:t>
            </w:r>
          </w:p>
        </w:tc>
        <w:tc>
          <w:tcPr>
            <w:tcW w:type="dxa" w:w="2492"/>
          </w:tcPr>
          <w:p>
            <w:pPr>
              <w:pStyle w:val="null3"/>
            </w:pPr>
            <w:r>
              <w:rPr/>
              <w:t>供应商需针对场地设计及布置方案进行阐述，方案包括但不限于：①场地租赁选址应合理②场地整体布局、视觉设计应结合活动主题凸显西安特色③场地配套设施及服务应完全满足项目实施；进行综合评分。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6.场地设计及布置方案</w:t>
            </w:r>
          </w:p>
        </w:tc>
      </w:tr>
      <w:tr>
        <w:tc>
          <w:tcPr>
            <w:tcW w:type="dxa" w:w="831"/>
            <w:vMerge/>
          </w:tcPr>
          <w:p/>
        </w:tc>
        <w:tc>
          <w:tcPr>
            <w:tcW w:type="dxa" w:w="1661"/>
          </w:tcPr>
          <w:p>
            <w:pPr>
              <w:pStyle w:val="null3"/>
            </w:pPr>
            <w:r>
              <w:rPr/>
              <w:t>推广方案及宣传推广活动</w:t>
            </w:r>
          </w:p>
        </w:tc>
        <w:tc>
          <w:tcPr>
            <w:tcW w:type="dxa" w:w="2492"/>
          </w:tcPr>
          <w:p>
            <w:pPr>
              <w:pStyle w:val="null3"/>
            </w:pPr>
            <w:r>
              <w:rPr/>
              <w:t>供应商针对本项目制定推广方案及相关推广活动，包括但不限于：宣传计划、各阶段宣传重点、宣传方式、媒体名单、宣传物料。进行综合评分。 完全满足采购需求并符合本项目实施特点的得15分；以上方案中每缺少一项内容扣3分；每有一处内容与实际需求不符或不满足要求或与本项目需求不切合或直接套用其他项目内容的扣0.5-2.5分，扣完为止。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7.推广方案及宣传推广活动</w:t>
            </w:r>
          </w:p>
        </w:tc>
      </w:tr>
      <w:tr>
        <w:tc>
          <w:tcPr>
            <w:tcW w:type="dxa" w:w="831"/>
            <w:vMerge/>
          </w:tcPr>
          <w:p/>
        </w:tc>
        <w:tc>
          <w:tcPr>
            <w:tcW w:type="dxa" w:w="1661"/>
          </w:tcPr>
          <w:p>
            <w:pPr>
              <w:pStyle w:val="null3"/>
            </w:pPr>
            <w:r>
              <w:rPr/>
              <w:t>应急预案</w:t>
            </w:r>
          </w:p>
        </w:tc>
        <w:tc>
          <w:tcPr>
            <w:tcW w:type="dxa" w:w="2492"/>
          </w:tcPr>
          <w:p>
            <w:pPr>
              <w:pStyle w:val="null3"/>
            </w:pPr>
            <w:r>
              <w:rPr/>
              <w:t>针对本项目提出适用于本项目的应急保障方案，方案包括但不限于：①医疗预案②安保预案③消防预案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8.应急预案</w:t>
            </w:r>
          </w:p>
        </w:tc>
      </w:tr>
      <w:tr>
        <w:tc>
          <w:tcPr>
            <w:tcW w:type="dxa" w:w="831"/>
            <w:vMerge/>
          </w:tcPr>
          <w:p/>
        </w:tc>
        <w:tc>
          <w:tcPr>
            <w:tcW w:type="dxa" w:w="1661"/>
          </w:tcPr>
          <w:p>
            <w:pPr>
              <w:pStyle w:val="null3"/>
            </w:pPr>
            <w:r>
              <w:rPr/>
              <w:t>保证措施及承诺</w:t>
            </w:r>
          </w:p>
        </w:tc>
        <w:tc>
          <w:tcPr>
            <w:tcW w:type="dxa" w:w="2492"/>
          </w:tcPr>
          <w:p>
            <w:pPr>
              <w:pStyle w:val="null3"/>
            </w:pPr>
            <w:r>
              <w:rPr/>
              <w:t>针对采购需求提出适用于本项目的措施方案及承诺，方案包括但不限于：①服务质量保证措施及承诺②进度控制措施及承诺③安全保障措施及承诺。 完全满足采购需求并符合本项目实施特点提出切实可行的措施并有承诺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9.保证措施及承诺</w:t>
            </w:r>
          </w:p>
        </w:tc>
      </w:tr>
      <w:tr>
        <w:tc>
          <w:tcPr>
            <w:tcW w:type="dxa" w:w="831"/>
            <w:vMerge/>
          </w:tcPr>
          <w:p/>
        </w:tc>
        <w:tc>
          <w:tcPr>
            <w:tcW w:type="dxa" w:w="1661"/>
          </w:tcPr>
          <w:p>
            <w:pPr>
              <w:pStyle w:val="null3"/>
            </w:pPr>
            <w:r>
              <w:rPr/>
              <w:t>拟派项目团队人员</w:t>
            </w:r>
          </w:p>
        </w:tc>
        <w:tc>
          <w:tcPr>
            <w:tcW w:type="dxa" w:w="2492"/>
          </w:tcPr>
          <w:p>
            <w:pPr>
              <w:pStyle w:val="null3"/>
            </w:pPr>
            <w:r>
              <w:rPr/>
              <w:t>根据项目需求配备专业的执行团队(包括但不限于项目负责人、策划、管理等岗位设置)，有充足的工作经验 ，提供人员证明材料(不限于毕业证或学历证、项目经 验等相关证明材料复印件)。 1团队架构完善，人员安排合理，相关证明文件齐全，完全符合项目要求，计10分; 2团队人员配置基本合理明确，相关证明文件有欠缺、不齐全，基本满足项目需求计7分; 3团队人员配备岗位职责划分不明确，人员数量不足，无法满足项目需求得4分; 4团队人员配备严重欠缺，无法满足项目需求得1分；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10.拟派项目团队人员</w:t>
            </w:r>
          </w:p>
        </w:tc>
      </w:tr>
      <w:tr>
        <w:tc>
          <w:tcPr>
            <w:tcW w:type="dxa" w:w="831"/>
            <w:vMerge/>
          </w:tcPr>
          <w:p/>
        </w:tc>
        <w:tc>
          <w:tcPr>
            <w:tcW w:type="dxa" w:w="1661"/>
          </w:tcPr>
          <w:p>
            <w:pPr>
              <w:pStyle w:val="null3"/>
            </w:pPr>
            <w:r>
              <w:rPr/>
              <w:t>拟投入设施设备</w:t>
            </w:r>
          </w:p>
        </w:tc>
        <w:tc>
          <w:tcPr>
            <w:tcW w:type="dxa" w:w="2492"/>
          </w:tcPr>
          <w:p>
            <w:pPr>
              <w:pStyle w:val="null3"/>
            </w:pPr>
            <w:r>
              <w:rPr/>
              <w:t>根据供应商拟投入的关键设施设备、推介用品、专业设备等的配备情况。 1.设施设备配备 齐全、合理、专业能完全满足需求的计5分; 2.设施设备配备有缺陷、 基本满足需求的计3分; 3.投入设施设备不能满足项目需求的计1分； 4.未提供本项不计分。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11.拟投入设施设备</w:t>
            </w:r>
          </w:p>
        </w:tc>
      </w:tr>
      <w:tr>
        <w:tc>
          <w:tcPr>
            <w:tcW w:type="dxa" w:w="831"/>
            <w:vMerge/>
          </w:tcPr>
          <w:p/>
        </w:tc>
        <w:tc>
          <w:tcPr>
            <w:tcW w:type="dxa" w:w="1661"/>
          </w:tcPr>
          <w:p>
            <w:pPr>
              <w:pStyle w:val="null3"/>
            </w:pPr>
            <w:r>
              <w:rPr/>
              <w:t>项目汇总及资料移交</w:t>
            </w:r>
          </w:p>
        </w:tc>
        <w:tc>
          <w:tcPr>
            <w:tcW w:type="dxa" w:w="2492"/>
          </w:tcPr>
          <w:p>
            <w:pPr>
              <w:pStyle w:val="null3"/>
            </w:pPr>
            <w:r>
              <w:rPr/>
              <w:t>根据供应商针对本次活动的项目汇总及资料移交方案（包括但不限于全过程资料的收集、整理及移交等方面）进行评审： 1.方案内容详细完整、针对性强、可行性高，完全符合项目实际要求的，得4分；2.方案内容较为详细完整、针对性较强、可行性较高，符合项目实际要求的，得2分； 3.方案内容不够详细完整，针对性、可行性较差，部分符合项目实际要求的，得1分； 4.未提供本项不予赋分。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12.项目汇总及资料移交</w:t>
            </w:r>
          </w:p>
        </w:tc>
      </w:tr>
      <w:tr>
        <w:tc>
          <w:tcPr>
            <w:tcW w:type="dxa" w:w="831"/>
            <w:vMerge/>
          </w:tcPr>
          <w:p/>
        </w:tc>
        <w:tc>
          <w:tcPr>
            <w:tcW w:type="dxa" w:w="1661"/>
          </w:tcPr>
          <w:p>
            <w:pPr>
              <w:pStyle w:val="null3"/>
            </w:pPr>
            <w:r>
              <w:rPr/>
              <w:t>业绩</w:t>
            </w:r>
          </w:p>
        </w:tc>
        <w:tc>
          <w:tcPr>
            <w:tcW w:type="dxa" w:w="2492"/>
          </w:tcPr>
          <w:p>
            <w:pPr>
              <w:pStyle w:val="null3"/>
            </w:pPr>
            <w:r>
              <w:rPr/>
              <w:t>供应商提供 2021 年 1 月 1 日至今（以合同签订时间为准） 类似项目业绩合同，每提供一个计2分，最高计10分。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13.供应商业绩一览表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有效供应商最低报价为基准价得10分，其他各供应商的报价得分按下列公式计算： 报价得分=（基准价/投标报价）×10×100%。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01分项报价表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详见附件：01分项报价表</w:t>
      </w:r>
    </w:p>
    <w:p>
      <w:pPr>
        <w:pStyle w:val="null3"/>
        <w:ind w:firstLine="960"/>
      </w:pPr>
      <w:r>
        <w:rPr/>
        <w:t>详见附件：02供应商资格证明资料</w:t>
      </w:r>
    </w:p>
    <w:p>
      <w:pPr>
        <w:pStyle w:val="null3"/>
        <w:ind w:firstLine="960"/>
      </w:pPr>
      <w:r>
        <w:rPr/>
        <w:t>详见附件：3.商务和服务响应偏离表</w:t>
      </w:r>
    </w:p>
    <w:p>
      <w:pPr>
        <w:pStyle w:val="null3"/>
        <w:ind w:firstLine="960"/>
      </w:pPr>
      <w:r>
        <w:rPr/>
        <w:t>详见附件：4.项目需求理解及分析</w:t>
      </w:r>
    </w:p>
    <w:p>
      <w:pPr>
        <w:pStyle w:val="null3"/>
        <w:ind w:firstLine="960"/>
      </w:pPr>
      <w:r>
        <w:rPr/>
        <w:t>详见附件：5.推介策划方案</w:t>
      </w:r>
    </w:p>
    <w:p>
      <w:pPr>
        <w:pStyle w:val="null3"/>
        <w:ind w:firstLine="960"/>
      </w:pPr>
      <w:r>
        <w:rPr/>
        <w:t>详见附件：6.场地设计及布置方案</w:t>
      </w:r>
    </w:p>
    <w:p>
      <w:pPr>
        <w:pStyle w:val="null3"/>
        <w:ind w:firstLine="960"/>
      </w:pPr>
      <w:r>
        <w:rPr/>
        <w:t>详见附件：7.推广方案及宣传推广活动</w:t>
      </w:r>
    </w:p>
    <w:p>
      <w:pPr>
        <w:pStyle w:val="null3"/>
        <w:ind w:firstLine="960"/>
      </w:pPr>
      <w:r>
        <w:rPr/>
        <w:t>详见附件：8.应急预案</w:t>
      </w:r>
    </w:p>
    <w:p>
      <w:pPr>
        <w:pStyle w:val="null3"/>
        <w:ind w:firstLine="960"/>
      </w:pPr>
      <w:r>
        <w:rPr/>
        <w:t>详见附件：9.保证措施及承诺</w:t>
      </w:r>
    </w:p>
    <w:p>
      <w:pPr>
        <w:pStyle w:val="null3"/>
        <w:ind w:firstLine="960"/>
      </w:pPr>
      <w:r>
        <w:rPr/>
        <w:t>详见附件：10.拟派项目团队人员</w:t>
      </w:r>
    </w:p>
    <w:p>
      <w:pPr>
        <w:pStyle w:val="null3"/>
        <w:ind w:firstLine="960"/>
      </w:pPr>
      <w:r>
        <w:rPr/>
        <w:t>详见附件：11.拟投入设施设备</w:t>
      </w:r>
    </w:p>
    <w:p>
      <w:pPr>
        <w:pStyle w:val="null3"/>
        <w:ind w:firstLine="960"/>
      </w:pPr>
      <w:r>
        <w:rPr/>
        <w:t>详见附件：12.项目汇总及资料移交</w:t>
      </w:r>
    </w:p>
    <w:p>
      <w:pPr>
        <w:pStyle w:val="null3"/>
        <w:ind w:firstLine="960"/>
      </w:pPr>
      <w:r>
        <w:rPr/>
        <w:t>详见附件：13.供应商业绩一览表</w:t>
      </w:r>
    </w:p>
    <w:p>
      <w:pPr>
        <w:pStyle w:val="null3"/>
        <w:ind w:firstLine="960"/>
      </w:pPr>
      <w:r>
        <w:rPr/>
        <w:t>详见附件：14.供应商承诺书</w:t>
      </w:r>
    </w:p>
    <w:p>
      <w:pPr>
        <w:pStyle w:val="null3"/>
        <w:ind w:firstLine="960"/>
      </w:pPr>
      <w:r>
        <w:rPr/>
        <w:t>详见附件：15.供应商认为其他有必要说明的其他问题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