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A93F4">
      <w:pPr>
        <w:spacing w:line="560" w:lineRule="exact"/>
        <w:rPr>
          <w:rFonts w:ascii="宋体" w:hAnsi="宋体" w:eastAsia="宋体" w:cs="宋体"/>
          <w:b/>
          <w:bCs/>
          <w:sz w:val="32"/>
          <w:szCs w:val="32"/>
          <w:highlight w:val="none"/>
        </w:rPr>
      </w:pPr>
    </w:p>
    <w:p w14:paraId="26EA8C76">
      <w:pPr>
        <w:spacing w:line="560" w:lineRule="exact"/>
        <w:rPr>
          <w:rFonts w:ascii="宋体" w:hAnsi="宋体" w:eastAsia="宋体" w:cs="宋体"/>
          <w:b/>
          <w:bCs/>
          <w:sz w:val="32"/>
          <w:szCs w:val="32"/>
          <w:highlight w:val="none"/>
        </w:rPr>
      </w:pPr>
      <w:r>
        <w:rPr>
          <w:rFonts w:hint="eastAsia" w:ascii="宋体" w:hAnsi="宋体" w:eastAsia="宋体" w:cs="宋体"/>
          <w:b/>
          <w:bCs/>
          <w:sz w:val="32"/>
          <w:szCs w:val="32"/>
          <w:highlight w:val="none"/>
        </w:rPr>
        <w:t>项目编号：SXWZ2024ZB-SZX-265</w:t>
      </w:r>
    </w:p>
    <w:p w14:paraId="48B3250C">
      <w:pPr>
        <w:jc w:val="center"/>
        <w:rPr>
          <w:rFonts w:ascii="宋体" w:hAnsi="宋体" w:eastAsia="宋体" w:cs="宋体"/>
          <w:sz w:val="44"/>
          <w:szCs w:val="44"/>
          <w:highlight w:val="none"/>
        </w:rPr>
      </w:pPr>
    </w:p>
    <w:p w14:paraId="5521A374">
      <w:pPr>
        <w:jc w:val="both"/>
        <w:rPr>
          <w:rFonts w:ascii="宋体" w:hAnsi="宋体" w:eastAsia="宋体" w:cs="宋体"/>
          <w:sz w:val="52"/>
          <w:szCs w:val="52"/>
          <w:highlight w:val="none"/>
        </w:rPr>
      </w:pPr>
    </w:p>
    <w:p w14:paraId="0750D4F6">
      <w:pPr>
        <w:jc w:val="center"/>
        <w:rPr>
          <w:rFonts w:ascii="宋体" w:hAnsi="宋体" w:eastAsia="宋体" w:cs="宋体"/>
          <w:b/>
          <w:bCs/>
          <w:sz w:val="56"/>
          <w:szCs w:val="56"/>
          <w:highlight w:val="none"/>
        </w:rPr>
      </w:pPr>
      <w:r>
        <w:rPr>
          <w:rFonts w:hint="eastAsia" w:ascii="宋体" w:hAnsi="宋体" w:eastAsia="宋体" w:cs="宋体"/>
          <w:b/>
          <w:bCs/>
          <w:sz w:val="56"/>
          <w:szCs w:val="56"/>
          <w:highlight w:val="none"/>
        </w:rPr>
        <w:t>中国人民政治协商会议</w:t>
      </w:r>
    </w:p>
    <w:p w14:paraId="6301886B">
      <w:pPr>
        <w:jc w:val="center"/>
        <w:rPr>
          <w:rFonts w:ascii="宋体" w:hAnsi="宋体" w:eastAsia="宋体" w:cs="宋体"/>
          <w:b/>
          <w:bCs/>
          <w:sz w:val="56"/>
          <w:szCs w:val="56"/>
          <w:highlight w:val="none"/>
        </w:rPr>
      </w:pPr>
      <w:r>
        <w:rPr>
          <w:rFonts w:hint="eastAsia" w:ascii="宋体" w:hAnsi="宋体" w:eastAsia="宋体" w:cs="宋体"/>
          <w:b/>
          <w:bCs/>
          <w:sz w:val="56"/>
          <w:szCs w:val="56"/>
          <w:highlight w:val="none"/>
        </w:rPr>
        <w:t>西安市委员会办公厅</w:t>
      </w:r>
    </w:p>
    <w:p w14:paraId="1F6EE0E3">
      <w:pPr>
        <w:jc w:val="center"/>
        <w:rPr>
          <w:rFonts w:ascii="宋体" w:hAnsi="宋体" w:eastAsia="宋体" w:cs="宋体"/>
          <w:b/>
          <w:bCs/>
          <w:sz w:val="56"/>
          <w:szCs w:val="56"/>
          <w:highlight w:val="none"/>
        </w:rPr>
      </w:pPr>
      <w:r>
        <w:rPr>
          <w:rFonts w:hint="eastAsia" w:ascii="宋体" w:hAnsi="宋体" w:eastAsia="宋体" w:cs="宋体"/>
          <w:b/>
          <w:bCs/>
          <w:sz w:val="56"/>
          <w:szCs w:val="56"/>
          <w:highlight w:val="none"/>
        </w:rPr>
        <w:t>西安市“数字政协”项目</w:t>
      </w:r>
    </w:p>
    <w:p w14:paraId="4BB897D8">
      <w:pPr>
        <w:jc w:val="center"/>
        <w:rPr>
          <w:rFonts w:ascii="宋体" w:hAnsi="宋体" w:eastAsia="宋体" w:cs="宋体"/>
          <w:b/>
          <w:bCs/>
          <w:sz w:val="56"/>
          <w:szCs w:val="56"/>
          <w:highlight w:val="none"/>
        </w:rPr>
      </w:pPr>
    </w:p>
    <w:p w14:paraId="23D7C914">
      <w:pPr>
        <w:jc w:val="center"/>
        <w:rPr>
          <w:rFonts w:ascii="宋体" w:hAnsi="宋体" w:eastAsia="宋体" w:cs="宋体"/>
          <w:b/>
          <w:bCs/>
          <w:sz w:val="56"/>
          <w:szCs w:val="56"/>
          <w:highlight w:val="none"/>
        </w:rPr>
      </w:pPr>
    </w:p>
    <w:p w14:paraId="5083CA2F">
      <w:pPr>
        <w:jc w:val="center"/>
        <w:rPr>
          <w:rFonts w:ascii="宋体" w:hAnsi="宋体" w:eastAsia="宋体" w:cs="宋体"/>
          <w:b/>
          <w:bCs/>
          <w:sz w:val="72"/>
          <w:szCs w:val="72"/>
          <w:highlight w:val="none"/>
        </w:rPr>
      </w:pPr>
      <w:r>
        <w:rPr>
          <w:rFonts w:hint="eastAsia" w:ascii="宋体" w:hAnsi="宋体" w:eastAsia="宋体" w:cs="宋体"/>
          <w:b/>
          <w:bCs/>
          <w:sz w:val="56"/>
          <w:szCs w:val="56"/>
          <w:highlight w:val="none"/>
        </w:rPr>
        <w:t>招标文件</w:t>
      </w:r>
    </w:p>
    <w:p w14:paraId="45EC237B">
      <w:pPr>
        <w:spacing w:line="560" w:lineRule="exact"/>
        <w:ind w:firstLine="803" w:firstLineChars="200"/>
        <w:jc w:val="both"/>
        <w:rPr>
          <w:rFonts w:ascii="宋体" w:hAnsi="宋体" w:eastAsia="宋体" w:cs="宋体"/>
          <w:b/>
          <w:bCs/>
          <w:sz w:val="40"/>
          <w:szCs w:val="40"/>
          <w:highlight w:val="none"/>
        </w:rPr>
      </w:pPr>
    </w:p>
    <w:p w14:paraId="36452D64">
      <w:pPr>
        <w:spacing w:line="560" w:lineRule="exact"/>
        <w:ind w:firstLine="803" w:firstLineChars="200"/>
        <w:jc w:val="both"/>
        <w:rPr>
          <w:rFonts w:ascii="宋体" w:hAnsi="宋体" w:eastAsia="宋体" w:cs="宋体"/>
          <w:b/>
          <w:bCs/>
          <w:sz w:val="40"/>
          <w:szCs w:val="40"/>
          <w:highlight w:val="none"/>
        </w:rPr>
      </w:pPr>
    </w:p>
    <w:p w14:paraId="2A3BD24F">
      <w:pPr>
        <w:spacing w:line="560" w:lineRule="exact"/>
        <w:ind w:firstLine="803" w:firstLineChars="200"/>
        <w:jc w:val="both"/>
        <w:rPr>
          <w:rFonts w:ascii="宋体" w:hAnsi="宋体" w:eastAsia="宋体" w:cs="宋体"/>
          <w:b/>
          <w:bCs/>
          <w:sz w:val="40"/>
          <w:szCs w:val="40"/>
          <w:highlight w:val="none"/>
        </w:rPr>
      </w:pPr>
    </w:p>
    <w:p w14:paraId="74B0C4A2">
      <w:pPr>
        <w:spacing w:line="560" w:lineRule="exact"/>
        <w:jc w:val="both"/>
        <w:rPr>
          <w:rFonts w:ascii="宋体" w:hAnsi="宋体" w:eastAsia="宋体" w:cs="宋体"/>
          <w:sz w:val="32"/>
          <w:szCs w:val="32"/>
          <w:highlight w:val="none"/>
        </w:rPr>
      </w:pPr>
    </w:p>
    <w:p w14:paraId="2C54F08B">
      <w:pPr>
        <w:spacing w:line="560" w:lineRule="exact"/>
        <w:ind w:firstLine="640" w:firstLineChars="200"/>
        <w:jc w:val="center"/>
        <w:rPr>
          <w:rFonts w:ascii="宋体" w:hAnsi="宋体" w:eastAsia="宋体" w:cs="宋体"/>
          <w:sz w:val="32"/>
          <w:szCs w:val="32"/>
          <w:highlight w:val="none"/>
        </w:rPr>
      </w:pPr>
    </w:p>
    <w:p w14:paraId="3C9CCD9F">
      <w:pPr>
        <w:spacing w:line="560" w:lineRule="exact"/>
        <w:jc w:val="center"/>
        <w:rPr>
          <w:rFonts w:ascii="宋体" w:hAnsi="宋体" w:eastAsia="宋体" w:cs="宋体"/>
          <w:sz w:val="32"/>
          <w:szCs w:val="32"/>
          <w:highlight w:val="none"/>
        </w:rPr>
      </w:pPr>
      <w:r>
        <w:rPr>
          <w:rFonts w:hint="eastAsia" w:ascii="宋体" w:hAnsi="宋体" w:eastAsia="宋体" w:cs="宋体"/>
          <w:sz w:val="32"/>
          <w:szCs w:val="32"/>
          <w:highlight w:val="none"/>
        </w:rPr>
        <w:t>陕西万泽招标有限公司</w:t>
      </w:r>
    </w:p>
    <w:p w14:paraId="7C7155C3">
      <w:pPr>
        <w:pStyle w:val="24"/>
        <w:tabs>
          <w:tab w:val="right" w:leader="dot" w:pos="8300"/>
        </w:tabs>
        <w:spacing w:before="312" w:after="312" w:line="360" w:lineRule="auto"/>
        <w:jc w:val="center"/>
        <w:rPr>
          <w:rFonts w:ascii="宋体" w:hAnsi="宋体" w:cs="宋体"/>
          <w:szCs w:val="32"/>
          <w:highlight w:val="none"/>
        </w:rPr>
        <w:sectPr>
          <w:headerReference r:id="rId3" w:type="default"/>
          <w:pgSz w:w="11900" w:h="16840"/>
          <w:pgMar w:top="1440" w:right="1800" w:bottom="1440" w:left="1800" w:header="851" w:footer="992" w:gutter="0"/>
          <w:cols w:space="425" w:num="1"/>
          <w:docGrid w:type="lines" w:linePitch="312" w:charSpace="0"/>
        </w:sectPr>
      </w:pPr>
      <w:r>
        <w:rPr>
          <w:rFonts w:hint="eastAsia" w:ascii="宋体" w:hAnsi="宋体" w:cs="宋体"/>
          <w:szCs w:val="32"/>
          <w:highlight w:val="none"/>
        </w:rPr>
        <w:fldChar w:fldCharType="begin"/>
      </w:r>
      <w:r>
        <w:rPr>
          <w:rFonts w:hint="eastAsia" w:ascii="宋体" w:hAnsi="宋体" w:cs="宋体"/>
          <w:szCs w:val="32"/>
          <w:highlight w:val="none"/>
        </w:rPr>
        <w:instrText xml:space="preserve"> TIME \@ "yyyy年M月" </w:instrText>
      </w:r>
      <w:r>
        <w:rPr>
          <w:rFonts w:hint="eastAsia" w:ascii="宋体" w:hAnsi="宋体" w:cs="宋体"/>
          <w:szCs w:val="32"/>
          <w:highlight w:val="none"/>
        </w:rPr>
        <w:fldChar w:fldCharType="separate"/>
      </w:r>
      <w:r>
        <w:rPr>
          <w:rFonts w:hint="eastAsia" w:ascii="宋体" w:hAnsi="宋体" w:cs="宋体"/>
          <w:szCs w:val="32"/>
          <w:highlight w:val="none"/>
        </w:rPr>
        <w:t>2024年11月</w:t>
      </w:r>
      <w:r>
        <w:rPr>
          <w:rFonts w:hint="eastAsia" w:ascii="宋体" w:hAnsi="宋体" w:cs="宋体"/>
          <w:szCs w:val="32"/>
          <w:highlight w:val="none"/>
        </w:rPr>
        <w:fldChar w:fldCharType="end"/>
      </w:r>
      <w:bookmarkStart w:id="0" w:name="_Toc100219612"/>
    </w:p>
    <w:p w14:paraId="7B7C8305">
      <w:pPr>
        <w:pStyle w:val="24"/>
        <w:tabs>
          <w:tab w:val="right" w:leader="dot" w:pos="8300"/>
        </w:tabs>
        <w:spacing w:before="312" w:after="312" w:line="360" w:lineRule="auto"/>
        <w:jc w:val="center"/>
        <w:rPr>
          <w:rFonts w:ascii="宋体" w:hAnsi="宋体" w:cs="宋体"/>
          <w:sz w:val="24"/>
          <w:highlight w:val="none"/>
        </w:rPr>
      </w:pPr>
      <w:r>
        <w:rPr>
          <w:rFonts w:hint="eastAsia" w:ascii="宋体" w:hAnsi="宋体" w:cs="宋体"/>
          <w:sz w:val="24"/>
          <w:highlight w:val="none"/>
        </w:rPr>
        <w:t>目  录</w:t>
      </w:r>
    </w:p>
    <w:p w14:paraId="6DE0AD02">
      <w:pPr>
        <w:pStyle w:val="24"/>
        <w:tabs>
          <w:tab w:val="right" w:leader="dot" w:pos="8306"/>
        </w:tabs>
        <w:spacing w:before="312" w:after="312"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TOC \o "1-2" \h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"_Toc27043" </w:instrText>
      </w:r>
      <w:r>
        <w:rPr>
          <w:highlight w:val="none"/>
        </w:rPr>
        <w:fldChar w:fldCharType="separate"/>
      </w:r>
      <w:r>
        <w:rPr>
          <w:rFonts w:hint="eastAsia" w:ascii="宋体" w:hAnsi="宋体" w:cs="宋体"/>
          <w:sz w:val="24"/>
          <w:highlight w:val="none"/>
        </w:rPr>
        <w:t>第一章  投标邀请函</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_Toc27043 \h </w:instrText>
      </w:r>
      <w:r>
        <w:rPr>
          <w:rFonts w:hint="eastAsia" w:ascii="宋体" w:hAnsi="宋体" w:cs="宋体"/>
          <w:sz w:val="24"/>
          <w:highlight w:val="none"/>
        </w:rPr>
        <w:fldChar w:fldCharType="separate"/>
      </w:r>
      <w:r>
        <w:rPr>
          <w:rFonts w:hint="eastAsia" w:ascii="宋体" w:hAnsi="宋体" w:cs="宋体"/>
          <w:sz w:val="24"/>
          <w:highlight w:val="none"/>
        </w:rPr>
        <w:t>2</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2A99CB71">
      <w:pPr>
        <w:pStyle w:val="24"/>
        <w:tabs>
          <w:tab w:val="right" w:leader="dot" w:pos="8306"/>
        </w:tabs>
        <w:spacing w:before="312" w:after="312" w:line="360" w:lineRule="auto"/>
        <w:rPr>
          <w:rFonts w:ascii="宋体" w:hAnsi="宋体" w:cs="宋体"/>
          <w:sz w:val="24"/>
          <w:highlight w:val="none"/>
        </w:rPr>
      </w:pPr>
      <w:r>
        <w:rPr>
          <w:highlight w:val="none"/>
        </w:rPr>
        <w:fldChar w:fldCharType="begin"/>
      </w:r>
      <w:r>
        <w:rPr>
          <w:highlight w:val="none"/>
        </w:rPr>
        <w:instrText xml:space="preserve"> HYPERLINK \l "_Toc30294" </w:instrText>
      </w:r>
      <w:r>
        <w:rPr>
          <w:highlight w:val="none"/>
        </w:rPr>
        <w:fldChar w:fldCharType="separate"/>
      </w:r>
      <w:r>
        <w:rPr>
          <w:rFonts w:hint="eastAsia" w:ascii="宋体" w:hAnsi="宋体" w:cs="宋体"/>
          <w:bCs/>
          <w:sz w:val="24"/>
          <w:highlight w:val="none"/>
        </w:rPr>
        <w:t>第二章  供应商须知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_Toc30294 \h </w:instrText>
      </w:r>
      <w:r>
        <w:rPr>
          <w:rFonts w:hint="eastAsia" w:ascii="宋体" w:hAnsi="宋体" w:cs="宋体"/>
          <w:sz w:val="24"/>
          <w:highlight w:val="none"/>
        </w:rPr>
        <w:fldChar w:fldCharType="separate"/>
      </w:r>
      <w:r>
        <w:rPr>
          <w:rFonts w:hint="eastAsia" w:ascii="宋体" w:hAnsi="宋体" w:cs="宋体"/>
          <w:sz w:val="24"/>
          <w:highlight w:val="none"/>
        </w:rPr>
        <w:t>7</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32C8F6EA">
      <w:pPr>
        <w:pStyle w:val="24"/>
        <w:tabs>
          <w:tab w:val="right" w:leader="dot" w:pos="8306"/>
        </w:tabs>
        <w:spacing w:before="312" w:after="312" w:line="360" w:lineRule="auto"/>
        <w:rPr>
          <w:rFonts w:ascii="宋体" w:hAnsi="宋体" w:cs="宋体"/>
          <w:sz w:val="24"/>
          <w:highlight w:val="none"/>
        </w:rPr>
      </w:pPr>
      <w:r>
        <w:rPr>
          <w:highlight w:val="none"/>
        </w:rPr>
        <w:fldChar w:fldCharType="begin"/>
      </w:r>
      <w:r>
        <w:rPr>
          <w:highlight w:val="none"/>
        </w:rPr>
        <w:instrText xml:space="preserve"> HYPERLINK \l "_Toc9354" </w:instrText>
      </w:r>
      <w:r>
        <w:rPr>
          <w:highlight w:val="none"/>
        </w:rPr>
        <w:fldChar w:fldCharType="separate"/>
      </w:r>
      <w:r>
        <w:rPr>
          <w:rFonts w:hint="eastAsia" w:ascii="宋体" w:hAnsi="宋体" w:cs="宋体"/>
          <w:sz w:val="24"/>
          <w:highlight w:val="none"/>
        </w:rPr>
        <w:t>第三章  招标内容及要求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_Toc9354 \h </w:instrText>
      </w:r>
      <w:r>
        <w:rPr>
          <w:rFonts w:hint="eastAsia" w:ascii="宋体" w:hAnsi="宋体" w:cs="宋体"/>
          <w:sz w:val="24"/>
          <w:highlight w:val="none"/>
        </w:rPr>
        <w:fldChar w:fldCharType="separate"/>
      </w:r>
      <w:r>
        <w:rPr>
          <w:rFonts w:hint="eastAsia" w:ascii="宋体" w:hAnsi="宋体" w:cs="宋体"/>
          <w:sz w:val="24"/>
          <w:highlight w:val="none"/>
        </w:rPr>
        <w:t>40</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00F784ED">
      <w:pPr>
        <w:pStyle w:val="24"/>
        <w:tabs>
          <w:tab w:val="right" w:leader="dot" w:pos="8306"/>
        </w:tabs>
        <w:spacing w:before="312" w:after="312" w:line="360" w:lineRule="auto"/>
        <w:rPr>
          <w:rFonts w:ascii="宋体" w:hAnsi="宋体" w:cs="宋体"/>
          <w:sz w:val="24"/>
          <w:highlight w:val="none"/>
        </w:rPr>
      </w:pPr>
      <w:r>
        <w:rPr>
          <w:highlight w:val="none"/>
        </w:rPr>
        <w:fldChar w:fldCharType="begin"/>
      </w:r>
      <w:r>
        <w:rPr>
          <w:highlight w:val="none"/>
        </w:rPr>
        <w:instrText xml:space="preserve"> HYPERLINK \l "_Toc10703" </w:instrText>
      </w:r>
      <w:r>
        <w:rPr>
          <w:highlight w:val="none"/>
        </w:rPr>
        <w:fldChar w:fldCharType="separate"/>
      </w:r>
      <w:r>
        <w:rPr>
          <w:rFonts w:hint="eastAsia" w:ascii="宋体" w:hAnsi="宋体" w:cs="宋体"/>
          <w:sz w:val="24"/>
          <w:highlight w:val="none"/>
        </w:rPr>
        <w:t>第四章 合同文本</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_Toc10703 \h </w:instrText>
      </w:r>
      <w:r>
        <w:rPr>
          <w:rFonts w:hint="eastAsia" w:ascii="宋体" w:hAnsi="宋体" w:cs="宋体"/>
          <w:sz w:val="24"/>
          <w:highlight w:val="none"/>
        </w:rPr>
        <w:fldChar w:fldCharType="separate"/>
      </w:r>
      <w:r>
        <w:rPr>
          <w:rFonts w:hint="eastAsia" w:ascii="宋体" w:hAnsi="宋体" w:cs="宋体"/>
          <w:sz w:val="24"/>
          <w:highlight w:val="none"/>
        </w:rPr>
        <w:t>40</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3AB00BF1">
      <w:pPr>
        <w:pStyle w:val="24"/>
        <w:tabs>
          <w:tab w:val="right" w:leader="dot" w:pos="8306"/>
        </w:tabs>
        <w:spacing w:before="312" w:after="312" w:line="360" w:lineRule="auto"/>
        <w:rPr>
          <w:rFonts w:ascii="宋体" w:hAnsi="宋体" w:cs="宋体"/>
          <w:sz w:val="24"/>
          <w:highlight w:val="none"/>
        </w:rPr>
      </w:pPr>
      <w:r>
        <w:rPr>
          <w:highlight w:val="none"/>
        </w:rPr>
        <w:fldChar w:fldCharType="begin"/>
      </w:r>
      <w:r>
        <w:rPr>
          <w:highlight w:val="none"/>
        </w:rPr>
        <w:instrText xml:space="preserve"> HYPERLINK \l "_Toc7851" </w:instrText>
      </w:r>
      <w:r>
        <w:rPr>
          <w:highlight w:val="none"/>
        </w:rPr>
        <w:fldChar w:fldCharType="separate"/>
      </w:r>
      <w:r>
        <w:rPr>
          <w:rFonts w:hint="eastAsia" w:ascii="宋体" w:hAnsi="宋体" w:cs="宋体"/>
          <w:sz w:val="24"/>
          <w:highlight w:val="none"/>
        </w:rPr>
        <w:t>第五章  投标文件构成及格式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_Toc7851 \h </w:instrText>
      </w:r>
      <w:r>
        <w:rPr>
          <w:rFonts w:hint="eastAsia" w:ascii="宋体" w:hAnsi="宋体" w:cs="宋体"/>
          <w:sz w:val="24"/>
          <w:highlight w:val="none"/>
        </w:rPr>
        <w:fldChar w:fldCharType="separate"/>
      </w:r>
      <w:r>
        <w:rPr>
          <w:rFonts w:hint="eastAsia" w:ascii="宋体" w:hAnsi="宋体" w:cs="宋体"/>
          <w:sz w:val="24"/>
          <w:highlight w:val="none"/>
        </w:rPr>
        <w:t>157</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320B3B65">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"_Toc12425" </w:instrText>
      </w:r>
      <w:r>
        <w:rPr>
          <w:highlight w:val="none"/>
        </w:rPr>
        <w:fldChar w:fldCharType="separate"/>
      </w:r>
      <w:r>
        <w:rPr>
          <w:rFonts w:hint="eastAsia" w:ascii="宋体" w:hAnsi="宋体" w:eastAsia="宋体" w:cs="宋体"/>
          <w:highlight w:val="none"/>
        </w:rPr>
        <w:t>第一部分  投标函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_Toc12425 \h </w:instrText>
      </w:r>
      <w:r>
        <w:rPr>
          <w:rFonts w:hint="eastAsia" w:ascii="宋体" w:hAnsi="宋体" w:eastAsia="宋体" w:cs="宋体"/>
          <w:highlight w:val="none"/>
        </w:rPr>
        <w:fldChar w:fldCharType="separate"/>
      </w:r>
      <w:r>
        <w:rPr>
          <w:rFonts w:hint="eastAsia" w:ascii="宋体" w:hAnsi="宋体" w:eastAsia="宋体" w:cs="宋体"/>
          <w:highlight w:val="none"/>
        </w:rPr>
        <w:t>159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189AB8D">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"_Toc11323" </w:instrText>
      </w:r>
      <w:r>
        <w:rPr>
          <w:highlight w:val="none"/>
        </w:rPr>
        <w:fldChar w:fldCharType="separate"/>
      </w:r>
      <w:r>
        <w:rPr>
          <w:rFonts w:hint="eastAsia" w:ascii="宋体" w:hAnsi="宋体" w:eastAsia="宋体" w:cs="宋体"/>
          <w:highlight w:val="none"/>
        </w:rPr>
        <w:t>第二部分  开标一览表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_Toc11323 \h </w:instrText>
      </w:r>
      <w:r>
        <w:rPr>
          <w:rFonts w:hint="eastAsia" w:ascii="宋体" w:hAnsi="宋体" w:eastAsia="宋体" w:cs="宋体"/>
          <w:highlight w:val="none"/>
        </w:rPr>
        <w:fldChar w:fldCharType="separate"/>
      </w:r>
      <w:r>
        <w:rPr>
          <w:rFonts w:hint="eastAsia" w:ascii="宋体" w:hAnsi="宋体" w:eastAsia="宋体" w:cs="宋体"/>
          <w:highlight w:val="none"/>
        </w:rPr>
        <w:t>160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90DAC3B">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"_Toc15795" </w:instrText>
      </w:r>
      <w:r>
        <w:rPr>
          <w:highlight w:val="none"/>
        </w:rPr>
        <w:fldChar w:fldCharType="separate"/>
      </w:r>
      <w:r>
        <w:rPr>
          <w:rFonts w:hint="eastAsia" w:ascii="宋体" w:hAnsi="宋体" w:eastAsia="宋体" w:cs="宋体"/>
          <w:highlight w:val="none"/>
        </w:rPr>
        <w:t>第三部分  资格证明文件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_Toc15795 \h </w:instrText>
      </w:r>
      <w:r>
        <w:rPr>
          <w:rFonts w:hint="eastAsia" w:ascii="宋体" w:hAnsi="宋体" w:eastAsia="宋体" w:cs="宋体"/>
          <w:highlight w:val="none"/>
        </w:rPr>
        <w:fldChar w:fldCharType="separate"/>
      </w:r>
      <w:r>
        <w:rPr>
          <w:rFonts w:hint="eastAsia" w:ascii="宋体" w:hAnsi="宋体" w:eastAsia="宋体" w:cs="宋体"/>
          <w:highlight w:val="none"/>
        </w:rPr>
        <w:t>162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0608547">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"_Toc29266" </w:instrText>
      </w:r>
      <w:r>
        <w:rPr>
          <w:highlight w:val="none"/>
        </w:rPr>
        <w:fldChar w:fldCharType="separate"/>
      </w:r>
      <w:r>
        <w:rPr>
          <w:rFonts w:hint="eastAsia" w:ascii="宋体" w:hAnsi="宋体" w:eastAsia="宋体" w:cs="宋体"/>
          <w:highlight w:val="none"/>
        </w:rPr>
        <w:t>第四部分  供应商概况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_Toc29266 \h </w:instrText>
      </w:r>
      <w:r>
        <w:rPr>
          <w:rFonts w:hint="eastAsia" w:ascii="宋体" w:hAnsi="宋体" w:eastAsia="宋体" w:cs="宋体"/>
          <w:highlight w:val="none"/>
        </w:rPr>
        <w:fldChar w:fldCharType="separate"/>
      </w:r>
      <w:r>
        <w:rPr>
          <w:rFonts w:hint="eastAsia" w:ascii="宋体" w:hAnsi="宋体" w:eastAsia="宋体" w:cs="宋体"/>
          <w:highlight w:val="none"/>
        </w:rPr>
        <w:t>167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0B3145CF">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"_Toc30034" </w:instrText>
      </w:r>
      <w:r>
        <w:rPr>
          <w:highlight w:val="none"/>
        </w:rPr>
        <w:fldChar w:fldCharType="separate"/>
      </w:r>
      <w:r>
        <w:rPr>
          <w:rFonts w:hint="eastAsia" w:ascii="宋体" w:hAnsi="宋体" w:eastAsia="宋体" w:cs="宋体"/>
          <w:bCs/>
          <w:highlight w:val="none"/>
        </w:rPr>
        <w:t>第五部分  商务和需求响应偏离表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_Toc30034 \h </w:instrText>
      </w:r>
      <w:r>
        <w:rPr>
          <w:rFonts w:hint="eastAsia" w:ascii="宋体" w:hAnsi="宋体" w:eastAsia="宋体" w:cs="宋体"/>
          <w:highlight w:val="none"/>
        </w:rPr>
        <w:fldChar w:fldCharType="separate"/>
      </w:r>
      <w:r>
        <w:rPr>
          <w:rFonts w:hint="eastAsia" w:ascii="宋体" w:hAnsi="宋体" w:eastAsia="宋体" w:cs="宋体"/>
          <w:highlight w:val="none"/>
        </w:rPr>
        <w:t>167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FE6BC06">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"_Toc13802" </w:instrText>
      </w:r>
      <w:r>
        <w:rPr>
          <w:highlight w:val="none"/>
        </w:rPr>
        <w:fldChar w:fldCharType="separate"/>
      </w:r>
      <w:r>
        <w:rPr>
          <w:rFonts w:hint="eastAsia" w:ascii="宋体" w:hAnsi="宋体" w:eastAsia="宋体" w:cs="宋体"/>
          <w:highlight w:val="none"/>
        </w:rPr>
        <w:t>第六部分  服务方案</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_Toc13802 \h </w:instrText>
      </w:r>
      <w:r>
        <w:rPr>
          <w:rFonts w:hint="eastAsia" w:ascii="宋体" w:hAnsi="宋体" w:eastAsia="宋体" w:cs="宋体"/>
          <w:highlight w:val="none"/>
        </w:rPr>
        <w:fldChar w:fldCharType="separate"/>
      </w:r>
      <w:r>
        <w:rPr>
          <w:rFonts w:hint="eastAsia" w:ascii="宋体" w:hAnsi="宋体" w:eastAsia="宋体" w:cs="宋体"/>
          <w:highlight w:val="none"/>
        </w:rPr>
        <w:t>170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03AF6077">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"_Toc21193" </w:instrText>
      </w:r>
      <w:r>
        <w:rPr>
          <w:highlight w:val="none"/>
        </w:rPr>
        <w:fldChar w:fldCharType="separate"/>
      </w:r>
      <w:r>
        <w:rPr>
          <w:rFonts w:hint="eastAsia" w:ascii="宋体" w:hAnsi="宋体" w:eastAsia="宋体" w:cs="宋体"/>
          <w:highlight w:val="none"/>
        </w:rPr>
        <w:t>第七部分  服务保障措施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_Toc21193 \h </w:instrText>
      </w:r>
      <w:r>
        <w:rPr>
          <w:rFonts w:hint="eastAsia" w:ascii="宋体" w:hAnsi="宋体" w:eastAsia="宋体" w:cs="宋体"/>
          <w:highlight w:val="none"/>
        </w:rPr>
        <w:fldChar w:fldCharType="separate"/>
      </w:r>
      <w:r>
        <w:rPr>
          <w:rFonts w:hint="eastAsia" w:ascii="宋体" w:hAnsi="宋体" w:eastAsia="宋体" w:cs="宋体"/>
          <w:highlight w:val="none"/>
        </w:rPr>
        <w:t>171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A55124C">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"_Toc24149" </w:instrText>
      </w:r>
      <w:r>
        <w:rPr>
          <w:highlight w:val="none"/>
        </w:rPr>
        <w:fldChar w:fldCharType="separate"/>
      </w:r>
      <w:r>
        <w:rPr>
          <w:rFonts w:hint="eastAsia" w:ascii="宋体" w:hAnsi="宋体" w:eastAsia="宋体" w:cs="宋体"/>
          <w:highlight w:val="none"/>
        </w:rPr>
        <w:t>第八部分  供应商业绩一览表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_Toc24149 \h </w:instrText>
      </w:r>
      <w:r>
        <w:rPr>
          <w:rFonts w:hint="eastAsia" w:ascii="宋体" w:hAnsi="宋体" w:eastAsia="宋体" w:cs="宋体"/>
          <w:highlight w:val="none"/>
        </w:rPr>
        <w:fldChar w:fldCharType="separate"/>
      </w:r>
      <w:r>
        <w:rPr>
          <w:rFonts w:hint="eastAsia" w:ascii="宋体" w:hAnsi="宋体" w:eastAsia="宋体" w:cs="宋体"/>
          <w:highlight w:val="none"/>
        </w:rPr>
        <w:t>172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E58E640">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"_Toc17129" </w:instrText>
      </w:r>
      <w:r>
        <w:rPr>
          <w:highlight w:val="none"/>
        </w:rPr>
        <w:fldChar w:fldCharType="separate"/>
      </w:r>
      <w:r>
        <w:rPr>
          <w:rFonts w:hint="eastAsia" w:ascii="宋体" w:hAnsi="宋体" w:eastAsia="宋体" w:cs="宋体"/>
          <w:highlight w:val="none"/>
        </w:rPr>
        <w:t>第九部分  供应商认为有必要说明的其他问题</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_Toc17129 \h </w:instrText>
      </w:r>
      <w:r>
        <w:rPr>
          <w:rFonts w:hint="eastAsia" w:ascii="宋体" w:hAnsi="宋体" w:eastAsia="宋体" w:cs="宋体"/>
          <w:highlight w:val="none"/>
        </w:rPr>
        <w:fldChar w:fldCharType="separate"/>
      </w:r>
      <w:r>
        <w:rPr>
          <w:rFonts w:hint="eastAsia" w:ascii="宋体" w:hAnsi="宋体" w:eastAsia="宋体" w:cs="宋体"/>
          <w:highlight w:val="none"/>
        </w:rPr>
        <w:t>173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5A16B8C">
      <w:pPr>
        <w:pStyle w:val="28"/>
        <w:tabs>
          <w:tab w:val="right" w:leader="dot" w:pos="8306"/>
        </w:tabs>
        <w:spacing w:line="360" w:lineRule="auto"/>
        <w:ind w:left="480"/>
        <w:rPr>
          <w:rFonts w:ascii="宋体" w:hAnsi="宋体" w:eastAsia="宋体" w:cs="宋体"/>
          <w:highlight w:val="none"/>
        </w:rPr>
      </w:pPr>
      <w:r>
        <w:rPr>
          <w:highlight w:val="none"/>
        </w:rPr>
        <w:fldChar w:fldCharType="begin"/>
      </w:r>
      <w:r>
        <w:rPr>
          <w:highlight w:val="none"/>
        </w:rPr>
        <w:instrText xml:space="preserve"> HYPERLINK \l "_Toc16890" </w:instrText>
      </w:r>
      <w:r>
        <w:rPr>
          <w:highlight w:val="none"/>
        </w:rPr>
        <w:fldChar w:fldCharType="separate"/>
      </w:r>
      <w:r>
        <w:rPr>
          <w:rFonts w:hint="eastAsia" w:ascii="宋体" w:hAnsi="宋体" w:eastAsia="宋体" w:cs="宋体"/>
          <w:highlight w:val="none"/>
        </w:rPr>
        <w:t>第十部分  供应商参加政府采购活动承诺书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_Toc16890 \h </w:instrText>
      </w:r>
      <w:r>
        <w:rPr>
          <w:rFonts w:hint="eastAsia" w:ascii="宋体" w:hAnsi="宋体" w:eastAsia="宋体" w:cs="宋体"/>
          <w:highlight w:val="none"/>
        </w:rPr>
        <w:fldChar w:fldCharType="separate"/>
      </w:r>
      <w:r>
        <w:rPr>
          <w:rFonts w:hint="eastAsia" w:ascii="宋体" w:hAnsi="宋体" w:eastAsia="宋体" w:cs="宋体"/>
          <w:highlight w:val="none"/>
        </w:rPr>
        <w:t>177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97F696D">
      <w:pPr>
        <w:pStyle w:val="3"/>
        <w:rPr>
          <w:rFonts w:ascii="宋体" w:hAnsi="宋体" w:eastAsia="宋体" w:cs="宋体"/>
          <w:highlight w:val="none"/>
        </w:rPr>
        <w:sectPr>
          <w:footerReference r:id="rId4" w:type="default"/>
          <w:pgSz w:w="11906" w:h="16838"/>
          <w:pgMar w:top="1440" w:right="1800" w:bottom="1440" w:left="1800" w:header="851" w:footer="992" w:gutter="0"/>
          <w:pgNumType w:start="1"/>
          <w:cols w:space="0" w:num="1"/>
          <w:docGrid w:type="lines" w:linePitch="312" w:charSpace="0"/>
        </w:sectPr>
      </w:pPr>
      <w:r>
        <w:rPr>
          <w:rFonts w:hint="eastAsia" w:ascii="宋体" w:hAnsi="宋体" w:eastAsia="宋体" w:cs="宋体"/>
          <w:highlight w:val="none"/>
        </w:rPr>
        <w:fldChar w:fldCharType="end"/>
      </w:r>
    </w:p>
    <w:p w14:paraId="3B427DA7">
      <w:pPr>
        <w:pStyle w:val="3"/>
        <w:rPr>
          <w:rFonts w:ascii="宋体" w:hAnsi="宋体" w:eastAsia="宋体" w:cs="宋体"/>
          <w:sz w:val="24"/>
          <w:szCs w:val="24"/>
          <w:highlight w:val="none"/>
        </w:rPr>
      </w:pPr>
      <w:bookmarkStart w:id="1" w:name="_Toc2628"/>
      <w:bookmarkStart w:id="2" w:name="_Toc27043"/>
      <w:bookmarkStart w:id="3" w:name="_Toc23882"/>
      <w:r>
        <w:rPr>
          <w:rFonts w:hint="eastAsia" w:ascii="宋体" w:hAnsi="宋体" w:eastAsia="宋体" w:cs="宋体"/>
          <w:sz w:val="24"/>
          <w:szCs w:val="24"/>
          <w:highlight w:val="none"/>
        </w:rPr>
        <w:t>第一章  投标邀请函</w:t>
      </w:r>
      <w:bookmarkEnd w:id="0"/>
      <w:bookmarkEnd w:id="1"/>
      <w:bookmarkEnd w:id="2"/>
      <w:bookmarkEnd w:id="3"/>
    </w:p>
    <w:p w14:paraId="372AE4A4">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陕西万泽招标有限公司受中国人民政治协商会议西安市委员会办公厅的委托，经政府采购监管部门批准，按照政府采购程序，对中国人民政治协商会议西安市委员会办公厅西安市“数字政协”项目进行公开招标，欢迎符合资格条件的、有能力提供本项目所需货物和服务的供应商参加投标。</w:t>
      </w:r>
    </w:p>
    <w:p w14:paraId="5CE81D31">
      <w:pPr>
        <w:spacing w:line="500" w:lineRule="exact"/>
        <w:rPr>
          <w:rFonts w:ascii="宋体" w:hAnsi="宋体" w:eastAsia="宋体" w:cs="宋体"/>
          <w:highlight w:val="none"/>
        </w:rPr>
      </w:pPr>
      <w:r>
        <w:rPr>
          <w:rFonts w:hint="eastAsia" w:ascii="宋体" w:hAnsi="宋体" w:eastAsia="宋体" w:cs="宋体"/>
          <w:highlight w:val="none"/>
        </w:rPr>
        <w:t>一、项目基本信息：</w:t>
      </w:r>
    </w:p>
    <w:p w14:paraId="2E5876DD">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项目名称：中国人民政治协商会议西安市委员会办公厅西安市“数字政协”项目</w:t>
      </w:r>
    </w:p>
    <w:p w14:paraId="03FB44AD">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项目编号：SXWZ2024ZB-SZX-265</w:t>
      </w:r>
    </w:p>
    <w:p w14:paraId="3BAEDA22">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预算执行书编号：ZCBN-西安市-2024-04997</w:t>
      </w:r>
    </w:p>
    <w:p w14:paraId="761BB297">
      <w:pPr>
        <w:numPr>
          <w:ilvl w:val="0"/>
          <w:numId w:val="2"/>
        </w:numPr>
        <w:spacing w:line="500" w:lineRule="exact"/>
        <w:rPr>
          <w:rFonts w:ascii="宋体" w:hAnsi="宋体" w:eastAsia="宋体" w:cs="宋体"/>
          <w:highlight w:val="none"/>
        </w:rPr>
      </w:pPr>
      <w:r>
        <w:rPr>
          <w:rFonts w:hint="eastAsia" w:ascii="宋体" w:hAnsi="宋体" w:eastAsia="宋体" w:cs="宋体"/>
          <w:highlight w:val="none"/>
        </w:rPr>
        <w:t>项目性质：非专门面向中小企业的采购</w:t>
      </w:r>
    </w:p>
    <w:p w14:paraId="404807C9">
      <w:pPr>
        <w:numPr>
          <w:ilvl w:val="0"/>
          <w:numId w:val="2"/>
        </w:numPr>
        <w:spacing w:line="500" w:lineRule="exact"/>
        <w:rPr>
          <w:rFonts w:ascii="宋体" w:hAnsi="宋体" w:eastAsia="宋体" w:cs="宋体"/>
          <w:highlight w:val="none"/>
        </w:rPr>
      </w:pPr>
      <w:r>
        <w:rPr>
          <w:rFonts w:hint="eastAsia" w:ascii="宋体" w:hAnsi="宋体" w:eastAsia="宋体" w:cs="宋体"/>
          <w:highlight w:val="none"/>
        </w:rPr>
        <w:t>采购内容和要求：</w:t>
      </w:r>
    </w:p>
    <w:p w14:paraId="4B685336">
      <w:pPr>
        <w:spacing w:line="500" w:lineRule="exact"/>
        <w:ind w:firstLine="420"/>
        <w:rPr>
          <w:rFonts w:ascii="宋体" w:hAnsi="宋体" w:eastAsia="宋体" w:cs="宋体"/>
          <w:highlight w:val="none"/>
        </w:rPr>
      </w:pPr>
      <w:r>
        <w:rPr>
          <w:rFonts w:hint="eastAsia" w:ascii="宋体" w:hAnsi="宋体" w:eastAsia="宋体" w:cs="宋体"/>
          <w:highlight w:val="none"/>
        </w:rPr>
        <w:t>采购内容：西安市“数字政协”项目</w:t>
      </w:r>
    </w:p>
    <w:p w14:paraId="7A2B64A0">
      <w:pPr>
        <w:spacing w:line="500" w:lineRule="exact"/>
        <w:ind w:firstLine="420"/>
        <w:rPr>
          <w:rFonts w:ascii="宋体" w:hAnsi="宋体" w:eastAsia="宋体" w:cs="宋体"/>
          <w:highlight w:val="none"/>
        </w:rPr>
      </w:pPr>
      <w:r>
        <w:rPr>
          <w:rFonts w:hint="eastAsia" w:ascii="宋体" w:hAnsi="宋体" w:eastAsia="宋体" w:cs="宋体"/>
          <w:highlight w:val="none"/>
        </w:rPr>
        <w:t>项目用途：自用</w:t>
      </w:r>
    </w:p>
    <w:p w14:paraId="5E342096">
      <w:pPr>
        <w:numPr>
          <w:ilvl w:val="0"/>
          <w:numId w:val="2"/>
        </w:numPr>
        <w:spacing w:line="360" w:lineRule="auto"/>
        <w:rPr>
          <w:rFonts w:ascii="宋体" w:hAnsi="宋体" w:eastAsia="宋体" w:cs="宋体"/>
          <w:highlight w:val="none"/>
        </w:rPr>
      </w:pPr>
      <w:r>
        <w:rPr>
          <w:rFonts w:hint="eastAsia" w:ascii="宋体" w:hAnsi="宋体" w:eastAsia="宋体" w:cs="宋体"/>
          <w:highlight w:val="none"/>
        </w:rPr>
        <w:t>采购预算：6592191.00元，最高限价：6592191.00元</w:t>
      </w:r>
    </w:p>
    <w:p w14:paraId="30F57764">
      <w:pPr>
        <w:rPr>
          <w:rFonts w:ascii="宋体" w:hAnsi="宋体" w:eastAsia="宋体" w:cs="宋体"/>
          <w:highlight w:val="none"/>
        </w:rPr>
      </w:pPr>
      <w:r>
        <w:rPr>
          <w:rFonts w:hint="eastAsia" w:ascii="宋体" w:hAnsi="宋体" w:eastAsia="宋体" w:cs="宋体"/>
          <w:highlight w:val="none"/>
        </w:rPr>
        <w:t>五、供应商资格要求：</w:t>
      </w:r>
    </w:p>
    <w:p w14:paraId="331D22F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1．基本资格条件</w:t>
      </w:r>
    </w:p>
    <w:p w14:paraId="642DD25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满足《中华人民共和国政府釆购法》第二十二条规定。</w:t>
      </w:r>
    </w:p>
    <w:p w14:paraId="3E86904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2．特定资格条件</w:t>
      </w:r>
    </w:p>
    <w:p w14:paraId="7D51C30E">
      <w:pPr>
        <w:spacing w:line="500" w:lineRule="exact"/>
        <w:ind w:firstLine="496" w:firstLineChars="200"/>
        <w:rPr>
          <w:rFonts w:ascii="宋体" w:hAnsi="宋体" w:eastAsia="宋体" w:cs="宋体"/>
          <w:highlight w:val="none"/>
        </w:rPr>
      </w:pPr>
      <w:r>
        <w:rPr>
          <w:rFonts w:hint="eastAsia" w:ascii="宋体" w:hAnsi="宋体" w:eastAsia="宋体" w:cs="宋体"/>
          <w:highlight w:val="none"/>
        </w:rPr>
        <w:t>(1)具有独立承担民事责任能力的法人（负责人）、其他组织或自然人，并出具合法有效的营业执照或事业单位法人证书等国家规定的相关证明，自然人参与的提供其身份证明；</w:t>
      </w:r>
    </w:p>
    <w:p w14:paraId="273F4D7E">
      <w:pPr>
        <w:spacing w:line="500" w:lineRule="exact"/>
        <w:ind w:firstLine="496" w:firstLineChars="200"/>
        <w:rPr>
          <w:rFonts w:ascii="宋体" w:hAnsi="宋体" w:eastAsia="宋体" w:cs="宋体"/>
          <w:highlight w:val="none"/>
        </w:rPr>
      </w:pPr>
      <w:r>
        <w:rPr>
          <w:rFonts w:hint="eastAsia" w:ascii="宋体" w:hAnsi="宋体" w:eastAsia="宋体" w:cs="宋体"/>
          <w:highlight w:val="none"/>
        </w:rPr>
        <w:t>(2)社会保障资金缴纳证明：供应商提供本单位2024年01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11D5E8F1">
      <w:pPr>
        <w:spacing w:line="500" w:lineRule="exact"/>
        <w:ind w:firstLine="496" w:firstLineChars="200"/>
        <w:rPr>
          <w:rFonts w:ascii="宋体" w:hAnsi="宋体" w:eastAsia="宋体" w:cs="宋体"/>
          <w:highlight w:val="none"/>
        </w:rPr>
      </w:pPr>
      <w:r>
        <w:rPr>
          <w:rFonts w:hint="eastAsia" w:ascii="宋体" w:hAnsi="宋体" w:eastAsia="宋体" w:cs="宋体"/>
          <w:highlight w:val="none"/>
        </w:rPr>
        <w:t>(3)税收缴纳证明：供应商提供本单位2024年01月至今已缴纳的至少一个月纳税证明或完税证明，依法免税的单位应提供相关证明材料；</w:t>
      </w:r>
    </w:p>
    <w:p w14:paraId="36672390">
      <w:pPr>
        <w:spacing w:line="500" w:lineRule="exact"/>
        <w:ind w:firstLine="496" w:firstLineChars="200"/>
        <w:rPr>
          <w:rFonts w:ascii="宋体" w:hAnsi="宋体" w:eastAsia="宋体" w:cs="宋体"/>
          <w:highlight w:val="none"/>
        </w:rPr>
      </w:pPr>
      <w:r>
        <w:rPr>
          <w:rFonts w:hint="eastAsia" w:ascii="宋体" w:hAnsi="宋体" w:eastAsia="宋体" w:cs="宋体"/>
          <w:highlight w:val="none"/>
        </w:rPr>
        <w:t xml:space="preserve">(4)财务状况证明：提供本单位经会计师事务所审计的2023年度的财务审计报告或在开标日期前六个月内其基本开户银行出具的资信证明；  </w:t>
      </w:r>
    </w:p>
    <w:p w14:paraId="02FE33EA">
      <w:pPr>
        <w:spacing w:line="500" w:lineRule="exact"/>
        <w:ind w:firstLine="496" w:firstLineChars="200"/>
        <w:rPr>
          <w:rFonts w:ascii="宋体" w:hAnsi="宋体" w:eastAsia="宋体" w:cs="宋体"/>
          <w:highlight w:val="none"/>
        </w:rPr>
      </w:pPr>
      <w:r>
        <w:rPr>
          <w:rFonts w:hint="eastAsia" w:ascii="宋体" w:hAnsi="宋体" w:eastAsia="宋体" w:cs="宋体"/>
          <w:highlight w:val="none"/>
        </w:rPr>
        <w:t>(5)供应商应出具参加本次政府采购活动前3年内在经营活动中没有重大违法违纪，以及未被列入失信被执行人、重大税收违法案件当事人名单、政府采购严重违法失信行为记录名单的书面声明；</w:t>
      </w:r>
    </w:p>
    <w:p w14:paraId="0395047A">
      <w:pPr>
        <w:spacing w:line="500" w:lineRule="exact"/>
        <w:ind w:firstLine="496" w:firstLineChars="200"/>
        <w:rPr>
          <w:rFonts w:ascii="宋体" w:hAnsi="宋体" w:eastAsia="宋体" w:cs="宋体"/>
          <w:highlight w:val="none"/>
        </w:rPr>
      </w:pPr>
      <w:r>
        <w:rPr>
          <w:rFonts w:hint="eastAsia" w:ascii="宋体" w:hAnsi="宋体" w:eastAsia="宋体" w:cs="宋体"/>
          <w:highlight w:val="none"/>
        </w:rPr>
        <w:t>(6)非法定代表人（负责人）参加投标，须提供法定代表人（负责人）授权委托书及被授权人身份证；法定代表人（负责人）参加投标时,只须提供法定代表人（负责人）身份证；</w:t>
      </w:r>
    </w:p>
    <w:p w14:paraId="7A326703">
      <w:pPr>
        <w:spacing w:line="500" w:lineRule="exact"/>
        <w:ind w:firstLine="496" w:firstLineChars="200"/>
        <w:rPr>
          <w:rFonts w:ascii="宋体" w:hAnsi="宋体" w:eastAsia="宋体" w:cs="宋体"/>
          <w:highlight w:val="none"/>
        </w:rPr>
      </w:pPr>
      <w:r>
        <w:rPr>
          <w:rFonts w:hint="eastAsia" w:ascii="宋体" w:hAnsi="宋体" w:eastAsia="宋体" w:cs="宋体"/>
          <w:highlight w:val="none"/>
        </w:rPr>
        <w:t>(7)本项目不接受联合体投标。</w:t>
      </w:r>
    </w:p>
    <w:p w14:paraId="5281171E">
      <w:pPr>
        <w:spacing w:before="395" w:beforeLines="100"/>
        <w:rPr>
          <w:rFonts w:ascii="宋体" w:hAnsi="宋体" w:eastAsia="宋体" w:cs="宋体"/>
          <w:highlight w:val="none"/>
        </w:rPr>
      </w:pPr>
      <w:r>
        <w:rPr>
          <w:rFonts w:hint="eastAsia" w:ascii="宋体" w:hAnsi="宋体" w:eastAsia="宋体" w:cs="宋体"/>
          <w:highlight w:val="none"/>
        </w:rPr>
        <w:t>六、执行的其他政府采购政策：</w:t>
      </w:r>
    </w:p>
    <w:p w14:paraId="67C52574">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1．《政府采购促进中小企业发展管理办法》（财库〔2020〕46号）、《财政部关于进一步加大政府采购支持中小企业力度的通知》（财库〔2022〕19号）、《关于政府采购支持监狱企业发展有关问题的通知》（财库〔2014〕68号）以及《关于促进残疾人就业政府采购政策的通知》（财库〔2017〕141号）。</w:t>
      </w:r>
    </w:p>
    <w:p w14:paraId="12C347D6">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59560F2F">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3．陕西省财政厅关于印发《陕西省中小企业政府采购信用融资办法》（陕财办采〔2018〕23号）。</w:t>
      </w:r>
    </w:p>
    <w:p w14:paraId="75E8E1C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4．详见招标文件第二章相关事项。</w:t>
      </w:r>
    </w:p>
    <w:p w14:paraId="293106ED">
      <w:pPr>
        <w:spacing w:before="395" w:beforeLines="100"/>
        <w:rPr>
          <w:rFonts w:ascii="宋体" w:hAnsi="宋体" w:eastAsia="宋体" w:cs="宋体"/>
          <w:highlight w:val="none"/>
        </w:rPr>
      </w:pPr>
      <w:r>
        <w:rPr>
          <w:rFonts w:hint="eastAsia" w:ascii="宋体" w:hAnsi="宋体" w:eastAsia="宋体" w:cs="宋体"/>
          <w:highlight w:val="none"/>
        </w:rPr>
        <w:t>七、招标文件获取方式及公告期限：</w:t>
      </w:r>
    </w:p>
    <w:p w14:paraId="02D742A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1．获取方式：</w:t>
      </w:r>
    </w:p>
    <w:p w14:paraId="3DB9B5F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1.1打开【全国公共资源交易平台（陕西省·西安市）】网站（简称西安市公共资源交易平台，官网地址：</w:t>
      </w:r>
      <w:r>
        <w:rPr>
          <w:rFonts w:hint="eastAsia"/>
          <w:highlight w:val="none"/>
        </w:rPr>
        <w:fldChar w:fldCharType="begin"/>
      </w:r>
      <w:r>
        <w:rPr>
          <w:rFonts w:hint="eastAsia" w:ascii="宋体" w:hAnsi="宋体" w:eastAsia="宋体" w:cs="宋体"/>
          <w:highlight w:val="none"/>
        </w:rPr>
        <w:instrText xml:space="preserve"> HYPERLINK "http://sxggzyjy.xa.gov.cn/" </w:instrText>
      </w:r>
      <w:r>
        <w:rPr>
          <w:rFonts w:hint="eastAsia"/>
          <w:highlight w:val="none"/>
        </w:rPr>
        <w:fldChar w:fldCharType="separate"/>
      </w:r>
      <w:r>
        <w:rPr>
          <w:rStyle w:val="45"/>
          <w:rFonts w:hint="eastAsia" w:ascii="宋体" w:hAnsi="宋体" w:eastAsia="宋体" w:cs="宋体"/>
          <w:color w:val="auto"/>
          <w:highlight w:val="none"/>
          <w:u w:val="none"/>
        </w:rPr>
        <w:t>http://sxggzyjy.xa.gov.cn/</w:t>
      </w:r>
      <w:r>
        <w:rPr>
          <w:rStyle w:val="45"/>
          <w:rFonts w:hint="eastAsia" w:ascii="宋体" w:hAnsi="宋体" w:eastAsia="宋体" w:cs="宋体"/>
          <w:color w:val="auto"/>
          <w:highlight w:val="none"/>
          <w:u w:val="none"/>
        </w:rPr>
        <w:fldChar w:fldCharType="end"/>
      </w:r>
      <w:r>
        <w:rPr>
          <w:rFonts w:hint="eastAsia" w:ascii="宋体" w:hAnsi="宋体" w:eastAsia="宋体" w:cs="宋体"/>
          <w:highlight w:val="none"/>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2C1D4666">
      <w:pPr>
        <w:keepNext/>
        <w:numPr>
          <w:ilvl w:val="3"/>
          <w:numId w:val="0"/>
        </w:numPr>
        <w:spacing w:line="360" w:lineRule="auto"/>
        <w:ind w:firstLine="496" w:firstLineChars="200"/>
        <w:rPr>
          <w:rFonts w:ascii="宋体" w:hAnsi="宋体" w:eastAsia="宋体" w:cs="宋体"/>
          <w:highlight w:val="none"/>
        </w:rPr>
      </w:pPr>
      <w:r>
        <w:rPr>
          <w:rFonts w:hint="eastAsia" w:ascii="宋体" w:hAnsi="宋体" w:eastAsia="宋体" w:cs="宋体"/>
          <w:highlight w:val="none"/>
        </w:rPr>
        <w:t>1.2供应商于文件发售时间内登录全国公共资源交易平台（陕西省·西安市）系统 （http://sxggzyjy.xa.gov.cn/），选择本项目点击“我要投标”，参与投标活动；网上报名。</w:t>
      </w:r>
    </w:p>
    <w:p w14:paraId="4DCD80E6">
      <w:pPr>
        <w:spacing w:line="480" w:lineRule="auto"/>
        <w:ind w:firstLine="248" w:firstLineChars="100"/>
        <w:rPr>
          <w:rFonts w:ascii="宋体" w:hAnsi="宋体" w:eastAsia="宋体" w:cs="宋体"/>
          <w:highlight w:val="none"/>
        </w:rPr>
      </w:pPr>
      <w:r>
        <w:rPr>
          <w:rFonts w:hint="eastAsia" w:ascii="宋体" w:hAnsi="宋体" w:eastAsia="宋体" w:cs="宋体"/>
          <w:highlight w:val="none"/>
        </w:rPr>
        <w:t>2．获取时间：2024</w:t>
      </w:r>
      <w:r>
        <w:rPr>
          <w:rFonts w:hint="eastAsia" w:ascii="宋体" w:hAnsi="宋体" w:eastAsia="宋体" w:cs="宋体"/>
          <w:b/>
          <w:bCs/>
          <w:highlight w:val="none"/>
        </w:rPr>
        <w:t>年XX月XX日起至</w:t>
      </w:r>
      <w:r>
        <w:rPr>
          <w:rFonts w:hint="eastAsia" w:ascii="宋体" w:hAnsi="宋体" w:eastAsia="宋体" w:cs="宋体"/>
          <w:highlight w:val="none"/>
        </w:rPr>
        <w:t>2024</w:t>
      </w:r>
      <w:r>
        <w:rPr>
          <w:rFonts w:hint="eastAsia" w:ascii="宋体" w:hAnsi="宋体" w:eastAsia="宋体" w:cs="宋体"/>
          <w:b/>
          <w:bCs/>
          <w:highlight w:val="none"/>
        </w:rPr>
        <w:t>年XX月XX日止,</w:t>
      </w:r>
      <w:r>
        <w:rPr>
          <w:rFonts w:hint="eastAsia" w:ascii="宋体" w:hAnsi="宋体" w:eastAsia="宋体" w:cs="宋体"/>
          <w:highlight w:val="none"/>
        </w:rPr>
        <w:t>每天上午00:00:00至12:00:00，下午12:00:00至23:59:59（北京时间，法定节假日除外）。</w:t>
      </w:r>
    </w:p>
    <w:p w14:paraId="001E384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3．公告期自公告发布之日起5个工作日</w:t>
      </w:r>
    </w:p>
    <w:p w14:paraId="3B2EA8E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4.友情提示：</w:t>
      </w:r>
    </w:p>
    <w:p w14:paraId="11B2A7D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本项目为电子化政府采购项目，供应商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14:paraId="795CF8EF">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2）办理CA认证：电子交易平台已接入陕西CA、深圳CA、西部CA、北京CA四家数字认证公司，各供应商在交易过程中登录系统、加密/解密投标文件、文件签章等均可使用上述四家CA公司签发的数字。办理须知及所需资料详见：</w:t>
      </w:r>
      <w:r>
        <w:rPr>
          <w:rFonts w:hint="eastAsia"/>
          <w:highlight w:val="none"/>
        </w:rPr>
        <w:fldChar w:fldCharType="begin"/>
      </w:r>
      <w:r>
        <w:rPr>
          <w:rFonts w:hint="eastAsia" w:ascii="宋体" w:hAnsi="宋体" w:eastAsia="宋体" w:cs="宋体"/>
          <w:highlight w:val="none"/>
        </w:rPr>
        <w:instrText xml:space="preserve"> HYPERLINK "http://www.sxggzyjy.cn/fwzn/004003/20220701/6972fe02-f996-4928-951e-545dab02e53c.html" </w:instrText>
      </w:r>
      <w:r>
        <w:rPr>
          <w:rFonts w:hint="eastAsia"/>
          <w:highlight w:val="none"/>
        </w:rPr>
        <w:fldChar w:fldCharType="separate"/>
      </w:r>
      <w:r>
        <w:rPr>
          <w:rStyle w:val="39"/>
          <w:rFonts w:hint="eastAsia" w:ascii="宋体" w:hAnsi="宋体" w:eastAsia="宋体" w:cs="宋体"/>
          <w:color w:val="auto"/>
          <w:highlight w:val="none"/>
        </w:rPr>
        <w:t>http://www.sxggzyjy.cn/fwzn/004003/20220701/6972fe02-f996-4928-951e-545dab02e53c.html</w:t>
      </w:r>
      <w:r>
        <w:rPr>
          <w:rStyle w:val="39"/>
          <w:rFonts w:hint="eastAsia" w:ascii="宋体" w:hAnsi="宋体" w:eastAsia="宋体" w:cs="宋体"/>
          <w:color w:val="auto"/>
          <w:highlight w:val="none"/>
        </w:rPr>
        <w:fldChar w:fldCharType="end"/>
      </w:r>
    </w:p>
    <w:p w14:paraId="38865918">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（3）请供应商务必及时下载项目招标文件并做好备份，否则会影响投标文件编制及后续投标活动。</w:t>
      </w:r>
    </w:p>
    <w:p w14:paraId="4D60DAE3">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（4）本项目采用“不见面开标”形式，供应商可登录全国公共资源交易平台（陕西省.西安市）网站</w:t>
      </w:r>
    </w:p>
    <w:p w14:paraId="6CDADD48">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【首页&gt;不见面开标】系统，在线参加开标过程。操作手册详见【首页&gt;服务指南&gt;下载专区】中的《西安公共资源交易不见面开标大厅供应商操作手册》</w:t>
      </w:r>
    </w:p>
    <w:p w14:paraId="71F1F648">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（5）按照陕西省财政厅《关于政府采购供应商注册登记有关事项的通知》中的要求，供应商通过陕西省政府采购网（http://www.ccgp-shannxi.gov.cn/）注册登记，加入陕西省政府采购供应商库。</w:t>
      </w:r>
    </w:p>
    <w:p w14:paraId="0579D34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（6）制作电子投标文件（*.SXSTF）需要使用专用制作工具。软件下载及操作说明详见西安市公共资源交易平台〖首页·〉服务指南·〉下载专区〗中的《政府采购项目投标文件制作软件及操作手册》。</w:t>
      </w:r>
    </w:p>
    <w:p w14:paraId="315AFB07">
      <w:pPr>
        <w:spacing w:line="360" w:lineRule="auto"/>
        <w:ind w:firstLine="496" w:firstLineChars="200"/>
        <w:jc w:val="both"/>
        <w:rPr>
          <w:rFonts w:ascii="宋体" w:hAnsi="宋体" w:eastAsia="宋体" w:cs="宋体"/>
          <w:highlight w:val="none"/>
        </w:rPr>
      </w:pPr>
      <w:r>
        <w:rPr>
          <w:rFonts w:hint="eastAsia" w:ascii="宋体" w:hAnsi="宋体" w:eastAsia="宋体" w:cs="宋体"/>
          <w:highlight w:val="none"/>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CFD38DB">
      <w:pPr>
        <w:spacing w:before="395" w:beforeLines="100" w:line="360" w:lineRule="auto"/>
        <w:rPr>
          <w:rFonts w:ascii="宋体" w:hAnsi="宋体" w:eastAsia="宋体" w:cs="宋体"/>
          <w:highlight w:val="none"/>
        </w:rPr>
      </w:pPr>
      <w:r>
        <w:rPr>
          <w:rFonts w:hint="eastAsia" w:ascii="宋体" w:hAnsi="宋体" w:eastAsia="宋体" w:cs="宋体"/>
          <w:highlight w:val="none"/>
        </w:rPr>
        <w:t>八、提交投标文件方式、截止时间及开标时间、形式：</w:t>
      </w:r>
    </w:p>
    <w:p w14:paraId="2AF0591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0FD46919">
      <w:pPr>
        <w:spacing w:line="360" w:lineRule="auto"/>
        <w:ind w:firstLine="496" w:firstLineChars="200"/>
        <w:jc w:val="both"/>
        <w:rPr>
          <w:rFonts w:ascii="宋体" w:hAnsi="宋体" w:eastAsia="宋体" w:cs="宋体"/>
          <w:highlight w:val="none"/>
        </w:rPr>
      </w:pPr>
      <w:r>
        <w:rPr>
          <w:rFonts w:hint="eastAsia" w:ascii="宋体" w:hAnsi="宋体" w:eastAsia="宋体" w:cs="宋体"/>
          <w:highlight w:val="none"/>
        </w:rPr>
        <w:t>2．提交投标文件截止时间及开标时间：2024</w:t>
      </w:r>
      <w:r>
        <w:rPr>
          <w:rFonts w:hint="eastAsia" w:ascii="宋体" w:hAnsi="宋体" w:eastAsia="宋体" w:cs="宋体"/>
          <w:b/>
          <w:bCs/>
          <w:highlight w:val="none"/>
        </w:rPr>
        <w:t>年XX月XX日09:00</w:t>
      </w:r>
      <w:r>
        <w:rPr>
          <w:rFonts w:hint="eastAsia" w:ascii="宋体" w:hAnsi="宋体" w:eastAsia="宋体" w:cs="宋体"/>
          <w:highlight w:val="none"/>
        </w:rPr>
        <w:t>，逾期提交的，系统将拒绝接收。</w:t>
      </w:r>
    </w:p>
    <w:p w14:paraId="1F500780">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3.开标地址：</w:t>
      </w:r>
      <w:r>
        <w:rPr>
          <w:rFonts w:hint="eastAsia" w:ascii="宋体" w:hAnsi="宋体" w:eastAsia="宋体" w:cs="宋体"/>
          <w:b/>
          <w:bCs/>
          <w:highlight w:val="none"/>
        </w:rPr>
        <w:t>西安市公共资源交易中心5楼开标室509</w:t>
      </w:r>
      <w:r>
        <w:rPr>
          <w:rFonts w:hint="eastAsia" w:ascii="宋体" w:hAnsi="宋体" w:eastAsia="宋体" w:cs="宋体"/>
          <w:highlight w:val="none"/>
        </w:rPr>
        <w:t>。</w:t>
      </w:r>
    </w:p>
    <w:p w14:paraId="24564467">
      <w:pPr>
        <w:spacing w:line="360" w:lineRule="auto"/>
        <w:ind w:firstLine="496" w:firstLineChars="200"/>
        <w:jc w:val="both"/>
        <w:rPr>
          <w:rFonts w:ascii="宋体" w:hAnsi="宋体" w:eastAsia="宋体" w:cs="宋体"/>
          <w:highlight w:val="none"/>
        </w:rPr>
      </w:pPr>
      <w:r>
        <w:rPr>
          <w:rFonts w:hint="eastAsia" w:ascii="宋体" w:hAnsi="宋体" w:eastAsia="宋体" w:cs="宋体"/>
          <w:highlight w:val="none"/>
        </w:rPr>
        <w:t>4．开标形式：本项目将采用“不见面开标”形式。操作说明详见平台〖首页·〉服务指南·〉下载专区〗中的《西安公共资源交易不见面开标大厅供应商操作手册》。</w:t>
      </w:r>
    </w:p>
    <w:p w14:paraId="508ACB73">
      <w:pPr>
        <w:spacing w:before="197" w:beforeLines="50" w:line="360" w:lineRule="auto"/>
        <w:rPr>
          <w:rFonts w:ascii="宋体" w:hAnsi="宋体" w:eastAsia="宋体" w:cs="宋体"/>
          <w:highlight w:val="none"/>
        </w:rPr>
      </w:pPr>
      <w:r>
        <w:rPr>
          <w:rFonts w:hint="eastAsia" w:ascii="宋体" w:hAnsi="宋体" w:eastAsia="宋体" w:cs="宋体"/>
          <w:highlight w:val="none"/>
        </w:rPr>
        <w:t>九、联系方式</w:t>
      </w:r>
    </w:p>
    <w:p w14:paraId="26048B2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1．采购人：中国人民政治协商会议西安市委员会办公厅</w:t>
      </w:r>
    </w:p>
    <w:p w14:paraId="7843055D">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地址：西安市凤城八路85号</w:t>
      </w:r>
    </w:p>
    <w:p w14:paraId="31459342">
      <w:pPr>
        <w:spacing w:line="560" w:lineRule="exact"/>
        <w:ind w:firstLine="496" w:firstLineChars="200"/>
        <w:jc w:val="both"/>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俞江</w:t>
      </w:r>
    </w:p>
    <w:p w14:paraId="59B53B94">
      <w:pPr>
        <w:spacing w:line="560" w:lineRule="exact"/>
        <w:ind w:firstLine="496" w:firstLineChars="200"/>
        <w:jc w:val="both"/>
        <w:rPr>
          <w:rFonts w:hint="default" w:ascii="宋体" w:hAnsi="宋体" w:eastAsia="宋体" w:cs="宋体"/>
          <w:highlight w:val="none"/>
          <w:lang w:val="en-US" w:eastAsia="zh-CN"/>
        </w:rPr>
      </w:pPr>
      <w:r>
        <w:rPr>
          <w:rFonts w:hint="eastAsia" w:ascii="宋体" w:hAnsi="宋体" w:eastAsia="宋体" w:cs="宋体"/>
          <w:highlight w:val="none"/>
        </w:rPr>
        <w:t>联系方式：029-</w:t>
      </w:r>
      <w:r>
        <w:rPr>
          <w:rFonts w:hint="eastAsia" w:ascii="宋体" w:hAnsi="宋体" w:eastAsia="宋体" w:cs="宋体"/>
          <w:highlight w:val="none"/>
          <w:lang w:val="en-US" w:eastAsia="zh-CN"/>
        </w:rPr>
        <w:t>86782518</w:t>
      </w:r>
    </w:p>
    <w:p w14:paraId="6D79E8E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2．采购代理机构：陕西万泽招标有限公司</w:t>
      </w:r>
    </w:p>
    <w:p w14:paraId="4C1C1D7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地址：</w:t>
      </w:r>
      <w:bookmarkStart w:id="4" w:name="OLE_LINK1"/>
      <w:r>
        <w:rPr>
          <w:rFonts w:hint="eastAsia" w:ascii="宋体" w:hAnsi="宋体" w:eastAsia="宋体" w:cs="宋体"/>
          <w:highlight w:val="none"/>
        </w:rPr>
        <w:t>西安市雁塔区唐延路35号旺座现代城C座2502室</w:t>
      </w:r>
      <w:bookmarkEnd w:id="4"/>
    </w:p>
    <w:p w14:paraId="6C658A5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总机：029-88319689</w:t>
      </w:r>
    </w:p>
    <w:p w14:paraId="658ABE8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联系人：崔方明  刘嘉辉</w:t>
      </w:r>
    </w:p>
    <w:p w14:paraId="02B8C62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联系电话：029-88319689-8004</w:t>
      </w:r>
    </w:p>
    <w:p w14:paraId="784D2342">
      <w:pPr>
        <w:spacing w:line="560" w:lineRule="exact"/>
        <w:ind w:firstLine="496" w:firstLineChars="200"/>
        <w:jc w:val="right"/>
        <w:rPr>
          <w:rFonts w:ascii="宋体" w:hAnsi="宋体" w:eastAsia="宋体" w:cs="宋体"/>
          <w:highlight w:val="none"/>
        </w:rPr>
      </w:pPr>
      <w:r>
        <w:rPr>
          <w:rFonts w:hint="eastAsia" w:ascii="宋体" w:hAnsi="宋体" w:eastAsia="宋体" w:cs="宋体"/>
          <w:highlight w:val="none"/>
        </w:rPr>
        <w:t>陕西万泽招标有限公司</w:t>
      </w:r>
    </w:p>
    <w:p w14:paraId="4F69AEAD">
      <w:pPr>
        <w:spacing w:line="560" w:lineRule="exact"/>
        <w:ind w:firstLine="496" w:firstLineChars="200"/>
        <w:jc w:val="right"/>
        <w:rPr>
          <w:rFonts w:ascii="宋体" w:hAnsi="宋体" w:eastAsia="宋体" w:cs="宋体"/>
          <w:highlight w:val="none"/>
        </w:rPr>
      </w:pPr>
      <w:r>
        <w:rPr>
          <w:rFonts w:hint="eastAsia" w:ascii="宋体" w:hAnsi="宋体" w:eastAsia="宋体" w:cs="宋体"/>
          <w:b/>
          <w:bCs/>
          <w:highlight w:val="none"/>
        </w:rPr>
        <w:t>2024年XX月XX日</w:t>
      </w:r>
    </w:p>
    <w:p w14:paraId="5E1A894B">
      <w:pPr>
        <w:spacing w:line="560" w:lineRule="exact"/>
        <w:ind w:firstLine="496" w:firstLineChars="200"/>
        <w:jc w:val="both"/>
        <w:rPr>
          <w:rFonts w:ascii="宋体" w:hAnsi="宋体" w:eastAsia="宋体" w:cs="宋体"/>
          <w:highlight w:val="none"/>
        </w:rPr>
      </w:pPr>
      <w:bookmarkStart w:id="5" w:name="_Toc445407251"/>
      <w:bookmarkStart w:id="6" w:name="_Toc533363262"/>
      <w:bookmarkStart w:id="7" w:name="_Toc100219613"/>
      <w:bookmarkStart w:id="8" w:name="_Toc498349068"/>
      <w:bookmarkStart w:id="9" w:name="_Toc534656409"/>
      <w:bookmarkStart w:id="10" w:name="_Toc97563329"/>
      <w:bookmarkStart w:id="11" w:name="_Toc533363235"/>
      <w:bookmarkStart w:id="12" w:name="_Toc534656414"/>
      <w:r>
        <w:rPr>
          <w:rFonts w:hint="eastAsia" w:ascii="宋体" w:hAnsi="宋体" w:eastAsia="宋体" w:cs="宋体"/>
          <w:highlight w:val="none"/>
        </w:rPr>
        <w:br w:type="page"/>
      </w:r>
    </w:p>
    <w:p w14:paraId="5D306EA8">
      <w:pPr>
        <w:pStyle w:val="3"/>
        <w:spacing w:line="240" w:lineRule="auto"/>
        <w:rPr>
          <w:rFonts w:ascii="宋体" w:hAnsi="宋体" w:eastAsia="宋体" w:cs="宋体"/>
          <w:b/>
          <w:bCs/>
          <w:sz w:val="24"/>
          <w:szCs w:val="24"/>
          <w:highlight w:val="none"/>
        </w:rPr>
      </w:pPr>
      <w:bookmarkStart w:id="13" w:name="_Toc1442"/>
      <w:bookmarkStart w:id="14" w:name="_Toc7320"/>
      <w:bookmarkStart w:id="15" w:name="_Toc30294"/>
      <w:r>
        <w:rPr>
          <w:rFonts w:hint="eastAsia" w:ascii="宋体" w:hAnsi="宋体" w:eastAsia="宋体" w:cs="宋体"/>
          <w:b/>
          <w:bCs/>
          <w:sz w:val="24"/>
          <w:szCs w:val="24"/>
          <w:highlight w:val="none"/>
        </w:rPr>
        <w:t>第二章  供应商须知</w:t>
      </w:r>
      <w:bookmarkEnd w:id="5"/>
      <w:bookmarkEnd w:id="6"/>
      <w:bookmarkEnd w:id="7"/>
      <w:bookmarkEnd w:id="8"/>
      <w:bookmarkEnd w:id="9"/>
      <w:bookmarkEnd w:id="10"/>
      <w:bookmarkEnd w:id="11"/>
      <w:bookmarkEnd w:id="12"/>
      <w:bookmarkEnd w:id="13"/>
      <w:bookmarkEnd w:id="14"/>
      <w:bookmarkEnd w:id="15"/>
    </w:p>
    <w:p w14:paraId="0CC44E08">
      <w:pPr>
        <w:pStyle w:val="4"/>
        <w:spacing w:line="240" w:lineRule="auto"/>
        <w:ind w:firstLine="497"/>
        <w:jc w:val="left"/>
        <w:rPr>
          <w:rFonts w:ascii="宋体" w:hAnsi="宋体" w:cs="宋体"/>
          <w:sz w:val="24"/>
          <w:szCs w:val="24"/>
          <w:highlight w:val="none"/>
        </w:rPr>
      </w:pPr>
      <w:bookmarkStart w:id="16" w:name="_Toc1974"/>
      <w:bookmarkStart w:id="17" w:name="_Toc21968"/>
      <w:bookmarkStart w:id="18" w:name="_Toc31682"/>
      <w:r>
        <w:rPr>
          <w:rFonts w:hint="eastAsia" w:ascii="宋体" w:hAnsi="宋体" w:cs="宋体"/>
          <w:sz w:val="24"/>
          <w:szCs w:val="24"/>
          <w:highlight w:val="none"/>
        </w:rPr>
        <w:t>〖前附表〗</w:t>
      </w:r>
      <w:bookmarkEnd w:id="16"/>
      <w:bookmarkEnd w:id="17"/>
      <w:bookmarkEnd w:id="18"/>
    </w:p>
    <w:tbl>
      <w:tblPr>
        <w:tblStyle w:val="35"/>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14:paraId="388932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0FAD7154">
            <w:pPr>
              <w:jc w:val="center"/>
              <w:rPr>
                <w:rFonts w:ascii="宋体" w:hAnsi="宋体" w:eastAsia="宋体" w:cs="宋体"/>
                <w:b/>
                <w:bCs/>
                <w:highlight w:val="none"/>
              </w:rPr>
            </w:pPr>
            <w:r>
              <w:rPr>
                <w:rFonts w:hint="eastAsia" w:ascii="宋体" w:hAnsi="宋体" w:eastAsia="宋体" w:cs="宋体"/>
                <w:b/>
                <w:bCs/>
                <w:highlight w:val="none"/>
              </w:rPr>
              <w:t>序号</w:t>
            </w:r>
          </w:p>
        </w:tc>
        <w:tc>
          <w:tcPr>
            <w:tcW w:w="3402" w:type="dxa"/>
            <w:tcBorders>
              <w:top w:val="single" w:color="auto" w:sz="12" w:space="0"/>
              <w:bottom w:val="single" w:color="auto" w:sz="2" w:space="0"/>
            </w:tcBorders>
            <w:shd w:val="clear" w:color="auto" w:fill="F1F1F1" w:themeFill="background1" w:themeFillShade="F2"/>
            <w:vAlign w:val="center"/>
          </w:tcPr>
          <w:p w14:paraId="76E606CC">
            <w:pPr>
              <w:jc w:val="center"/>
              <w:rPr>
                <w:rFonts w:ascii="宋体" w:hAnsi="宋体" w:eastAsia="宋体" w:cs="宋体"/>
                <w:b/>
                <w:bCs/>
                <w:highlight w:val="none"/>
              </w:rPr>
            </w:pPr>
            <w:r>
              <w:rPr>
                <w:rFonts w:hint="eastAsia" w:ascii="宋体" w:hAnsi="宋体" w:eastAsia="宋体" w:cs="宋体"/>
                <w:b/>
                <w:bCs/>
                <w:highlight w:val="none"/>
              </w:rPr>
              <w:t>内容</w:t>
            </w:r>
          </w:p>
        </w:tc>
        <w:tc>
          <w:tcPr>
            <w:tcW w:w="4490" w:type="dxa"/>
            <w:tcBorders>
              <w:top w:val="single" w:color="auto" w:sz="12" w:space="0"/>
              <w:bottom w:val="single" w:color="auto" w:sz="2" w:space="0"/>
            </w:tcBorders>
            <w:shd w:val="clear" w:color="auto" w:fill="F1F1F1" w:themeFill="background1" w:themeFillShade="F2"/>
            <w:vAlign w:val="center"/>
          </w:tcPr>
          <w:p w14:paraId="5E75DA6E">
            <w:pPr>
              <w:jc w:val="center"/>
              <w:rPr>
                <w:rFonts w:ascii="宋体" w:hAnsi="宋体" w:eastAsia="宋体" w:cs="宋体"/>
                <w:b/>
                <w:bCs/>
                <w:highlight w:val="none"/>
              </w:rPr>
            </w:pPr>
            <w:r>
              <w:rPr>
                <w:rFonts w:hint="eastAsia" w:ascii="宋体" w:hAnsi="宋体" w:eastAsia="宋体" w:cs="宋体"/>
                <w:b/>
                <w:bCs/>
                <w:highlight w:val="none"/>
              </w:rPr>
              <w:t>说明和要求</w:t>
            </w:r>
          </w:p>
        </w:tc>
      </w:tr>
      <w:tr w14:paraId="3AEB4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62DD4B1F">
            <w:pPr>
              <w:jc w:val="center"/>
              <w:rPr>
                <w:rFonts w:ascii="宋体" w:hAnsi="宋体" w:eastAsia="宋体" w:cs="宋体"/>
                <w:highlight w:val="none"/>
              </w:rPr>
            </w:pPr>
            <w:r>
              <w:rPr>
                <w:rFonts w:hint="eastAsia" w:ascii="宋体" w:hAnsi="宋体" w:eastAsia="宋体" w:cs="宋体"/>
                <w:highlight w:val="none"/>
              </w:rPr>
              <w:t>1</w:t>
            </w:r>
          </w:p>
        </w:tc>
        <w:tc>
          <w:tcPr>
            <w:tcW w:w="3402" w:type="dxa"/>
            <w:tcBorders>
              <w:top w:val="single" w:color="auto" w:sz="2" w:space="0"/>
            </w:tcBorders>
            <w:shd w:val="clear" w:color="auto" w:fill="auto"/>
            <w:vAlign w:val="center"/>
          </w:tcPr>
          <w:p w14:paraId="2E46BC73">
            <w:pPr>
              <w:jc w:val="center"/>
              <w:rPr>
                <w:rFonts w:ascii="宋体" w:hAnsi="宋体" w:eastAsia="宋体" w:cs="宋体"/>
                <w:highlight w:val="none"/>
              </w:rPr>
            </w:pPr>
            <w:r>
              <w:rPr>
                <w:rFonts w:hint="eastAsia" w:ascii="宋体" w:hAnsi="宋体" w:eastAsia="宋体" w:cs="宋体"/>
                <w:highlight w:val="none"/>
              </w:rPr>
              <w:t>项目名称</w:t>
            </w:r>
          </w:p>
        </w:tc>
        <w:tc>
          <w:tcPr>
            <w:tcW w:w="4490" w:type="dxa"/>
            <w:tcBorders>
              <w:top w:val="single" w:color="auto" w:sz="2" w:space="0"/>
            </w:tcBorders>
            <w:shd w:val="clear" w:color="auto" w:fill="auto"/>
            <w:vAlign w:val="center"/>
          </w:tcPr>
          <w:p w14:paraId="24FF7D53">
            <w:pPr>
              <w:jc w:val="center"/>
              <w:rPr>
                <w:rFonts w:ascii="宋体" w:hAnsi="宋体" w:eastAsia="宋体" w:cs="宋体"/>
                <w:highlight w:val="none"/>
              </w:rPr>
            </w:pPr>
            <w:r>
              <w:rPr>
                <w:rFonts w:hint="eastAsia" w:ascii="宋体" w:hAnsi="宋体" w:eastAsia="宋体" w:cs="宋体"/>
                <w:highlight w:val="none"/>
              </w:rPr>
              <w:t>中国人民政治协商会议西安市委员会办公厅西安市“数字政协”项目</w:t>
            </w:r>
          </w:p>
        </w:tc>
      </w:tr>
      <w:tr w14:paraId="1D90E8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8E24D84">
            <w:pPr>
              <w:jc w:val="center"/>
              <w:rPr>
                <w:rFonts w:ascii="宋体" w:hAnsi="宋体" w:eastAsia="宋体" w:cs="宋体"/>
                <w:highlight w:val="none"/>
              </w:rPr>
            </w:pPr>
            <w:r>
              <w:rPr>
                <w:rFonts w:hint="eastAsia" w:ascii="宋体" w:hAnsi="宋体" w:eastAsia="宋体" w:cs="宋体"/>
                <w:highlight w:val="none"/>
              </w:rPr>
              <w:t>2</w:t>
            </w:r>
          </w:p>
        </w:tc>
        <w:tc>
          <w:tcPr>
            <w:tcW w:w="3402" w:type="dxa"/>
            <w:shd w:val="clear" w:color="auto" w:fill="auto"/>
            <w:vAlign w:val="center"/>
          </w:tcPr>
          <w:p w14:paraId="371C8D82">
            <w:pPr>
              <w:jc w:val="center"/>
              <w:rPr>
                <w:rFonts w:ascii="宋体" w:hAnsi="宋体" w:eastAsia="宋体" w:cs="宋体"/>
                <w:highlight w:val="none"/>
              </w:rPr>
            </w:pPr>
            <w:r>
              <w:rPr>
                <w:rFonts w:hint="eastAsia" w:ascii="宋体" w:hAnsi="宋体" w:eastAsia="宋体" w:cs="宋体"/>
                <w:highlight w:val="none"/>
              </w:rPr>
              <w:t>项目编号</w:t>
            </w:r>
          </w:p>
        </w:tc>
        <w:tc>
          <w:tcPr>
            <w:tcW w:w="4490" w:type="dxa"/>
            <w:shd w:val="clear" w:color="auto" w:fill="auto"/>
            <w:vAlign w:val="center"/>
          </w:tcPr>
          <w:p w14:paraId="62B1C125">
            <w:pPr>
              <w:jc w:val="center"/>
              <w:rPr>
                <w:rFonts w:ascii="宋体" w:hAnsi="宋体" w:eastAsia="宋体" w:cs="宋体"/>
                <w:highlight w:val="none"/>
              </w:rPr>
            </w:pPr>
            <w:r>
              <w:rPr>
                <w:rFonts w:hint="eastAsia" w:ascii="宋体" w:hAnsi="宋体" w:eastAsia="宋体" w:cs="宋体"/>
                <w:highlight w:val="none"/>
              </w:rPr>
              <w:t>SXWZ2024ZB-SZX-265</w:t>
            </w:r>
          </w:p>
        </w:tc>
      </w:tr>
      <w:tr w14:paraId="58B3DB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3EF7FC2">
            <w:pPr>
              <w:jc w:val="center"/>
              <w:rPr>
                <w:rFonts w:ascii="宋体" w:hAnsi="宋体" w:eastAsia="宋体" w:cs="宋体"/>
                <w:highlight w:val="none"/>
              </w:rPr>
            </w:pPr>
            <w:r>
              <w:rPr>
                <w:rFonts w:hint="eastAsia" w:ascii="宋体" w:hAnsi="宋体" w:eastAsia="宋体" w:cs="宋体"/>
                <w:highlight w:val="none"/>
              </w:rPr>
              <w:t>3</w:t>
            </w:r>
          </w:p>
        </w:tc>
        <w:tc>
          <w:tcPr>
            <w:tcW w:w="3402" w:type="dxa"/>
            <w:shd w:val="clear" w:color="auto" w:fill="auto"/>
            <w:vAlign w:val="center"/>
          </w:tcPr>
          <w:p w14:paraId="7A946C89">
            <w:pPr>
              <w:jc w:val="center"/>
              <w:rPr>
                <w:rFonts w:ascii="宋体" w:hAnsi="宋体" w:eastAsia="宋体" w:cs="宋体"/>
                <w:highlight w:val="none"/>
              </w:rPr>
            </w:pPr>
            <w:r>
              <w:rPr>
                <w:rFonts w:hint="eastAsia" w:ascii="宋体" w:hAnsi="宋体" w:eastAsia="宋体" w:cs="宋体"/>
                <w:highlight w:val="none"/>
              </w:rPr>
              <w:t>预算执行书编号</w:t>
            </w:r>
          </w:p>
        </w:tc>
        <w:tc>
          <w:tcPr>
            <w:tcW w:w="4490" w:type="dxa"/>
            <w:shd w:val="clear" w:color="auto" w:fill="auto"/>
            <w:vAlign w:val="center"/>
          </w:tcPr>
          <w:p w14:paraId="3A4BF2C1">
            <w:pPr>
              <w:jc w:val="center"/>
              <w:rPr>
                <w:rFonts w:ascii="宋体" w:hAnsi="宋体" w:eastAsia="宋体" w:cs="宋体"/>
                <w:highlight w:val="none"/>
              </w:rPr>
            </w:pPr>
            <w:r>
              <w:rPr>
                <w:rFonts w:ascii="宋体" w:hAnsi="宋体" w:eastAsia="宋体" w:cs="宋体"/>
                <w:highlight w:val="none"/>
              </w:rPr>
              <w:t>ZCBN-西安市-2024-04997</w:t>
            </w:r>
          </w:p>
        </w:tc>
      </w:tr>
      <w:tr w14:paraId="046E3C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1BF84AD">
            <w:pPr>
              <w:jc w:val="center"/>
              <w:rPr>
                <w:rFonts w:ascii="宋体" w:hAnsi="宋体" w:eastAsia="宋体" w:cs="宋体"/>
                <w:highlight w:val="none"/>
              </w:rPr>
            </w:pPr>
            <w:r>
              <w:rPr>
                <w:rFonts w:hint="eastAsia" w:ascii="宋体" w:hAnsi="宋体" w:eastAsia="宋体" w:cs="宋体"/>
                <w:highlight w:val="none"/>
              </w:rPr>
              <w:t>4</w:t>
            </w:r>
          </w:p>
        </w:tc>
        <w:tc>
          <w:tcPr>
            <w:tcW w:w="3402" w:type="dxa"/>
            <w:shd w:val="clear" w:color="auto" w:fill="auto"/>
            <w:vAlign w:val="center"/>
          </w:tcPr>
          <w:p w14:paraId="246B2A54">
            <w:pPr>
              <w:jc w:val="center"/>
              <w:rPr>
                <w:rFonts w:ascii="宋体" w:hAnsi="宋体" w:eastAsia="宋体" w:cs="宋体"/>
                <w:highlight w:val="none"/>
              </w:rPr>
            </w:pPr>
            <w:r>
              <w:rPr>
                <w:rFonts w:hint="eastAsia" w:ascii="宋体" w:hAnsi="宋体" w:eastAsia="宋体" w:cs="宋体"/>
                <w:highlight w:val="none"/>
              </w:rPr>
              <w:t>是否预留份额</w:t>
            </w:r>
          </w:p>
          <w:p w14:paraId="3847E6AE">
            <w:pPr>
              <w:jc w:val="center"/>
              <w:rPr>
                <w:rFonts w:ascii="宋体" w:hAnsi="宋体" w:eastAsia="宋体" w:cs="宋体"/>
                <w:highlight w:val="none"/>
              </w:rPr>
            </w:pPr>
            <w:r>
              <w:rPr>
                <w:rFonts w:hint="eastAsia" w:ascii="宋体" w:hAnsi="宋体" w:eastAsia="宋体" w:cs="宋体"/>
                <w:highlight w:val="none"/>
              </w:rPr>
              <w:t>专门面向中小企业采购</w:t>
            </w:r>
          </w:p>
        </w:tc>
        <w:tc>
          <w:tcPr>
            <w:tcW w:w="4490" w:type="dxa"/>
            <w:shd w:val="clear" w:color="auto" w:fill="auto"/>
            <w:vAlign w:val="center"/>
          </w:tcPr>
          <w:p w14:paraId="0284D94F">
            <w:pPr>
              <w:jc w:val="center"/>
              <w:rPr>
                <w:rFonts w:ascii="宋体" w:hAnsi="宋体" w:eastAsia="宋体" w:cs="宋体"/>
                <w:highlight w:val="none"/>
              </w:rPr>
            </w:pPr>
            <w:sdt>
              <w:sdtPr>
                <w:rPr>
                  <w:rFonts w:hint="eastAsia" w:ascii="宋体" w:hAnsi="宋体" w:eastAsia="宋体" w:cs="宋体"/>
                  <w:highlight w:val="none"/>
                </w:rPr>
                <w:id w:val="2139916130"/>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highlight w:val="none"/>
              </w:rPr>
              <w:t xml:space="preserve">是  </w:t>
            </w:r>
            <w:sdt>
              <w:sdtPr>
                <w:rPr>
                  <w:rFonts w:hint="eastAsia" w:ascii="宋体" w:hAnsi="宋体" w:eastAsia="宋体" w:cs="宋体"/>
                  <w:highlight w:val="none"/>
                </w:rPr>
                <w:id w:val="-1"/>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highlight w:val="none"/>
              </w:rPr>
              <w:t>否</w:t>
            </w:r>
          </w:p>
        </w:tc>
      </w:tr>
      <w:tr w14:paraId="152842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14:paraId="66FA89E1">
            <w:pPr>
              <w:jc w:val="center"/>
              <w:rPr>
                <w:rFonts w:ascii="宋体" w:hAnsi="宋体" w:eastAsia="宋体" w:cs="宋体"/>
                <w:highlight w:val="none"/>
              </w:rPr>
            </w:pPr>
            <w:r>
              <w:rPr>
                <w:rFonts w:hint="eastAsia" w:ascii="宋体" w:hAnsi="宋体" w:eastAsia="宋体" w:cs="宋体"/>
                <w:highlight w:val="none"/>
              </w:rPr>
              <w:t>5</w:t>
            </w:r>
          </w:p>
        </w:tc>
        <w:tc>
          <w:tcPr>
            <w:tcW w:w="3402" w:type="dxa"/>
            <w:shd w:val="clear" w:color="auto" w:fill="auto"/>
            <w:vAlign w:val="center"/>
          </w:tcPr>
          <w:p w14:paraId="7CB169FD">
            <w:pPr>
              <w:jc w:val="center"/>
              <w:rPr>
                <w:rFonts w:ascii="宋体" w:hAnsi="宋体" w:eastAsia="宋体" w:cs="宋体"/>
                <w:highlight w:val="none"/>
              </w:rPr>
            </w:pPr>
            <w:r>
              <w:rPr>
                <w:rFonts w:hint="eastAsia" w:ascii="宋体" w:hAnsi="宋体" w:eastAsia="宋体" w:cs="宋体"/>
                <w:highlight w:val="none"/>
              </w:rPr>
              <w:t>预算金额</w:t>
            </w:r>
          </w:p>
        </w:tc>
        <w:tc>
          <w:tcPr>
            <w:tcW w:w="4490" w:type="dxa"/>
            <w:shd w:val="clear" w:color="auto" w:fill="auto"/>
            <w:vAlign w:val="center"/>
          </w:tcPr>
          <w:p w14:paraId="36600E5D">
            <w:pPr>
              <w:jc w:val="center"/>
              <w:rPr>
                <w:rFonts w:ascii="宋体" w:hAnsi="宋体" w:eastAsia="宋体" w:cs="宋体"/>
                <w:highlight w:val="none"/>
              </w:rPr>
            </w:pPr>
            <w:r>
              <w:rPr>
                <w:rFonts w:hint="eastAsia" w:ascii="宋体" w:hAnsi="宋体" w:eastAsia="宋体" w:cs="宋体"/>
                <w:highlight w:val="none"/>
              </w:rPr>
              <w:t>6592191.00元</w:t>
            </w:r>
          </w:p>
        </w:tc>
      </w:tr>
      <w:tr w14:paraId="5367A5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2662A3A0">
            <w:pPr>
              <w:jc w:val="center"/>
              <w:rPr>
                <w:rFonts w:ascii="宋体" w:hAnsi="宋体" w:eastAsia="宋体" w:cs="宋体"/>
                <w:highlight w:val="none"/>
              </w:rPr>
            </w:pPr>
          </w:p>
        </w:tc>
        <w:tc>
          <w:tcPr>
            <w:tcW w:w="3402" w:type="dxa"/>
            <w:shd w:val="clear" w:color="auto" w:fill="auto"/>
            <w:vAlign w:val="center"/>
          </w:tcPr>
          <w:p w14:paraId="16C6B6D7">
            <w:pPr>
              <w:jc w:val="center"/>
              <w:rPr>
                <w:rFonts w:ascii="宋体" w:hAnsi="宋体" w:eastAsia="宋体" w:cs="宋体"/>
                <w:highlight w:val="none"/>
              </w:rPr>
            </w:pPr>
            <w:r>
              <w:rPr>
                <w:rFonts w:hint="eastAsia" w:ascii="宋体" w:hAnsi="宋体" w:eastAsia="宋体" w:cs="宋体"/>
                <w:highlight w:val="none"/>
              </w:rPr>
              <w:t>最高限价</w:t>
            </w:r>
          </w:p>
        </w:tc>
        <w:tc>
          <w:tcPr>
            <w:tcW w:w="4490" w:type="dxa"/>
            <w:shd w:val="clear" w:color="auto" w:fill="auto"/>
            <w:vAlign w:val="center"/>
          </w:tcPr>
          <w:p w14:paraId="7B770C09">
            <w:pPr>
              <w:spacing w:line="360" w:lineRule="auto"/>
              <w:jc w:val="center"/>
              <w:rPr>
                <w:rFonts w:ascii="宋体" w:hAnsi="宋体" w:eastAsia="宋体" w:cs="宋体"/>
                <w:highlight w:val="none"/>
              </w:rPr>
            </w:pPr>
            <w:r>
              <w:rPr>
                <w:rFonts w:hint="eastAsia" w:ascii="宋体" w:hAnsi="宋体" w:eastAsia="宋体" w:cs="宋体"/>
                <w:highlight w:val="none"/>
              </w:rPr>
              <w:t>6592191.00元</w:t>
            </w:r>
          </w:p>
        </w:tc>
      </w:tr>
      <w:tr w14:paraId="66F63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75EE83D">
            <w:pPr>
              <w:jc w:val="center"/>
              <w:rPr>
                <w:rFonts w:ascii="宋体" w:hAnsi="宋体" w:eastAsia="宋体" w:cs="宋体"/>
                <w:highlight w:val="none"/>
              </w:rPr>
            </w:pPr>
            <w:r>
              <w:rPr>
                <w:rFonts w:hint="eastAsia" w:ascii="宋体" w:hAnsi="宋体" w:eastAsia="宋体" w:cs="宋体"/>
                <w:highlight w:val="none"/>
              </w:rPr>
              <w:t>6</w:t>
            </w:r>
          </w:p>
        </w:tc>
        <w:tc>
          <w:tcPr>
            <w:tcW w:w="3402" w:type="dxa"/>
            <w:shd w:val="clear" w:color="auto" w:fill="auto"/>
            <w:vAlign w:val="center"/>
          </w:tcPr>
          <w:p w14:paraId="52A8B095">
            <w:pPr>
              <w:jc w:val="center"/>
              <w:rPr>
                <w:rFonts w:ascii="宋体" w:hAnsi="宋体" w:eastAsia="宋体" w:cs="宋体"/>
                <w:highlight w:val="none"/>
              </w:rPr>
            </w:pPr>
            <w:r>
              <w:rPr>
                <w:rFonts w:hint="eastAsia" w:ascii="宋体" w:hAnsi="宋体" w:eastAsia="宋体" w:cs="宋体"/>
                <w:highlight w:val="none"/>
              </w:rPr>
              <w:t>是否接受联合体</w:t>
            </w:r>
          </w:p>
        </w:tc>
        <w:tc>
          <w:tcPr>
            <w:tcW w:w="4490" w:type="dxa"/>
            <w:shd w:val="clear" w:color="auto" w:fill="auto"/>
            <w:vAlign w:val="center"/>
          </w:tcPr>
          <w:p w14:paraId="2F6472F5">
            <w:pPr>
              <w:jc w:val="center"/>
              <w:rPr>
                <w:rFonts w:ascii="宋体" w:hAnsi="宋体" w:eastAsia="宋体" w:cs="宋体"/>
                <w:highlight w:val="none"/>
              </w:rPr>
            </w:pPr>
            <w:sdt>
              <w:sdtPr>
                <w:rPr>
                  <w:rFonts w:hint="eastAsia" w:ascii="宋体" w:hAnsi="宋体" w:eastAsia="宋体" w:cs="宋体"/>
                  <w:highlight w:val="none"/>
                </w:rPr>
                <w:id w:val="608160193"/>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highlight w:val="none"/>
              </w:rPr>
              <w:t xml:space="preserve">是  </w:t>
            </w:r>
            <w:sdt>
              <w:sdtPr>
                <w:rPr>
                  <w:rFonts w:hint="eastAsia" w:ascii="宋体" w:hAnsi="宋体" w:eastAsia="宋体" w:cs="宋体"/>
                  <w:highlight w:val="none"/>
                </w:rPr>
                <w:id w:val="1317929335"/>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highlight w:val="none"/>
              </w:rPr>
              <w:t>否</w:t>
            </w:r>
          </w:p>
        </w:tc>
      </w:tr>
      <w:tr w14:paraId="70FD45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9C8EF64">
            <w:pPr>
              <w:jc w:val="center"/>
              <w:rPr>
                <w:rFonts w:ascii="宋体" w:hAnsi="宋体" w:eastAsia="宋体" w:cs="宋体"/>
                <w:highlight w:val="none"/>
              </w:rPr>
            </w:pPr>
            <w:r>
              <w:rPr>
                <w:rFonts w:hint="eastAsia" w:ascii="宋体" w:hAnsi="宋体" w:eastAsia="宋体" w:cs="宋体"/>
                <w:highlight w:val="none"/>
              </w:rPr>
              <w:t>7</w:t>
            </w:r>
          </w:p>
        </w:tc>
        <w:tc>
          <w:tcPr>
            <w:tcW w:w="3402" w:type="dxa"/>
            <w:shd w:val="clear" w:color="auto" w:fill="auto"/>
            <w:vAlign w:val="center"/>
          </w:tcPr>
          <w:p w14:paraId="6F95FA8D">
            <w:pPr>
              <w:jc w:val="center"/>
              <w:rPr>
                <w:rFonts w:ascii="宋体" w:hAnsi="宋体" w:eastAsia="宋体" w:cs="宋体"/>
                <w:highlight w:val="none"/>
              </w:rPr>
            </w:pPr>
            <w:r>
              <w:rPr>
                <w:rFonts w:hint="eastAsia" w:ascii="宋体" w:hAnsi="宋体" w:eastAsia="宋体" w:cs="宋体"/>
                <w:highlight w:val="none"/>
              </w:rPr>
              <w:t>是否允许进口产品</w:t>
            </w:r>
          </w:p>
        </w:tc>
        <w:tc>
          <w:tcPr>
            <w:tcW w:w="4490" w:type="dxa"/>
            <w:shd w:val="clear" w:color="auto" w:fill="auto"/>
            <w:vAlign w:val="center"/>
          </w:tcPr>
          <w:p w14:paraId="21B5D2A1">
            <w:pPr>
              <w:jc w:val="center"/>
              <w:rPr>
                <w:rFonts w:ascii="宋体" w:hAnsi="宋体" w:eastAsia="宋体" w:cs="宋体"/>
                <w:highlight w:val="none"/>
              </w:rPr>
            </w:pPr>
            <w:sdt>
              <w:sdtPr>
                <w:rPr>
                  <w:rFonts w:hint="eastAsia" w:ascii="宋体" w:hAnsi="宋体" w:eastAsia="宋体" w:cs="宋体"/>
                  <w:highlight w:val="none"/>
                </w:rPr>
                <w:id w:val="148570254"/>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highlight w:val="none"/>
              </w:rPr>
              <w:t xml:space="preserve">是  </w:t>
            </w:r>
            <w:sdt>
              <w:sdtPr>
                <w:rPr>
                  <w:rFonts w:hint="eastAsia" w:ascii="宋体" w:hAnsi="宋体" w:eastAsia="宋体" w:cs="宋体"/>
                  <w:highlight w:val="none"/>
                </w:rPr>
                <w:id w:val="147477621"/>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highlight w:val="none"/>
              </w:rPr>
              <w:t>否</w:t>
            </w:r>
          </w:p>
        </w:tc>
      </w:tr>
      <w:tr w14:paraId="40CF8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BD6F31A">
            <w:pPr>
              <w:jc w:val="center"/>
              <w:rPr>
                <w:rFonts w:ascii="宋体" w:hAnsi="宋体" w:eastAsia="宋体" w:cs="宋体"/>
                <w:highlight w:val="none"/>
              </w:rPr>
            </w:pPr>
            <w:r>
              <w:rPr>
                <w:rFonts w:hint="eastAsia" w:ascii="宋体" w:hAnsi="宋体" w:eastAsia="宋体" w:cs="宋体"/>
                <w:highlight w:val="none"/>
              </w:rPr>
              <w:t>8</w:t>
            </w:r>
          </w:p>
        </w:tc>
        <w:tc>
          <w:tcPr>
            <w:tcW w:w="3402" w:type="dxa"/>
            <w:shd w:val="clear" w:color="auto" w:fill="auto"/>
            <w:vAlign w:val="center"/>
          </w:tcPr>
          <w:p w14:paraId="2CA217D6">
            <w:pPr>
              <w:jc w:val="center"/>
              <w:rPr>
                <w:rFonts w:ascii="宋体" w:hAnsi="宋体" w:eastAsia="宋体" w:cs="宋体"/>
                <w:highlight w:val="none"/>
              </w:rPr>
            </w:pPr>
            <w:r>
              <w:rPr>
                <w:rFonts w:hint="eastAsia" w:ascii="宋体" w:hAnsi="宋体" w:eastAsia="宋体" w:cs="宋体"/>
                <w:highlight w:val="none"/>
              </w:rPr>
              <w:t>投标保证金</w:t>
            </w:r>
          </w:p>
        </w:tc>
        <w:tc>
          <w:tcPr>
            <w:tcW w:w="4490" w:type="dxa"/>
            <w:shd w:val="clear" w:color="auto" w:fill="auto"/>
            <w:vAlign w:val="center"/>
          </w:tcPr>
          <w:p w14:paraId="5B33301D">
            <w:pPr>
              <w:jc w:val="center"/>
              <w:rPr>
                <w:rFonts w:ascii="宋体" w:hAnsi="宋体" w:eastAsia="宋体" w:cs="宋体"/>
                <w:highlight w:val="none"/>
              </w:rPr>
            </w:pPr>
            <w:r>
              <w:rPr>
                <w:rFonts w:hint="eastAsia" w:ascii="宋体" w:hAnsi="宋体" w:eastAsia="宋体" w:cs="宋体"/>
                <w:highlight w:val="none"/>
              </w:rPr>
              <w:t>免交</w:t>
            </w:r>
          </w:p>
        </w:tc>
      </w:tr>
      <w:tr w14:paraId="4BB2A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0126369">
            <w:pPr>
              <w:jc w:val="center"/>
              <w:rPr>
                <w:rFonts w:ascii="宋体" w:hAnsi="宋体" w:eastAsia="宋体" w:cs="宋体"/>
                <w:highlight w:val="none"/>
              </w:rPr>
            </w:pPr>
            <w:r>
              <w:rPr>
                <w:rFonts w:hint="eastAsia" w:ascii="宋体" w:hAnsi="宋体" w:eastAsia="宋体" w:cs="宋体"/>
                <w:highlight w:val="none"/>
              </w:rPr>
              <w:t>9</w:t>
            </w:r>
          </w:p>
        </w:tc>
        <w:tc>
          <w:tcPr>
            <w:tcW w:w="3402" w:type="dxa"/>
            <w:shd w:val="clear" w:color="auto" w:fill="auto"/>
            <w:vAlign w:val="center"/>
          </w:tcPr>
          <w:p w14:paraId="154F96F1">
            <w:pPr>
              <w:jc w:val="center"/>
              <w:rPr>
                <w:rFonts w:ascii="宋体" w:hAnsi="宋体" w:eastAsia="宋体" w:cs="宋体"/>
                <w:highlight w:val="none"/>
              </w:rPr>
            </w:pPr>
            <w:r>
              <w:rPr>
                <w:rFonts w:hint="eastAsia" w:ascii="宋体" w:hAnsi="宋体" w:eastAsia="宋体" w:cs="宋体"/>
                <w:highlight w:val="none"/>
              </w:rPr>
              <w:t>履约保证金</w:t>
            </w:r>
          </w:p>
        </w:tc>
        <w:tc>
          <w:tcPr>
            <w:tcW w:w="4490" w:type="dxa"/>
            <w:shd w:val="clear" w:color="auto" w:fill="auto"/>
            <w:vAlign w:val="center"/>
          </w:tcPr>
          <w:p w14:paraId="2489E153">
            <w:pPr>
              <w:jc w:val="center"/>
              <w:rPr>
                <w:rFonts w:ascii="宋体" w:hAnsi="宋体" w:eastAsia="宋体" w:cs="宋体"/>
                <w:highlight w:val="none"/>
              </w:rPr>
            </w:pPr>
            <w:r>
              <w:rPr>
                <w:rFonts w:hint="eastAsia" w:ascii="宋体" w:hAnsi="宋体" w:eastAsia="宋体" w:cs="宋体"/>
                <w:highlight w:val="none"/>
              </w:rPr>
              <w:t>无</w:t>
            </w:r>
          </w:p>
        </w:tc>
      </w:tr>
      <w:tr w14:paraId="0B8B8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1A44FDF">
            <w:pPr>
              <w:jc w:val="center"/>
              <w:rPr>
                <w:rFonts w:ascii="宋体" w:hAnsi="宋体" w:eastAsia="宋体" w:cs="宋体"/>
                <w:highlight w:val="none"/>
              </w:rPr>
            </w:pPr>
            <w:r>
              <w:rPr>
                <w:rFonts w:hint="eastAsia" w:ascii="宋体" w:hAnsi="宋体" w:eastAsia="宋体" w:cs="宋体"/>
                <w:highlight w:val="none"/>
              </w:rPr>
              <w:t>10</w:t>
            </w:r>
          </w:p>
        </w:tc>
        <w:tc>
          <w:tcPr>
            <w:tcW w:w="3402" w:type="dxa"/>
            <w:shd w:val="clear" w:color="auto" w:fill="auto"/>
            <w:vAlign w:val="center"/>
          </w:tcPr>
          <w:p w14:paraId="2E7AB14B">
            <w:pPr>
              <w:jc w:val="center"/>
              <w:rPr>
                <w:rFonts w:ascii="宋体" w:hAnsi="宋体" w:eastAsia="宋体" w:cs="宋体"/>
                <w:highlight w:val="none"/>
              </w:rPr>
            </w:pPr>
            <w:r>
              <w:rPr>
                <w:rFonts w:hint="eastAsia" w:ascii="宋体" w:hAnsi="宋体" w:eastAsia="宋体" w:cs="宋体"/>
                <w:highlight w:val="none"/>
              </w:rPr>
              <w:t>投标文件份数</w:t>
            </w:r>
          </w:p>
        </w:tc>
        <w:tc>
          <w:tcPr>
            <w:tcW w:w="4490" w:type="dxa"/>
            <w:shd w:val="clear" w:color="auto" w:fill="auto"/>
            <w:vAlign w:val="center"/>
          </w:tcPr>
          <w:p w14:paraId="170DD7AF">
            <w:pPr>
              <w:jc w:val="both"/>
              <w:rPr>
                <w:rFonts w:ascii="宋体" w:hAnsi="宋体" w:eastAsia="宋体" w:cs="宋体"/>
                <w:highlight w:val="none"/>
              </w:rPr>
            </w:pPr>
            <w:r>
              <w:rPr>
                <w:rFonts w:hint="eastAsia" w:ascii="宋体" w:hAnsi="宋体" w:eastAsia="宋体" w:cs="宋体"/>
                <w:highlight w:val="none"/>
              </w:rPr>
              <w:t>如纸质版文件与电子版文件不一致，以上传平台电子版文件为准；供应商需提供纸质版投标文件（密封一正三副）于开标当日11点-12点将标书邮寄或送至西安市雁塔区唐延路35号旺座现代城C座2502室。</w:t>
            </w:r>
          </w:p>
        </w:tc>
      </w:tr>
      <w:tr w14:paraId="01E8CE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9027958">
            <w:pPr>
              <w:jc w:val="center"/>
              <w:rPr>
                <w:rFonts w:ascii="宋体" w:hAnsi="宋体" w:eastAsia="宋体" w:cs="宋体"/>
                <w:highlight w:val="none"/>
              </w:rPr>
            </w:pPr>
            <w:r>
              <w:rPr>
                <w:rFonts w:hint="eastAsia" w:ascii="宋体" w:hAnsi="宋体" w:eastAsia="宋体" w:cs="宋体"/>
                <w:highlight w:val="none"/>
              </w:rPr>
              <w:t>11</w:t>
            </w:r>
          </w:p>
        </w:tc>
        <w:tc>
          <w:tcPr>
            <w:tcW w:w="3402" w:type="dxa"/>
            <w:shd w:val="clear" w:color="auto" w:fill="auto"/>
            <w:vAlign w:val="center"/>
          </w:tcPr>
          <w:p w14:paraId="2BAD89DB">
            <w:pPr>
              <w:jc w:val="center"/>
              <w:rPr>
                <w:rFonts w:ascii="宋体" w:hAnsi="宋体" w:eastAsia="宋体" w:cs="宋体"/>
                <w:highlight w:val="none"/>
              </w:rPr>
            </w:pPr>
            <w:r>
              <w:rPr>
                <w:rFonts w:hint="eastAsia" w:ascii="宋体" w:hAnsi="宋体" w:eastAsia="宋体" w:cs="宋体"/>
                <w:highlight w:val="none"/>
              </w:rPr>
              <w:t>现场踏勘和集中答疑</w:t>
            </w:r>
          </w:p>
        </w:tc>
        <w:tc>
          <w:tcPr>
            <w:tcW w:w="4490" w:type="dxa"/>
            <w:shd w:val="clear" w:color="auto" w:fill="auto"/>
            <w:vAlign w:val="center"/>
          </w:tcPr>
          <w:p w14:paraId="5BBDF521">
            <w:pPr>
              <w:jc w:val="center"/>
              <w:rPr>
                <w:rFonts w:ascii="宋体" w:hAnsi="宋体" w:eastAsia="宋体" w:cs="宋体"/>
                <w:highlight w:val="none"/>
              </w:rPr>
            </w:pPr>
            <w:r>
              <w:rPr>
                <w:rFonts w:hint="eastAsia" w:ascii="宋体" w:hAnsi="宋体" w:eastAsia="宋体" w:cs="宋体"/>
                <w:highlight w:val="none"/>
              </w:rPr>
              <w:t>无</w:t>
            </w:r>
          </w:p>
        </w:tc>
      </w:tr>
      <w:tr w14:paraId="289442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159B4D7">
            <w:pPr>
              <w:jc w:val="center"/>
              <w:rPr>
                <w:rFonts w:ascii="宋体" w:hAnsi="宋体" w:eastAsia="宋体" w:cs="宋体"/>
                <w:highlight w:val="none"/>
              </w:rPr>
            </w:pPr>
            <w:r>
              <w:rPr>
                <w:rFonts w:hint="eastAsia" w:ascii="宋体" w:hAnsi="宋体" w:eastAsia="宋体" w:cs="宋体"/>
                <w:highlight w:val="none"/>
              </w:rPr>
              <w:t>12</w:t>
            </w:r>
          </w:p>
        </w:tc>
        <w:tc>
          <w:tcPr>
            <w:tcW w:w="3402" w:type="dxa"/>
            <w:shd w:val="clear" w:color="auto" w:fill="auto"/>
            <w:vAlign w:val="center"/>
          </w:tcPr>
          <w:p w14:paraId="54BF4C9D">
            <w:pPr>
              <w:jc w:val="center"/>
              <w:rPr>
                <w:rFonts w:ascii="宋体" w:hAnsi="宋体" w:eastAsia="宋体" w:cs="宋体"/>
                <w:highlight w:val="none"/>
              </w:rPr>
            </w:pPr>
            <w:r>
              <w:rPr>
                <w:rFonts w:hint="eastAsia" w:ascii="宋体" w:hAnsi="宋体" w:eastAsia="宋体" w:cs="宋体"/>
                <w:highlight w:val="none"/>
              </w:rPr>
              <w:t>政府采购信息发布媒体</w:t>
            </w:r>
          </w:p>
          <w:p w14:paraId="78C5B2EE">
            <w:pPr>
              <w:jc w:val="center"/>
              <w:rPr>
                <w:rFonts w:ascii="宋体" w:hAnsi="宋体" w:eastAsia="宋体" w:cs="宋体"/>
                <w:highlight w:val="none"/>
              </w:rPr>
            </w:pPr>
            <w:r>
              <w:rPr>
                <w:rFonts w:hint="eastAsia" w:ascii="宋体" w:hAnsi="宋体" w:eastAsia="宋体" w:cs="宋体"/>
                <w:highlight w:val="none"/>
              </w:rPr>
              <w:t>（采购公告、采购结果公告、变更公告）</w:t>
            </w:r>
          </w:p>
        </w:tc>
        <w:tc>
          <w:tcPr>
            <w:tcW w:w="4490" w:type="dxa"/>
            <w:shd w:val="clear" w:color="auto" w:fill="auto"/>
            <w:vAlign w:val="center"/>
          </w:tcPr>
          <w:p w14:paraId="4A591249">
            <w:pPr>
              <w:rPr>
                <w:rFonts w:ascii="宋体" w:hAnsi="宋体" w:eastAsia="宋体" w:cs="宋体"/>
                <w:highlight w:val="none"/>
              </w:rPr>
            </w:pPr>
            <w:r>
              <w:rPr>
                <w:rFonts w:hint="eastAsia" w:ascii="宋体" w:hAnsi="宋体" w:eastAsia="宋体" w:cs="宋体"/>
                <w:highlight w:val="none"/>
              </w:rPr>
              <w:t>1．陕西省政府采购网：仅提供项目公告，官网地址：http://ccgp-shaanxi.gov.cn/。</w:t>
            </w:r>
          </w:p>
          <w:p w14:paraId="16F325A8">
            <w:pPr>
              <w:rPr>
                <w:rFonts w:ascii="宋体" w:hAnsi="宋体" w:eastAsia="宋体" w:cs="宋体"/>
                <w:highlight w:val="none"/>
              </w:rPr>
            </w:pPr>
            <w:r>
              <w:rPr>
                <w:rFonts w:hint="eastAsia" w:ascii="宋体" w:hAnsi="宋体" w:eastAsia="宋体" w:cs="宋体"/>
                <w:highlight w:val="none"/>
              </w:rPr>
              <w:t>2．全国公共资源交易平台（陕西省·西安市）：即西安市公共资源交易平台，提供项目公告和采购文件下载。官网地址：http://sxggzyjy.xa.gov.cn/</w:t>
            </w:r>
          </w:p>
        </w:tc>
      </w:tr>
      <w:tr w14:paraId="0CA2F8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9274E43">
            <w:pPr>
              <w:jc w:val="center"/>
              <w:rPr>
                <w:rFonts w:ascii="宋体" w:hAnsi="宋体" w:eastAsia="宋体" w:cs="宋体"/>
                <w:highlight w:val="none"/>
              </w:rPr>
            </w:pPr>
            <w:r>
              <w:rPr>
                <w:rFonts w:hint="eastAsia" w:ascii="宋体" w:hAnsi="宋体" w:eastAsia="宋体" w:cs="宋体"/>
                <w:highlight w:val="none"/>
              </w:rPr>
              <w:t>13</w:t>
            </w:r>
          </w:p>
        </w:tc>
        <w:tc>
          <w:tcPr>
            <w:tcW w:w="3402" w:type="dxa"/>
            <w:shd w:val="clear" w:color="auto" w:fill="auto"/>
            <w:vAlign w:val="center"/>
          </w:tcPr>
          <w:p w14:paraId="00BC2122">
            <w:pPr>
              <w:jc w:val="center"/>
              <w:rPr>
                <w:rFonts w:ascii="宋体" w:hAnsi="宋体" w:eastAsia="宋体" w:cs="宋体"/>
                <w:highlight w:val="none"/>
              </w:rPr>
            </w:pPr>
            <w:r>
              <w:rPr>
                <w:rFonts w:hint="eastAsia" w:ascii="宋体" w:hAnsi="宋体" w:eastAsia="宋体" w:cs="宋体"/>
                <w:highlight w:val="none"/>
              </w:rPr>
              <w:t>询问和质疑</w:t>
            </w:r>
          </w:p>
        </w:tc>
        <w:tc>
          <w:tcPr>
            <w:tcW w:w="4490" w:type="dxa"/>
            <w:shd w:val="clear" w:color="auto" w:fill="auto"/>
            <w:vAlign w:val="center"/>
          </w:tcPr>
          <w:p w14:paraId="791F5B1F">
            <w:pPr>
              <w:jc w:val="both"/>
              <w:rPr>
                <w:rFonts w:ascii="宋体" w:hAnsi="宋体" w:eastAsia="宋体" w:cs="宋体"/>
                <w:highlight w:val="none"/>
              </w:rPr>
            </w:pPr>
            <w:r>
              <w:rPr>
                <w:rFonts w:hint="eastAsia" w:ascii="宋体" w:hAnsi="宋体" w:eastAsia="宋体" w:cs="宋体"/>
                <w:highlight w:val="none"/>
              </w:rPr>
              <w:t>见投标邀请函中的“联系方式”</w:t>
            </w:r>
          </w:p>
        </w:tc>
      </w:tr>
      <w:tr w14:paraId="33D20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716EDC8">
            <w:pPr>
              <w:jc w:val="center"/>
              <w:rPr>
                <w:rFonts w:ascii="宋体" w:hAnsi="宋体" w:eastAsia="宋体" w:cs="宋体"/>
                <w:highlight w:val="none"/>
              </w:rPr>
            </w:pPr>
            <w:r>
              <w:rPr>
                <w:rFonts w:hint="eastAsia" w:ascii="宋体" w:hAnsi="宋体" w:eastAsia="宋体" w:cs="宋体"/>
                <w:highlight w:val="none"/>
              </w:rPr>
              <w:t>14</w:t>
            </w:r>
          </w:p>
        </w:tc>
        <w:tc>
          <w:tcPr>
            <w:tcW w:w="3402" w:type="dxa"/>
            <w:shd w:val="clear" w:color="auto" w:fill="auto"/>
            <w:vAlign w:val="center"/>
          </w:tcPr>
          <w:p w14:paraId="3672ACB2">
            <w:pPr>
              <w:jc w:val="center"/>
              <w:rPr>
                <w:rFonts w:ascii="宋体" w:hAnsi="宋体" w:eastAsia="宋体" w:cs="宋体"/>
                <w:highlight w:val="none"/>
              </w:rPr>
            </w:pPr>
            <w:r>
              <w:rPr>
                <w:rFonts w:hint="eastAsia" w:ascii="宋体" w:hAnsi="宋体" w:eastAsia="宋体" w:cs="宋体"/>
                <w:highlight w:val="none"/>
              </w:rPr>
              <w:t>投诉受理</w:t>
            </w:r>
          </w:p>
        </w:tc>
        <w:tc>
          <w:tcPr>
            <w:tcW w:w="4490" w:type="dxa"/>
            <w:shd w:val="clear" w:color="auto" w:fill="auto"/>
            <w:vAlign w:val="center"/>
          </w:tcPr>
          <w:p w14:paraId="7FF08314">
            <w:pPr>
              <w:jc w:val="both"/>
              <w:rPr>
                <w:rFonts w:ascii="宋体" w:hAnsi="宋体" w:eastAsia="宋体" w:cs="宋体"/>
                <w:highlight w:val="none"/>
              </w:rPr>
            </w:pPr>
            <w:r>
              <w:rPr>
                <w:rFonts w:hint="eastAsia" w:ascii="宋体" w:hAnsi="宋体" w:eastAsia="宋体" w:cs="宋体"/>
                <w:highlight w:val="none"/>
              </w:rPr>
              <w:t>1．受理单位：西安市财政局政府采购管理处</w:t>
            </w:r>
          </w:p>
          <w:p w14:paraId="6D1E7174">
            <w:pPr>
              <w:jc w:val="both"/>
              <w:rPr>
                <w:rFonts w:ascii="宋体" w:hAnsi="宋体" w:eastAsia="宋体" w:cs="宋体"/>
                <w:highlight w:val="none"/>
              </w:rPr>
            </w:pPr>
            <w:r>
              <w:rPr>
                <w:rFonts w:hint="eastAsia" w:ascii="宋体" w:hAnsi="宋体" w:eastAsia="宋体" w:cs="宋体"/>
                <w:highlight w:val="none"/>
              </w:rPr>
              <w:t>2．联系电话：029-89821846</w:t>
            </w:r>
          </w:p>
          <w:p w14:paraId="0F296D57">
            <w:pPr>
              <w:jc w:val="both"/>
              <w:rPr>
                <w:rFonts w:ascii="宋体" w:hAnsi="宋体" w:eastAsia="宋体" w:cs="宋体"/>
                <w:highlight w:val="none"/>
              </w:rPr>
            </w:pPr>
            <w:r>
              <w:rPr>
                <w:rFonts w:hint="eastAsia" w:ascii="宋体" w:hAnsi="宋体" w:eastAsia="宋体" w:cs="宋体"/>
                <w:highlight w:val="none"/>
              </w:rPr>
              <w:t>3．地址：西安市未央区西北国金中心A座18层</w:t>
            </w:r>
          </w:p>
        </w:tc>
      </w:tr>
      <w:tr w14:paraId="383EC0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73EBF00">
            <w:pPr>
              <w:jc w:val="center"/>
              <w:rPr>
                <w:rFonts w:ascii="宋体" w:hAnsi="宋体" w:eastAsia="宋体" w:cs="宋体"/>
                <w:highlight w:val="none"/>
              </w:rPr>
            </w:pPr>
            <w:r>
              <w:rPr>
                <w:rFonts w:hint="eastAsia" w:ascii="宋体" w:hAnsi="宋体" w:eastAsia="宋体" w:cs="宋体"/>
                <w:highlight w:val="none"/>
              </w:rPr>
              <w:t>15</w:t>
            </w:r>
          </w:p>
        </w:tc>
        <w:tc>
          <w:tcPr>
            <w:tcW w:w="3402" w:type="dxa"/>
            <w:shd w:val="clear" w:color="auto" w:fill="auto"/>
            <w:vAlign w:val="center"/>
          </w:tcPr>
          <w:p w14:paraId="2DAB2F69">
            <w:pPr>
              <w:jc w:val="center"/>
              <w:rPr>
                <w:rFonts w:ascii="宋体" w:hAnsi="宋体" w:eastAsia="宋体" w:cs="宋体"/>
                <w:highlight w:val="none"/>
              </w:rPr>
            </w:pPr>
            <w:r>
              <w:rPr>
                <w:rFonts w:hint="eastAsia" w:ascii="宋体" w:hAnsi="宋体" w:eastAsia="宋体" w:cs="宋体"/>
                <w:highlight w:val="none"/>
              </w:rPr>
              <w:t>信用信息查询截至时点</w:t>
            </w:r>
          </w:p>
        </w:tc>
        <w:tc>
          <w:tcPr>
            <w:tcW w:w="4490" w:type="dxa"/>
            <w:shd w:val="clear" w:color="auto" w:fill="auto"/>
            <w:vAlign w:val="center"/>
          </w:tcPr>
          <w:p w14:paraId="7F73F441">
            <w:pPr>
              <w:jc w:val="both"/>
              <w:rPr>
                <w:rFonts w:ascii="宋体" w:hAnsi="宋体" w:eastAsia="宋体" w:cs="宋体"/>
                <w:highlight w:val="none"/>
              </w:rPr>
            </w:pPr>
            <w:r>
              <w:rPr>
                <w:rFonts w:hint="eastAsia" w:ascii="宋体" w:hAnsi="宋体" w:eastAsia="宋体" w:cs="宋体"/>
                <w:highlight w:val="none"/>
              </w:rPr>
              <w:t>同提交投标文件截止时间</w:t>
            </w:r>
          </w:p>
        </w:tc>
      </w:tr>
      <w:tr w14:paraId="42651C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E4B28D3">
            <w:pPr>
              <w:jc w:val="center"/>
              <w:rPr>
                <w:rFonts w:ascii="宋体" w:hAnsi="宋体" w:eastAsia="宋体" w:cs="宋体"/>
                <w:highlight w:val="none"/>
              </w:rPr>
            </w:pPr>
            <w:r>
              <w:rPr>
                <w:rFonts w:hint="eastAsia" w:ascii="宋体" w:hAnsi="宋体" w:eastAsia="宋体" w:cs="宋体"/>
                <w:highlight w:val="none"/>
              </w:rPr>
              <w:t>16</w:t>
            </w:r>
          </w:p>
        </w:tc>
        <w:tc>
          <w:tcPr>
            <w:tcW w:w="3402" w:type="dxa"/>
            <w:shd w:val="clear" w:color="auto" w:fill="auto"/>
            <w:vAlign w:val="center"/>
          </w:tcPr>
          <w:p w14:paraId="4CAB99B3">
            <w:pPr>
              <w:jc w:val="center"/>
              <w:rPr>
                <w:rFonts w:ascii="宋体" w:hAnsi="宋体" w:eastAsia="宋体" w:cs="宋体"/>
                <w:highlight w:val="none"/>
              </w:rPr>
            </w:pPr>
            <w:r>
              <w:rPr>
                <w:rFonts w:hint="eastAsia" w:ascii="宋体" w:hAnsi="宋体" w:eastAsia="宋体" w:cs="宋体"/>
                <w:highlight w:val="none"/>
              </w:rPr>
              <w:t>开标形式</w:t>
            </w:r>
          </w:p>
        </w:tc>
        <w:tc>
          <w:tcPr>
            <w:tcW w:w="4490" w:type="dxa"/>
            <w:shd w:val="clear" w:color="auto" w:fill="auto"/>
            <w:vAlign w:val="center"/>
          </w:tcPr>
          <w:p w14:paraId="45623D98">
            <w:pPr>
              <w:jc w:val="both"/>
              <w:rPr>
                <w:rFonts w:ascii="宋体" w:hAnsi="宋体" w:eastAsia="宋体" w:cs="宋体"/>
                <w:highlight w:val="none"/>
              </w:rPr>
            </w:pPr>
            <w:sdt>
              <w:sdtPr>
                <w:rPr>
                  <w:rFonts w:hint="eastAsia" w:ascii="宋体" w:hAnsi="宋体" w:eastAsia="宋体" w:cs="宋体"/>
                  <w:highlight w:val="none"/>
                </w:rPr>
                <w:id w:val="1077786224"/>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highlight w:val="none"/>
              </w:rPr>
              <w:t>不见面开标  ☐见面开标</w:t>
            </w:r>
          </w:p>
          <w:p w14:paraId="672276FB">
            <w:pPr>
              <w:jc w:val="both"/>
              <w:rPr>
                <w:rFonts w:ascii="宋体" w:hAnsi="宋体" w:eastAsia="宋体" w:cs="宋体"/>
                <w:highlight w:val="none"/>
              </w:rPr>
            </w:pPr>
            <w:r>
              <w:rPr>
                <w:rFonts w:hint="eastAsia" w:ascii="宋体" w:hAnsi="宋体" w:eastAsia="宋体" w:cs="宋体"/>
                <w:highlight w:val="none"/>
              </w:rPr>
              <w:t>详见本章“开标程序”有关内容。</w:t>
            </w:r>
          </w:p>
        </w:tc>
      </w:tr>
      <w:tr w14:paraId="2FDA8B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B73CF37">
            <w:pPr>
              <w:jc w:val="center"/>
              <w:rPr>
                <w:rFonts w:ascii="宋体" w:hAnsi="宋体" w:eastAsia="宋体" w:cs="宋体"/>
                <w:highlight w:val="none"/>
              </w:rPr>
            </w:pPr>
            <w:r>
              <w:rPr>
                <w:rFonts w:hint="eastAsia" w:ascii="宋体" w:hAnsi="宋体" w:eastAsia="宋体" w:cs="宋体"/>
                <w:highlight w:val="none"/>
              </w:rPr>
              <w:t>17</w:t>
            </w:r>
          </w:p>
        </w:tc>
        <w:tc>
          <w:tcPr>
            <w:tcW w:w="3402" w:type="dxa"/>
            <w:shd w:val="clear" w:color="auto" w:fill="auto"/>
            <w:vAlign w:val="center"/>
          </w:tcPr>
          <w:p w14:paraId="43069093">
            <w:pPr>
              <w:jc w:val="center"/>
              <w:rPr>
                <w:rFonts w:ascii="宋体" w:hAnsi="宋体" w:eastAsia="宋体" w:cs="宋体"/>
                <w:highlight w:val="none"/>
              </w:rPr>
            </w:pPr>
            <w:r>
              <w:rPr>
                <w:rFonts w:hint="eastAsia" w:ascii="宋体" w:hAnsi="宋体" w:eastAsia="宋体" w:cs="宋体"/>
                <w:highlight w:val="none"/>
              </w:rPr>
              <w:t>是否允许递交多个备选投标方案</w:t>
            </w:r>
          </w:p>
        </w:tc>
        <w:tc>
          <w:tcPr>
            <w:tcW w:w="4490" w:type="dxa"/>
            <w:shd w:val="clear" w:color="auto" w:fill="auto"/>
            <w:vAlign w:val="center"/>
          </w:tcPr>
          <w:p w14:paraId="26E5659D">
            <w:pPr>
              <w:jc w:val="both"/>
              <w:rPr>
                <w:rFonts w:ascii="宋体" w:hAnsi="宋体" w:eastAsia="宋体" w:cs="宋体"/>
                <w:highlight w:val="none"/>
              </w:rPr>
            </w:pPr>
            <w:sdt>
              <w:sdtPr>
                <w:rPr>
                  <w:rFonts w:hint="eastAsia" w:ascii="宋体" w:hAnsi="宋体" w:eastAsia="宋体" w:cs="宋体"/>
                  <w:highlight w:val="none"/>
                </w:rPr>
                <w:id w:val="1608857843"/>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highlight w:val="none"/>
              </w:rPr>
              <w:t xml:space="preserve">是  </w:t>
            </w:r>
            <w:sdt>
              <w:sdtPr>
                <w:rPr>
                  <w:rFonts w:hint="eastAsia" w:ascii="宋体" w:hAnsi="宋体" w:eastAsia="宋体" w:cs="宋体"/>
                  <w:highlight w:val="none"/>
                </w:rPr>
                <w:id w:val="618331253"/>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highlight w:val="none"/>
              </w:rPr>
              <w:t>否</w:t>
            </w:r>
          </w:p>
        </w:tc>
      </w:tr>
      <w:tr w14:paraId="54A46A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B73A00B">
            <w:pPr>
              <w:jc w:val="center"/>
              <w:rPr>
                <w:rFonts w:ascii="宋体" w:hAnsi="宋体" w:eastAsia="宋体" w:cs="宋体"/>
                <w:highlight w:val="none"/>
              </w:rPr>
            </w:pPr>
            <w:r>
              <w:rPr>
                <w:rFonts w:hint="eastAsia" w:ascii="宋体" w:hAnsi="宋体" w:eastAsia="宋体" w:cs="宋体"/>
                <w:highlight w:val="none"/>
              </w:rPr>
              <w:t>18</w:t>
            </w:r>
          </w:p>
        </w:tc>
        <w:tc>
          <w:tcPr>
            <w:tcW w:w="3402" w:type="dxa"/>
            <w:shd w:val="clear" w:color="auto" w:fill="auto"/>
            <w:vAlign w:val="center"/>
          </w:tcPr>
          <w:p w14:paraId="4AD237CE">
            <w:pPr>
              <w:jc w:val="center"/>
              <w:rPr>
                <w:rFonts w:ascii="宋体" w:hAnsi="宋体" w:eastAsia="宋体" w:cs="宋体"/>
                <w:highlight w:val="none"/>
              </w:rPr>
            </w:pPr>
            <w:r>
              <w:rPr>
                <w:rFonts w:hint="eastAsia" w:ascii="宋体" w:hAnsi="宋体" w:eastAsia="宋体" w:cs="宋体"/>
                <w:highlight w:val="none"/>
              </w:rPr>
              <w:t>中标通知书</w:t>
            </w:r>
          </w:p>
        </w:tc>
        <w:tc>
          <w:tcPr>
            <w:tcW w:w="4490" w:type="dxa"/>
            <w:shd w:val="clear" w:color="auto" w:fill="auto"/>
            <w:vAlign w:val="center"/>
          </w:tcPr>
          <w:p w14:paraId="7D033242">
            <w:pPr>
              <w:jc w:val="both"/>
              <w:rPr>
                <w:rFonts w:ascii="宋体" w:hAnsi="宋体" w:eastAsia="宋体" w:cs="宋体"/>
                <w:highlight w:val="none"/>
              </w:rPr>
            </w:pPr>
            <w:r>
              <w:rPr>
                <w:rFonts w:hint="eastAsia" w:ascii="宋体" w:hAnsi="宋体" w:eastAsia="宋体" w:cs="宋体"/>
                <w:highlight w:val="none"/>
              </w:rPr>
              <w:t>1．领取地点：西安市雁塔区唐延路35号旺座现代城C座2502室</w:t>
            </w:r>
          </w:p>
          <w:p w14:paraId="77E5065A">
            <w:pPr>
              <w:rPr>
                <w:rFonts w:ascii="宋体" w:hAnsi="宋体" w:eastAsia="宋体" w:cs="宋体"/>
                <w:highlight w:val="none"/>
              </w:rPr>
            </w:pPr>
            <w:r>
              <w:rPr>
                <w:rFonts w:hint="eastAsia" w:ascii="宋体" w:hAnsi="宋体" w:eastAsia="宋体" w:cs="宋体"/>
                <w:highlight w:val="none"/>
              </w:rPr>
              <w:t>2．联系电话：029-88319689-8004</w:t>
            </w:r>
          </w:p>
          <w:p w14:paraId="2FEC5ACF">
            <w:pPr>
              <w:jc w:val="both"/>
              <w:rPr>
                <w:rFonts w:ascii="宋体" w:hAnsi="宋体" w:eastAsia="宋体" w:cs="宋体"/>
                <w:highlight w:val="none"/>
              </w:rPr>
            </w:pPr>
            <w:r>
              <w:rPr>
                <w:rFonts w:hint="eastAsia" w:ascii="宋体" w:hAnsi="宋体" w:eastAsia="宋体" w:cs="宋体"/>
                <w:highlight w:val="none"/>
              </w:rPr>
              <w:t xml:space="preserve">3．联系人：崔方明  </w:t>
            </w:r>
          </w:p>
        </w:tc>
      </w:tr>
      <w:tr w14:paraId="692C8A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5F6BF61">
            <w:pPr>
              <w:jc w:val="center"/>
              <w:rPr>
                <w:rFonts w:ascii="宋体" w:hAnsi="宋体" w:eastAsia="宋体" w:cs="宋体"/>
                <w:highlight w:val="none"/>
              </w:rPr>
            </w:pPr>
            <w:r>
              <w:rPr>
                <w:rFonts w:hint="eastAsia" w:ascii="宋体" w:hAnsi="宋体" w:eastAsia="宋体" w:cs="宋体"/>
                <w:highlight w:val="none"/>
              </w:rPr>
              <w:t>19</w:t>
            </w:r>
          </w:p>
        </w:tc>
        <w:tc>
          <w:tcPr>
            <w:tcW w:w="3402" w:type="dxa"/>
            <w:shd w:val="clear" w:color="auto" w:fill="auto"/>
            <w:vAlign w:val="center"/>
          </w:tcPr>
          <w:p w14:paraId="1BF9D86A">
            <w:pPr>
              <w:jc w:val="center"/>
              <w:rPr>
                <w:rFonts w:ascii="宋体" w:hAnsi="宋体" w:eastAsia="宋体" w:cs="宋体"/>
                <w:highlight w:val="none"/>
              </w:rPr>
            </w:pPr>
            <w:r>
              <w:rPr>
                <w:rFonts w:hint="eastAsia" w:ascii="宋体" w:hAnsi="宋体" w:eastAsia="宋体" w:cs="宋体"/>
                <w:highlight w:val="none"/>
              </w:rPr>
              <w:t>西安市公共资源交易中心电子化政府采购系统技术支持（软件开发商）</w:t>
            </w:r>
          </w:p>
        </w:tc>
        <w:tc>
          <w:tcPr>
            <w:tcW w:w="4490" w:type="dxa"/>
            <w:shd w:val="clear" w:color="auto" w:fill="auto"/>
            <w:vAlign w:val="center"/>
          </w:tcPr>
          <w:p w14:paraId="6A96AAE8">
            <w:pPr>
              <w:jc w:val="both"/>
              <w:rPr>
                <w:rFonts w:ascii="宋体" w:hAnsi="宋体" w:eastAsia="宋体" w:cs="宋体"/>
                <w:highlight w:val="none"/>
              </w:rPr>
            </w:pPr>
            <w:r>
              <w:rPr>
                <w:rFonts w:hint="eastAsia" w:ascii="宋体" w:hAnsi="宋体" w:eastAsia="宋体" w:cs="宋体"/>
                <w:highlight w:val="none"/>
              </w:rPr>
              <w:t>国泰新点软件股份有限公司</w:t>
            </w:r>
          </w:p>
          <w:p w14:paraId="27D73FA0">
            <w:pPr>
              <w:rPr>
                <w:rFonts w:ascii="宋体" w:hAnsi="宋体" w:eastAsia="宋体" w:cs="宋体"/>
                <w:highlight w:val="none"/>
              </w:rPr>
            </w:pPr>
            <w:r>
              <w:rPr>
                <w:rFonts w:hint="eastAsia" w:ascii="宋体" w:hAnsi="宋体" w:eastAsia="宋体" w:cs="宋体"/>
                <w:highlight w:val="none"/>
              </w:rPr>
              <w:t>1．技术支持热线：400-998-0000/400-928-0095</w:t>
            </w:r>
          </w:p>
          <w:p w14:paraId="78D2726E">
            <w:pPr>
              <w:rPr>
                <w:rFonts w:ascii="宋体" w:hAnsi="宋体" w:eastAsia="宋体" w:cs="宋体"/>
                <w:highlight w:val="none"/>
              </w:rPr>
            </w:pPr>
            <w:r>
              <w:rPr>
                <w:rFonts w:hint="eastAsia" w:ascii="宋体" w:hAnsi="宋体" w:eastAsia="宋体" w:cs="宋体"/>
                <w:highlight w:val="none"/>
              </w:rPr>
              <w:t>2．驻场技术人员：029-86510166/86510167转80310</w:t>
            </w:r>
          </w:p>
        </w:tc>
      </w:tr>
      <w:tr w14:paraId="13AE70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DC3FE0E">
            <w:pPr>
              <w:jc w:val="center"/>
              <w:rPr>
                <w:rFonts w:ascii="宋体" w:hAnsi="宋体" w:eastAsia="宋体" w:cs="宋体"/>
                <w:highlight w:val="none"/>
              </w:rPr>
            </w:pPr>
            <w:r>
              <w:rPr>
                <w:rFonts w:hint="eastAsia" w:ascii="宋体" w:hAnsi="宋体" w:eastAsia="宋体" w:cs="宋体"/>
                <w:highlight w:val="none"/>
              </w:rPr>
              <w:t>20</w:t>
            </w:r>
          </w:p>
        </w:tc>
        <w:tc>
          <w:tcPr>
            <w:tcW w:w="3402" w:type="dxa"/>
            <w:shd w:val="clear" w:color="auto" w:fill="auto"/>
            <w:vAlign w:val="center"/>
          </w:tcPr>
          <w:p w14:paraId="010F92E7">
            <w:pPr>
              <w:jc w:val="center"/>
              <w:rPr>
                <w:rFonts w:ascii="宋体" w:hAnsi="宋体" w:eastAsia="宋体" w:cs="宋体"/>
                <w:highlight w:val="none"/>
              </w:rPr>
            </w:pPr>
            <w:r>
              <w:rPr>
                <w:rFonts w:hint="eastAsia" w:ascii="宋体" w:hAnsi="宋体" w:eastAsia="宋体" w:cs="宋体"/>
                <w:highlight w:val="none"/>
              </w:rPr>
              <w:t>CA业务网点</w:t>
            </w:r>
          </w:p>
        </w:tc>
        <w:tc>
          <w:tcPr>
            <w:tcW w:w="4490" w:type="dxa"/>
            <w:shd w:val="clear" w:color="auto" w:fill="auto"/>
            <w:vAlign w:val="center"/>
          </w:tcPr>
          <w:p w14:paraId="70DDFF3B">
            <w:pPr>
              <w:jc w:val="both"/>
              <w:rPr>
                <w:rFonts w:ascii="宋体" w:hAnsi="宋体" w:eastAsia="宋体" w:cs="宋体"/>
                <w:highlight w:val="none"/>
              </w:rPr>
            </w:pPr>
            <w:r>
              <w:rPr>
                <w:rFonts w:hint="eastAsia" w:ascii="宋体" w:hAnsi="宋体" w:eastAsia="宋体" w:cs="宋体"/>
                <w:highlight w:val="none"/>
              </w:rPr>
              <w:t>陕西省数字证书认证中心股份有限公司</w:t>
            </w:r>
          </w:p>
          <w:p w14:paraId="1B3A94F8">
            <w:pPr>
              <w:jc w:val="both"/>
              <w:rPr>
                <w:rFonts w:ascii="宋体" w:hAnsi="宋体" w:eastAsia="宋体" w:cs="宋体"/>
                <w:highlight w:val="none"/>
              </w:rPr>
            </w:pPr>
            <w:r>
              <w:rPr>
                <w:rFonts w:hint="eastAsia" w:ascii="宋体" w:hAnsi="宋体" w:eastAsia="宋体" w:cs="宋体"/>
                <w:highlight w:val="none"/>
              </w:rPr>
              <w:t>网点1：西安市高新三路信息港大厦1楼客服中心</w:t>
            </w:r>
          </w:p>
          <w:p w14:paraId="5C904687">
            <w:pPr>
              <w:jc w:val="both"/>
              <w:rPr>
                <w:rFonts w:ascii="宋体" w:hAnsi="宋体" w:eastAsia="宋体" w:cs="宋体"/>
                <w:highlight w:val="none"/>
              </w:rPr>
            </w:pPr>
            <w:r>
              <w:rPr>
                <w:rFonts w:hint="eastAsia" w:ascii="宋体" w:hAnsi="宋体" w:eastAsia="宋体" w:cs="宋体"/>
                <w:highlight w:val="none"/>
              </w:rPr>
              <w:t>客服电话：4006-369-888</w:t>
            </w:r>
          </w:p>
          <w:p w14:paraId="6A000BDD">
            <w:pPr>
              <w:jc w:val="both"/>
              <w:rPr>
                <w:rFonts w:ascii="宋体" w:hAnsi="宋体" w:eastAsia="宋体" w:cs="宋体"/>
                <w:highlight w:val="none"/>
              </w:rPr>
            </w:pPr>
            <w:r>
              <w:rPr>
                <w:rFonts w:hint="eastAsia" w:ascii="宋体" w:hAnsi="宋体" w:eastAsia="宋体" w:cs="宋体"/>
                <w:highlight w:val="none"/>
              </w:rPr>
              <w:t>网点2：西安市长安北路14号省体育公寓B座一楼</w:t>
            </w:r>
          </w:p>
          <w:p w14:paraId="78EE08B3">
            <w:pPr>
              <w:jc w:val="both"/>
              <w:rPr>
                <w:rFonts w:ascii="宋体" w:hAnsi="宋体" w:eastAsia="宋体" w:cs="宋体"/>
                <w:highlight w:val="none"/>
              </w:rPr>
            </w:pPr>
            <w:r>
              <w:rPr>
                <w:rFonts w:hint="eastAsia" w:ascii="宋体" w:hAnsi="宋体" w:eastAsia="宋体" w:cs="宋体"/>
                <w:highlight w:val="none"/>
              </w:rPr>
              <w:t>咨询电话：029-88661241</w:t>
            </w:r>
          </w:p>
          <w:p w14:paraId="30BD9D74">
            <w:pPr>
              <w:jc w:val="both"/>
              <w:rPr>
                <w:rFonts w:ascii="宋体" w:hAnsi="宋体" w:eastAsia="宋体" w:cs="宋体"/>
                <w:highlight w:val="none"/>
              </w:rPr>
            </w:pPr>
            <w:r>
              <w:rPr>
                <w:rFonts w:hint="eastAsia" w:ascii="宋体" w:hAnsi="宋体" w:eastAsia="宋体" w:cs="宋体"/>
                <w:highlight w:val="none"/>
              </w:rPr>
              <w:t>网点3：西安市文景北路16号白桦林国际B座2楼11#窗口</w:t>
            </w:r>
          </w:p>
          <w:p w14:paraId="3DC6FA4A">
            <w:pPr>
              <w:jc w:val="both"/>
              <w:rPr>
                <w:rFonts w:ascii="宋体" w:hAnsi="宋体" w:eastAsia="宋体" w:cs="宋体"/>
                <w:highlight w:val="none"/>
              </w:rPr>
            </w:pPr>
            <w:r>
              <w:rPr>
                <w:rFonts w:hint="eastAsia" w:ascii="宋体" w:hAnsi="宋体" w:eastAsia="宋体" w:cs="宋体"/>
                <w:highlight w:val="none"/>
              </w:rPr>
              <w:t>咨询电话：029-86510073转80211</w:t>
            </w:r>
          </w:p>
        </w:tc>
      </w:tr>
      <w:tr w14:paraId="7BDCA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3C661F8">
            <w:pPr>
              <w:jc w:val="center"/>
              <w:rPr>
                <w:rFonts w:ascii="宋体" w:hAnsi="宋体" w:eastAsia="宋体" w:cs="宋体"/>
                <w:highlight w:val="none"/>
              </w:rPr>
            </w:pPr>
            <w:r>
              <w:rPr>
                <w:rFonts w:hint="eastAsia" w:ascii="宋体" w:hAnsi="宋体" w:eastAsia="宋体" w:cs="宋体"/>
                <w:highlight w:val="none"/>
              </w:rPr>
              <w:t>21</w:t>
            </w:r>
          </w:p>
        </w:tc>
        <w:tc>
          <w:tcPr>
            <w:tcW w:w="3402" w:type="dxa"/>
            <w:shd w:val="clear" w:color="auto" w:fill="auto"/>
            <w:vAlign w:val="center"/>
          </w:tcPr>
          <w:p w14:paraId="470C888C">
            <w:pPr>
              <w:jc w:val="center"/>
              <w:rPr>
                <w:rFonts w:ascii="宋体" w:hAnsi="宋体" w:eastAsia="宋体" w:cs="宋体"/>
                <w:highlight w:val="none"/>
              </w:rPr>
            </w:pPr>
            <w:r>
              <w:rPr>
                <w:rFonts w:hint="eastAsia" w:ascii="宋体" w:hAnsi="宋体" w:eastAsia="宋体" w:cs="宋体"/>
                <w:highlight w:val="none"/>
              </w:rPr>
              <w:t>代理服务费</w:t>
            </w:r>
          </w:p>
        </w:tc>
        <w:tc>
          <w:tcPr>
            <w:tcW w:w="4490" w:type="dxa"/>
            <w:shd w:val="clear" w:color="auto" w:fill="auto"/>
            <w:vAlign w:val="center"/>
          </w:tcPr>
          <w:p w14:paraId="71466627">
            <w:pPr>
              <w:jc w:val="both"/>
              <w:rPr>
                <w:rFonts w:ascii="宋体" w:hAnsi="宋体" w:eastAsia="宋体" w:cs="宋体"/>
                <w:highlight w:val="none"/>
              </w:rPr>
            </w:pPr>
            <w:r>
              <w:rPr>
                <w:rFonts w:hint="eastAsia" w:ascii="宋体" w:hAnsi="宋体" w:eastAsia="宋体" w:cs="宋体"/>
                <w:highlight w:val="none"/>
              </w:rPr>
              <w:t>1、</w:t>
            </w:r>
            <w:bookmarkStart w:id="279" w:name="_GoBack"/>
            <w:r>
              <w:rPr>
                <w:rFonts w:hint="eastAsia" w:ascii="宋体" w:hAnsi="宋体" w:eastAsia="宋体" w:cs="宋体"/>
                <w:highlight w:val="none"/>
              </w:rPr>
              <w:t>参照国家计委颁发的《招标代理服务收费管理暂行办法》（计价格[2002]1980号）和国家发展改革委员会办公厅颁发的《关于招标代理服务收费有关问题的通知》（发改办价格[2003]857号）的标准收取。</w:t>
            </w:r>
          </w:p>
          <w:bookmarkEnd w:id="279"/>
          <w:p w14:paraId="64815BFE">
            <w:pPr>
              <w:jc w:val="both"/>
              <w:rPr>
                <w:rFonts w:ascii="宋体" w:hAnsi="宋体" w:eastAsia="宋体" w:cs="宋体"/>
                <w:highlight w:val="none"/>
              </w:rPr>
            </w:pPr>
            <w:r>
              <w:rPr>
                <w:rFonts w:hint="eastAsia" w:ascii="宋体" w:hAnsi="宋体" w:eastAsia="宋体" w:cs="宋体"/>
                <w:highlight w:val="none"/>
              </w:rPr>
              <w:t>2、供应商将招标代理服务费计入投标报价但不单独列明，中标单位在领取中标通知书前，须向采购代理机构一次性支付招标代理服务费；代理服务费以转账、电汇或现金等形式交纳。</w:t>
            </w:r>
          </w:p>
        </w:tc>
      </w:tr>
      <w:tr w14:paraId="021EC7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4C17048">
            <w:pPr>
              <w:jc w:val="center"/>
              <w:rPr>
                <w:rFonts w:ascii="宋体" w:hAnsi="宋体" w:eastAsia="宋体" w:cs="宋体"/>
                <w:highlight w:val="none"/>
              </w:rPr>
            </w:pPr>
            <w:r>
              <w:rPr>
                <w:rFonts w:hint="eastAsia" w:ascii="宋体" w:hAnsi="宋体" w:eastAsia="宋体" w:cs="宋体"/>
                <w:highlight w:val="none"/>
              </w:rPr>
              <w:t>22</w:t>
            </w:r>
          </w:p>
        </w:tc>
        <w:tc>
          <w:tcPr>
            <w:tcW w:w="3402" w:type="dxa"/>
            <w:shd w:val="clear" w:color="auto" w:fill="auto"/>
            <w:vAlign w:val="center"/>
          </w:tcPr>
          <w:p w14:paraId="4C15B1FE">
            <w:pPr>
              <w:pStyle w:val="127"/>
              <w:ind w:left="96"/>
              <w:jc w:val="center"/>
              <w:rPr>
                <w:highlight w:val="none"/>
              </w:rPr>
            </w:pPr>
            <w:r>
              <w:rPr>
                <w:rFonts w:hint="eastAsia"/>
                <w:bCs/>
                <w:color w:val="000000" w:themeColor="text1"/>
                <w:kern w:val="2"/>
                <w:highlight w:val="none"/>
                <w:lang w:val="zh-CN"/>
                <w14:textFill>
                  <w14:solidFill>
                    <w14:schemeClr w14:val="tx1"/>
                  </w14:solidFill>
                </w14:textFill>
              </w:rPr>
              <w:t>合同类型</w:t>
            </w:r>
          </w:p>
        </w:tc>
        <w:tc>
          <w:tcPr>
            <w:tcW w:w="4490" w:type="dxa"/>
            <w:shd w:val="clear" w:color="auto" w:fill="auto"/>
            <w:vAlign w:val="center"/>
          </w:tcPr>
          <w:p w14:paraId="72C32F79">
            <w:pPr>
              <w:jc w:val="both"/>
              <w:rPr>
                <w:rFonts w:ascii="宋体" w:hAnsi="宋体" w:eastAsia="宋体" w:cs="宋体"/>
                <w:highlight w:val="none"/>
                <w:lang w:val="zh-CN"/>
              </w:rPr>
            </w:pPr>
            <w:r>
              <w:rPr>
                <w:rFonts w:hint="eastAsia" w:ascii="宋体" w:hAnsi="宋体" w:eastAsia="宋体" w:cs="宋体"/>
                <w:highlight w:val="none"/>
              </w:rPr>
              <w:t>☑</w:t>
            </w:r>
            <w:r>
              <w:rPr>
                <w:rFonts w:hint="eastAsia" w:ascii="宋体" w:hAnsi="宋体" w:eastAsia="宋体" w:cs="宋体"/>
                <w:highlight w:val="none"/>
                <w:lang w:val="zh-CN"/>
              </w:rPr>
              <w:t>固定总价</w:t>
            </w:r>
          </w:p>
          <w:p w14:paraId="6B1CAC74">
            <w:pPr>
              <w:jc w:val="both"/>
              <w:rPr>
                <w:rFonts w:ascii="宋体" w:hAnsi="宋体" w:eastAsia="宋体" w:cs="宋体"/>
                <w:highlight w:val="none"/>
                <w:lang w:val="zh-CN"/>
              </w:rPr>
            </w:pPr>
            <w:r>
              <w:rPr>
                <w:rFonts w:hint="eastAsia" w:ascii="宋体" w:hAnsi="宋体" w:eastAsia="宋体" w:cs="宋体"/>
                <w:highlight w:val="none"/>
              </w:rPr>
              <w:t>☐</w:t>
            </w:r>
            <w:r>
              <w:rPr>
                <w:rFonts w:hint="eastAsia" w:ascii="宋体" w:hAnsi="宋体" w:eastAsia="宋体" w:cs="宋体"/>
                <w:highlight w:val="none"/>
                <w:lang w:val="zh-CN"/>
              </w:rPr>
              <w:t>固定单价（适用于采购数量不定的情形）</w:t>
            </w:r>
          </w:p>
          <w:p w14:paraId="068DBC11">
            <w:pPr>
              <w:rPr>
                <w:rFonts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bCs/>
                <w:highlight w:val="none"/>
                <w:lang w:val="zh-CN"/>
              </w:rPr>
              <w:t>其他：___________________________</w:t>
            </w:r>
          </w:p>
        </w:tc>
      </w:tr>
      <w:tr w14:paraId="09EEF2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5C9BF0C">
            <w:pPr>
              <w:jc w:val="center"/>
              <w:rPr>
                <w:rFonts w:ascii="宋体" w:hAnsi="宋体" w:eastAsia="宋体" w:cs="宋体"/>
                <w:highlight w:val="none"/>
              </w:rPr>
            </w:pPr>
            <w:r>
              <w:rPr>
                <w:rFonts w:hint="eastAsia" w:ascii="宋体" w:hAnsi="宋体" w:eastAsia="宋体" w:cs="宋体"/>
                <w:highlight w:val="none"/>
              </w:rPr>
              <w:t>23</w:t>
            </w:r>
          </w:p>
        </w:tc>
        <w:tc>
          <w:tcPr>
            <w:tcW w:w="3402" w:type="dxa"/>
            <w:shd w:val="clear" w:color="auto" w:fill="auto"/>
            <w:vAlign w:val="center"/>
          </w:tcPr>
          <w:p w14:paraId="01DD6465">
            <w:pPr>
              <w:tabs>
                <w:tab w:val="left" w:pos="7665"/>
              </w:tabs>
              <w:snapToGrid w:val="0"/>
              <w:jc w:val="center"/>
              <w:rPr>
                <w:rFonts w:ascii="宋体" w:hAnsi="宋体" w:eastAsia="宋体" w:cs="宋体"/>
                <w:highlight w:val="none"/>
              </w:rPr>
            </w:pPr>
            <w:r>
              <w:rPr>
                <w:rFonts w:hint="eastAsia" w:ascii="宋体" w:hAnsi="宋体" w:eastAsia="宋体" w:cs="宋体"/>
                <w:bCs/>
                <w:color w:val="000000" w:themeColor="text1"/>
                <w:highlight w:val="none"/>
                <w14:textFill>
                  <w14:solidFill>
                    <w14:schemeClr w14:val="tx1"/>
                  </w14:solidFill>
                </w14:textFill>
              </w:rPr>
              <w:t>争议解决途径</w:t>
            </w:r>
          </w:p>
        </w:tc>
        <w:tc>
          <w:tcPr>
            <w:tcW w:w="4490" w:type="dxa"/>
            <w:shd w:val="clear" w:color="auto" w:fill="auto"/>
            <w:vAlign w:val="center"/>
          </w:tcPr>
          <w:p w14:paraId="55EE7A52">
            <w:pPr>
              <w:tabs>
                <w:tab w:val="left" w:pos="7665"/>
              </w:tabs>
              <w:snapToGrid w:val="0"/>
              <w:rPr>
                <w:rFonts w:ascii="宋体" w:hAnsi="宋体" w:eastAsia="宋体" w:cs="宋体"/>
                <w:bCs/>
                <w:highlight w:val="none"/>
              </w:rPr>
            </w:pPr>
            <w:r>
              <w:rPr>
                <w:rFonts w:hint="eastAsia" w:ascii="宋体" w:hAnsi="宋体" w:eastAsia="宋体" w:cs="宋体"/>
                <w:highlight w:val="none"/>
              </w:rPr>
              <w:t>☑</w:t>
            </w:r>
            <w:r>
              <w:rPr>
                <w:rFonts w:hint="eastAsia" w:ascii="宋体" w:hAnsi="宋体" w:eastAsia="宋体" w:cs="宋体"/>
                <w:bCs/>
                <w:highlight w:val="none"/>
              </w:rPr>
              <w:t>向有管辖权的人民法院提起诉讼</w:t>
            </w:r>
          </w:p>
          <w:p w14:paraId="5295280C">
            <w:pPr>
              <w:tabs>
                <w:tab w:val="left" w:pos="7665"/>
              </w:tabs>
              <w:snapToGrid w:val="0"/>
              <w:rPr>
                <w:rFonts w:ascii="宋体" w:hAnsi="宋体" w:eastAsia="宋体" w:cs="宋体"/>
                <w:bCs/>
                <w:highlight w:val="none"/>
              </w:rPr>
            </w:pPr>
            <w:r>
              <w:rPr>
                <w:rFonts w:hint="eastAsia" w:ascii="宋体" w:hAnsi="宋体" w:eastAsia="宋体" w:cs="宋体"/>
                <w:highlight w:val="none"/>
              </w:rPr>
              <w:t>☐</w:t>
            </w:r>
            <w:r>
              <w:rPr>
                <w:rFonts w:hint="eastAsia" w:ascii="宋体" w:hAnsi="宋体" w:eastAsia="宋体" w:cs="宋体"/>
                <w:bCs/>
                <w:highlight w:val="none"/>
              </w:rPr>
              <w:t>向西安仲裁委员会提请仲裁</w:t>
            </w:r>
          </w:p>
          <w:p w14:paraId="2EE97B8A">
            <w:pPr>
              <w:tabs>
                <w:tab w:val="left" w:pos="7665"/>
              </w:tabs>
              <w:snapToGrid w:val="0"/>
              <w:rPr>
                <w:rFonts w:ascii="宋体" w:hAnsi="宋体" w:eastAsia="宋体" w:cs="宋体"/>
                <w:highlight w:val="none"/>
              </w:rPr>
            </w:pPr>
            <w:sdt>
              <w:sdtPr>
                <w:rPr>
                  <w:rFonts w:hint="eastAsia" w:ascii="宋体" w:hAnsi="宋体" w:eastAsia="宋体" w:cs="宋体"/>
                  <w:highlight w:val="none"/>
                </w:rPr>
                <w:id w:val="1553575034"/>
              </w:sdtPr>
              <w:sdtEndPr>
                <w:rPr>
                  <w:rFonts w:hint="eastAsia" w:ascii="宋体" w:hAnsi="宋体" w:eastAsia="宋体" w:cs="宋体"/>
                  <w:highlight w:val="none"/>
                </w:rPr>
              </w:sdtEndPr>
              <w:sdtContent>
                <w:r>
                  <w:rPr>
                    <w:rFonts w:hint="eastAsia" w:ascii="宋体" w:hAnsi="宋体" w:eastAsia="宋体" w:cs="宋体"/>
                    <w:highlight w:val="none"/>
                  </w:rPr>
                  <w:t>☐</w:t>
                </w:r>
              </w:sdtContent>
            </w:sdt>
            <w:r>
              <w:rPr>
                <w:rFonts w:hint="eastAsia" w:ascii="宋体" w:hAnsi="宋体" w:eastAsia="宋体" w:cs="宋体"/>
                <w:bCs/>
                <w:highlight w:val="none"/>
              </w:rPr>
              <w:t>由供应商做出选择</w:t>
            </w:r>
          </w:p>
        </w:tc>
      </w:tr>
    </w:tbl>
    <w:p w14:paraId="6174F48D">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br w:type="page"/>
      </w:r>
    </w:p>
    <w:p w14:paraId="34E1D6FD">
      <w:pPr>
        <w:pStyle w:val="5"/>
        <w:rPr>
          <w:rFonts w:ascii="宋体" w:hAnsi="宋体" w:cs="宋体"/>
          <w:sz w:val="24"/>
          <w:szCs w:val="24"/>
          <w:highlight w:val="none"/>
        </w:rPr>
      </w:pPr>
      <w:bookmarkStart w:id="19" w:name="_Toc18626"/>
      <w:r>
        <w:rPr>
          <w:rFonts w:hint="eastAsia" w:ascii="宋体" w:hAnsi="宋体" w:cs="宋体"/>
          <w:sz w:val="24"/>
          <w:szCs w:val="24"/>
          <w:highlight w:val="none"/>
        </w:rPr>
        <w:t>一、有关定义</w:t>
      </w:r>
      <w:bookmarkEnd w:id="19"/>
    </w:p>
    <w:p w14:paraId="236183A9">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1．采购人：依法进行政府采购的西安市市级机关、事业单位或团体组织。</w:t>
      </w:r>
    </w:p>
    <w:p w14:paraId="1D4B1EC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2．供应商：指向采购人提供货物、工程或者服务的法人、其他组织或者自然人。</w:t>
      </w:r>
    </w:p>
    <w:p w14:paraId="71E9E9F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3．同级政府采购监管部门：西安市财政局政府采购管理处。</w:t>
      </w:r>
    </w:p>
    <w:p w14:paraId="439513CD">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4．西安市公共资源交易平台：即【全国公共资源交易平台（陕西省·西安市）】的简称，官网地址</w:t>
      </w:r>
      <w:r>
        <w:rPr>
          <w:rFonts w:hint="eastAsia"/>
          <w:highlight w:val="none"/>
        </w:rPr>
        <w:fldChar w:fldCharType="begin"/>
      </w:r>
      <w:r>
        <w:rPr>
          <w:rFonts w:hint="eastAsia" w:ascii="宋体" w:hAnsi="宋体" w:eastAsia="宋体" w:cs="宋体"/>
          <w:highlight w:val="none"/>
        </w:rPr>
        <w:instrText xml:space="preserve"> HYPERLINK "http://sxggzyjy.xa.gov.cn/" </w:instrText>
      </w:r>
      <w:r>
        <w:rPr>
          <w:rFonts w:hint="eastAsia"/>
          <w:highlight w:val="none"/>
        </w:rPr>
        <w:fldChar w:fldCharType="separate"/>
      </w:r>
      <w:r>
        <w:rPr>
          <w:rStyle w:val="45"/>
          <w:rFonts w:hint="eastAsia" w:ascii="宋体" w:hAnsi="宋体" w:eastAsia="宋体" w:cs="宋体"/>
          <w:color w:val="auto"/>
          <w:highlight w:val="none"/>
          <w:u w:val="none"/>
        </w:rPr>
        <w:t>http://sxggzyjy.xa.gov.cn/</w:t>
      </w:r>
      <w:r>
        <w:rPr>
          <w:rStyle w:val="45"/>
          <w:rFonts w:hint="eastAsia" w:ascii="宋体" w:hAnsi="宋体" w:eastAsia="宋体" w:cs="宋体"/>
          <w:color w:val="auto"/>
          <w:highlight w:val="none"/>
          <w:u w:val="none"/>
        </w:rPr>
        <w:fldChar w:fldCharType="end"/>
      </w:r>
      <w:r>
        <w:rPr>
          <w:rFonts w:hint="eastAsia" w:ascii="宋体" w:hAnsi="宋体" w:eastAsia="宋体" w:cs="宋体"/>
          <w:highlight w:val="none"/>
        </w:rPr>
        <w:t>。</w:t>
      </w:r>
    </w:p>
    <w:p w14:paraId="17D837D6">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5．企业端：指西安市公共资源交易平台〖首页·〉电子交易平台·〉陕西政府采购交易系统·〉企业端〗，快捷登录网址</w:t>
      </w:r>
      <w:r>
        <w:rPr>
          <w:rFonts w:hint="eastAsia"/>
          <w:highlight w:val="none"/>
        </w:rPr>
        <w:fldChar w:fldCharType="begin"/>
      </w:r>
      <w:r>
        <w:rPr>
          <w:rFonts w:hint="eastAsia" w:ascii="宋体" w:hAnsi="宋体" w:eastAsia="宋体" w:cs="宋体"/>
          <w:highlight w:val="none"/>
        </w:rPr>
        <w:instrText xml:space="preserve"> HYPERLINK "http://www.sxggzyjy.cn:9002/TPBidder/memberLogin" </w:instrText>
      </w:r>
      <w:r>
        <w:rPr>
          <w:rFonts w:hint="eastAsia"/>
          <w:highlight w:val="none"/>
        </w:rPr>
        <w:fldChar w:fldCharType="separate"/>
      </w:r>
      <w:r>
        <w:rPr>
          <w:rStyle w:val="45"/>
          <w:rFonts w:hint="eastAsia" w:ascii="宋体" w:hAnsi="宋体" w:eastAsia="宋体" w:cs="宋体"/>
          <w:color w:val="auto"/>
          <w:highlight w:val="none"/>
          <w:u w:val="none"/>
        </w:rPr>
        <w:t>http://www.sxggzyjy.cn:9002/TPBidder/memberLogin</w:t>
      </w:r>
      <w:r>
        <w:rPr>
          <w:rStyle w:val="45"/>
          <w:rFonts w:hint="eastAsia" w:ascii="宋体" w:hAnsi="宋体" w:eastAsia="宋体" w:cs="宋体"/>
          <w:color w:val="auto"/>
          <w:highlight w:val="none"/>
          <w:u w:val="none"/>
        </w:rPr>
        <w:fldChar w:fldCharType="end"/>
      </w:r>
      <w:r>
        <w:rPr>
          <w:rFonts w:hint="eastAsia" w:ascii="宋体" w:hAnsi="宋体" w:eastAsia="宋体" w:cs="宋体"/>
          <w:highlight w:val="none"/>
        </w:rPr>
        <w:t>。</w:t>
      </w:r>
    </w:p>
    <w:p w14:paraId="0FDEAD0D">
      <w:pPr>
        <w:pStyle w:val="5"/>
        <w:rPr>
          <w:rFonts w:ascii="宋体" w:hAnsi="宋体" w:cs="宋体"/>
          <w:sz w:val="24"/>
          <w:szCs w:val="24"/>
          <w:highlight w:val="none"/>
        </w:rPr>
      </w:pPr>
      <w:bookmarkStart w:id="20" w:name="_Toc1677"/>
      <w:r>
        <w:rPr>
          <w:rFonts w:hint="eastAsia" w:ascii="宋体" w:hAnsi="宋体" w:cs="宋体"/>
          <w:sz w:val="24"/>
          <w:szCs w:val="24"/>
          <w:highlight w:val="none"/>
        </w:rPr>
        <w:t>二、供应商注意事项</w:t>
      </w:r>
      <w:bookmarkEnd w:id="20"/>
    </w:p>
    <w:p w14:paraId="5053A6DB">
      <w:pPr>
        <w:pStyle w:val="100"/>
        <w:ind w:firstLine="499"/>
        <w:rPr>
          <w:rFonts w:ascii="宋体" w:hAnsi="宋体" w:cs="宋体"/>
          <w:b/>
          <w:bCs/>
          <w:color w:val="auto"/>
          <w:highlight w:val="none"/>
        </w:rPr>
      </w:pPr>
      <w:bookmarkStart w:id="21" w:name="_Toc21146"/>
      <w:r>
        <w:rPr>
          <w:rFonts w:hint="eastAsia" w:ascii="宋体" w:hAnsi="宋体" w:cs="宋体"/>
          <w:b/>
          <w:bCs/>
          <w:color w:val="auto"/>
          <w:highlight w:val="none"/>
        </w:rPr>
        <w:t>（一）供应商投标流程</w:t>
      </w:r>
      <w:bookmarkEnd w:id="21"/>
    </w:p>
    <w:p w14:paraId="05C90020">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使用电子交易系统的采购项目（即线上项目），将同时提供WORD\PDF格式（仅用于预览）和SXSZF格式（用于制作电子投标文件）两个版本，文件内容一致。</w:t>
      </w:r>
    </w:p>
    <w:p w14:paraId="1EEAF810">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1．预览采购文件：打开西安市公共资源交易平台〖首页·〉交易大厅·〉政府采购〗栏目，下载和阅读本项目采购文件的预览版本（WORD\PDF格式）；</w:t>
      </w:r>
    </w:p>
    <w:p w14:paraId="3B9D76E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2．办理注册登记（针对初次使用电子交易系统的用户）：</w:t>
      </w:r>
    </w:p>
    <w:p w14:paraId="6127635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（1）办理诚信入库注册：在决定参加本项目采购活动后，供应商应先在西安市公共资源交易平台上完成“诚信入库登记”；</w:t>
      </w:r>
    </w:p>
    <w:p w14:paraId="1D28E64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2DF531D1">
      <w:pPr>
        <w:widowControl w:val="0"/>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办理须知：</w:t>
      </w:r>
    </w:p>
    <w:p w14:paraId="08761D7C">
      <w:pPr>
        <w:widowControl w:val="0"/>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http://</w:t>
      </w:r>
      <w:r>
        <w:rPr>
          <w:highlight w:val="none"/>
        </w:rPr>
        <w:fldChar w:fldCharType="begin"/>
      </w:r>
      <w:r>
        <w:rPr>
          <w:highlight w:val="none"/>
        </w:rPr>
        <w:instrText xml:space="preserve"> HYPERLINK "http://www.snca.com.cn/channel/show/27.html" </w:instrText>
      </w:r>
      <w:r>
        <w:rPr>
          <w:highlight w:val="none"/>
        </w:rPr>
        <w:fldChar w:fldCharType="separate"/>
      </w:r>
      <w:r>
        <w:rPr>
          <w:rStyle w:val="45"/>
          <w:rFonts w:hint="eastAsia" w:ascii="宋体" w:hAnsi="宋体" w:eastAsia="宋体" w:cs="宋体"/>
          <w:color w:val="auto"/>
          <w:highlight w:val="none"/>
          <w:u w:val="none"/>
        </w:rPr>
        <w:t>www.snca.com.cn/channel/show/27.html</w:t>
      </w:r>
      <w:r>
        <w:rPr>
          <w:rStyle w:val="45"/>
          <w:rFonts w:hint="eastAsia" w:ascii="宋体" w:hAnsi="宋体" w:eastAsia="宋体" w:cs="宋体"/>
          <w:color w:val="auto"/>
          <w:highlight w:val="none"/>
          <w:u w:val="none"/>
        </w:rPr>
        <w:fldChar w:fldCharType="end"/>
      </w:r>
    </w:p>
    <w:p w14:paraId="195251A0">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（3）绑定和激活CA：将数字证书与诚信库中的供应商账户进行绑定。</w:t>
      </w:r>
    </w:p>
    <w:p w14:paraId="0178DF09">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76C02A5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4．制作电子投标文件：需要使用专用制作软件“新点投标文件制作软件（陕西公共资源）”进行编制，编制完成后使用CA锁对电子投标文件进行签章、加密。详见本章中的“投标文件”相关内容。</w:t>
      </w:r>
    </w:p>
    <w:p w14:paraId="5288691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5．提交电子投标文件：在提交投标文件截止时间前及时提交加密后电子投标文件，逾期提交的，系统将会拒收；</w:t>
      </w:r>
    </w:p>
    <w:p w14:paraId="775EE6CA">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5A7EAD1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7．等待专家评审：评审期间，可能需要对评审专家提出的问题进行澄清或答复。在主持人宣布评审结束前，供应商请勿擅自离席，否则由此造成的不利后果，由供应商自行承担。</w:t>
      </w:r>
    </w:p>
    <w:p w14:paraId="4560586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8．中标供应商注册：按照陕西省政府采购监管部门的要求，采购代理机构在发布中标公告前，应由中标供应商在陕西省政府采购网上完成注册。</w:t>
      </w:r>
    </w:p>
    <w:p w14:paraId="73F46CB2">
      <w:pPr>
        <w:pStyle w:val="100"/>
        <w:ind w:firstLine="499"/>
        <w:rPr>
          <w:rFonts w:ascii="宋体" w:hAnsi="宋体" w:cs="宋体"/>
          <w:b/>
          <w:bCs/>
          <w:color w:val="auto"/>
          <w:highlight w:val="none"/>
        </w:rPr>
      </w:pPr>
      <w:bookmarkStart w:id="22" w:name="_Toc18855"/>
      <w:r>
        <w:rPr>
          <w:rFonts w:hint="eastAsia" w:ascii="宋体" w:hAnsi="宋体" w:cs="宋体"/>
          <w:b/>
          <w:bCs/>
          <w:color w:val="auto"/>
          <w:highlight w:val="none"/>
        </w:rPr>
        <w:t>（二）关于询问、质疑和投诉</w:t>
      </w:r>
      <w:bookmarkEnd w:id="22"/>
    </w:p>
    <w:p w14:paraId="3F9602B1">
      <w:pPr>
        <w:pStyle w:val="100"/>
        <w:ind w:firstLine="497"/>
        <w:rPr>
          <w:rFonts w:ascii="宋体" w:hAnsi="宋体" w:cs="宋体"/>
          <w:color w:val="auto"/>
          <w:highlight w:val="none"/>
        </w:rPr>
      </w:pPr>
      <w:bookmarkStart w:id="23" w:name="_Toc25855"/>
      <w:r>
        <w:rPr>
          <w:rFonts w:hint="eastAsia" w:ascii="宋体" w:hAnsi="宋体" w:cs="宋体"/>
          <w:color w:val="auto"/>
          <w:highlight w:val="none"/>
        </w:rPr>
        <w:t>1．询问</w:t>
      </w:r>
      <w:bookmarkEnd w:id="23"/>
    </w:p>
    <w:p w14:paraId="7EAAB81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供应商对政府采购活动事项有疑问的，可以向采购人或采购代理机构提出询问。采购人或采购代理机构将在3个工作日内对供应商依法提出的询问作出答复。</w:t>
      </w:r>
    </w:p>
    <w:p w14:paraId="1265A8CD">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根据采购人和采购代理机构签订的《政府采购委托代理协议》，针对采购需求（包括采购内容、技术或服务要求、商务要求、合同条款、供应商资格条件、评审要素及分值一览表）的询问请向采购人提出。</w:t>
      </w:r>
    </w:p>
    <w:p w14:paraId="2DE75B28">
      <w:pPr>
        <w:pStyle w:val="100"/>
        <w:ind w:firstLine="497"/>
        <w:rPr>
          <w:rFonts w:ascii="宋体" w:hAnsi="宋体" w:cs="宋体"/>
          <w:color w:val="auto"/>
          <w:highlight w:val="none"/>
        </w:rPr>
      </w:pPr>
      <w:bookmarkStart w:id="24" w:name="_Toc7787"/>
      <w:r>
        <w:rPr>
          <w:rFonts w:hint="eastAsia" w:ascii="宋体" w:hAnsi="宋体" w:cs="宋体"/>
          <w:color w:val="auto"/>
          <w:highlight w:val="none"/>
        </w:rPr>
        <w:t>2．质疑</w:t>
      </w:r>
      <w:bookmarkEnd w:id="24"/>
    </w:p>
    <w:p w14:paraId="70A291B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（1）供应商认为采购文件、采购过程、成交结果使自己的权益受到损害的，可以在知道或应知其权益受到损害之日起7个工作日内以书面形式向采购人、采购代理机构提出。</w:t>
      </w:r>
    </w:p>
    <w:p w14:paraId="78C7E0C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（2）质疑方式：</w:t>
      </w:r>
    </w:p>
    <w:p w14:paraId="0C4C959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① 在线质疑：</w:t>
      </w:r>
    </w:p>
    <w:p w14:paraId="0305DA8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登录西安市公共资源交易平台〖首页·〉电子交易平台·〉企业端〗，在〖我的项目〗中点击“项目流程·〉提出质疑”，填写表单并提交质疑。</w:t>
      </w:r>
    </w:p>
    <w:p w14:paraId="1D1A2D2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② 书面质疑：</w:t>
      </w:r>
    </w:p>
    <w:p w14:paraId="655CCC8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书面质疑函应按照财政部国库司制定的《政府采购供应商质疑函范本》（见下方链接）进行填写，签字、盖章后提交至采购人、采购代理机构。</w:t>
      </w:r>
    </w:p>
    <w:p w14:paraId="0A18E482">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质疑函范本地址：</w:t>
      </w:r>
      <w:r>
        <w:rPr>
          <w:highlight w:val="none"/>
        </w:rPr>
        <w:fldChar w:fldCharType="begin"/>
      </w:r>
      <w:r>
        <w:rPr>
          <w:highlight w:val="none"/>
        </w:rPr>
        <w:instrText xml:space="preserve"> HYPERLINK "http://download.ccgp.gov.cn/2018/zhiyihanfanben.zip" </w:instrText>
      </w:r>
      <w:r>
        <w:rPr>
          <w:highlight w:val="none"/>
        </w:rPr>
        <w:fldChar w:fldCharType="separate"/>
      </w:r>
      <w:r>
        <w:rPr>
          <w:rStyle w:val="45"/>
          <w:rFonts w:hint="eastAsia" w:ascii="宋体" w:hAnsi="宋体" w:eastAsia="宋体" w:cs="宋体"/>
          <w:color w:val="auto"/>
          <w:highlight w:val="none"/>
          <w:u w:val="none"/>
        </w:rPr>
        <w:t>http://download.ccgp.gov.cn/2018/zhiyihanfanben.zip</w:t>
      </w:r>
      <w:r>
        <w:rPr>
          <w:rStyle w:val="45"/>
          <w:rFonts w:hint="eastAsia" w:ascii="宋体" w:hAnsi="宋体" w:eastAsia="宋体" w:cs="宋体"/>
          <w:color w:val="auto"/>
          <w:highlight w:val="none"/>
          <w:u w:val="none"/>
        </w:rPr>
        <w:fldChar w:fldCharType="end"/>
      </w:r>
    </w:p>
    <w:p w14:paraId="6C562FE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5C48227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（4）在法定质疑期内，针对同一采购程序环节的质疑应当一次性提出。采购人、采购代理机构将在收到书面质疑后7个工作日内做出答复，并以书面形式通知质疑人和其他有关供应商。</w:t>
      </w:r>
    </w:p>
    <w:p w14:paraId="69DEC57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（5）有下列情形之一的，属于无效质疑：</w:t>
      </w:r>
    </w:p>
    <w:p w14:paraId="5B435F90">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① 对采购文件提出质疑的质疑人不是依法获取采购文件的潜在供应商；对采购过程、中标结果提出质疑的质疑人不是参与本次政府采购项目的供应商；</w:t>
      </w:r>
    </w:p>
    <w:p w14:paraId="0B6A11F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② 超过法定期限或未以书面形式提出的；</w:t>
      </w:r>
    </w:p>
    <w:p w14:paraId="5004490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③ 缺乏必要的证明材料，或捏造事实、提供虚假材料，或以非法手段取得证明材料的；</w:t>
      </w:r>
    </w:p>
    <w:p w14:paraId="532796E9">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④ 质疑函没有合法有效的签字、盖章或委托授权书的（代理人提出质疑和投诉，应当提交供应商签署的授权委托书）；</w:t>
      </w:r>
    </w:p>
    <w:p w14:paraId="6D70740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⑤ 针对同一采购程序环节又提出其他质疑事项的，或质疑答复后就同一事项再次提出质疑的；</w:t>
      </w:r>
    </w:p>
    <w:p w14:paraId="27B86C6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⑥ 不符合法律、法规、规章和政府采购监管机构规定的其他条件的。</w:t>
      </w:r>
    </w:p>
    <w:p w14:paraId="3765B00C">
      <w:pPr>
        <w:pStyle w:val="100"/>
        <w:ind w:firstLine="497"/>
        <w:rPr>
          <w:rFonts w:ascii="宋体" w:hAnsi="宋体" w:cs="宋体"/>
          <w:color w:val="auto"/>
          <w:highlight w:val="none"/>
        </w:rPr>
      </w:pPr>
      <w:bookmarkStart w:id="25" w:name="_Toc26875"/>
      <w:r>
        <w:rPr>
          <w:rFonts w:hint="eastAsia" w:ascii="宋体" w:hAnsi="宋体" w:cs="宋体"/>
          <w:color w:val="auto"/>
          <w:highlight w:val="none"/>
        </w:rPr>
        <w:t>3．投诉</w:t>
      </w:r>
      <w:bookmarkEnd w:id="25"/>
    </w:p>
    <w:p w14:paraId="5C586D2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533BCFDD">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（2）供应商投诉的事项不得超出已质疑事项的范围。供应商提出投诉时，应当提交投诉书和必要的证明材料，并按财政部《投诉书范本》给定的格式进行填写。</w:t>
      </w:r>
    </w:p>
    <w:p w14:paraId="31DCFBD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投诉书范本地址：</w:t>
      </w:r>
    </w:p>
    <w:p w14:paraId="28D21F26">
      <w:pPr>
        <w:spacing w:line="560" w:lineRule="exact"/>
        <w:ind w:firstLine="496" w:firstLineChars="200"/>
        <w:jc w:val="both"/>
        <w:rPr>
          <w:rFonts w:ascii="宋体" w:hAnsi="宋体" w:eastAsia="宋体" w:cs="宋体"/>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Style w:val="45"/>
          <w:rFonts w:hint="eastAsia" w:ascii="宋体" w:hAnsi="宋体" w:eastAsia="宋体" w:cs="宋体"/>
          <w:color w:val="auto"/>
          <w:highlight w:val="none"/>
        </w:rPr>
        <w:t>http://download.ccgp.gov.cn/2018/tousushufanben.zip</w:t>
      </w:r>
      <w:r>
        <w:rPr>
          <w:rStyle w:val="45"/>
          <w:rFonts w:hint="eastAsia" w:ascii="宋体" w:hAnsi="宋体" w:eastAsia="宋体" w:cs="宋体"/>
          <w:color w:val="auto"/>
          <w:highlight w:val="none"/>
        </w:rPr>
        <w:fldChar w:fldCharType="end"/>
      </w:r>
    </w:p>
    <w:p w14:paraId="4600A7F2">
      <w:pPr>
        <w:pStyle w:val="100"/>
        <w:ind w:firstLine="497"/>
        <w:rPr>
          <w:rFonts w:ascii="宋体" w:hAnsi="宋体" w:cs="宋体"/>
          <w:color w:val="auto"/>
          <w:highlight w:val="none"/>
        </w:rPr>
      </w:pPr>
      <w:bookmarkStart w:id="26" w:name="_Toc6468"/>
      <w:r>
        <w:rPr>
          <w:rFonts w:hint="eastAsia" w:ascii="宋体" w:hAnsi="宋体" w:cs="宋体"/>
          <w:color w:val="auto"/>
          <w:highlight w:val="none"/>
        </w:rPr>
        <w:t>4．恶意质疑、投诉的法律后果</w:t>
      </w:r>
      <w:bookmarkEnd w:id="26"/>
    </w:p>
    <w:p w14:paraId="7693DE7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（1）对捏造事实、提供虚假材料进行质疑、投诉的行为予以严肃处理：</w:t>
      </w:r>
    </w:p>
    <w:p w14:paraId="1E624C1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1680E7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（2）对捏造事实诬告陷害他人、诽谤他人的法律适用：</w:t>
      </w:r>
    </w:p>
    <w:p w14:paraId="515657E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4E3F7CC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《中华人民共和国刑法》第246条【侮辱罪、诽谤罪】以暴力或者其他方法公然侮辱他人或者捏造事实诽谤他人，情节严重的，处三年以下有期徒刑、拘役、管制或者剥夺政治权利。</w:t>
      </w:r>
    </w:p>
    <w:p w14:paraId="1EF0B744">
      <w:pPr>
        <w:pStyle w:val="100"/>
        <w:ind w:firstLine="499"/>
        <w:rPr>
          <w:rFonts w:ascii="宋体" w:hAnsi="宋体" w:cs="宋体"/>
          <w:b/>
          <w:bCs/>
          <w:color w:val="auto"/>
          <w:highlight w:val="none"/>
        </w:rPr>
      </w:pPr>
      <w:bookmarkStart w:id="27" w:name="_Toc15150"/>
      <w:r>
        <w:rPr>
          <w:rFonts w:hint="eastAsia" w:ascii="宋体" w:hAnsi="宋体" w:cs="宋体"/>
          <w:b/>
          <w:bCs/>
          <w:color w:val="auto"/>
          <w:highlight w:val="none"/>
        </w:rPr>
        <w:t>（三）关于保证金</w:t>
      </w:r>
      <w:bookmarkEnd w:id="27"/>
    </w:p>
    <w:p w14:paraId="10075503">
      <w:pPr>
        <w:pStyle w:val="100"/>
        <w:ind w:firstLine="497"/>
        <w:rPr>
          <w:rFonts w:ascii="宋体" w:hAnsi="宋体" w:cs="宋体"/>
          <w:color w:val="auto"/>
          <w:highlight w:val="none"/>
        </w:rPr>
      </w:pPr>
      <w:bookmarkStart w:id="28" w:name="_Toc21776"/>
      <w:r>
        <w:rPr>
          <w:rFonts w:hint="eastAsia" w:ascii="宋体" w:hAnsi="宋体" w:cs="宋体"/>
          <w:color w:val="auto"/>
          <w:highlight w:val="none"/>
        </w:rPr>
        <w:t>1．西安市政府采购信用担保及信用融资政策</w:t>
      </w:r>
      <w:bookmarkEnd w:id="28"/>
    </w:p>
    <w:p w14:paraId="0E16E0E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7E05510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6E33B5C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《实施方案》链接地址：</w:t>
      </w:r>
    </w:p>
    <w:p w14:paraId="09D7F64D">
      <w:pPr>
        <w:spacing w:line="560" w:lineRule="exact"/>
        <w:ind w:firstLine="496" w:firstLineChars="200"/>
        <w:jc w:val="both"/>
        <w:rPr>
          <w:rFonts w:ascii="宋体" w:hAnsi="宋体" w:eastAsia="宋体" w:cs="宋体"/>
          <w:highlight w:val="none"/>
        </w:rPr>
      </w:pPr>
      <w:r>
        <w:rPr>
          <w:highlight w:val="none"/>
        </w:rPr>
        <w:fldChar w:fldCharType="begin"/>
      </w:r>
      <w:r>
        <w:rPr>
          <w:highlight w:val="none"/>
        </w:rPr>
        <w:instrText xml:space="preserve"> HYPERLINK "http://xaczj.xa.gov.cn/zfcg/cgfg/5db90552fd850863a9e4594d.html" </w:instrText>
      </w:r>
      <w:r>
        <w:rPr>
          <w:highlight w:val="none"/>
        </w:rPr>
        <w:fldChar w:fldCharType="separate"/>
      </w:r>
      <w:r>
        <w:rPr>
          <w:rStyle w:val="45"/>
          <w:rFonts w:hint="eastAsia" w:ascii="宋体" w:hAnsi="宋体" w:eastAsia="宋体" w:cs="宋体"/>
          <w:color w:val="auto"/>
          <w:highlight w:val="none"/>
          <w:u w:val="none"/>
        </w:rPr>
        <w:t>http://xaczj.xa.gov.cn/zfcg/cgfg/5db90552fd850863a9e4594d.html</w:t>
      </w:r>
      <w:r>
        <w:rPr>
          <w:rStyle w:val="45"/>
          <w:rFonts w:hint="eastAsia" w:ascii="宋体" w:hAnsi="宋体" w:eastAsia="宋体" w:cs="宋体"/>
          <w:color w:val="auto"/>
          <w:highlight w:val="none"/>
          <w:u w:val="none"/>
        </w:rPr>
        <w:fldChar w:fldCharType="end"/>
      </w:r>
    </w:p>
    <w:p w14:paraId="326FBC5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《合作机构名单》链接地址：</w:t>
      </w:r>
    </w:p>
    <w:p w14:paraId="7AE1AA36">
      <w:pPr>
        <w:spacing w:line="560" w:lineRule="exact"/>
        <w:ind w:firstLine="496" w:firstLineChars="200"/>
        <w:jc w:val="both"/>
        <w:rPr>
          <w:rFonts w:ascii="宋体" w:hAnsi="宋体" w:eastAsia="宋体" w:cs="宋体"/>
          <w:highlight w:val="none"/>
        </w:rPr>
      </w:pPr>
      <w:r>
        <w:rPr>
          <w:highlight w:val="none"/>
        </w:rPr>
        <w:fldChar w:fldCharType="begin"/>
      </w:r>
      <w:r>
        <w:rPr>
          <w:highlight w:val="none"/>
        </w:rPr>
        <w:instrText xml:space="preserve"> HYPERLINK "http://xaczj.xa.gov.cn/zfcg/cgfg/5db9054565cbd804f69e97e0.html" </w:instrText>
      </w:r>
      <w:r>
        <w:rPr>
          <w:highlight w:val="none"/>
        </w:rPr>
        <w:fldChar w:fldCharType="separate"/>
      </w:r>
      <w:r>
        <w:rPr>
          <w:rStyle w:val="45"/>
          <w:rFonts w:hint="eastAsia" w:ascii="宋体" w:hAnsi="宋体" w:eastAsia="宋体" w:cs="宋体"/>
          <w:color w:val="auto"/>
          <w:highlight w:val="none"/>
          <w:u w:val="none"/>
        </w:rPr>
        <w:t>http://xaczj.xa.gov.cn/zfcg/cgfg/5db9054565cbd804f69e97e0.html</w:t>
      </w:r>
      <w:r>
        <w:rPr>
          <w:rStyle w:val="45"/>
          <w:rFonts w:hint="eastAsia" w:ascii="宋体" w:hAnsi="宋体" w:eastAsia="宋体" w:cs="宋体"/>
          <w:color w:val="auto"/>
          <w:highlight w:val="none"/>
          <w:u w:val="none"/>
        </w:rPr>
        <w:fldChar w:fldCharType="end"/>
      </w:r>
    </w:p>
    <w:p w14:paraId="3ED5EF75">
      <w:pPr>
        <w:pStyle w:val="100"/>
        <w:ind w:firstLine="497"/>
        <w:rPr>
          <w:rFonts w:ascii="宋体" w:hAnsi="宋体" w:cs="宋体"/>
          <w:color w:val="auto"/>
          <w:highlight w:val="none"/>
        </w:rPr>
      </w:pPr>
      <w:bookmarkStart w:id="29" w:name="_Toc184"/>
      <w:r>
        <w:rPr>
          <w:rFonts w:hint="eastAsia" w:ascii="宋体" w:hAnsi="宋体" w:cs="宋体"/>
          <w:color w:val="auto"/>
          <w:highlight w:val="none"/>
        </w:rPr>
        <w:t>2．投标保证金</w:t>
      </w:r>
      <w:bookmarkEnd w:id="29"/>
    </w:p>
    <w:p w14:paraId="2DC0066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按照西安市财政局《关于促进政府采购公平竞争优化营商环境的通知》第三条规定，供应商参与西安市政府采购活动时，免交投标保证金。</w:t>
      </w:r>
    </w:p>
    <w:p w14:paraId="07B39CCF">
      <w:pPr>
        <w:pStyle w:val="100"/>
        <w:ind w:firstLine="497"/>
        <w:rPr>
          <w:rFonts w:ascii="宋体" w:hAnsi="宋体" w:cs="宋体"/>
          <w:color w:val="auto"/>
          <w:highlight w:val="none"/>
        </w:rPr>
      </w:pPr>
      <w:bookmarkStart w:id="30" w:name="_Toc26947"/>
      <w:r>
        <w:rPr>
          <w:rFonts w:hint="eastAsia" w:ascii="宋体" w:hAnsi="宋体" w:cs="宋体"/>
          <w:color w:val="auto"/>
          <w:highlight w:val="none"/>
        </w:rPr>
        <w:t>3．履约保证金</w:t>
      </w:r>
      <w:bookmarkEnd w:id="30"/>
    </w:p>
    <w:p w14:paraId="16059E5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无</w:t>
      </w:r>
    </w:p>
    <w:p w14:paraId="1A9FF0D3">
      <w:pPr>
        <w:pStyle w:val="100"/>
        <w:ind w:firstLine="499"/>
        <w:rPr>
          <w:rFonts w:ascii="宋体" w:hAnsi="宋体" w:cs="宋体"/>
          <w:b/>
          <w:bCs/>
          <w:color w:val="auto"/>
          <w:highlight w:val="none"/>
        </w:rPr>
      </w:pPr>
      <w:bookmarkStart w:id="31" w:name="_Toc9929"/>
      <w:r>
        <w:rPr>
          <w:rFonts w:hint="eastAsia" w:ascii="宋体" w:hAnsi="宋体" w:cs="宋体"/>
          <w:b/>
          <w:bCs/>
          <w:color w:val="auto"/>
          <w:highlight w:val="none"/>
        </w:rPr>
        <w:t>（四）关于联合体</w:t>
      </w:r>
      <w:bookmarkEnd w:id="31"/>
    </w:p>
    <w:p w14:paraId="63DCA6B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1ABAB4F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56F8705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123DDF6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4．供应商以联合体形式参加政府采购活动时，遵循以下规则：</w:t>
      </w:r>
    </w:p>
    <w:p w14:paraId="56F8761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218A89E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16C12BE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③ 采用资格前审的项目，联合体应当在提交资格前审申请文件前组成。资格前审后联合体不得增减、更换成员。</w:t>
      </w:r>
    </w:p>
    <w:p w14:paraId="320E897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④ 资格审查阶段，采购人将对所有联合体成员进行信用记录查询，联合体成员存在不良信用记录的，视同联合体存在不良信用记录。</w:t>
      </w:r>
    </w:p>
    <w:p w14:paraId="2B723A2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⑤ 招标文件要求供应商交纳保证金的，可以由联合体中的一方或者多方共同交纳保证金，其交纳的保证金对联合体各方均具有约束力。</w:t>
      </w:r>
    </w:p>
    <w:p w14:paraId="758DD830">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⑥ 招标文件要求供应商提供履约人员和设备情况的，联合体各方均应提供，以说明其作为独立供应商所具有的能有效执行合同的能力和资源。</w:t>
      </w:r>
    </w:p>
    <w:p w14:paraId="137DCAC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⑦ 招标文件要求供应商提供同类或类似项目业绩的，联合体各方符合招标文件要求的同类或类似业绩可以累计，但联合体一方或多方共同参与的同一业绩不重复计算。</w:t>
      </w:r>
    </w:p>
    <w:p w14:paraId="47D73ED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5BC31B20">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⑨ 对采购项目提出投诉时，应当由组成联合体的所有供应商共同提出。</w:t>
      </w:r>
    </w:p>
    <w:p w14:paraId="43FCD1F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（5）联合体出现下列情形之一的，联合体投标无效：</w:t>
      </w:r>
    </w:p>
    <w:p w14:paraId="1BCD163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① 没有提交有效的联合体协议的；</w:t>
      </w:r>
    </w:p>
    <w:p w14:paraId="21F7F22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② 组成联合体的大中型企业和其他自然人、法人或者其他组织，与小型、微型企业之间存在投资关系的；</w:t>
      </w:r>
    </w:p>
    <w:p w14:paraId="60E0C71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③ 联合体协议签订后，联合体成员单独参加或者与其他供应商另外组成联合体参加同一合同项下的政府采购活动的；</w:t>
      </w:r>
    </w:p>
    <w:p w14:paraId="187858F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④ 资格前审后联合体增减、更换成员的；</w:t>
      </w:r>
    </w:p>
    <w:p w14:paraId="04F36A4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⑤ 联合体成员因存在不良信用记录，被拒绝其参与政府采购活动的。</w:t>
      </w:r>
    </w:p>
    <w:p w14:paraId="77B7B73E">
      <w:pPr>
        <w:pStyle w:val="100"/>
        <w:spacing w:before="197" w:beforeLines="50"/>
        <w:ind w:firstLine="499"/>
        <w:rPr>
          <w:rFonts w:ascii="宋体" w:hAnsi="宋体" w:cs="宋体"/>
          <w:b/>
          <w:bCs/>
          <w:color w:val="auto"/>
          <w:highlight w:val="none"/>
        </w:rPr>
      </w:pPr>
      <w:bookmarkStart w:id="32" w:name="_Toc7087"/>
      <w:r>
        <w:rPr>
          <w:rFonts w:hint="eastAsia" w:ascii="宋体" w:hAnsi="宋体" w:cs="宋体"/>
          <w:b/>
          <w:bCs/>
          <w:color w:val="auto"/>
          <w:highlight w:val="none"/>
        </w:rPr>
        <w:t>（五）关于进口产品</w:t>
      </w:r>
      <w:bookmarkEnd w:id="32"/>
    </w:p>
    <w:p w14:paraId="05CCFC2A">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5E6C8D6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1BF1214E">
      <w:pPr>
        <w:pStyle w:val="100"/>
        <w:spacing w:before="197" w:beforeLines="50"/>
        <w:ind w:firstLine="499"/>
        <w:rPr>
          <w:rFonts w:ascii="宋体" w:hAnsi="宋体" w:cs="宋体"/>
          <w:b/>
          <w:bCs/>
          <w:color w:val="auto"/>
          <w:highlight w:val="none"/>
        </w:rPr>
      </w:pPr>
      <w:bookmarkStart w:id="33" w:name="_Toc15301"/>
      <w:r>
        <w:rPr>
          <w:rFonts w:hint="eastAsia" w:ascii="宋体" w:hAnsi="宋体" w:cs="宋体"/>
          <w:b/>
          <w:bCs/>
          <w:color w:val="auto"/>
          <w:highlight w:val="none"/>
        </w:rPr>
        <w:t>（六）关于政府采购政策</w:t>
      </w:r>
      <w:bookmarkEnd w:id="33"/>
    </w:p>
    <w:p w14:paraId="55BA7AAF">
      <w:pPr>
        <w:pStyle w:val="100"/>
        <w:ind w:firstLine="0" w:firstLineChars="0"/>
        <w:rPr>
          <w:rFonts w:ascii="宋体" w:hAnsi="宋体" w:cs="宋体"/>
          <w:color w:val="auto"/>
          <w:highlight w:val="none"/>
        </w:rPr>
      </w:pPr>
      <w:bookmarkStart w:id="34" w:name="_Toc2460"/>
      <w:r>
        <w:rPr>
          <w:rFonts w:hint="eastAsia" w:ascii="宋体" w:hAnsi="宋体" w:cs="宋体"/>
          <w:color w:val="auto"/>
          <w:highlight w:val="none"/>
        </w:rPr>
        <w:t>1．对中小企业、监狱企业、残疾人福利性单位的优惠政策</w:t>
      </w:r>
      <w:bookmarkEnd w:id="34"/>
    </w:p>
    <w:p w14:paraId="01A4DA2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根据《政府采购促进中小企业发展管理办法》（财库〔2020〕46号）及《财政部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6301847A">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（2）根据财政部、司法部联合下发的《关于政府采购支持监狱企业发展有关问题的通知》（财库〔2014〕68号）的规定，监狱企业视同小型、微型企业。</w:t>
      </w:r>
    </w:p>
    <w:p w14:paraId="22FE28B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2DF99F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4D53FF76">
      <w:pPr>
        <w:pStyle w:val="100"/>
        <w:ind w:firstLine="0" w:firstLineChars="0"/>
        <w:rPr>
          <w:rFonts w:ascii="宋体" w:hAnsi="宋体" w:cs="宋体"/>
          <w:color w:val="auto"/>
          <w:highlight w:val="none"/>
        </w:rPr>
      </w:pPr>
      <w:bookmarkStart w:id="35" w:name="_Toc22143"/>
      <w:r>
        <w:rPr>
          <w:rFonts w:hint="eastAsia" w:ascii="宋体" w:hAnsi="宋体" w:cs="宋体"/>
          <w:color w:val="auto"/>
          <w:highlight w:val="none"/>
        </w:rPr>
        <w:t>2．节能、环保产品采购政策</w:t>
      </w:r>
      <w:bookmarkEnd w:id="35"/>
    </w:p>
    <w:p w14:paraId="331C7ED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5D3EE88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71FE4CD">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（3）《节能产品政府采购品目清单》见财政部、发展改革委《关于印发节能产品政府采购品目清单的通知》（财库〔2019〕19号）附件。</w:t>
      </w:r>
    </w:p>
    <w:p w14:paraId="25BB8B19">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（4）《环境标志产品政府采购品目清单》见财政部、生态环境部《关于印发环境标志产品政府采购品目清单的通知》（财库〔2019〕18号）附件。</w:t>
      </w:r>
    </w:p>
    <w:p w14:paraId="076440F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（5）“国家确定的认证机构”名单见市场监管总局《关于发布参与实施政府采购节能产品、环境标志产品认证机构名录的公告》（2019年第16号）。</w:t>
      </w:r>
    </w:p>
    <w:p w14:paraId="5040AA23">
      <w:pPr>
        <w:pStyle w:val="100"/>
        <w:ind w:firstLine="497"/>
        <w:rPr>
          <w:rFonts w:ascii="宋体" w:hAnsi="宋体" w:cs="宋体"/>
          <w:color w:val="auto"/>
          <w:highlight w:val="none"/>
        </w:rPr>
      </w:pPr>
      <w:bookmarkStart w:id="36" w:name="_Toc19090"/>
      <w:r>
        <w:rPr>
          <w:rFonts w:hint="eastAsia" w:ascii="宋体" w:hAnsi="宋体" w:cs="宋体"/>
          <w:color w:val="auto"/>
          <w:highlight w:val="none"/>
        </w:rPr>
        <w:t>3．陕西省中小企业政府采购信用融资办法</w:t>
      </w:r>
      <w:bookmarkEnd w:id="36"/>
    </w:p>
    <w:p w14:paraId="73C2452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5F416410">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链接地址：</w:t>
      </w:r>
      <w:r>
        <w:rPr>
          <w:highlight w:val="none"/>
        </w:rPr>
        <w:fldChar w:fldCharType="begin"/>
      </w:r>
      <w:r>
        <w:rPr>
          <w:highlight w:val="none"/>
        </w:rPr>
        <w:instrText xml:space="preserve"> HYPERLINK "http://www.ccgp-shaanxi.gov.cn/zcdservice/zcd/shanxi/article/zcdt/1390497710741917696" </w:instrText>
      </w:r>
      <w:r>
        <w:rPr>
          <w:highlight w:val="none"/>
        </w:rPr>
        <w:fldChar w:fldCharType="separate"/>
      </w:r>
      <w:r>
        <w:rPr>
          <w:rStyle w:val="45"/>
          <w:rFonts w:hint="eastAsia" w:ascii="宋体" w:hAnsi="宋体" w:eastAsia="宋体" w:cs="宋体"/>
          <w:color w:val="auto"/>
          <w:highlight w:val="none"/>
          <w:u w:val="none"/>
        </w:rPr>
        <w:t>http://www.ccgp-shaanxi.gov.cn/zcdservice/zcd/shanxi/article/zcdt/1390497710741917696</w:t>
      </w:r>
      <w:r>
        <w:rPr>
          <w:rStyle w:val="45"/>
          <w:rFonts w:hint="eastAsia" w:ascii="宋体" w:hAnsi="宋体" w:eastAsia="宋体" w:cs="宋体"/>
          <w:color w:val="auto"/>
          <w:highlight w:val="none"/>
          <w:u w:val="none"/>
        </w:rPr>
        <w:fldChar w:fldCharType="end"/>
      </w:r>
    </w:p>
    <w:p w14:paraId="4B0B6875">
      <w:pPr>
        <w:pStyle w:val="100"/>
        <w:spacing w:before="197" w:beforeLines="50"/>
        <w:ind w:firstLine="499"/>
        <w:rPr>
          <w:rFonts w:ascii="宋体" w:hAnsi="宋体" w:cs="宋体"/>
          <w:b/>
          <w:bCs/>
          <w:color w:val="auto"/>
          <w:highlight w:val="none"/>
        </w:rPr>
      </w:pPr>
      <w:bookmarkStart w:id="37" w:name="_Toc9302"/>
      <w:r>
        <w:rPr>
          <w:rFonts w:hint="eastAsia" w:ascii="宋体" w:hAnsi="宋体" w:cs="宋体"/>
          <w:b/>
          <w:bCs/>
          <w:color w:val="auto"/>
          <w:highlight w:val="none"/>
        </w:rPr>
        <w:t>（七）关于现场踏勘和集中答疑</w:t>
      </w:r>
      <w:bookmarkEnd w:id="37"/>
    </w:p>
    <w:p w14:paraId="0EDAD19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1EE5A92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6556DED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凡未参加现场踏勘和集中答疑的供应商，由此带来的不利后果由该供应商自行承担。</w:t>
      </w:r>
    </w:p>
    <w:p w14:paraId="03E83FE2">
      <w:pPr>
        <w:pStyle w:val="100"/>
        <w:ind w:firstLine="499"/>
        <w:rPr>
          <w:rFonts w:ascii="宋体" w:hAnsi="宋体" w:cs="宋体"/>
          <w:b/>
          <w:bCs/>
          <w:color w:val="auto"/>
          <w:highlight w:val="none"/>
        </w:rPr>
      </w:pPr>
      <w:bookmarkStart w:id="38" w:name="_Toc25219"/>
      <w:r>
        <w:rPr>
          <w:rFonts w:hint="eastAsia" w:ascii="宋体" w:hAnsi="宋体" w:cs="宋体"/>
          <w:b/>
          <w:bCs/>
          <w:color w:val="auto"/>
          <w:highlight w:val="none"/>
        </w:rPr>
        <w:t>（八）关于同一品牌产品的处理</w:t>
      </w:r>
      <w:bookmarkEnd w:id="38"/>
    </w:p>
    <w:p w14:paraId="5639374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7303B52D">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63CF0C30">
      <w:pPr>
        <w:pStyle w:val="100"/>
        <w:spacing w:before="197" w:beforeLines="50"/>
        <w:ind w:firstLine="499"/>
        <w:rPr>
          <w:rFonts w:ascii="宋体" w:hAnsi="宋体" w:cs="宋体"/>
          <w:b/>
          <w:bCs/>
          <w:color w:val="auto"/>
          <w:highlight w:val="none"/>
        </w:rPr>
      </w:pPr>
      <w:bookmarkStart w:id="39" w:name="_Toc15678"/>
      <w:r>
        <w:rPr>
          <w:rFonts w:hint="eastAsia" w:ascii="宋体" w:hAnsi="宋体" w:cs="宋体"/>
          <w:b/>
          <w:bCs/>
          <w:color w:val="auto"/>
          <w:highlight w:val="none"/>
        </w:rPr>
        <w:t>（九）关于知识产权和保密事项</w:t>
      </w:r>
      <w:bookmarkEnd w:id="39"/>
    </w:p>
    <w:p w14:paraId="44E194DA">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1．所有涉及知识产权的产品及设计，供应商必须确保委托人、采购人拥有其合法的、不受限制的无偿使用权，并免受任何侵权诉讼或索偿；否则，由此产生的一切经济损失和法律责任由供应商承担。</w:t>
      </w:r>
    </w:p>
    <w:p w14:paraId="3746494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14:paraId="3C9AE711">
      <w:pPr>
        <w:pStyle w:val="100"/>
        <w:spacing w:before="197" w:beforeLines="50"/>
        <w:ind w:left="124" w:leftChars="50" w:firstLine="499"/>
        <w:rPr>
          <w:rFonts w:ascii="宋体" w:hAnsi="宋体" w:cs="宋体"/>
          <w:b/>
          <w:bCs/>
          <w:color w:val="auto"/>
          <w:highlight w:val="none"/>
        </w:rPr>
      </w:pPr>
      <w:bookmarkStart w:id="40" w:name="_Toc17978"/>
      <w:r>
        <w:rPr>
          <w:rFonts w:hint="eastAsia" w:ascii="宋体" w:hAnsi="宋体" w:cs="宋体"/>
          <w:b/>
          <w:bCs/>
          <w:color w:val="auto"/>
          <w:highlight w:val="none"/>
        </w:rPr>
        <w:t>（十）关于信用记录的查询和使用</w:t>
      </w:r>
      <w:bookmarkEnd w:id="40"/>
    </w:p>
    <w:p w14:paraId="1CBA88C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1．根据财政部《关于在政府采购活动中查询及使用信用记录有关问题的通知》（财库〔2016〕125号）第二条有关要求，采购人将在资格审查阶段通过【信用中国】（</w:t>
      </w:r>
      <w:r>
        <w:rPr>
          <w:rFonts w:hint="eastAsia"/>
          <w:highlight w:val="none"/>
        </w:rPr>
        <w:fldChar w:fldCharType="begin"/>
      </w:r>
      <w:r>
        <w:rPr>
          <w:rFonts w:hint="eastAsia" w:ascii="宋体" w:hAnsi="宋体" w:eastAsia="宋体" w:cs="宋体"/>
          <w:highlight w:val="none"/>
        </w:rPr>
        <w:instrText xml:space="preserve"> HYPERLINK "https://www.creditchina.gov.cn" </w:instrText>
      </w:r>
      <w:r>
        <w:rPr>
          <w:rFonts w:hint="eastAsia"/>
          <w:highlight w:val="none"/>
        </w:rPr>
        <w:fldChar w:fldCharType="separate"/>
      </w:r>
      <w:r>
        <w:rPr>
          <w:rStyle w:val="45"/>
          <w:rFonts w:hint="eastAsia" w:ascii="宋体" w:hAnsi="宋体" w:eastAsia="宋体" w:cs="宋体"/>
          <w:color w:val="auto"/>
          <w:highlight w:val="none"/>
          <w:u w:val="none"/>
        </w:rPr>
        <w:t>https://www.creditchina.gov.cn</w:t>
      </w:r>
      <w:r>
        <w:rPr>
          <w:rStyle w:val="45"/>
          <w:rFonts w:hint="eastAsia" w:ascii="宋体" w:hAnsi="宋体" w:eastAsia="宋体" w:cs="宋体"/>
          <w:color w:val="auto"/>
          <w:highlight w:val="none"/>
          <w:u w:val="none"/>
        </w:rPr>
        <w:fldChar w:fldCharType="end"/>
      </w:r>
      <w:r>
        <w:rPr>
          <w:rFonts w:hint="eastAsia" w:ascii="宋体" w:hAnsi="宋体" w:eastAsia="宋体" w:cs="宋体"/>
          <w:highlight w:val="none"/>
        </w:rPr>
        <w:t>/）和【中国政府采购网】（</w:t>
      </w:r>
      <w:r>
        <w:rPr>
          <w:rFonts w:hint="eastAsia"/>
          <w:highlight w:val="none"/>
        </w:rPr>
        <w:fldChar w:fldCharType="begin"/>
      </w:r>
      <w:r>
        <w:rPr>
          <w:rFonts w:hint="eastAsia" w:ascii="宋体" w:hAnsi="宋体" w:eastAsia="宋体" w:cs="宋体"/>
          <w:highlight w:val="none"/>
        </w:rPr>
        <w:instrText xml:space="preserve"> HYPERLINK "http://www.ccgp.gov.cn/" </w:instrText>
      </w:r>
      <w:r>
        <w:rPr>
          <w:rFonts w:hint="eastAsia"/>
          <w:highlight w:val="none"/>
        </w:rPr>
        <w:fldChar w:fldCharType="separate"/>
      </w:r>
      <w:r>
        <w:rPr>
          <w:rStyle w:val="45"/>
          <w:rFonts w:hint="eastAsia" w:ascii="宋体" w:hAnsi="宋体" w:eastAsia="宋体" w:cs="宋体"/>
          <w:color w:val="auto"/>
          <w:highlight w:val="none"/>
          <w:u w:val="none"/>
        </w:rPr>
        <w:t>http://www.ccgp.gov.cn/）</w:t>
      </w:r>
      <w:r>
        <w:rPr>
          <w:rStyle w:val="45"/>
          <w:rFonts w:hint="eastAsia" w:ascii="宋体" w:hAnsi="宋体" w:eastAsia="宋体" w:cs="宋体"/>
          <w:color w:val="auto"/>
          <w:highlight w:val="none"/>
          <w:u w:val="none"/>
        </w:rPr>
        <w:fldChar w:fldCharType="end"/>
      </w:r>
      <w:r>
        <w:rPr>
          <w:rFonts w:hint="eastAsia" w:ascii="宋体" w:hAnsi="宋体" w:eastAsia="宋体" w:cs="宋体"/>
          <w:highlight w:val="none"/>
        </w:rPr>
        <w:t>对供应商的信用情况进行甄别。</w:t>
      </w:r>
    </w:p>
    <w:p w14:paraId="7E6B451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2．对列入失信被执行人、重大税收违法案件当事人名单、政府采购严重违法失信行为记录名单及其他不符合《中华人民共和国政府采购法》第二十二条规定条件的供应商，将拒绝其参与政府采购活动。</w:t>
      </w:r>
    </w:p>
    <w:p w14:paraId="10393CA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3．供应商在参加政府采购活动前3年内因违法经营被禁止在一定期限内参加政府采购活动，期限届满的，可以参加政府采购活动的，但供应商应提供相关证明材料。</w:t>
      </w:r>
    </w:p>
    <w:p w14:paraId="731992BA">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4．信用记录查询结果打印后，将与其他采购文件一并保存。</w:t>
      </w:r>
    </w:p>
    <w:p w14:paraId="23D7A4D6">
      <w:pPr>
        <w:pStyle w:val="100"/>
        <w:spacing w:before="197" w:beforeLines="50"/>
        <w:ind w:firstLine="499"/>
        <w:rPr>
          <w:rFonts w:ascii="宋体" w:hAnsi="宋体" w:cs="宋体"/>
          <w:b/>
          <w:bCs/>
          <w:color w:val="auto"/>
          <w:highlight w:val="none"/>
        </w:rPr>
      </w:pPr>
      <w:bookmarkStart w:id="41" w:name="_Toc5362"/>
      <w:r>
        <w:rPr>
          <w:rFonts w:hint="eastAsia" w:ascii="宋体" w:hAnsi="宋体" w:cs="宋体"/>
          <w:b/>
          <w:bCs/>
          <w:color w:val="auto"/>
          <w:highlight w:val="none"/>
        </w:rPr>
        <w:t>（十一）其他重要事项</w:t>
      </w:r>
      <w:bookmarkEnd w:id="41"/>
    </w:p>
    <w:p w14:paraId="1B2DEB9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1．招标文件内所附网络链接仅供参考，不保证其长期有效性。</w:t>
      </w:r>
    </w:p>
    <w:p w14:paraId="6FE2F549">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2．供应商的投标费用自理；</w:t>
      </w:r>
    </w:p>
    <w:p w14:paraId="6AA3E16E">
      <w:pPr>
        <w:spacing w:line="560" w:lineRule="exact"/>
        <w:ind w:firstLine="496" w:firstLineChars="200"/>
        <w:jc w:val="both"/>
        <w:rPr>
          <w:rFonts w:ascii="宋体" w:hAnsi="宋体" w:eastAsia="宋体" w:cs="宋体"/>
          <w:highlight w:val="none"/>
          <w:lang w:bidi="ar"/>
        </w:rPr>
      </w:pPr>
      <w:r>
        <w:rPr>
          <w:rFonts w:hint="eastAsia" w:ascii="宋体" w:hAnsi="宋体" w:eastAsia="宋体" w:cs="宋体"/>
          <w:highlight w:val="none"/>
        </w:rPr>
        <w:t>3．</w:t>
      </w:r>
      <w:r>
        <w:rPr>
          <w:rFonts w:hint="eastAsia" w:ascii="宋体" w:hAnsi="宋体" w:eastAsia="宋体" w:cs="宋体"/>
          <w:highlight w:val="none"/>
          <w:lang w:bidi="ar"/>
        </w:rPr>
        <w:t>第</w:t>
      </w:r>
      <w:r>
        <w:rPr>
          <w:rFonts w:hint="eastAsia" w:ascii="宋体" w:hAnsi="宋体" w:eastAsia="宋体" w:cs="宋体"/>
          <w:highlight w:val="none"/>
          <w:lang w:eastAsia="zh-Hans" w:bidi="ar"/>
        </w:rPr>
        <w:t>二和第</w:t>
      </w:r>
      <w:r>
        <w:rPr>
          <w:rFonts w:hint="eastAsia" w:ascii="宋体" w:hAnsi="宋体" w:eastAsia="宋体" w:cs="宋体"/>
          <w:highlight w:val="none"/>
          <w:lang w:bidi="ar"/>
        </w:rPr>
        <w:t>三包兼投不兼中，评标委员会按第</w:t>
      </w:r>
      <w:r>
        <w:rPr>
          <w:rFonts w:hint="eastAsia" w:ascii="宋体" w:hAnsi="宋体" w:eastAsia="宋体" w:cs="宋体"/>
          <w:highlight w:val="none"/>
          <w:lang w:eastAsia="zh-Hans" w:bidi="ar"/>
        </w:rPr>
        <w:t>二</w:t>
      </w:r>
      <w:r>
        <w:rPr>
          <w:rFonts w:hint="eastAsia" w:ascii="宋体" w:hAnsi="宋体" w:eastAsia="宋体" w:cs="宋体"/>
          <w:highlight w:val="none"/>
          <w:lang w:bidi="ar"/>
        </w:rPr>
        <w:t>至第三包的顺序进行评审。若某投标人获得</w:t>
      </w:r>
      <w:r>
        <w:rPr>
          <w:rFonts w:hint="eastAsia" w:ascii="宋体" w:hAnsi="宋体" w:eastAsia="宋体" w:cs="宋体"/>
          <w:highlight w:val="none"/>
          <w:lang w:eastAsia="zh-Hans" w:bidi="ar"/>
        </w:rPr>
        <w:t>第二</w:t>
      </w:r>
      <w:r>
        <w:rPr>
          <w:rFonts w:hint="eastAsia" w:ascii="宋体" w:hAnsi="宋体" w:eastAsia="宋体" w:cs="宋体"/>
          <w:highlight w:val="none"/>
          <w:lang w:bidi="ar"/>
        </w:rPr>
        <w:t>包中标候选供应商第一名资格，则该投标人不入围</w:t>
      </w:r>
      <w:r>
        <w:rPr>
          <w:rFonts w:hint="eastAsia" w:ascii="宋体" w:hAnsi="宋体" w:eastAsia="宋体" w:cs="宋体"/>
          <w:highlight w:val="none"/>
          <w:lang w:eastAsia="zh-Hans" w:bidi="ar"/>
        </w:rPr>
        <w:t>第三</w:t>
      </w:r>
      <w:r>
        <w:rPr>
          <w:rFonts w:hint="eastAsia" w:ascii="宋体" w:hAnsi="宋体" w:eastAsia="宋体" w:cs="宋体"/>
          <w:highlight w:val="none"/>
          <w:lang w:bidi="ar"/>
        </w:rPr>
        <w:t>包的评标阶段。</w:t>
      </w:r>
    </w:p>
    <w:p w14:paraId="1155DF4D">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lang w:bidi="ar"/>
        </w:rPr>
        <w:t>第</w:t>
      </w:r>
      <w:r>
        <w:rPr>
          <w:rFonts w:hint="eastAsia" w:ascii="宋体" w:hAnsi="宋体" w:eastAsia="宋体" w:cs="宋体"/>
          <w:highlight w:val="none"/>
          <w:lang w:eastAsia="zh-Hans" w:bidi="ar"/>
        </w:rPr>
        <w:t>四和第五</w:t>
      </w:r>
      <w:r>
        <w:rPr>
          <w:rFonts w:hint="eastAsia" w:ascii="宋体" w:hAnsi="宋体" w:eastAsia="宋体" w:cs="宋体"/>
          <w:highlight w:val="none"/>
          <w:lang w:bidi="ar"/>
        </w:rPr>
        <w:t>包兼投不兼中，评标委员会按第</w:t>
      </w:r>
      <w:r>
        <w:rPr>
          <w:rFonts w:hint="eastAsia" w:ascii="宋体" w:hAnsi="宋体" w:eastAsia="宋体" w:cs="宋体"/>
          <w:highlight w:val="none"/>
          <w:lang w:eastAsia="zh-Hans" w:bidi="ar"/>
        </w:rPr>
        <w:t>四</w:t>
      </w:r>
      <w:r>
        <w:rPr>
          <w:rFonts w:hint="eastAsia" w:ascii="宋体" w:hAnsi="宋体" w:eastAsia="宋体" w:cs="宋体"/>
          <w:highlight w:val="none"/>
          <w:lang w:bidi="ar"/>
        </w:rPr>
        <w:t>至第</w:t>
      </w:r>
      <w:r>
        <w:rPr>
          <w:rFonts w:hint="eastAsia" w:ascii="宋体" w:hAnsi="宋体" w:eastAsia="宋体" w:cs="宋体"/>
          <w:highlight w:val="none"/>
          <w:lang w:eastAsia="zh-Hans" w:bidi="ar"/>
        </w:rPr>
        <w:t>五</w:t>
      </w:r>
      <w:r>
        <w:rPr>
          <w:rFonts w:hint="eastAsia" w:ascii="宋体" w:hAnsi="宋体" w:eastAsia="宋体" w:cs="宋体"/>
          <w:highlight w:val="none"/>
          <w:lang w:bidi="ar"/>
        </w:rPr>
        <w:t>包的顺序进行评审。若某投标人获得</w:t>
      </w:r>
      <w:r>
        <w:rPr>
          <w:rFonts w:hint="eastAsia" w:ascii="宋体" w:hAnsi="宋体" w:eastAsia="宋体" w:cs="宋体"/>
          <w:highlight w:val="none"/>
          <w:lang w:eastAsia="zh-Hans" w:bidi="ar"/>
        </w:rPr>
        <w:t>第四</w:t>
      </w:r>
      <w:r>
        <w:rPr>
          <w:rFonts w:hint="eastAsia" w:ascii="宋体" w:hAnsi="宋体" w:eastAsia="宋体" w:cs="宋体"/>
          <w:highlight w:val="none"/>
          <w:lang w:bidi="ar"/>
        </w:rPr>
        <w:t>包中标候选供应商第一名资格，则该投标人不入围</w:t>
      </w:r>
      <w:r>
        <w:rPr>
          <w:rFonts w:hint="eastAsia" w:ascii="宋体" w:hAnsi="宋体" w:eastAsia="宋体" w:cs="宋体"/>
          <w:highlight w:val="none"/>
          <w:lang w:eastAsia="zh-Hans" w:bidi="ar"/>
        </w:rPr>
        <w:t>第五</w:t>
      </w:r>
      <w:r>
        <w:rPr>
          <w:rFonts w:hint="eastAsia" w:ascii="宋体" w:hAnsi="宋体" w:eastAsia="宋体" w:cs="宋体"/>
          <w:highlight w:val="none"/>
          <w:lang w:bidi="ar"/>
        </w:rPr>
        <w:t>包的评标阶段。</w:t>
      </w:r>
    </w:p>
    <w:p w14:paraId="52B8FEFB">
      <w:pPr>
        <w:pStyle w:val="5"/>
        <w:rPr>
          <w:rFonts w:ascii="宋体" w:hAnsi="宋体" w:cs="宋体"/>
          <w:sz w:val="24"/>
          <w:szCs w:val="24"/>
          <w:highlight w:val="none"/>
        </w:rPr>
      </w:pPr>
      <w:bookmarkStart w:id="42" w:name="_Toc29173"/>
      <w:r>
        <w:rPr>
          <w:rFonts w:hint="eastAsia" w:ascii="宋体" w:hAnsi="宋体" w:cs="宋体"/>
          <w:sz w:val="24"/>
          <w:szCs w:val="24"/>
          <w:highlight w:val="none"/>
        </w:rPr>
        <w:t>三、招标文件</w:t>
      </w:r>
      <w:bookmarkEnd w:id="42"/>
    </w:p>
    <w:p w14:paraId="02785EC0">
      <w:pPr>
        <w:pStyle w:val="100"/>
        <w:ind w:firstLine="499"/>
        <w:rPr>
          <w:rFonts w:ascii="宋体" w:hAnsi="宋体" w:cs="宋体"/>
          <w:b/>
          <w:bCs/>
          <w:color w:val="auto"/>
          <w:highlight w:val="none"/>
        </w:rPr>
      </w:pPr>
      <w:bookmarkStart w:id="43" w:name="_Toc23274"/>
      <w:r>
        <w:rPr>
          <w:rFonts w:hint="eastAsia" w:ascii="宋体" w:hAnsi="宋体" w:cs="宋体"/>
          <w:b/>
          <w:bCs/>
          <w:color w:val="auto"/>
          <w:highlight w:val="none"/>
        </w:rPr>
        <w:t>（一）招标文件的解释权</w:t>
      </w:r>
      <w:bookmarkEnd w:id="43"/>
    </w:p>
    <w:p w14:paraId="28B46D4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本项目招标文件的解释权归采购代理机构，评标委员会成员应根据政府采购法律法规和招标文件所载明的评审方法、标准进行评审。</w:t>
      </w:r>
    </w:p>
    <w:p w14:paraId="356DB3BB">
      <w:pPr>
        <w:pStyle w:val="100"/>
        <w:ind w:firstLine="499"/>
        <w:rPr>
          <w:rFonts w:ascii="宋体" w:hAnsi="宋体" w:cs="宋体"/>
          <w:b/>
          <w:bCs/>
          <w:color w:val="auto"/>
          <w:highlight w:val="none"/>
        </w:rPr>
      </w:pPr>
      <w:bookmarkStart w:id="44" w:name="_Toc30024"/>
      <w:r>
        <w:rPr>
          <w:rFonts w:hint="eastAsia" w:ascii="宋体" w:hAnsi="宋体" w:cs="宋体"/>
          <w:b/>
          <w:bCs/>
          <w:color w:val="auto"/>
          <w:highlight w:val="none"/>
        </w:rPr>
        <w:t>（二）招标文件主要内容</w:t>
      </w:r>
      <w:bookmarkEnd w:id="44"/>
    </w:p>
    <w:p w14:paraId="7309A05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第1章  投标邀请函</w:t>
      </w:r>
    </w:p>
    <w:p w14:paraId="4937164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第2章  供应商须知</w:t>
      </w:r>
    </w:p>
    <w:p w14:paraId="41290D5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第3章  招标内容及要求</w:t>
      </w:r>
    </w:p>
    <w:p w14:paraId="5A5D80D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第4章  合同文本</w:t>
      </w:r>
    </w:p>
    <w:p w14:paraId="116EC8A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第5章  投标文件构成及格式</w:t>
      </w:r>
    </w:p>
    <w:p w14:paraId="69FFCA5C">
      <w:pPr>
        <w:pStyle w:val="100"/>
        <w:ind w:firstLine="499"/>
        <w:rPr>
          <w:rFonts w:ascii="宋体" w:hAnsi="宋体" w:cs="宋体"/>
          <w:b/>
          <w:bCs/>
          <w:color w:val="auto"/>
          <w:highlight w:val="none"/>
        </w:rPr>
      </w:pPr>
      <w:bookmarkStart w:id="45" w:name="_Toc26313"/>
      <w:r>
        <w:rPr>
          <w:rFonts w:hint="eastAsia" w:ascii="宋体" w:hAnsi="宋体" w:cs="宋体"/>
          <w:b/>
          <w:bCs/>
          <w:color w:val="auto"/>
          <w:highlight w:val="none"/>
        </w:rPr>
        <w:t>（三）招标文件的检查及阅读</w:t>
      </w:r>
      <w:bookmarkEnd w:id="45"/>
    </w:p>
    <w:p w14:paraId="005D92B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供应商应认真阅读和充分理解招标文件中所有的事项、格式条款和规范要求，在投标文件中对招标文件做出全面响 应，并按招标文件的要求提交全部资料。</w:t>
      </w:r>
    </w:p>
    <w:p w14:paraId="2862829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项目废标后重新组织招标的，采购代理机构将重新编制、发布新版招标文件，供应商应按新版招标文件重新编制投标文件。原招标文件及投标文件失效。</w:t>
      </w:r>
    </w:p>
    <w:p w14:paraId="10A7D411">
      <w:pPr>
        <w:pStyle w:val="100"/>
        <w:spacing w:before="197" w:beforeLines="50"/>
        <w:ind w:firstLine="499"/>
        <w:rPr>
          <w:rFonts w:ascii="宋体" w:hAnsi="宋体" w:cs="宋体"/>
          <w:b/>
          <w:bCs/>
          <w:color w:val="auto"/>
          <w:highlight w:val="none"/>
        </w:rPr>
      </w:pPr>
      <w:bookmarkStart w:id="46" w:name="_Toc5096"/>
      <w:r>
        <w:rPr>
          <w:rFonts w:hint="eastAsia" w:ascii="宋体" w:hAnsi="宋体" w:cs="宋体"/>
          <w:b/>
          <w:bCs/>
          <w:color w:val="auto"/>
          <w:highlight w:val="none"/>
        </w:rPr>
        <w:t>（四）招标文件的修改、澄清</w:t>
      </w:r>
      <w:bookmarkEnd w:id="46"/>
    </w:p>
    <w:p w14:paraId="71C34E70">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1．提交投标文件截止之日前，采购人或采购代理机构可能对已发出的招标文件进行澄清或者修改，澄清或者修改的内容为招标文件的组成部分。</w:t>
      </w:r>
    </w:p>
    <w:p w14:paraId="7B4E741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2．当需要澄清或修改时，采购代理机构将在提交投标文件截止之日15日前，在财政部门指定的“政府采购信息发布媒体”上发布变更公告；不足15日的，将顺延提交投标文件截止时间。</w:t>
      </w:r>
    </w:p>
    <w:p w14:paraId="1102B44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02C28BC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4．请各供应商在提交投标文件截止时间之前，务必随时关注“政府采购信息发布媒体”上发布的变更公告，采购代理机构不再另行通知，因供应商未及时关注所造成的一切后果由供应商自行承担：</w:t>
      </w:r>
    </w:p>
    <w:p w14:paraId="456EAA9F">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（1）【</w:t>
      </w:r>
      <w:r>
        <w:rPr>
          <w:rFonts w:hint="eastAsia"/>
          <w:highlight w:val="none"/>
        </w:rPr>
        <w:fldChar w:fldCharType="begin"/>
      </w:r>
      <w:r>
        <w:rPr>
          <w:rFonts w:hint="eastAsia" w:ascii="宋体" w:hAnsi="宋体" w:eastAsia="宋体" w:cs="宋体"/>
          <w:highlight w:val="none"/>
        </w:rPr>
        <w:instrText xml:space="preserve"> HYPERLINK "http://www.ccgp-shaanxi.gov.cn" </w:instrText>
      </w:r>
      <w:r>
        <w:rPr>
          <w:rFonts w:hint="eastAsia"/>
          <w:highlight w:val="none"/>
        </w:rPr>
        <w:fldChar w:fldCharType="separate"/>
      </w:r>
      <w:r>
        <w:rPr>
          <w:rStyle w:val="45"/>
          <w:rFonts w:hint="eastAsia" w:ascii="宋体" w:hAnsi="宋体" w:eastAsia="宋体" w:cs="宋体"/>
          <w:color w:val="auto"/>
          <w:highlight w:val="none"/>
          <w:u w:val="none"/>
        </w:rPr>
        <w:t>陕西省政府采购网</w:t>
      </w:r>
      <w:r>
        <w:rPr>
          <w:rStyle w:val="45"/>
          <w:rFonts w:hint="eastAsia" w:ascii="宋体" w:hAnsi="宋体" w:eastAsia="宋体" w:cs="宋体"/>
          <w:color w:val="auto"/>
          <w:highlight w:val="none"/>
          <w:u w:val="none"/>
        </w:rPr>
        <w:fldChar w:fldCharType="end"/>
      </w:r>
      <w:r>
        <w:rPr>
          <w:rFonts w:hint="eastAsia" w:ascii="宋体" w:hAnsi="宋体" w:eastAsia="宋体" w:cs="宋体"/>
          <w:highlight w:val="none"/>
        </w:rPr>
        <w:t>】（</w:t>
      </w:r>
      <w:r>
        <w:rPr>
          <w:highlight w:val="none"/>
        </w:rPr>
        <w:fldChar w:fldCharType="begin"/>
      </w:r>
      <w:r>
        <w:rPr>
          <w:highlight w:val="none"/>
        </w:rPr>
        <w:instrText xml:space="preserve"> HYPERLINK "http://www.ccgp-shaanxi.gov.cn/" </w:instrText>
      </w:r>
      <w:r>
        <w:rPr>
          <w:highlight w:val="none"/>
        </w:rPr>
        <w:fldChar w:fldCharType="separate"/>
      </w:r>
      <w:r>
        <w:rPr>
          <w:rStyle w:val="45"/>
          <w:rFonts w:hint="eastAsia" w:ascii="宋体" w:hAnsi="宋体" w:eastAsia="宋体" w:cs="宋体"/>
          <w:color w:val="auto"/>
          <w:highlight w:val="none"/>
          <w:u w:val="none"/>
        </w:rPr>
        <w:t>http://www.ccgp-shaanxi.gov.cn/</w:t>
      </w:r>
      <w:r>
        <w:rPr>
          <w:rStyle w:val="45"/>
          <w:rFonts w:hint="eastAsia" w:ascii="宋体" w:hAnsi="宋体" w:eastAsia="宋体" w:cs="宋体"/>
          <w:color w:val="auto"/>
          <w:highlight w:val="none"/>
          <w:u w:val="none"/>
        </w:rPr>
        <w:fldChar w:fldCharType="end"/>
      </w:r>
      <w:r>
        <w:rPr>
          <w:rFonts w:hint="eastAsia" w:ascii="宋体" w:hAnsi="宋体" w:eastAsia="宋体" w:cs="宋体"/>
          <w:highlight w:val="none"/>
        </w:rPr>
        <w:t>）中的〖首页·〉信息公告·〉市级·〉西安市〗；</w:t>
      </w:r>
    </w:p>
    <w:p w14:paraId="66E88FA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w:t>
      </w:r>
      <w:r>
        <w:rPr>
          <w:rFonts w:hint="eastAsia"/>
          <w:highlight w:val="none"/>
        </w:rPr>
        <w:fldChar w:fldCharType="begin"/>
      </w:r>
      <w:r>
        <w:rPr>
          <w:rFonts w:hint="eastAsia" w:ascii="宋体" w:hAnsi="宋体" w:eastAsia="宋体" w:cs="宋体"/>
          <w:highlight w:val="none"/>
        </w:rPr>
        <w:instrText xml:space="preserve"> HYPERLINK "http://xa.sxggzyjy.cn/" </w:instrText>
      </w:r>
      <w:r>
        <w:rPr>
          <w:rFonts w:hint="eastAsia"/>
          <w:highlight w:val="none"/>
        </w:rPr>
        <w:fldChar w:fldCharType="separate"/>
      </w:r>
      <w:r>
        <w:rPr>
          <w:rStyle w:val="45"/>
          <w:rFonts w:hint="eastAsia" w:ascii="宋体" w:hAnsi="宋体" w:eastAsia="宋体" w:cs="宋体"/>
          <w:color w:val="auto"/>
          <w:highlight w:val="none"/>
          <w:u w:val="none"/>
        </w:rPr>
        <w:t>全国公共资源交易网（陕西省·西安市）</w:t>
      </w:r>
      <w:r>
        <w:rPr>
          <w:rStyle w:val="45"/>
          <w:rFonts w:hint="eastAsia" w:ascii="宋体" w:hAnsi="宋体" w:eastAsia="宋体" w:cs="宋体"/>
          <w:color w:val="auto"/>
          <w:highlight w:val="none"/>
          <w:u w:val="none"/>
        </w:rPr>
        <w:fldChar w:fldCharType="end"/>
      </w:r>
      <w:r>
        <w:rPr>
          <w:rFonts w:hint="eastAsia" w:ascii="宋体" w:hAnsi="宋体" w:eastAsia="宋体" w:cs="宋体"/>
          <w:highlight w:val="none"/>
        </w:rPr>
        <w:t>】（</w:t>
      </w:r>
      <w:r>
        <w:rPr>
          <w:highlight w:val="none"/>
        </w:rPr>
        <w:fldChar w:fldCharType="begin"/>
      </w:r>
      <w:r>
        <w:rPr>
          <w:highlight w:val="none"/>
        </w:rPr>
        <w:instrText xml:space="preserve"> HYPERLINK "http://sxggzyjy.xa.gov.cn/" </w:instrText>
      </w:r>
      <w:r>
        <w:rPr>
          <w:highlight w:val="none"/>
        </w:rPr>
        <w:fldChar w:fldCharType="separate"/>
      </w:r>
      <w:r>
        <w:rPr>
          <w:rStyle w:val="45"/>
          <w:rFonts w:hint="eastAsia" w:ascii="宋体" w:hAnsi="宋体" w:eastAsia="宋体" w:cs="宋体"/>
          <w:color w:val="auto"/>
          <w:highlight w:val="none"/>
          <w:u w:val="none"/>
        </w:rPr>
        <w:t>http://sxggzyjy.xa.gov.cn/</w:t>
      </w:r>
      <w:r>
        <w:rPr>
          <w:rStyle w:val="45"/>
          <w:rFonts w:hint="eastAsia" w:ascii="宋体" w:hAnsi="宋体" w:eastAsia="宋体" w:cs="宋体"/>
          <w:color w:val="auto"/>
          <w:highlight w:val="none"/>
          <w:u w:val="none"/>
        </w:rPr>
        <w:fldChar w:fldCharType="end"/>
      </w:r>
      <w:r>
        <w:rPr>
          <w:rFonts w:hint="eastAsia" w:ascii="宋体" w:hAnsi="宋体" w:eastAsia="宋体" w:cs="宋体"/>
          <w:highlight w:val="none"/>
        </w:rPr>
        <w:t>）中的〖首页·〉交易大厅·〉政府采购〗。</w:t>
      </w:r>
    </w:p>
    <w:p w14:paraId="7E797C4C">
      <w:pPr>
        <w:pStyle w:val="5"/>
        <w:rPr>
          <w:rFonts w:ascii="宋体" w:hAnsi="宋体" w:cs="宋体"/>
          <w:sz w:val="24"/>
          <w:szCs w:val="24"/>
          <w:highlight w:val="none"/>
        </w:rPr>
      </w:pPr>
      <w:bookmarkStart w:id="47" w:name="_Toc18258"/>
      <w:r>
        <w:rPr>
          <w:rFonts w:hint="eastAsia" w:ascii="宋体" w:hAnsi="宋体" w:cs="宋体"/>
          <w:sz w:val="24"/>
          <w:szCs w:val="24"/>
          <w:highlight w:val="none"/>
        </w:rPr>
        <w:t>四、投标文件</w:t>
      </w:r>
      <w:bookmarkEnd w:id="47"/>
    </w:p>
    <w:p w14:paraId="1263CE32">
      <w:pPr>
        <w:pStyle w:val="100"/>
        <w:spacing w:before="197" w:beforeLines="50"/>
        <w:ind w:firstLine="499"/>
        <w:rPr>
          <w:rFonts w:ascii="宋体" w:hAnsi="宋体" w:cs="宋体"/>
          <w:b/>
          <w:bCs/>
          <w:color w:val="auto"/>
          <w:highlight w:val="none"/>
        </w:rPr>
      </w:pPr>
      <w:bookmarkStart w:id="48" w:name="_Toc19870"/>
      <w:r>
        <w:rPr>
          <w:rFonts w:hint="eastAsia" w:ascii="宋体" w:hAnsi="宋体" w:cs="宋体"/>
          <w:b/>
          <w:bCs/>
          <w:color w:val="auto"/>
          <w:highlight w:val="none"/>
        </w:rPr>
        <w:t>（一）投标文件的式样</w:t>
      </w:r>
      <w:bookmarkEnd w:id="48"/>
    </w:p>
    <w:p w14:paraId="299F08B8">
      <w:pPr>
        <w:pStyle w:val="100"/>
        <w:ind w:firstLine="0" w:firstLineChars="0"/>
        <w:rPr>
          <w:rFonts w:ascii="宋体" w:hAnsi="宋体" w:cs="宋体"/>
          <w:color w:val="auto"/>
          <w:highlight w:val="none"/>
        </w:rPr>
      </w:pPr>
      <w:bookmarkStart w:id="49" w:name="_Toc23111"/>
      <w:r>
        <w:rPr>
          <w:rFonts w:hint="eastAsia" w:ascii="宋体" w:hAnsi="宋体" w:cs="宋体"/>
          <w:color w:val="auto"/>
          <w:highlight w:val="none"/>
        </w:rPr>
        <w:t>1．组成及格式</w:t>
      </w:r>
      <w:bookmarkEnd w:id="49"/>
    </w:p>
    <w:p w14:paraId="2025161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供应商依照招标文件第五章《投标文件构成及格式》给定形式进行编制投标文件。</w:t>
      </w:r>
    </w:p>
    <w:p w14:paraId="5CA4C194">
      <w:pPr>
        <w:pStyle w:val="100"/>
        <w:ind w:firstLine="0" w:firstLineChars="0"/>
        <w:rPr>
          <w:rFonts w:ascii="宋体" w:hAnsi="宋体" w:cs="宋体"/>
          <w:color w:val="auto"/>
          <w:highlight w:val="none"/>
        </w:rPr>
      </w:pPr>
      <w:bookmarkStart w:id="50" w:name="_Toc4658"/>
      <w:r>
        <w:rPr>
          <w:rFonts w:hint="eastAsia" w:ascii="宋体" w:hAnsi="宋体" w:cs="宋体"/>
          <w:color w:val="auto"/>
          <w:highlight w:val="none"/>
        </w:rPr>
        <w:t>2．语言</w:t>
      </w:r>
      <w:bookmarkEnd w:id="50"/>
    </w:p>
    <w:p w14:paraId="53DFE4C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招标活动的所有文件、资料、函电文字均使用简体中文，确需提交用其他语言形成的资料，必须翻译成简体中文，如有差异，以简体中文为准。</w:t>
      </w:r>
    </w:p>
    <w:p w14:paraId="0677711C">
      <w:pPr>
        <w:pStyle w:val="100"/>
        <w:ind w:firstLine="0" w:firstLineChars="0"/>
        <w:rPr>
          <w:rFonts w:ascii="宋体" w:hAnsi="宋体" w:cs="宋体"/>
          <w:color w:val="auto"/>
          <w:highlight w:val="none"/>
        </w:rPr>
      </w:pPr>
      <w:bookmarkStart w:id="51" w:name="_Toc3436"/>
      <w:r>
        <w:rPr>
          <w:rFonts w:hint="eastAsia" w:ascii="宋体" w:hAnsi="宋体" w:cs="宋体"/>
          <w:color w:val="auto"/>
          <w:highlight w:val="none"/>
        </w:rPr>
        <w:t>3．计量单位</w:t>
      </w:r>
      <w:bookmarkEnd w:id="51"/>
    </w:p>
    <w:p w14:paraId="6157C22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投标文件的计量单位应使用中华人民共和国法定计量单位，但招标文件另有规定的除外。</w:t>
      </w:r>
    </w:p>
    <w:p w14:paraId="5C916CE4">
      <w:pPr>
        <w:pStyle w:val="100"/>
        <w:ind w:firstLine="499"/>
        <w:rPr>
          <w:rFonts w:ascii="宋体" w:hAnsi="宋体" w:cs="宋体"/>
          <w:b/>
          <w:bCs/>
          <w:color w:val="auto"/>
          <w:highlight w:val="none"/>
        </w:rPr>
      </w:pPr>
      <w:bookmarkStart w:id="52" w:name="_Toc15553"/>
      <w:r>
        <w:rPr>
          <w:rFonts w:hint="eastAsia" w:ascii="宋体" w:hAnsi="宋体" w:cs="宋体"/>
          <w:b/>
          <w:bCs/>
          <w:color w:val="auto"/>
          <w:highlight w:val="none"/>
        </w:rPr>
        <w:t>（二）投标文件的有效期</w:t>
      </w:r>
      <w:bookmarkEnd w:id="52"/>
    </w:p>
    <w:p w14:paraId="63A10F5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投标文件有效期为自开标之日起不少于90个日历日。如中标，延长至合同执行完毕时止。</w:t>
      </w:r>
    </w:p>
    <w:p w14:paraId="34DFA18F">
      <w:pPr>
        <w:pStyle w:val="100"/>
        <w:ind w:firstLine="499"/>
        <w:rPr>
          <w:rFonts w:ascii="宋体" w:hAnsi="宋体" w:cs="宋体"/>
          <w:b/>
          <w:bCs/>
          <w:color w:val="auto"/>
          <w:highlight w:val="none"/>
        </w:rPr>
      </w:pPr>
      <w:bookmarkStart w:id="53" w:name="_Toc28137"/>
      <w:r>
        <w:rPr>
          <w:rFonts w:hint="eastAsia" w:ascii="宋体" w:hAnsi="宋体" w:cs="宋体"/>
          <w:b/>
          <w:bCs/>
          <w:color w:val="auto"/>
          <w:highlight w:val="none"/>
        </w:rPr>
        <w:t>（三）投标报价</w:t>
      </w:r>
      <w:bookmarkEnd w:id="53"/>
    </w:p>
    <w:p w14:paraId="545AE25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投标报价是供应商响应采购项目要求的全部工作内容的价格体现，包括完成采购内容所需的直接费、间接费、利润、税金及其它相关的一切费用。</w:t>
      </w:r>
    </w:p>
    <w:p w14:paraId="21DC66D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1．供应商在报价时应充分考虑所有可能发生的费用，招标文件未列明，而供应商认为应当计取的费用均应列入报价中。报价时不论是否计取，采购人均按已计取对待。</w:t>
      </w:r>
    </w:p>
    <w:p w14:paraId="5FA8B38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2．供应商应严格按照《投标文件构成及格式》第二部分《开标一览表》中的相关要求填写分类报价及其他需要响应的内容。投标报价只能提交唯一报价，任何有选择的报价将不予接受，按无效投标处理。</w:t>
      </w:r>
    </w:p>
    <w:p w14:paraId="2C39693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3．投标报价货币：人民币；单位：元。</w:t>
      </w:r>
    </w:p>
    <w:p w14:paraId="7BA200B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4．投标文件报价出现前后不一致的，除招标文件另有规定外，按照下列规则修正：</w:t>
      </w:r>
    </w:p>
    <w:p w14:paraId="0121931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（1）投标文件中开标一览表内容与投标文件中其他位置相应内容表述不一致的，以开标一览表为准；</w:t>
      </w:r>
    </w:p>
    <w:p w14:paraId="2216040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（2）大写金额和小写金额不一致的，以大写金额为准；</w:t>
      </w:r>
    </w:p>
    <w:p w14:paraId="14983B1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14:paraId="4DE13A5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1FAF1C9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同时出现两种以上不一致的，按照前款规定的顺序修正。修正后的报价经供应商确认后产生约束力，供应商不确认的，其投标无效。</w:t>
      </w:r>
    </w:p>
    <w:p w14:paraId="1A3C439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5．因供应商对招标文件理解不透、误解、疏漏或对市场行情了解不清造成的后果和风险，均由供应商自己负责。</w:t>
      </w:r>
    </w:p>
    <w:p w14:paraId="2835D2EC">
      <w:pPr>
        <w:pStyle w:val="100"/>
        <w:spacing w:before="197" w:beforeLines="50"/>
        <w:ind w:firstLine="499"/>
        <w:rPr>
          <w:rFonts w:ascii="宋体" w:hAnsi="宋体" w:cs="宋体"/>
          <w:b/>
          <w:bCs/>
          <w:color w:val="auto"/>
          <w:highlight w:val="none"/>
        </w:rPr>
      </w:pPr>
      <w:bookmarkStart w:id="54" w:name="_Toc30313"/>
      <w:r>
        <w:rPr>
          <w:rFonts w:hint="eastAsia" w:ascii="宋体" w:hAnsi="宋体" w:cs="宋体"/>
          <w:b/>
          <w:bCs/>
          <w:color w:val="auto"/>
          <w:highlight w:val="none"/>
        </w:rPr>
        <w:t>（四）投标文件的制作和签章</w:t>
      </w:r>
      <w:bookmarkEnd w:id="54"/>
    </w:p>
    <w:p w14:paraId="622CA33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1413850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链接地址：</w:t>
      </w:r>
    </w:p>
    <w:p w14:paraId="13E6E586">
      <w:pPr>
        <w:spacing w:line="560" w:lineRule="exact"/>
        <w:ind w:firstLine="496" w:firstLineChars="200"/>
        <w:jc w:val="both"/>
        <w:rPr>
          <w:rFonts w:ascii="宋体" w:hAnsi="宋体" w:eastAsia="宋体" w:cs="宋体"/>
          <w:highlight w:val="none"/>
        </w:rPr>
      </w:pPr>
      <w:r>
        <w:rPr>
          <w:highlight w:val="none"/>
        </w:rPr>
        <w:fldChar w:fldCharType="begin"/>
      </w:r>
      <w:r>
        <w:rPr>
          <w:highlight w:val="none"/>
        </w:rPr>
        <w:instrText xml:space="preserve"> HYPERLINK "http://sxggzyjy.xa.gov.cn/fwzn/004003/20181115/4d59c184-e8f6-4d5a-a416-c2f6b0601e66.html" </w:instrText>
      </w:r>
      <w:r>
        <w:rPr>
          <w:highlight w:val="none"/>
        </w:rPr>
        <w:fldChar w:fldCharType="separate"/>
      </w:r>
      <w:r>
        <w:rPr>
          <w:rStyle w:val="45"/>
          <w:rFonts w:hint="eastAsia" w:ascii="宋体" w:hAnsi="宋体" w:eastAsia="宋体" w:cs="宋体"/>
          <w:color w:val="auto"/>
          <w:highlight w:val="none"/>
        </w:rPr>
        <w:t>http://sxggzyjy.xa.gov.cn/fwzn/004003/20181115/4d59c184-e8f6-4d5a-a416-c2f6b0601e66.html</w:t>
      </w:r>
      <w:r>
        <w:rPr>
          <w:rStyle w:val="45"/>
          <w:rFonts w:hint="eastAsia" w:ascii="宋体" w:hAnsi="宋体" w:eastAsia="宋体" w:cs="宋体"/>
          <w:color w:val="auto"/>
          <w:highlight w:val="none"/>
        </w:rPr>
        <w:fldChar w:fldCharType="end"/>
      </w:r>
    </w:p>
    <w:p w14:paraId="478BDA7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1FFA480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14315160">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3．电子投标文件制作过程中，需要法定代表人签字或盖章的地方，请使用“法人CA锁”进行签章；需要加盖供应商公章的地方，请使用“企业CA锁”进行签章。</w:t>
      </w:r>
    </w:p>
    <w:p w14:paraId="04E09240">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7D103E0C">
      <w:pPr>
        <w:pStyle w:val="100"/>
        <w:spacing w:before="197" w:beforeLines="50"/>
        <w:ind w:firstLine="499"/>
        <w:rPr>
          <w:rFonts w:ascii="宋体" w:hAnsi="宋体" w:cs="宋体"/>
          <w:b/>
          <w:bCs/>
          <w:color w:val="auto"/>
          <w:highlight w:val="none"/>
        </w:rPr>
      </w:pPr>
      <w:bookmarkStart w:id="55" w:name="_Toc15534"/>
      <w:r>
        <w:rPr>
          <w:rFonts w:hint="eastAsia" w:ascii="宋体" w:hAnsi="宋体" w:cs="宋体"/>
          <w:b/>
          <w:bCs/>
          <w:color w:val="auto"/>
          <w:highlight w:val="none"/>
        </w:rPr>
        <w:t>（五）投标文件的加密和提交</w:t>
      </w:r>
      <w:bookmarkEnd w:id="55"/>
    </w:p>
    <w:p w14:paraId="3FB7D99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1．在生成电子投标文件时，需要使用CA锁对投标文件进行加密。</w:t>
      </w:r>
    </w:p>
    <w:p w14:paraId="742E7F9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注意：加密投标文件和开标时解密投标文件应当使用同一CA，否则将会导致解密失败。</w:t>
      </w:r>
    </w:p>
    <w:p w14:paraId="630F917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07D9F2C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3．上传文件有误或需要重新提交的，可先撤销已经上传的文件，然后重新上传新文件。</w:t>
      </w:r>
    </w:p>
    <w:p w14:paraId="16F3106B">
      <w:pPr>
        <w:pStyle w:val="100"/>
        <w:ind w:firstLine="499"/>
        <w:rPr>
          <w:rFonts w:ascii="宋体" w:hAnsi="宋体" w:cs="宋体"/>
          <w:b/>
          <w:bCs/>
          <w:color w:val="auto"/>
          <w:highlight w:val="none"/>
        </w:rPr>
      </w:pPr>
      <w:bookmarkStart w:id="56" w:name="_Toc28545"/>
      <w:r>
        <w:rPr>
          <w:rFonts w:hint="eastAsia" w:ascii="宋体" w:hAnsi="宋体" w:cs="宋体"/>
          <w:b/>
          <w:bCs/>
          <w:color w:val="auto"/>
          <w:highlight w:val="none"/>
        </w:rPr>
        <w:t>（六）投标文件的补充、修改和撤回</w:t>
      </w:r>
      <w:bookmarkEnd w:id="56"/>
    </w:p>
    <w:p w14:paraId="387110B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27DCDE6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2．供应商在提交投标文件截止时间后，撤回投标文件的，投标保证金不予退还。</w:t>
      </w:r>
    </w:p>
    <w:p w14:paraId="246F4F2C">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F369B8F">
      <w:pPr>
        <w:pStyle w:val="100"/>
        <w:spacing w:before="197" w:beforeLines="50"/>
        <w:ind w:firstLine="499"/>
        <w:rPr>
          <w:rFonts w:ascii="宋体" w:hAnsi="宋体" w:cs="宋体"/>
          <w:b/>
          <w:bCs/>
          <w:color w:val="auto"/>
          <w:highlight w:val="none"/>
        </w:rPr>
      </w:pPr>
      <w:bookmarkStart w:id="57" w:name="_Toc5968"/>
      <w:r>
        <w:rPr>
          <w:rFonts w:hint="eastAsia" w:ascii="宋体" w:hAnsi="宋体" w:cs="宋体"/>
          <w:b/>
          <w:bCs/>
          <w:color w:val="auto"/>
          <w:highlight w:val="none"/>
        </w:rPr>
        <w:t>（七）关于投标文件的雷同性分析</w:t>
      </w:r>
      <w:bookmarkEnd w:id="57"/>
    </w:p>
    <w:p w14:paraId="4BA60AC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B63D29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57CB3D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1C12981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若“文件创建标识码”一致，则表示不同投标供应商使用投标文件制作软件时，使用同一源工程文件，该情形建议由评标委员会结合项目情况综合判定。</w:t>
      </w:r>
    </w:p>
    <w:p w14:paraId="4CF3070C">
      <w:pPr>
        <w:pStyle w:val="100"/>
        <w:spacing w:before="197" w:beforeLines="50"/>
        <w:ind w:firstLine="499"/>
        <w:rPr>
          <w:rFonts w:ascii="宋体" w:hAnsi="宋体" w:cs="宋体"/>
          <w:b/>
          <w:bCs/>
          <w:color w:val="auto"/>
          <w:highlight w:val="none"/>
        </w:rPr>
      </w:pPr>
      <w:bookmarkStart w:id="58" w:name="_Toc11132"/>
      <w:r>
        <w:rPr>
          <w:rFonts w:hint="eastAsia" w:ascii="宋体" w:hAnsi="宋体" w:cs="宋体"/>
          <w:b/>
          <w:bCs/>
          <w:color w:val="auto"/>
          <w:highlight w:val="none"/>
        </w:rPr>
        <w:t>（八）投标文件被拒绝接收的情形</w:t>
      </w:r>
      <w:bookmarkEnd w:id="58"/>
    </w:p>
    <w:p w14:paraId="1452D64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1．误投的或采用旧版电子招标文件制作的；</w:t>
      </w:r>
    </w:p>
    <w:p w14:paraId="23096D1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2．逾期提交电子投标文件的。</w:t>
      </w:r>
    </w:p>
    <w:p w14:paraId="7EC285B2">
      <w:pPr>
        <w:pStyle w:val="5"/>
        <w:rPr>
          <w:rFonts w:ascii="宋体" w:hAnsi="宋体" w:cs="宋体"/>
          <w:sz w:val="24"/>
          <w:szCs w:val="24"/>
          <w:highlight w:val="none"/>
        </w:rPr>
      </w:pPr>
      <w:bookmarkStart w:id="59" w:name="_Toc11947"/>
      <w:r>
        <w:rPr>
          <w:rFonts w:hint="eastAsia" w:ascii="宋体" w:hAnsi="宋体" w:cs="宋体"/>
          <w:sz w:val="24"/>
          <w:szCs w:val="24"/>
          <w:highlight w:val="none"/>
        </w:rPr>
        <w:t>五、开标程序</w:t>
      </w:r>
      <w:bookmarkEnd w:id="59"/>
    </w:p>
    <w:p w14:paraId="22BD0DF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开标工作由采购代理机构组织实施，整个过程受同级政府采购监管机构的监督、管理。</w:t>
      </w:r>
    </w:p>
    <w:p w14:paraId="05444A4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“不见面开标”是依托政府采购云平台实现的供应商在线参与开标的一种组织形式。供应商无需抵达开标现场，即可在线实现开标、解密、澄清等操作。</w:t>
      </w:r>
    </w:p>
    <w:p w14:paraId="02AAD9F3">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1．供应商登录：开标前，请各供应商至少提前半小时登录西安市公共资源交易平台〖首页·〉不见面开标〗系统。</w:t>
      </w:r>
    </w:p>
    <w:p w14:paraId="44EDC2B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2．主持人宣布开标：提交投标文件截止时间过后，系统将不再接收任何投标文件。</w:t>
      </w:r>
    </w:p>
    <w:p w14:paraId="5C07F166">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20AD0172">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4．唱标：对于公开招标项目，“不见面开标”系统将自动展示供应商名单及其投标报价。</w:t>
      </w:r>
    </w:p>
    <w:p w14:paraId="35F3B73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5．开标结束：进入评审环节。供应商请保持在线，评审期间评标委员会可能会要求供应商做相应的澄清。因供应商擅自离席造成的不利后果，由供应商自行承担。</w:t>
      </w:r>
    </w:p>
    <w:p w14:paraId="410E790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“不见面开标”系统操作说明：详见西安市公共资源交易平台〖首页·〉服务指南·〉下载专区〗中的《西安公共资源交易不见面开标大厅供应商操作手册》。</w:t>
      </w:r>
    </w:p>
    <w:p w14:paraId="64AB78E6">
      <w:pPr>
        <w:spacing w:line="560" w:lineRule="exact"/>
        <w:ind w:firstLine="496" w:firstLineChars="200"/>
        <w:rPr>
          <w:rFonts w:ascii="宋体" w:hAnsi="宋体" w:eastAsia="宋体" w:cs="宋体"/>
          <w:highlight w:val="none"/>
        </w:rPr>
      </w:pPr>
      <w:r>
        <w:rPr>
          <w:rFonts w:hint="eastAsia" w:ascii="宋体" w:hAnsi="宋体" w:eastAsia="宋体" w:cs="宋体"/>
          <w:highlight w:val="none"/>
        </w:rPr>
        <w:t>链接地址：</w:t>
      </w:r>
      <w:r>
        <w:rPr>
          <w:highlight w:val="none"/>
        </w:rPr>
        <w:fldChar w:fldCharType="begin"/>
      </w:r>
      <w:r>
        <w:rPr>
          <w:highlight w:val="none"/>
        </w:rPr>
        <w:instrText xml:space="preserve"> HYPERLINK "http://sxggzyjy.xa.gov.cn/fwzn/004003/20200426/bc8b2c1e-abe2-4168-913c-68ff93345faf.html" </w:instrText>
      </w:r>
      <w:r>
        <w:rPr>
          <w:highlight w:val="none"/>
        </w:rPr>
        <w:fldChar w:fldCharType="separate"/>
      </w:r>
      <w:r>
        <w:rPr>
          <w:rStyle w:val="45"/>
          <w:rFonts w:hint="eastAsia" w:ascii="宋体" w:hAnsi="宋体" w:eastAsia="宋体" w:cs="宋体"/>
          <w:color w:val="auto"/>
          <w:highlight w:val="none"/>
          <w:u w:val="none"/>
        </w:rPr>
        <w:t>http://sxggzyjy.xa.gov.cn/fwzn/004003/20200426/bc8b2c1e-abe2-4168-913c-68ff93345faf.html</w:t>
      </w:r>
      <w:r>
        <w:rPr>
          <w:rStyle w:val="45"/>
          <w:rFonts w:hint="eastAsia" w:ascii="宋体" w:hAnsi="宋体" w:eastAsia="宋体" w:cs="宋体"/>
          <w:color w:val="auto"/>
          <w:highlight w:val="none"/>
          <w:u w:val="none"/>
        </w:rPr>
        <w:fldChar w:fldCharType="end"/>
      </w:r>
    </w:p>
    <w:p w14:paraId="04B3F764">
      <w:pPr>
        <w:pStyle w:val="100"/>
        <w:spacing w:before="197" w:beforeLines="50"/>
        <w:ind w:firstLine="499"/>
        <w:rPr>
          <w:rFonts w:ascii="宋体" w:hAnsi="宋体" w:cs="宋体"/>
          <w:b/>
          <w:bCs/>
          <w:color w:val="auto"/>
          <w:highlight w:val="none"/>
        </w:rPr>
      </w:pPr>
      <w:bookmarkStart w:id="60" w:name="_Toc15581"/>
      <w:r>
        <w:rPr>
          <w:rFonts w:hint="eastAsia" w:ascii="宋体" w:hAnsi="宋体" w:cs="宋体"/>
          <w:b/>
          <w:bCs/>
          <w:color w:val="auto"/>
          <w:highlight w:val="none"/>
        </w:rPr>
        <w:t>（一）开标环节投标文件视为无效的情形</w:t>
      </w:r>
      <w:bookmarkEnd w:id="60"/>
    </w:p>
    <w:p w14:paraId="7775D6D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1．供应商放弃或拒绝对电子投标文件进行解密的；</w:t>
      </w:r>
    </w:p>
    <w:p w14:paraId="0F11698A">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2．因供应商自身原因，导致未在规定的解密时限内完整解密的，如忘带CA锁、或携带的CA锁与加密文件的CA锁不同、或使用旧版招标文件编制投标文件等情形；</w:t>
      </w:r>
    </w:p>
    <w:p w14:paraId="1E7430D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3．上传的电子投标文件无法正常打开的；</w:t>
      </w:r>
    </w:p>
    <w:p w14:paraId="25E1E4E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4．政府采购法律法规规定的其他无效情形。</w:t>
      </w:r>
    </w:p>
    <w:p w14:paraId="4E6D48D3">
      <w:pPr>
        <w:pStyle w:val="100"/>
        <w:spacing w:before="197" w:beforeLines="50"/>
        <w:ind w:firstLine="499"/>
        <w:rPr>
          <w:rFonts w:ascii="宋体" w:hAnsi="宋体" w:cs="宋体"/>
          <w:b/>
          <w:bCs/>
          <w:color w:val="auto"/>
          <w:highlight w:val="none"/>
        </w:rPr>
      </w:pPr>
      <w:bookmarkStart w:id="61" w:name="_Toc4756"/>
      <w:r>
        <w:rPr>
          <w:rFonts w:hint="eastAsia" w:ascii="宋体" w:hAnsi="宋体" w:cs="宋体"/>
          <w:b/>
          <w:bCs/>
          <w:color w:val="auto"/>
          <w:highlight w:val="none"/>
        </w:rPr>
        <w:t>（二）突发状况的应急处置</w:t>
      </w:r>
      <w:bookmarkEnd w:id="61"/>
    </w:p>
    <w:p w14:paraId="22C94C8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在开评标过程中，如因停电、断网、电子化系统故障等特殊原因导致电子化开、评标工作无法正常进行时，采购代理机构将及时汇报政府采购监管部门，并等待或中止后续活动。</w:t>
      </w:r>
    </w:p>
    <w:p w14:paraId="4BA48C1F">
      <w:pPr>
        <w:pStyle w:val="5"/>
        <w:rPr>
          <w:rFonts w:ascii="宋体" w:hAnsi="宋体" w:cs="宋体"/>
          <w:sz w:val="24"/>
          <w:szCs w:val="24"/>
          <w:highlight w:val="none"/>
        </w:rPr>
      </w:pPr>
      <w:bookmarkStart w:id="62" w:name="_Toc30660"/>
      <w:r>
        <w:rPr>
          <w:rFonts w:hint="eastAsia" w:ascii="宋体" w:hAnsi="宋体" w:cs="宋体"/>
          <w:sz w:val="24"/>
          <w:szCs w:val="24"/>
          <w:highlight w:val="none"/>
        </w:rPr>
        <w:t>六、资格审查</w:t>
      </w:r>
      <w:bookmarkEnd w:id="62"/>
    </w:p>
    <w:p w14:paraId="25A5FADD">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开标结束后，依据法律法规和招标文件的规定，对投标文件中的资格证明文件等进行审查，以确保供应商是否具备相应资格。</w:t>
      </w:r>
    </w:p>
    <w:p w14:paraId="295357F9">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供应商提供的资格证明文件缺少任何一项或有任何一项不满足，都将被视为无效投标。供应商所提供的资格证明文件应图文清晰、易于辨识，否则由此带来的不利后果由供应商自行承担。</w:t>
      </w:r>
    </w:p>
    <w:p w14:paraId="6586667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合格供应商不足3家的，不得评标。</w:t>
      </w:r>
    </w:p>
    <w:p w14:paraId="40BCDB48">
      <w:pPr>
        <w:rPr>
          <w:rFonts w:ascii="宋体" w:hAnsi="宋体" w:eastAsia="宋体" w:cs="宋体"/>
          <w:highlight w:val="none"/>
        </w:rPr>
      </w:pPr>
      <w:r>
        <w:rPr>
          <w:rFonts w:hint="eastAsia" w:ascii="宋体" w:hAnsi="宋体" w:eastAsia="宋体" w:cs="宋体"/>
          <w:highlight w:val="none"/>
        </w:rPr>
        <w:br w:type="page"/>
      </w:r>
    </w:p>
    <w:p w14:paraId="17413D24">
      <w:pPr>
        <w:spacing w:line="560" w:lineRule="exact"/>
        <w:rPr>
          <w:rFonts w:ascii="宋体" w:hAnsi="宋体" w:eastAsia="宋体" w:cs="宋体"/>
          <w:highlight w:val="none"/>
        </w:rPr>
      </w:pPr>
      <w:r>
        <w:rPr>
          <w:rFonts w:hint="eastAsia" w:ascii="宋体" w:hAnsi="宋体" w:eastAsia="宋体" w:cs="宋体"/>
          <w:highlight w:val="none"/>
        </w:rPr>
        <w:t>〖资格性审查表〗</w:t>
      </w:r>
    </w:p>
    <w:tbl>
      <w:tblPr>
        <w:tblStyle w:val="3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5696"/>
      </w:tblGrid>
      <w:tr w14:paraId="1276F6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14:paraId="5E210387">
            <w:pPr>
              <w:jc w:val="center"/>
              <w:rPr>
                <w:rFonts w:ascii="宋体" w:hAnsi="宋体" w:eastAsia="宋体" w:cs="宋体"/>
                <w:b/>
                <w:bCs/>
                <w:highlight w:val="none"/>
              </w:rPr>
            </w:pPr>
            <w:r>
              <w:rPr>
                <w:rFonts w:hint="eastAsia" w:ascii="宋体" w:hAnsi="宋体" w:eastAsia="宋体" w:cs="宋体"/>
                <w:b/>
                <w:bCs/>
                <w:highlight w:val="none"/>
              </w:rPr>
              <w:t>序号</w:t>
            </w:r>
          </w:p>
        </w:tc>
        <w:tc>
          <w:tcPr>
            <w:tcW w:w="2336" w:type="dxa"/>
            <w:tcBorders>
              <w:top w:val="single" w:color="auto" w:sz="12" w:space="0"/>
              <w:bottom w:val="single" w:color="auto" w:sz="2" w:space="0"/>
            </w:tcBorders>
            <w:shd w:val="clear" w:color="auto" w:fill="F1F1F1" w:themeFill="background1" w:themeFillShade="F2"/>
            <w:vAlign w:val="center"/>
          </w:tcPr>
          <w:p w14:paraId="120C95C1">
            <w:pPr>
              <w:jc w:val="center"/>
              <w:rPr>
                <w:rFonts w:ascii="宋体" w:hAnsi="宋体" w:eastAsia="宋体" w:cs="宋体"/>
                <w:b/>
                <w:bCs/>
                <w:highlight w:val="none"/>
              </w:rPr>
            </w:pPr>
            <w:r>
              <w:rPr>
                <w:rFonts w:hint="eastAsia" w:ascii="宋体" w:hAnsi="宋体" w:eastAsia="宋体" w:cs="宋体"/>
                <w:b/>
                <w:bCs/>
                <w:highlight w:val="none"/>
              </w:rPr>
              <w:t>资格项</w:t>
            </w:r>
          </w:p>
        </w:tc>
        <w:tc>
          <w:tcPr>
            <w:tcW w:w="5696" w:type="dxa"/>
            <w:tcBorders>
              <w:top w:val="single" w:color="auto" w:sz="12" w:space="0"/>
              <w:bottom w:val="single" w:color="auto" w:sz="2" w:space="0"/>
            </w:tcBorders>
            <w:shd w:val="clear" w:color="auto" w:fill="F1F1F1" w:themeFill="background1" w:themeFillShade="F2"/>
            <w:vAlign w:val="center"/>
          </w:tcPr>
          <w:p w14:paraId="145749BD">
            <w:pPr>
              <w:jc w:val="center"/>
              <w:rPr>
                <w:rFonts w:ascii="宋体" w:hAnsi="宋体" w:eastAsia="宋体" w:cs="宋体"/>
                <w:b/>
                <w:bCs/>
                <w:highlight w:val="none"/>
              </w:rPr>
            </w:pPr>
            <w:r>
              <w:rPr>
                <w:rFonts w:hint="eastAsia" w:ascii="宋体" w:hAnsi="宋体" w:eastAsia="宋体" w:cs="宋体"/>
                <w:b/>
                <w:bCs/>
                <w:highlight w:val="none"/>
              </w:rPr>
              <w:t>审查内容</w:t>
            </w:r>
          </w:p>
        </w:tc>
      </w:tr>
      <w:tr w14:paraId="7FB5C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14:paraId="6A909168">
            <w:pPr>
              <w:jc w:val="center"/>
              <w:rPr>
                <w:rFonts w:ascii="宋体" w:hAnsi="宋体" w:eastAsia="宋体" w:cs="宋体"/>
                <w:highlight w:val="none"/>
              </w:rPr>
            </w:pPr>
            <w:r>
              <w:rPr>
                <w:rFonts w:hint="eastAsia" w:ascii="宋体" w:hAnsi="宋体" w:eastAsia="宋体" w:cs="宋体"/>
                <w:highlight w:val="none"/>
              </w:rPr>
              <w:t>一</w:t>
            </w:r>
          </w:p>
        </w:tc>
        <w:tc>
          <w:tcPr>
            <w:tcW w:w="8032" w:type="dxa"/>
            <w:gridSpan w:val="2"/>
            <w:tcBorders>
              <w:top w:val="single" w:color="auto" w:sz="2" w:space="0"/>
            </w:tcBorders>
            <w:shd w:val="clear" w:color="auto" w:fill="auto"/>
            <w:vAlign w:val="center"/>
          </w:tcPr>
          <w:p w14:paraId="66744FAD">
            <w:pPr>
              <w:jc w:val="center"/>
              <w:rPr>
                <w:rFonts w:ascii="宋体" w:hAnsi="宋体" w:eastAsia="宋体" w:cs="宋体"/>
                <w:highlight w:val="none"/>
              </w:rPr>
            </w:pPr>
            <w:r>
              <w:rPr>
                <w:rFonts w:hint="eastAsia" w:ascii="宋体" w:hAnsi="宋体" w:eastAsia="宋体" w:cs="宋体"/>
                <w:highlight w:val="none"/>
              </w:rPr>
              <w:t>基本资格条件</w:t>
            </w:r>
          </w:p>
        </w:tc>
      </w:tr>
      <w:tr w14:paraId="2D08B9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19F7C304">
            <w:pPr>
              <w:spacing w:line="360" w:lineRule="auto"/>
              <w:jc w:val="center"/>
              <w:rPr>
                <w:rFonts w:ascii="宋体" w:hAnsi="宋体" w:eastAsia="宋体" w:cs="宋体"/>
                <w:highlight w:val="none"/>
              </w:rPr>
            </w:pPr>
            <w:r>
              <w:rPr>
                <w:rFonts w:hint="eastAsia" w:ascii="宋体" w:hAnsi="宋体" w:eastAsia="宋体" w:cs="宋体"/>
                <w:highlight w:val="none"/>
              </w:rPr>
              <w:t>1</w:t>
            </w:r>
          </w:p>
        </w:tc>
        <w:tc>
          <w:tcPr>
            <w:tcW w:w="2336" w:type="dxa"/>
            <w:vAlign w:val="center"/>
          </w:tcPr>
          <w:p w14:paraId="6E3A001A">
            <w:pPr>
              <w:spacing w:line="360" w:lineRule="auto"/>
              <w:jc w:val="center"/>
              <w:rPr>
                <w:rFonts w:ascii="宋体" w:hAnsi="宋体" w:eastAsia="宋体" w:cs="宋体"/>
                <w:highlight w:val="none"/>
              </w:rPr>
            </w:pPr>
            <w:r>
              <w:rPr>
                <w:rFonts w:hint="eastAsia" w:ascii="宋体" w:hAnsi="宋体" w:eastAsia="宋体" w:cs="宋体"/>
                <w:highlight w:val="none"/>
              </w:rPr>
              <w:t>有效的主体资格证明</w:t>
            </w:r>
          </w:p>
        </w:tc>
        <w:tc>
          <w:tcPr>
            <w:tcW w:w="5696" w:type="dxa"/>
            <w:vAlign w:val="center"/>
          </w:tcPr>
          <w:p w14:paraId="257B6A03">
            <w:pPr>
              <w:spacing w:line="360" w:lineRule="auto"/>
              <w:jc w:val="both"/>
              <w:rPr>
                <w:rFonts w:ascii="宋体" w:hAnsi="宋体" w:eastAsia="宋体" w:cs="宋体"/>
                <w:highlight w:val="none"/>
              </w:rPr>
            </w:pPr>
            <w:r>
              <w:rPr>
                <w:rFonts w:hint="eastAsia" w:ascii="宋体" w:hAnsi="宋体" w:eastAsia="宋体" w:cs="宋体"/>
                <w:highlight w:val="none"/>
              </w:rPr>
              <w:t>具有独立承担民事责任能力的法人（负责人）、其他组织或自然人，并出具合法有效的营业执照或事业单位法人证书等国家规定的相关证明，自然人参与的提供其身份证明。</w:t>
            </w:r>
          </w:p>
        </w:tc>
      </w:tr>
      <w:tr w14:paraId="4C23D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697BA10">
            <w:pPr>
              <w:spacing w:line="360" w:lineRule="auto"/>
              <w:jc w:val="center"/>
              <w:rPr>
                <w:rFonts w:ascii="宋体" w:hAnsi="宋体" w:eastAsia="宋体" w:cs="宋体"/>
                <w:highlight w:val="none"/>
              </w:rPr>
            </w:pPr>
            <w:r>
              <w:rPr>
                <w:rFonts w:hint="eastAsia" w:ascii="宋体" w:hAnsi="宋体" w:eastAsia="宋体" w:cs="宋体"/>
                <w:highlight w:val="none"/>
              </w:rPr>
              <w:t>2</w:t>
            </w:r>
          </w:p>
        </w:tc>
        <w:tc>
          <w:tcPr>
            <w:tcW w:w="2336" w:type="dxa"/>
            <w:vAlign w:val="center"/>
          </w:tcPr>
          <w:p w14:paraId="79449F70">
            <w:pPr>
              <w:spacing w:line="360" w:lineRule="auto"/>
              <w:jc w:val="center"/>
              <w:rPr>
                <w:rFonts w:ascii="宋体" w:hAnsi="宋体" w:eastAsia="宋体" w:cs="宋体"/>
                <w:highlight w:val="none"/>
              </w:rPr>
            </w:pPr>
            <w:r>
              <w:rPr>
                <w:rFonts w:hint="eastAsia" w:ascii="宋体" w:hAnsi="宋体" w:eastAsia="宋体" w:cs="宋体"/>
                <w:highlight w:val="none"/>
              </w:rPr>
              <w:t>社会保障资金缴纳证明</w:t>
            </w:r>
          </w:p>
        </w:tc>
        <w:tc>
          <w:tcPr>
            <w:tcW w:w="5696" w:type="dxa"/>
            <w:vAlign w:val="center"/>
          </w:tcPr>
          <w:p w14:paraId="7171508E">
            <w:pPr>
              <w:spacing w:line="360" w:lineRule="auto"/>
              <w:jc w:val="both"/>
              <w:rPr>
                <w:rFonts w:ascii="宋体" w:hAnsi="宋体" w:eastAsia="宋体" w:cs="宋体"/>
                <w:highlight w:val="none"/>
              </w:rPr>
            </w:pPr>
            <w:r>
              <w:rPr>
                <w:rFonts w:hint="eastAsia" w:ascii="宋体" w:hAnsi="宋体" w:eastAsia="宋体" w:cs="宋体"/>
                <w:highlight w:val="none"/>
              </w:rPr>
              <w:t>供应商提供本单位2024年01月至今已缴纳的至少一个月的社会保障资金缴存单据或社保机构开具的社会保险参保缴费情况证明，单据或证明上应有社保机构或代收机构</w:t>
            </w:r>
            <w:r>
              <w:rPr>
                <w:rFonts w:hint="eastAsia" w:ascii="宋体" w:hAnsi="宋体" w:eastAsia="宋体" w:cs="宋体"/>
                <w:highlight w:val="none"/>
                <w:lang w:eastAsia="zh-Hans"/>
              </w:rPr>
              <w:t>或税务局</w:t>
            </w:r>
            <w:r>
              <w:rPr>
                <w:rFonts w:hint="eastAsia" w:ascii="宋体" w:hAnsi="宋体" w:eastAsia="宋体" w:cs="宋体"/>
                <w:highlight w:val="none"/>
              </w:rPr>
              <w:t>的公章。依法不需要缴纳社会保障资金的供应商应提供相关文件证明。</w:t>
            </w:r>
          </w:p>
        </w:tc>
      </w:tr>
      <w:tr w14:paraId="504D3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491ABD5A">
            <w:pPr>
              <w:spacing w:line="360" w:lineRule="auto"/>
              <w:jc w:val="center"/>
              <w:rPr>
                <w:rFonts w:ascii="宋体" w:hAnsi="宋体" w:eastAsia="宋体" w:cs="宋体"/>
                <w:highlight w:val="none"/>
              </w:rPr>
            </w:pPr>
            <w:r>
              <w:rPr>
                <w:rFonts w:hint="eastAsia" w:ascii="宋体" w:hAnsi="宋体" w:eastAsia="宋体" w:cs="宋体"/>
                <w:highlight w:val="none"/>
              </w:rPr>
              <w:t>3</w:t>
            </w:r>
          </w:p>
        </w:tc>
        <w:tc>
          <w:tcPr>
            <w:tcW w:w="2336" w:type="dxa"/>
            <w:vAlign w:val="center"/>
          </w:tcPr>
          <w:p w14:paraId="21ED7F3A">
            <w:pPr>
              <w:spacing w:line="360" w:lineRule="auto"/>
              <w:jc w:val="center"/>
              <w:rPr>
                <w:rFonts w:ascii="宋体" w:hAnsi="宋体" w:eastAsia="宋体" w:cs="宋体"/>
                <w:highlight w:val="none"/>
              </w:rPr>
            </w:pPr>
            <w:r>
              <w:rPr>
                <w:rFonts w:hint="eastAsia" w:ascii="宋体" w:hAnsi="宋体" w:eastAsia="宋体" w:cs="宋体"/>
                <w:highlight w:val="none"/>
              </w:rPr>
              <w:t>税收缴纳证明</w:t>
            </w:r>
          </w:p>
        </w:tc>
        <w:tc>
          <w:tcPr>
            <w:tcW w:w="5696" w:type="dxa"/>
            <w:vAlign w:val="center"/>
          </w:tcPr>
          <w:p w14:paraId="15BBF1AF">
            <w:pPr>
              <w:spacing w:line="360" w:lineRule="auto"/>
              <w:jc w:val="both"/>
              <w:rPr>
                <w:rFonts w:ascii="宋体" w:hAnsi="宋体" w:eastAsia="宋体" w:cs="宋体"/>
                <w:highlight w:val="none"/>
              </w:rPr>
            </w:pPr>
            <w:r>
              <w:rPr>
                <w:rFonts w:hint="eastAsia" w:ascii="宋体" w:hAnsi="宋体" w:eastAsia="宋体" w:cs="宋体"/>
                <w:highlight w:val="none"/>
              </w:rPr>
              <w:t>供应商提供本单位2024年01月至今已缴纳的至少一个月纳税证明或完税证明，依法免税的单位应提供相关证明材料。</w:t>
            </w:r>
          </w:p>
        </w:tc>
      </w:tr>
      <w:tr w14:paraId="1A4AE4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47750B9E">
            <w:pPr>
              <w:spacing w:line="360" w:lineRule="auto"/>
              <w:jc w:val="center"/>
              <w:rPr>
                <w:rFonts w:ascii="宋体" w:hAnsi="宋体" w:eastAsia="宋体" w:cs="宋体"/>
                <w:highlight w:val="none"/>
              </w:rPr>
            </w:pPr>
            <w:r>
              <w:rPr>
                <w:rFonts w:hint="eastAsia" w:ascii="宋体" w:hAnsi="宋体" w:eastAsia="宋体" w:cs="宋体"/>
                <w:highlight w:val="none"/>
              </w:rPr>
              <w:t>4</w:t>
            </w:r>
          </w:p>
        </w:tc>
        <w:tc>
          <w:tcPr>
            <w:tcW w:w="2336" w:type="dxa"/>
            <w:vAlign w:val="center"/>
          </w:tcPr>
          <w:p w14:paraId="26BC95B9">
            <w:pPr>
              <w:spacing w:line="360" w:lineRule="auto"/>
              <w:jc w:val="center"/>
              <w:rPr>
                <w:rFonts w:ascii="宋体" w:hAnsi="宋体" w:eastAsia="宋体" w:cs="宋体"/>
                <w:highlight w:val="none"/>
              </w:rPr>
            </w:pPr>
            <w:r>
              <w:rPr>
                <w:rFonts w:hint="eastAsia" w:ascii="宋体" w:hAnsi="宋体" w:eastAsia="宋体" w:cs="宋体"/>
                <w:highlight w:val="none"/>
              </w:rPr>
              <w:t>财务状况证明</w:t>
            </w:r>
          </w:p>
        </w:tc>
        <w:tc>
          <w:tcPr>
            <w:tcW w:w="5696" w:type="dxa"/>
            <w:vAlign w:val="center"/>
          </w:tcPr>
          <w:p w14:paraId="358F6F42">
            <w:pPr>
              <w:spacing w:line="360" w:lineRule="auto"/>
              <w:jc w:val="both"/>
              <w:rPr>
                <w:rFonts w:ascii="宋体" w:hAnsi="宋体" w:eastAsia="宋体" w:cs="宋体"/>
                <w:highlight w:val="none"/>
              </w:rPr>
            </w:pPr>
            <w:r>
              <w:rPr>
                <w:rFonts w:hint="eastAsia" w:ascii="宋体" w:hAnsi="宋体" w:eastAsia="宋体" w:cs="宋体"/>
                <w:highlight w:val="none"/>
              </w:rPr>
              <w:t>提供本单位经会计师事务所审计的2023年度的财务审计报告或在开标日期前六个月内其基本开户银行出具的资信证明。</w:t>
            </w:r>
          </w:p>
        </w:tc>
      </w:tr>
      <w:tr w14:paraId="22A34C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1BFCCF78">
            <w:pPr>
              <w:spacing w:line="360" w:lineRule="auto"/>
              <w:jc w:val="center"/>
              <w:rPr>
                <w:rFonts w:ascii="宋体" w:hAnsi="宋体" w:eastAsia="宋体" w:cs="宋体"/>
                <w:highlight w:val="none"/>
              </w:rPr>
            </w:pPr>
            <w:r>
              <w:rPr>
                <w:rFonts w:hint="eastAsia" w:ascii="宋体" w:hAnsi="宋体" w:eastAsia="宋体" w:cs="宋体"/>
                <w:highlight w:val="none"/>
              </w:rPr>
              <w:t>5</w:t>
            </w:r>
          </w:p>
        </w:tc>
        <w:tc>
          <w:tcPr>
            <w:tcW w:w="2336" w:type="dxa"/>
            <w:vAlign w:val="center"/>
          </w:tcPr>
          <w:p w14:paraId="73D4893C">
            <w:pPr>
              <w:spacing w:line="360" w:lineRule="auto"/>
              <w:jc w:val="center"/>
              <w:rPr>
                <w:rFonts w:ascii="宋体" w:hAnsi="宋体" w:eastAsia="宋体" w:cs="宋体"/>
                <w:highlight w:val="none"/>
              </w:rPr>
            </w:pPr>
            <w:r>
              <w:rPr>
                <w:rFonts w:hint="eastAsia" w:ascii="宋体" w:hAnsi="宋体" w:eastAsia="宋体" w:cs="宋体"/>
                <w:highlight w:val="none"/>
              </w:rPr>
              <w:t>无重大违法记录声明</w:t>
            </w:r>
          </w:p>
        </w:tc>
        <w:tc>
          <w:tcPr>
            <w:tcW w:w="5696" w:type="dxa"/>
            <w:vAlign w:val="center"/>
          </w:tcPr>
          <w:p w14:paraId="10B7029B">
            <w:pPr>
              <w:spacing w:line="360" w:lineRule="auto"/>
              <w:jc w:val="both"/>
              <w:rPr>
                <w:rFonts w:ascii="宋体" w:hAnsi="宋体" w:eastAsia="宋体" w:cs="宋体"/>
                <w:highlight w:val="none"/>
              </w:rPr>
            </w:pPr>
            <w:r>
              <w:rPr>
                <w:rFonts w:hint="eastAsia" w:ascii="宋体" w:hAnsi="宋体" w:eastAsia="宋体" w:cs="宋体"/>
                <w:highlight w:val="none"/>
              </w:rPr>
              <w:t>供应商应出具参加本次政府采购活动前3年内在经营活动中没有重大违法违纪，以及未被列入失信被执行人、重大税收违法案件当事人名单、政府采购严重违法失信行为记录名单的书面声明。</w:t>
            </w:r>
          </w:p>
        </w:tc>
      </w:tr>
      <w:tr w14:paraId="2E66F8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1" w:hRule="atLeast"/>
          <w:jc w:val="center"/>
        </w:trPr>
        <w:tc>
          <w:tcPr>
            <w:tcW w:w="836" w:type="dxa"/>
            <w:vAlign w:val="center"/>
          </w:tcPr>
          <w:p w14:paraId="4C5C55E9">
            <w:pPr>
              <w:spacing w:line="360" w:lineRule="auto"/>
              <w:jc w:val="center"/>
              <w:rPr>
                <w:rFonts w:ascii="宋体" w:hAnsi="宋体" w:eastAsia="宋体" w:cs="宋体"/>
                <w:highlight w:val="none"/>
              </w:rPr>
            </w:pPr>
            <w:r>
              <w:rPr>
                <w:rFonts w:hint="eastAsia" w:ascii="宋体" w:hAnsi="宋体" w:eastAsia="宋体" w:cs="宋体"/>
                <w:highlight w:val="none"/>
              </w:rPr>
              <w:t>6</w:t>
            </w:r>
          </w:p>
        </w:tc>
        <w:tc>
          <w:tcPr>
            <w:tcW w:w="2336" w:type="dxa"/>
            <w:vAlign w:val="center"/>
          </w:tcPr>
          <w:p w14:paraId="53F82FD0">
            <w:pPr>
              <w:spacing w:line="360" w:lineRule="auto"/>
              <w:jc w:val="center"/>
              <w:rPr>
                <w:rFonts w:ascii="宋体" w:hAnsi="宋体" w:eastAsia="宋体" w:cs="宋体"/>
                <w:highlight w:val="none"/>
              </w:rPr>
            </w:pPr>
            <w:r>
              <w:rPr>
                <w:rFonts w:hint="eastAsia" w:ascii="宋体" w:hAnsi="宋体" w:eastAsia="宋体" w:cs="宋体"/>
                <w:highlight w:val="none"/>
              </w:rPr>
              <w:t>法定代表人委托授权书或身份证明</w:t>
            </w:r>
          </w:p>
        </w:tc>
        <w:tc>
          <w:tcPr>
            <w:tcW w:w="5696" w:type="dxa"/>
            <w:vAlign w:val="center"/>
          </w:tcPr>
          <w:p w14:paraId="452C5311">
            <w:pPr>
              <w:spacing w:line="360" w:lineRule="auto"/>
              <w:jc w:val="both"/>
              <w:rPr>
                <w:rFonts w:ascii="宋体" w:hAnsi="宋体" w:eastAsia="宋体" w:cs="宋体"/>
                <w:highlight w:val="none"/>
              </w:rPr>
            </w:pPr>
            <w:r>
              <w:rPr>
                <w:rFonts w:hint="eastAsia" w:ascii="宋体" w:hAnsi="宋体" w:eastAsia="宋体" w:cs="宋体"/>
                <w:highlight w:val="none"/>
              </w:rPr>
              <w:t>非法定代表人（负责人）参加投标，须提供法定代表人（负责人）授权委托书及被授权人身份证；法定代表人（负责人）参加投标时,只须提供法定代表人（负责人）身份证。</w:t>
            </w:r>
          </w:p>
        </w:tc>
      </w:tr>
      <w:tr w14:paraId="74ED6A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1" w:hRule="atLeast"/>
          <w:jc w:val="center"/>
        </w:trPr>
        <w:tc>
          <w:tcPr>
            <w:tcW w:w="836" w:type="dxa"/>
            <w:vAlign w:val="center"/>
          </w:tcPr>
          <w:p w14:paraId="56703183">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p>
        </w:tc>
        <w:tc>
          <w:tcPr>
            <w:tcW w:w="2336" w:type="dxa"/>
            <w:vAlign w:val="center"/>
          </w:tcPr>
          <w:p w14:paraId="6DC4F75C">
            <w:pPr>
              <w:spacing w:line="360" w:lineRule="auto"/>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本项目不接受联合体</w:t>
            </w:r>
          </w:p>
        </w:tc>
        <w:tc>
          <w:tcPr>
            <w:tcW w:w="5696" w:type="dxa"/>
            <w:vAlign w:val="center"/>
          </w:tcPr>
          <w:p w14:paraId="093D58C3">
            <w:pPr>
              <w:spacing w:line="360" w:lineRule="auto"/>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提供非联合体投标承诺函。</w:t>
            </w:r>
          </w:p>
        </w:tc>
      </w:tr>
    </w:tbl>
    <w:p w14:paraId="6FD928F8">
      <w:pPr>
        <w:spacing w:line="360" w:lineRule="auto"/>
        <w:rPr>
          <w:rFonts w:ascii="宋体" w:hAnsi="宋体" w:eastAsia="宋体" w:cs="宋体"/>
          <w:highlight w:val="none"/>
        </w:rPr>
      </w:pPr>
    </w:p>
    <w:p w14:paraId="5AA6F559">
      <w:pPr>
        <w:pStyle w:val="5"/>
        <w:rPr>
          <w:rFonts w:ascii="宋体" w:hAnsi="宋体" w:cs="宋体"/>
          <w:sz w:val="24"/>
          <w:szCs w:val="24"/>
          <w:highlight w:val="none"/>
        </w:rPr>
      </w:pPr>
      <w:bookmarkStart w:id="63" w:name="_Toc16062"/>
      <w:r>
        <w:rPr>
          <w:rFonts w:hint="eastAsia" w:ascii="宋体" w:hAnsi="宋体" w:cs="宋体"/>
          <w:sz w:val="24"/>
          <w:szCs w:val="24"/>
          <w:highlight w:val="none"/>
        </w:rPr>
        <w:t>七、评审方法和程序</w:t>
      </w:r>
      <w:bookmarkEnd w:id="63"/>
    </w:p>
    <w:p w14:paraId="2729F3C4">
      <w:pPr>
        <w:pStyle w:val="100"/>
        <w:ind w:firstLine="499"/>
        <w:rPr>
          <w:rFonts w:ascii="宋体" w:hAnsi="宋体" w:cs="宋体"/>
          <w:b/>
          <w:bCs/>
          <w:color w:val="auto"/>
          <w:highlight w:val="none"/>
        </w:rPr>
      </w:pPr>
      <w:bookmarkStart w:id="64" w:name="_Toc14369"/>
      <w:r>
        <w:rPr>
          <w:rFonts w:hint="eastAsia" w:ascii="宋体" w:hAnsi="宋体" w:cs="宋体"/>
          <w:b/>
          <w:bCs/>
          <w:color w:val="auto"/>
          <w:highlight w:val="none"/>
        </w:rPr>
        <w:t>（一）评标方法</w:t>
      </w:r>
      <w:bookmarkEnd w:id="64"/>
    </w:p>
    <w:p w14:paraId="48B5A88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本项目采用综合评分法，即投标文件满足招标文件全部实质性要求，且按照评审因素的量化指标评审得分最高的供应商为中标候选人。</w:t>
      </w:r>
    </w:p>
    <w:p w14:paraId="6C08F10E">
      <w:pPr>
        <w:pStyle w:val="100"/>
        <w:ind w:firstLine="499"/>
        <w:rPr>
          <w:rFonts w:ascii="宋体" w:hAnsi="宋体" w:cs="宋体"/>
          <w:b/>
          <w:bCs/>
          <w:color w:val="auto"/>
          <w:highlight w:val="none"/>
        </w:rPr>
      </w:pPr>
      <w:bookmarkStart w:id="65" w:name="_Toc15322"/>
      <w:r>
        <w:rPr>
          <w:rFonts w:hint="eastAsia" w:ascii="宋体" w:hAnsi="宋体" w:cs="宋体"/>
          <w:b/>
          <w:bCs/>
          <w:color w:val="auto"/>
          <w:highlight w:val="none"/>
        </w:rPr>
        <w:t>（二）评标程序</w:t>
      </w:r>
      <w:bookmarkEnd w:id="65"/>
    </w:p>
    <w:p w14:paraId="28303A83">
      <w:pPr>
        <w:pStyle w:val="100"/>
        <w:ind w:firstLine="497"/>
        <w:rPr>
          <w:rFonts w:ascii="宋体" w:hAnsi="宋体" w:cs="宋体"/>
          <w:color w:val="auto"/>
          <w:highlight w:val="none"/>
        </w:rPr>
      </w:pPr>
      <w:bookmarkStart w:id="66" w:name="_Toc19236"/>
      <w:r>
        <w:rPr>
          <w:rFonts w:hint="eastAsia" w:ascii="宋体" w:hAnsi="宋体" w:cs="宋体"/>
          <w:color w:val="auto"/>
          <w:highlight w:val="none"/>
        </w:rPr>
        <w:t>1．组建评标委员会</w:t>
      </w:r>
      <w:bookmarkEnd w:id="66"/>
    </w:p>
    <w:p w14:paraId="5535E1D5">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4B70B239">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由采购代理机构组织评标委员会推选评标组长，采购人代表不得担任组长。</w:t>
      </w:r>
    </w:p>
    <w:p w14:paraId="23AC798F">
      <w:pPr>
        <w:pStyle w:val="100"/>
        <w:ind w:firstLine="497"/>
        <w:rPr>
          <w:rFonts w:ascii="宋体" w:hAnsi="宋体" w:cs="宋体"/>
          <w:color w:val="auto"/>
          <w:highlight w:val="none"/>
        </w:rPr>
      </w:pPr>
      <w:bookmarkStart w:id="67" w:name="_Toc1683"/>
      <w:r>
        <w:rPr>
          <w:rFonts w:hint="eastAsia" w:ascii="宋体" w:hAnsi="宋体" w:cs="宋体"/>
          <w:color w:val="auto"/>
          <w:highlight w:val="none"/>
        </w:rPr>
        <w:t>2．投标文件的符合性审查</w:t>
      </w:r>
      <w:bookmarkEnd w:id="67"/>
    </w:p>
    <w:p w14:paraId="0DA6C3D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供应商资格性审查通过后，评标委员会对符合资格的投标人的投标文件进行符合性审查，以确定其是否满足招标文件的实质性要求。</w:t>
      </w:r>
    </w:p>
    <w:p w14:paraId="52A9C938">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对于投标文件中含义不明确、同类问题表述不一致或者有明显文字和计算错误的内容，评标委员会应当以书面形式要求投标人作出必要的澄清、说明或者补正。</w:t>
      </w:r>
    </w:p>
    <w:p w14:paraId="4A076431">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7CC1E494">
      <w:pPr>
        <w:spacing w:line="560" w:lineRule="exact"/>
        <w:jc w:val="both"/>
        <w:rPr>
          <w:rFonts w:ascii="宋体" w:hAnsi="宋体" w:eastAsia="宋体" w:cs="宋体"/>
          <w:highlight w:val="none"/>
        </w:rPr>
      </w:pPr>
      <w:r>
        <w:rPr>
          <w:rFonts w:hint="eastAsia" w:ascii="宋体" w:hAnsi="宋体" w:eastAsia="宋体" w:cs="宋体"/>
          <w:highlight w:val="none"/>
        </w:rPr>
        <w:t>〖符合性审查表〗</w:t>
      </w:r>
    </w:p>
    <w:tbl>
      <w:tblPr>
        <w:tblStyle w:val="3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14:paraId="40EEAA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3BFEBBCE">
            <w:pPr>
              <w:spacing w:line="560" w:lineRule="exact"/>
              <w:jc w:val="center"/>
              <w:rPr>
                <w:rFonts w:ascii="宋体" w:hAnsi="宋体" w:eastAsia="宋体" w:cs="宋体"/>
                <w:b/>
                <w:bCs/>
                <w:highlight w:val="none"/>
              </w:rPr>
            </w:pPr>
            <w:r>
              <w:rPr>
                <w:rFonts w:hint="eastAsia" w:ascii="宋体" w:hAnsi="宋体" w:eastAsia="宋体" w:cs="宋体"/>
                <w:b/>
                <w:bCs/>
                <w:highlight w:val="none"/>
              </w:rPr>
              <w:t>序号</w:t>
            </w:r>
          </w:p>
        </w:tc>
        <w:tc>
          <w:tcPr>
            <w:tcW w:w="2392" w:type="dxa"/>
            <w:tcBorders>
              <w:top w:val="single" w:color="auto" w:sz="12" w:space="0"/>
              <w:bottom w:val="single" w:color="auto" w:sz="2" w:space="0"/>
            </w:tcBorders>
            <w:shd w:val="clear" w:color="auto" w:fill="F1F1F1" w:themeFill="background1" w:themeFillShade="F2"/>
            <w:vAlign w:val="center"/>
          </w:tcPr>
          <w:p w14:paraId="482C7593">
            <w:pPr>
              <w:spacing w:line="560" w:lineRule="exact"/>
              <w:jc w:val="center"/>
              <w:rPr>
                <w:rFonts w:ascii="宋体" w:hAnsi="宋体" w:eastAsia="宋体" w:cs="宋体"/>
                <w:b/>
                <w:bCs/>
                <w:highlight w:val="none"/>
              </w:rPr>
            </w:pPr>
            <w:r>
              <w:rPr>
                <w:rFonts w:hint="eastAsia" w:ascii="宋体" w:hAnsi="宋体" w:eastAsia="宋体" w:cs="宋体"/>
                <w:b/>
                <w:bCs/>
                <w:highlight w:val="none"/>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14:paraId="19297FCF">
            <w:pPr>
              <w:spacing w:line="560" w:lineRule="exact"/>
              <w:jc w:val="center"/>
              <w:rPr>
                <w:rFonts w:ascii="宋体" w:hAnsi="宋体" w:eastAsia="宋体" w:cs="宋体"/>
                <w:b/>
                <w:bCs/>
                <w:highlight w:val="none"/>
              </w:rPr>
            </w:pPr>
            <w:r>
              <w:rPr>
                <w:rFonts w:hint="eastAsia" w:ascii="宋体" w:hAnsi="宋体" w:eastAsia="宋体" w:cs="宋体"/>
                <w:b/>
                <w:bCs/>
                <w:highlight w:val="none"/>
              </w:rPr>
              <w:t>通过条件</w:t>
            </w:r>
          </w:p>
        </w:tc>
      </w:tr>
      <w:tr w14:paraId="6D7125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31524191">
            <w:pPr>
              <w:spacing w:line="560" w:lineRule="exact"/>
              <w:jc w:val="center"/>
              <w:rPr>
                <w:rFonts w:ascii="宋体" w:hAnsi="宋体" w:eastAsia="宋体" w:cs="宋体"/>
                <w:highlight w:val="none"/>
              </w:rPr>
            </w:pPr>
            <w:r>
              <w:rPr>
                <w:rFonts w:hint="eastAsia" w:ascii="宋体" w:hAnsi="宋体" w:eastAsia="宋体" w:cs="宋体"/>
                <w:highlight w:val="none"/>
              </w:rPr>
              <w:t>1</w:t>
            </w:r>
          </w:p>
        </w:tc>
        <w:tc>
          <w:tcPr>
            <w:tcW w:w="2392" w:type="dxa"/>
            <w:tcBorders>
              <w:top w:val="single" w:color="auto" w:sz="2" w:space="0"/>
            </w:tcBorders>
            <w:vAlign w:val="center"/>
          </w:tcPr>
          <w:p w14:paraId="523F5A2B">
            <w:pPr>
              <w:jc w:val="both"/>
              <w:rPr>
                <w:rFonts w:ascii="宋体" w:hAnsi="宋体" w:eastAsia="宋体" w:cs="宋体"/>
                <w:highlight w:val="none"/>
              </w:rPr>
            </w:pPr>
            <w:r>
              <w:rPr>
                <w:rFonts w:hint="eastAsia" w:ascii="宋体" w:hAnsi="宋体" w:eastAsia="宋体" w:cs="宋体"/>
                <w:highlight w:val="none"/>
              </w:rPr>
              <w:t>投标人名称是否与营业执照、资质证书一致</w:t>
            </w:r>
          </w:p>
        </w:tc>
        <w:tc>
          <w:tcPr>
            <w:tcW w:w="5498" w:type="dxa"/>
            <w:tcBorders>
              <w:top w:val="single" w:color="auto" w:sz="2" w:space="0"/>
            </w:tcBorders>
            <w:vAlign w:val="center"/>
          </w:tcPr>
          <w:p w14:paraId="51625439">
            <w:pPr>
              <w:jc w:val="both"/>
              <w:rPr>
                <w:rFonts w:ascii="宋体" w:hAnsi="宋体" w:eastAsia="宋体" w:cs="宋体"/>
                <w:highlight w:val="none"/>
              </w:rPr>
            </w:pPr>
            <w:r>
              <w:rPr>
                <w:rFonts w:hint="eastAsia" w:ascii="宋体" w:hAnsi="宋体" w:eastAsia="宋体" w:cs="宋体"/>
                <w:highlight w:val="none"/>
              </w:rPr>
              <w:t>投标人名称与营业执照、资质证书一致</w:t>
            </w:r>
          </w:p>
        </w:tc>
      </w:tr>
      <w:tr w14:paraId="753C30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4B73635B">
            <w:pPr>
              <w:spacing w:line="560" w:lineRule="exact"/>
              <w:jc w:val="center"/>
              <w:rPr>
                <w:rFonts w:ascii="宋体" w:hAnsi="宋体" w:eastAsia="宋体" w:cs="宋体"/>
                <w:highlight w:val="none"/>
              </w:rPr>
            </w:pPr>
            <w:r>
              <w:rPr>
                <w:rFonts w:hint="eastAsia" w:ascii="宋体" w:hAnsi="宋体" w:eastAsia="宋体" w:cs="宋体"/>
                <w:highlight w:val="none"/>
              </w:rPr>
              <w:t>2</w:t>
            </w:r>
          </w:p>
        </w:tc>
        <w:tc>
          <w:tcPr>
            <w:tcW w:w="2392" w:type="dxa"/>
            <w:tcBorders>
              <w:top w:val="single" w:color="auto" w:sz="2" w:space="0"/>
            </w:tcBorders>
            <w:vAlign w:val="center"/>
          </w:tcPr>
          <w:p w14:paraId="345D24DA">
            <w:pPr>
              <w:spacing w:line="560" w:lineRule="exact"/>
              <w:jc w:val="center"/>
              <w:rPr>
                <w:rFonts w:ascii="宋体" w:hAnsi="宋体" w:eastAsia="宋体" w:cs="宋体"/>
                <w:highlight w:val="none"/>
              </w:rPr>
            </w:pPr>
            <w:r>
              <w:rPr>
                <w:rFonts w:hint="eastAsia" w:ascii="宋体" w:hAnsi="宋体" w:eastAsia="宋体" w:cs="宋体"/>
                <w:highlight w:val="none"/>
              </w:rPr>
              <w:t>投标报价是否超过预算或最高限价</w:t>
            </w:r>
          </w:p>
        </w:tc>
        <w:tc>
          <w:tcPr>
            <w:tcW w:w="5498" w:type="dxa"/>
            <w:tcBorders>
              <w:top w:val="single" w:color="auto" w:sz="2" w:space="0"/>
            </w:tcBorders>
            <w:vAlign w:val="center"/>
          </w:tcPr>
          <w:p w14:paraId="77D204D0">
            <w:pPr>
              <w:jc w:val="both"/>
              <w:rPr>
                <w:rFonts w:ascii="宋体" w:hAnsi="宋体" w:eastAsia="宋体" w:cs="宋体"/>
                <w:highlight w:val="none"/>
              </w:rPr>
            </w:pPr>
            <w:r>
              <w:rPr>
                <w:rFonts w:hint="eastAsia" w:ascii="宋体" w:hAnsi="宋体" w:eastAsia="宋体" w:cs="宋体"/>
                <w:highlight w:val="none"/>
              </w:rPr>
              <w:t>投标报价未超过预算或最高限价</w:t>
            </w:r>
          </w:p>
        </w:tc>
      </w:tr>
      <w:tr w14:paraId="2BA2D4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11C7CD62">
            <w:pPr>
              <w:spacing w:line="560" w:lineRule="exact"/>
              <w:jc w:val="center"/>
              <w:rPr>
                <w:rFonts w:ascii="宋体" w:hAnsi="宋体" w:eastAsia="宋体" w:cs="宋体"/>
                <w:highlight w:val="none"/>
              </w:rPr>
            </w:pPr>
            <w:r>
              <w:rPr>
                <w:rFonts w:hint="eastAsia" w:ascii="宋体" w:hAnsi="宋体" w:eastAsia="宋体" w:cs="宋体"/>
                <w:highlight w:val="none"/>
              </w:rPr>
              <w:t>3</w:t>
            </w:r>
          </w:p>
        </w:tc>
        <w:tc>
          <w:tcPr>
            <w:tcW w:w="2392" w:type="dxa"/>
            <w:vAlign w:val="center"/>
          </w:tcPr>
          <w:p w14:paraId="300941B6">
            <w:pPr>
              <w:spacing w:line="560" w:lineRule="exact"/>
              <w:jc w:val="center"/>
              <w:rPr>
                <w:rFonts w:ascii="宋体" w:hAnsi="宋体" w:eastAsia="宋体" w:cs="宋体"/>
                <w:highlight w:val="none"/>
              </w:rPr>
            </w:pPr>
            <w:r>
              <w:rPr>
                <w:rFonts w:hint="eastAsia" w:ascii="宋体" w:hAnsi="宋体" w:eastAsia="宋体" w:cs="宋体"/>
                <w:highlight w:val="none"/>
              </w:rPr>
              <w:t>服务期是否满足招标文件要求</w:t>
            </w:r>
          </w:p>
        </w:tc>
        <w:tc>
          <w:tcPr>
            <w:tcW w:w="5498" w:type="dxa"/>
            <w:vAlign w:val="center"/>
          </w:tcPr>
          <w:p w14:paraId="193F03EF">
            <w:pPr>
              <w:jc w:val="both"/>
              <w:rPr>
                <w:rFonts w:ascii="宋体" w:hAnsi="宋体" w:eastAsia="宋体" w:cs="宋体"/>
                <w:highlight w:val="none"/>
              </w:rPr>
            </w:pPr>
            <w:r>
              <w:rPr>
                <w:rFonts w:hint="eastAsia" w:ascii="宋体" w:hAnsi="宋体" w:eastAsia="宋体" w:cs="宋体"/>
                <w:highlight w:val="none"/>
              </w:rPr>
              <w:t>服务期满足招标文件要求</w:t>
            </w:r>
          </w:p>
        </w:tc>
      </w:tr>
      <w:tr w14:paraId="3E1BEA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4BF4E0CF">
            <w:pPr>
              <w:spacing w:line="560" w:lineRule="exact"/>
              <w:jc w:val="center"/>
              <w:rPr>
                <w:rFonts w:ascii="宋体" w:hAnsi="宋体" w:eastAsia="宋体" w:cs="宋体"/>
                <w:highlight w:val="none"/>
              </w:rPr>
            </w:pPr>
            <w:r>
              <w:rPr>
                <w:rFonts w:hint="eastAsia" w:ascii="宋体" w:hAnsi="宋体" w:eastAsia="宋体" w:cs="宋体"/>
                <w:highlight w:val="none"/>
              </w:rPr>
              <w:t>4</w:t>
            </w:r>
          </w:p>
        </w:tc>
        <w:tc>
          <w:tcPr>
            <w:tcW w:w="2392" w:type="dxa"/>
            <w:vAlign w:val="center"/>
          </w:tcPr>
          <w:p w14:paraId="550DF642">
            <w:pPr>
              <w:spacing w:line="560" w:lineRule="exact"/>
              <w:jc w:val="center"/>
              <w:rPr>
                <w:rFonts w:ascii="宋体" w:hAnsi="宋体" w:eastAsia="宋体" w:cs="宋体"/>
                <w:highlight w:val="none"/>
              </w:rPr>
            </w:pPr>
            <w:r>
              <w:rPr>
                <w:rFonts w:hint="eastAsia" w:ascii="宋体" w:hAnsi="宋体" w:eastAsia="宋体" w:cs="宋体"/>
                <w:highlight w:val="none"/>
              </w:rPr>
              <w:t>签字盖章是否满足招标文件要求</w:t>
            </w:r>
          </w:p>
        </w:tc>
        <w:tc>
          <w:tcPr>
            <w:tcW w:w="5498" w:type="dxa"/>
            <w:vAlign w:val="center"/>
          </w:tcPr>
          <w:p w14:paraId="1BAAC929">
            <w:pPr>
              <w:jc w:val="both"/>
              <w:rPr>
                <w:rFonts w:ascii="宋体" w:hAnsi="宋体" w:eastAsia="宋体" w:cs="宋体"/>
                <w:highlight w:val="none"/>
              </w:rPr>
            </w:pPr>
            <w:r>
              <w:rPr>
                <w:rFonts w:hint="eastAsia" w:ascii="宋体" w:hAnsi="宋体" w:eastAsia="宋体" w:cs="宋体"/>
                <w:highlight w:val="none"/>
              </w:rPr>
              <w:t>签字盖章均符合招标文件要求，且无遗漏。</w:t>
            </w:r>
          </w:p>
        </w:tc>
      </w:tr>
      <w:tr w14:paraId="589E1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1A407DE5">
            <w:pPr>
              <w:spacing w:line="560" w:lineRule="exact"/>
              <w:jc w:val="center"/>
              <w:rPr>
                <w:rFonts w:ascii="宋体" w:hAnsi="宋体" w:eastAsia="宋体" w:cs="宋体"/>
                <w:highlight w:val="none"/>
              </w:rPr>
            </w:pPr>
            <w:r>
              <w:rPr>
                <w:rFonts w:hint="eastAsia" w:ascii="宋体" w:hAnsi="宋体" w:eastAsia="宋体" w:cs="宋体"/>
                <w:highlight w:val="none"/>
              </w:rPr>
              <w:t>5</w:t>
            </w:r>
          </w:p>
        </w:tc>
        <w:tc>
          <w:tcPr>
            <w:tcW w:w="2392" w:type="dxa"/>
            <w:vAlign w:val="center"/>
          </w:tcPr>
          <w:p w14:paraId="553AAD49">
            <w:pPr>
              <w:spacing w:line="560" w:lineRule="exact"/>
              <w:jc w:val="center"/>
              <w:rPr>
                <w:rFonts w:ascii="宋体" w:hAnsi="宋体" w:eastAsia="宋体" w:cs="宋体"/>
                <w:highlight w:val="none"/>
              </w:rPr>
            </w:pPr>
            <w:r>
              <w:rPr>
                <w:rFonts w:hint="eastAsia" w:ascii="宋体" w:hAnsi="宋体" w:eastAsia="宋体" w:cs="宋体"/>
                <w:highlight w:val="none"/>
              </w:rPr>
              <w:t>投标文件有效期</w:t>
            </w:r>
          </w:p>
        </w:tc>
        <w:tc>
          <w:tcPr>
            <w:tcW w:w="5498" w:type="dxa"/>
            <w:vAlign w:val="center"/>
          </w:tcPr>
          <w:p w14:paraId="0EEFA10D">
            <w:pPr>
              <w:jc w:val="both"/>
              <w:rPr>
                <w:rFonts w:ascii="宋体" w:hAnsi="宋体" w:eastAsia="宋体" w:cs="宋体"/>
                <w:highlight w:val="none"/>
              </w:rPr>
            </w:pPr>
            <w:r>
              <w:rPr>
                <w:rFonts w:hint="eastAsia" w:ascii="宋体" w:hAnsi="宋体" w:eastAsia="宋体" w:cs="宋体"/>
                <w:highlight w:val="none"/>
              </w:rPr>
              <w:t>符合招标文件的要求</w:t>
            </w:r>
          </w:p>
        </w:tc>
      </w:tr>
    </w:tbl>
    <w:p w14:paraId="5F7DACCA">
      <w:pPr>
        <w:pStyle w:val="100"/>
        <w:ind w:firstLine="497"/>
        <w:rPr>
          <w:rFonts w:ascii="宋体" w:hAnsi="宋体" w:cs="宋体"/>
          <w:color w:val="auto"/>
          <w:highlight w:val="none"/>
        </w:rPr>
      </w:pPr>
      <w:bookmarkStart w:id="68" w:name="_Toc11857"/>
      <w:r>
        <w:rPr>
          <w:rFonts w:hint="eastAsia" w:ascii="宋体" w:hAnsi="宋体" w:cs="宋体"/>
          <w:color w:val="auto"/>
          <w:highlight w:val="none"/>
        </w:rPr>
        <w:t>3．综合比较与评价</w:t>
      </w:r>
      <w:bookmarkEnd w:id="68"/>
    </w:p>
    <w:p w14:paraId="44FD8C9B">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评标委员会按《评审要素及分值一览表》中规定的评标方法和标准，对通过符合性审查的投标文件进行商务和技术评估，综合比较与评价。</w:t>
      </w:r>
    </w:p>
    <w:p w14:paraId="5BB98974">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出现下列情形的，供应商投标无效：</w:t>
      </w:r>
    </w:p>
    <w:p w14:paraId="1724D23F">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（1）投标文件报价出现本章第五小节“投标报价”所列需要修正情形，但供应商对修正后的报价不予确认的；</w:t>
      </w:r>
    </w:p>
    <w:p w14:paraId="627B5877">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7391ACE9">
      <w:pPr>
        <w:rPr>
          <w:rFonts w:ascii="宋体" w:hAnsi="宋体" w:eastAsia="宋体" w:cs="宋体"/>
          <w:highlight w:val="none"/>
        </w:rPr>
      </w:pPr>
      <w:r>
        <w:rPr>
          <w:rFonts w:hint="eastAsia" w:ascii="宋体" w:hAnsi="宋体" w:eastAsia="宋体" w:cs="宋体"/>
          <w:highlight w:val="none"/>
        </w:rPr>
        <w:br w:type="page"/>
      </w:r>
    </w:p>
    <w:p w14:paraId="4F57DDC4">
      <w:pPr>
        <w:spacing w:line="560" w:lineRule="exact"/>
        <w:jc w:val="both"/>
        <w:rPr>
          <w:rFonts w:ascii="宋体" w:hAnsi="宋体" w:eastAsia="宋体" w:cs="宋体"/>
          <w:sz w:val="28"/>
          <w:szCs w:val="28"/>
          <w:highlight w:val="none"/>
        </w:rPr>
      </w:pPr>
      <w:r>
        <w:rPr>
          <w:rFonts w:hint="eastAsia" w:ascii="宋体" w:hAnsi="宋体" w:eastAsia="宋体" w:cs="宋体"/>
          <w:sz w:val="28"/>
          <w:szCs w:val="28"/>
          <w:highlight w:val="none"/>
        </w:rPr>
        <w:t>〖评审要素及分值一览表〗</w:t>
      </w:r>
    </w:p>
    <w:p w14:paraId="72FC5499">
      <w:pPr>
        <w:pStyle w:val="4"/>
        <w:ind w:firstLine="2728" w:firstLineChars="1100"/>
        <w:rPr>
          <w:rFonts w:ascii="宋体" w:hAnsi="宋体" w:cs="宋体"/>
          <w:highlight w:val="none"/>
        </w:rPr>
      </w:pPr>
      <w:bookmarkStart w:id="69" w:name="_Toc16792"/>
      <w:r>
        <w:rPr>
          <w:rFonts w:hint="eastAsia" w:ascii="宋体" w:hAnsi="宋体" w:cs="宋体"/>
          <w:b/>
          <w:bCs/>
          <w:highlight w:val="none"/>
        </w:rPr>
        <w:t>评审标准</w:t>
      </w:r>
      <w:bookmarkEnd w:id="69"/>
    </w:p>
    <w:p w14:paraId="02D5B98D">
      <w:pPr>
        <w:rPr>
          <w:rFonts w:ascii="宋体" w:hAnsi="宋体" w:eastAsia="宋体" w:cs="宋体"/>
          <w:highlight w:val="none"/>
        </w:rPr>
      </w:pPr>
      <w:r>
        <w:rPr>
          <w:rFonts w:hint="eastAsia" w:ascii="宋体" w:hAnsi="宋体" w:eastAsia="宋体" w:cs="宋体"/>
          <w:highlight w:val="none"/>
        </w:rPr>
        <w:t xml:space="preserve">        </w:t>
      </w:r>
    </w:p>
    <w:tbl>
      <w:tblPr>
        <w:tblStyle w:val="3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96"/>
        <w:gridCol w:w="684"/>
        <w:gridCol w:w="6460"/>
      </w:tblGrid>
      <w:tr w14:paraId="02D9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1018" w:type="dxa"/>
            <w:vAlign w:val="center"/>
          </w:tcPr>
          <w:p w14:paraId="1A7893C2">
            <w:pPr>
              <w:pStyle w:val="20"/>
              <w:ind w:left="6210"/>
              <w:rPr>
                <w:rFonts w:ascii="宋体" w:hAnsi="宋体" w:eastAsia="宋体" w:cs="宋体"/>
                <w:b/>
                <w:bCs/>
                <w:sz w:val="21"/>
                <w:szCs w:val="21"/>
                <w:highlight w:val="none"/>
              </w:rPr>
            </w:pPr>
            <w:r>
              <w:rPr>
                <w:rFonts w:hint="eastAsia" w:ascii="宋体" w:hAnsi="宋体" w:eastAsia="宋体" w:cs="宋体"/>
                <w:b/>
                <w:bCs/>
                <w:sz w:val="21"/>
                <w:szCs w:val="21"/>
                <w:highlight w:val="none"/>
              </w:rPr>
              <w:t>评审项及最高得分</w:t>
            </w:r>
          </w:p>
        </w:tc>
        <w:tc>
          <w:tcPr>
            <w:tcW w:w="896" w:type="dxa"/>
            <w:vAlign w:val="center"/>
          </w:tcPr>
          <w:p w14:paraId="75B4E80D">
            <w:pPr>
              <w:jc w:val="center"/>
              <w:rPr>
                <w:rFonts w:ascii="宋体" w:hAnsi="宋体" w:eastAsia="宋体" w:cs="宋体"/>
                <w:b/>
                <w:bCs/>
                <w:szCs w:val="21"/>
                <w:highlight w:val="none"/>
              </w:rPr>
            </w:pPr>
            <w:r>
              <w:rPr>
                <w:rFonts w:hint="eastAsia" w:ascii="宋体" w:hAnsi="宋体" w:eastAsia="宋体" w:cs="宋体"/>
                <w:b/>
                <w:bCs/>
                <w:szCs w:val="21"/>
                <w:highlight w:val="none"/>
              </w:rPr>
              <w:t>评审</w:t>
            </w:r>
          </w:p>
          <w:p w14:paraId="6DEAE0E4">
            <w:pPr>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c>
          <w:tcPr>
            <w:tcW w:w="684" w:type="dxa"/>
            <w:vAlign w:val="center"/>
          </w:tcPr>
          <w:p w14:paraId="2860CA44">
            <w:pPr>
              <w:jc w:val="center"/>
              <w:rPr>
                <w:rFonts w:ascii="宋体" w:hAnsi="宋体" w:eastAsia="宋体" w:cs="宋体"/>
                <w:b/>
                <w:bCs/>
                <w:szCs w:val="21"/>
                <w:highlight w:val="none"/>
              </w:rPr>
            </w:pPr>
            <w:r>
              <w:rPr>
                <w:rFonts w:hint="eastAsia" w:ascii="宋体" w:hAnsi="宋体" w:eastAsia="宋体" w:cs="宋体"/>
                <w:b/>
                <w:bCs/>
                <w:szCs w:val="21"/>
                <w:highlight w:val="none"/>
              </w:rPr>
              <w:t>分项</w:t>
            </w:r>
          </w:p>
          <w:p w14:paraId="4D13DF21">
            <w:pPr>
              <w:jc w:val="center"/>
              <w:rPr>
                <w:rFonts w:ascii="宋体" w:hAnsi="宋体" w:eastAsia="宋体" w:cs="宋体"/>
                <w:b/>
                <w:bCs/>
                <w:szCs w:val="21"/>
                <w:highlight w:val="none"/>
              </w:rPr>
            </w:pPr>
            <w:r>
              <w:rPr>
                <w:rFonts w:hint="eastAsia" w:ascii="宋体" w:hAnsi="宋体" w:eastAsia="宋体" w:cs="宋体"/>
                <w:b/>
                <w:bCs/>
                <w:szCs w:val="21"/>
                <w:highlight w:val="none"/>
              </w:rPr>
              <w:t>得分</w:t>
            </w:r>
          </w:p>
        </w:tc>
        <w:tc>
          <w:tcPr>
            <w:tcW w:w="6460" w:type="dxa"/>
            <w:vAlign w:val="center"/>
          </w:tcPr>
          <w:p w14:paraId="493639E3">
            <w:pPr>
              <w:jc w:val="center"/>
              <w:rPr>
                <w:rFonts w:ascii="宋体" w:hAnsi="宋体" w:eastAsia="宋体" w:cs="宋体"/>
                <w:b/>
                <w:bCs/>
                <w:szCs w:val="21"/>
                <w:highlight w:val="none"/>
              </w:rPr>
            </w:pPr>
            <w:r>
              <w:rPr>
                <w:rFonts w:hint="eastAsia" w:ascii="宋体" w:hAnsi="宋体" w:eastAsia="宋体" w:cs="宋体"/>
                <w:b/>
                <w:bCs/>
                <w:szCs w:val="21"/>
                <w:highlight w:val="none"/>
              </w:rPr>
              <w:t>评审要素</w:t>
            </w:r>
          </w:p>
        </w:tc>
      </w:tr>
      <w:tr w14:paraId="14ED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18" w:type="dxa"/>
            <w:vAlign w:val="center"/>
          </w:tcPr>
          <w:p w14:paraId="409851B6">
            <w:pPr>
              <w:jc w:val="center"/>
              <w:rPr>
                <w:rFonts w:ascii="宋体" w:hAnsi="宋体" w:eastAsia="宋体" w:cs="宋体"/>
                <w:b/>
                <w:bCs/>
                <w:szCs w:val="21"/>
                <w:highlight w:val="none"/>
              </w:rPr>
            </w:pPr>
            <w:r>
              <w:rPr>
                <w:rFonts w:hint="eastAsia" w:ascii="宋体" w:hAnsi="宋体" w:eastAsia="宋体" w:cs="宋体"/>
                <w:szCs w:val="21"/>
                <w:highlight w:val="none"/>
              </w:rPr>
              <w:t>价格部分（10分）</w:t>
            </w:r>
          </w:p>
        </w:tc>
        <w:tc>
          <w:tcPr>
            <w:tcW w:w="896" w:type="dxa"/>
            <w:vAlign w:val="center"/>
          </w:tcPr>
          <w:p w14:paraId="7F824B1A">
            <w:pPr>
              <w:rPr>
                <w:rFonts w:ascii="宋体" w:hAnsi="宋体" w:eastAsia="宋体" w:cs="宋体"/>
                <w:b/>
                <w:bCs/>
                <w:szCs w:val="21"/>
                <w:highlight w:val="none"/>
              </w:rPr>
            </w:pPr>
            <w:r>
              <w:rPr>
                <w:rFonts w:hint="eastAsia" w:ascii="宋体" w:hAnsi="宋体" w:eastAsia="宋体" w:cs="宋体"/>
                <w:szCs w:val="21"/>
                <w:highlight w:val="none"/>
              </w:rPr>
              <w:t>投标报价得分</w:t>
            </w:r>
          </w:p>
        </w:tc>
        <w:tc>
          <w:tcPr>
            <w:tcW w:w="684" w:type="dxa"/>
            <w:vAlign w:val="center"/>
          </w:tcPr>
          <w:p w14:paraId="0826D9C0">
            <w:pPr>
              <w:rPr>
                <w:rFonts w:ascii="宋体" w:hAnsi="宋体" w:eastAsia="宋体" w:cs="宋体"/>
                <w:b/>
                <w:bCs/>
                <w:szCs w:val="21"/>
                <w:highlight w:val="none"/>
              </w:rPr>
            </w:pPr>
            <w:r>
              <w:rPr>
                <w:rFonts w:hint="eastAsia" w:ascii="宋体" w:hAnsi="宋体" w:eastAsia="宋体" w:cs="宋体"/>
                <w:bCs/>
                <w:szCs w:val="21"/>
                <w:highlight w:val="none"/>
              </w:rPr>
              <w:t>10</w:t>
            </w:r>
            <w:r>
              <w:rPr>
                <w:rFonts w:hint="eastAsia" w:ascii="宋体" w:hAnsi="宋体" w:eastAsia="宋体" w:cs="宋体"/>
                <w:szCs w:val="21"/>
                <w:highlight w:val="none"/>
              </w:rPr>
              <w:t>分</w:t>
            </w:r>
          </w:p>
        </w:tc>
        <w:tc>
          <w:tcPr>
            <w:tcW w:w="6460" w:type="dxa"/>
            <w:vAlign w:val="center"/>
          </w:tcPr>
          <w:p w14:paraId="0522BB97">
            <w:pPr>
              <w:numPr>
                <w:ilvl w:val="0"/>
                <w:numId w:val="3"/>
              </w:numPr>
              <w:rPr>
                <w:rFonts w:ascii="宋体" w:hAnsi="宋体" w:eastAsia="宋体" w:cs="宋体"/>
                <w:szCs w:val="21"/>
                <w:highlight w:val="none"/>
              </w:rPr>
            </w:pPr>
            <w:r>
              <w:rPr>
                <w:rFonts w:hint="eastAsia" w:ascii="宋体" w:hAnsi="宋体" w:eastAsia="宋体" w:cs="宋体"/>
                <w:szCs w:val="21"/>
                <w:highlight w:val="none"/>
              </w:rPr>
              <w:t>经初审合格的投标文件，其投标报价为有效投标价；</w:t>
            </w:r>
          </w:p>
          <w:p w14:paraId="4FC57EBF">
            <w:pPr>
              <w:numPr>
                <w:ilvl w:val="0"/>
                <w:numId w:val="3"/>
              </w:numPr>
              <w:rPr>
                <w:rFonts w:ascii="宋体" w:hAnsi="宋体" w:eastAsia="宋体" w:cs="宋体"/>
                <w:szCs w:val="21"/>
                <w:highlight w:val="none"/>
              </w:rPr>
            </w:pPr>
            <w:r>
              <w:rPr>
                <w:rFonts w:hint="eastAsia" w:ascii="宋体" w:hAnsi="宋体" w:eastAsia="宋体" w:cs="宋体"/>
                <w:szCs w:val="21"/>
                <w:highlight w:val="none"/>
              </w:rPr>
              <w:t>满足招标文件要求且投标价格最低的投标报价为评标基准价。</w:t>
            </w:r>
          </w:p>
          <w:p w14:paraId="15A02507">
            <w:pPr>
              <w:rPr>
                <w:rFonts w:ascii="宋体" w:hAnsi="宋体" w:eastAsia="宋体" w:cs="宋体"/>
                <w:highlight w:val="none"/>
              </w:rPr>
            </w:pPr>
            <w:r>
              <w:rPr>
                <w:rFonts w:hint="eastAsia" w:ascii="宋体" w:hAnsi="宋体" w:eastAsia="宋体" w:cs="宋体"/>
                <w:highlight w:val="none"/>
              </w:rPr>
              <w:t xml:space="preserve">3、投标报价得分=(评标基准价／投标报价)×10 </w:t>
            </w:r>
          </w:p>
        </w:tc>
      </w:tr>
      <w:tr w14:paraId="3A99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1018" w:type="dxa"/>
            <w:vMerge w:val="restart"/>
            <w:vAlign w:val="center"/>
          </w:tcPr>
          <w:p w14:paraId="0BDD0B3F">
            <w:pPr>
              <w:jc w:val="center"/>
              <w:rPr>
                <w:rFonts w:ascii="宋体" w:hAnsi="宋体" w:eastAsia="宋体" w:cs="宋体"/>
                <w:szCs w:val="21"/>
                <w:highlight w:val="none"/>
              </w:rPr>
            </w:pPr>
            <w:r>
              <w:rPr>
                <w:rFonts w:hint="eastAsia" w:ascii="宋体" w:hAnsi="宋体" w:eastAsia="宋体" w:cs="宋体"/>
                <w:szCs w:val="21"/>
                <w:highlight w:val="none"/>
              </w:rPr>
              <w:t>技术部分（5</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896" w:type="dxa"/>
            <w:vAlign w:val="center"/>
          </w:tcPr>
          <w:p w14:paraId="67CE5602">
            <w:pPr>
              <w:rPr>
                <w:rFonts w:ascii="宋体" w:hAnsi="宋体" w:eastAsia="宋体" w:cs="宋体"/>
                <w:bCs/>
                <w:szCs w:val="21"/>
                <w:highlight w:val="none"/>
              </w:rPr>
            </w:pPr>
            <w:r>
              <w:rPr>
                <w:rFonts w:hint="eastAsia" w:ascii="宋体" w:hAnsi="宋体" w:eastAsia="宋体" w:cs="宋体"/>
                <w:highlight w:val="none"/>
              </w:rPr>
              <w:t>功能响应情况</w:t>
            </w:r>
          </w:p>
        </w:tc>
        <w:tc>
          <w:tcPr>
            <w:tcW w:w="684" w:type="dxa"/>
            <w:vAlign w:val="center"/>
          </w:tcPr>
          <w:p w14:paraId="771A7175">
            <w:pPr>
              <w:rPr>
                <w:rFonts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0分</w:t>
            </w:r>
          </w:p>
        </w:tc>
        <w:tc>
          <w:tcPr>
            <w:tcW w:w="6460" w:type="dxa"/>
            <w:vAlign w:val="center"/>
          </w:tcPr>
          <w:p w14:paraId="31A29D41">
            <w:pPr>
              <w:pStyle w:val="22"/>
              <w:spacing w:line="360" w:lineRule="auto"/>
              <w:ind w:firstLine="496" w:firstLineChars="200"/>
              <w:rPr>
                <w:rFonts w:ascii="宋体" w:hAnsi="宋体" w:eastAsia="宋体" w:cs="宋体"/>
                <w:sz w:val="24"/>
                <w:szCs w:val="24"/>
                <w:highlight w:val="none"/>
              </w:rPr>
            </w:pPr>
            <w:r>
              <w:rPr>
                <w:rFonts w:hint="eastAsia" w:ascii="宋体" w:hAnsi="宋体" w:eastAsia="宋体" w:cs="宋体"/>
                <w:sz w:val="24"/>
                <w:szCs w:val="24"/>
                <w:highlight w:val="none"/>
              </w:rPr>
              <w:t>完全满足采购需求功能和技术要求得</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分，参数每负偏离一项扣 1 分，扣完为止。 </w:t>
            </w:r>
          </w:p>
          <w:p w14:paraId="7E58975E">
            <w:pPr>
              <w:pStyle w:val="22"/>
              <w:spacing w:line="360" w:lineRule="auto"/>
              <w:ind w:firstLine="496" w:firstLineChars="200"/>
              <w:rPr>
                <w:rFonts w:ascii="宋体" w:hAnsi="宋体" w:eastAsia="宋体" w:cs="宋体"/>
                <w:sz w:val="24"/>
                <w:szCs w:val="24"/>
                <w:highlight w:val="none"/>
              </w:rPr>
            </w:pPr>
            <w:r>
              <w:rPr>
                <w:rFonts w:hint="eastAsia" w:ascii="宋体" w:hAnsi="宋体" w:eastAsia="宋体" w:cs="宋体"/>
                <w:sz w:val="24"/>
                <w:szCs w:val="24"/>
                <w:highlight w:val="none"/>
              </w:rPr>
              <w:t>注：（1）技术参数需提供功能实现时对应的</w:t>
            </w:r>
            <w:r>
              <w:rPr>
                <w:rFonts w:hint="eastAsia" w:ascii="宋体" w:hAnsi="宋体" w:eastAsia="宋体" w:cs="宋体"/>
                <w:sz w:val="24"/>
                <w:szCs w:val="24"/>
                <w:highlight w:val="none"/>
                <w:lang w:val="en-US" w:eastAsia="zh-CN"/>
              </w:rPr>
              <w:t>功能</w:t>
            </w:r>
            <w:r>
              <w:rPr>
                <w:rFonts w:hint="eastAsia" w:ascii="宋体" w:hAnsi="宋体" w:eastAsia="宋体" w:cs="宋体"/>
                <w:sz w:val="24"/>
                <w:szCs w:val="24"/>
                <w:highlight w:val="none"/>
              </w:rPr>
              <w:t>截图等证明材料，如不能直观描述该功能或没有提供</w:t>
            </w:r>
            <w:r>
              <w:rPr>
                <w:rFonts w:hint="eastAsia" w:ascii="宋体" w:hAnsi="宋体" w:eastAsia="宋体" w:cs="宋体"/>
                <w:sz w:val="24"/>
                <w:szCs w:val="24"/>
                <w:highlight w:val="none"/>
                <w:lang w:val="en-US" w:eastAsia="zh-CN"/>
              </w:rPr>
              <w:t>证明</w:t>
            </w:r>
            <w:r>
              <w:rPr>
                <w:rFonts w:hint="eastAsia" w:ascii="宋体" w:hAnsi="宋体" w:eastAsia="宋体" w:cs="宋体"/>
                <w:sz w:val="24"/>
                <w:szCs w:val="24"/>
                <w:highlight w:val="none"/>
              </w:rPr>
              <w:t>材料按负偏离处理。（2）响应内容不能完全复制招标文件技术参数要求，如投标文件完全复制招标文件技术参数要求的，评标委员会将对其本项扣1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r>
      <w:tr w14:paraId="3CD2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018" w:type="dxa"/>
            <w:vMerge w:val="continue"/>
            <w:vAlign w:val="center"/>
          </w:tcPr>
          <w:p w14:paraId="3E689217">
            <w:pPr>
              <w:jc w:val="center"/>
              <w:rPr>
                <w:rFonts w:ascii="宋体" w:hAnsi="宋体" w:eastAsia="宋体" w:cs="宋体"/>
                <w:szCs w:val="21"/>
                <w:highlight w:val="none"/>
              </w:rPr>
            </w:pPr>
          </w:p>
        </w:tc>
        <w:tc>
          <w:tcPr>
            <w:tcW w:w="896" w:type="dxa"/>
            <w:vAlign w:val="center"/>
          </w:tcPr>
          <w:p w14:paraId="24765C64">
            <w:pPr>
              <w:rPr>
                <w:rFonts w:ascii="宋体" w:hAnsi="宋体" w:eastAsia="宋体" w:cs="宋体"/>
                <w:highlight w:val="none"/>
              </w:rPr>
            </w:pPr>
            <w:r>
              <w:rPr>
                <w:rFonts w:hint="eastAsia" w:ascii="宋体" w:hAnsi="宋体" w:eastAsia="宋体" w:cs="宋体"/>
                <w:highlight w:val="none"/>
              </w:rPr>
              <w:t>项目建设方案</w:t>
            </w:r>
          </w:p>
        </w:tc>
        <w:tc>
          <w:tcPr>
            <w:tcW w:w="684" w:type="dxa"/>
            <w:vAlign w:val="center"/>
          </w:tcPr>
          <w:p w14:paraId="7A6E77A2">
            <w:pPr>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c>
          <w:tcPr>
            <w:tcW w:w="6460" w:type="dxa"/>
            <w:vAlign w:val="center"/>
          </w:tcPr>
          <w:p w14:paraId="560733E3">
            <w:pPr>
              <w:pStyle w:val="22"/>
              <w:spacing w:line="360" w:lineRule="auto"/>
              <w:ind w:firstLine="496" w:firstLineChars="200"/>
              <w:rPr>
                <w:rFonts w:ascii="宋体" w:hAnsi="宋体" w:eastAsia="宋体" w:cs="宋体"/>
                <w:sz w:val="24"/>
                <w:szCs w:val="24"/>
                <w:highlight w:val="none"/>
              </w:rPr>
            </w:pPr>
            <w:r>
              <w:rPr>
                <w:rFonts w:hint="eastAsia" w:ascii="宋体" w:hAnsi="宋体" w:eastAsia="宋体" w:cs="宋体"/>
                <w:sz w:val="24"/>
                <w:szCs w:val="24"/>
                <w:highlight w:val="none"/>
              </w:rPr>
              <w:t>项目整体建设方案包含整体设计、技术路线、系统架构、系统安全、性能指标、数据建设、信息安全、接口方案、平台扩展性、建设效益，根据项目整体建设方案响应情况，完整且具有符合实际需求的得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分，每缺少一项扣1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分，某一项不完整或与实际需求不符或不满足要求或与本项目需求不切合或直接套用其他项目内容的扣0.5 分，扣完为止。</w:t>
            </w:r>
          </w:p>
        </w:tc>
      </w:tr>
      <w:tr w14:paraId="6CE5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018" w:type="dxa"/>
            <w:vMerge w:val="continue"/>
            <w:vAlign w:val="center"/>
          </w:tcPr>
          <w:p w14:paraId="4E652260">
            <w:pPr>
              <w:jc w:val="center"/>
              <w:rPr>
                <w:rFonts w:ascii="宋体" w:hAnsi="宋体" w:eastAsia="宋体" w:cs="宋体"/>
                <w:szCs w:val="21"/>
                <w:highlight w:val="none"/>
              </w:rPr>
            </w:pPr>
          </w:p>
        </w:tc>
        <w:tc>
          <w:tcPr>
            <w:tcW w:w="896" w:type="dxa"/>
            <w:vAlign w:val="center"/>
          </w:tcPr>
          <w:p w14:paraId="5A38A75B">
            <w:pPr>
              <w:rPr>
                <w:rFonts w:hint="eastAsia" w:ascii="宋体" w:hAnsi="宋体" w:eastAsia="宋体" w:cs="宋体"/>
                <w:highlight w:val="none"/>
                <w:lang w:val="en-US" w:eastAsia="zh-CN"/>
              </w:rPr>
            </w:pPr>
            <w:r>
              <w:rPr>
                <w:rFonts w:hint="eastAsia" w:eastAsia="宋体"/>
                <w:lang w:val="en-US" w:eastAsia="zh-CN"/>
              </w:rPr>
              <w:t>项目需求理解</w:t>
            </w:r>
          </w:p>
        </w:tc>
        <w:tc>
          <w:tcPr>
            <w:tcW w:w="684" w:type="dxa"/>
            <w:vAlign w:val="center"/>
          </w:tcPr>
          <w:p w14:paraId="2AD90DAC">
            <w:pP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10分</w:t>
            </w:r>
          </w:p>
        </w:tc>
        <w:tc>
          <w:tcPr>
            <w:tcW w:w="6460" w:type="dxa"/>
            <w:vAlign w:val="center"/>
          </w:tcPr>
          <w:p w14:paraId="1ECCA418">
            <w:pPr>
              <w:pStyle w:val="22"/>
              <w:spacing w:line="360" w:lineRule="auto"/>
              <w:ind w:firstLine="496"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在满足招标文件各项要求的基础上，结合项目实际情况和投标人自身实力制定服务提升方案，包括对本项目的特点、重点、难点分析及应对措施，对本项目提升的合理化建议、提升计划、提升措施、及投标人本项目的优势及项目提升承诺。方案完整且具有符合实际需求的得 </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xml:space="preserve"> 分，每缺少一项扣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分，某一项不完整或与实际需求不符或不满足要求或与本项目需求不切合或直接套用其他项目内容的扣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分，扣完为止。</w:t>
            </w:r>
          </w:p>
        </w:tc>
      </w:tr>
      <w:tr w14:paraId="101A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018" w:type="dxa"/>
            <w:vMerge w:val="continue"/>
            <w:vAlign w:val="center"/>
          </w:tcPr>
          <w:p w14:paraId="252360ED">
            <w:pPr>
              <w:jc w:val="center"/>
              <w:rPr>
                <w:rFonts w:ascii="宋体" w:hAnsi="宋体" w:eastAsia="宋体" w:cs="宋体"/>
                <w:szCs w:val="21"/>
                <w:highlight w:val="none"/>
              </w:rPr>
            </w:pPr>
          </w:p>
        </w:tc>
        <w:tc>
          <w:tcPr>
            <w:tcW w:w="896" w:type="dxa"/>
            <w:vAlign w:val="center"/>
          </w:tcPr>
          <w:p w14:paraId="5CAE338A">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保密措施</w:t>
            </w:r>
          </w:p>
        </w:tc>
        <w:tc>
          <w:tcPr>
            <w:tcW w:w="684" w:type="dxa"/>
            <w:vAlign w:val="center"/>
          </w:tcPr>
          <w:p w14:paraId="7B76F015">
            <w:pP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4分</w:t>
            </w:r>
          </w:p>
        </w:tc>
        <w:tc>
          <w:tcPr>
            <w:tcW w:w="6460" w:type="dxa"/>
            <w:vAlign w:val="center"/>
          </w:tcPr>
          <w:p w14:paraId="3CAED0AB">
            <w:pPr>
              <w:pStyle w:val="22"/>
              <w:spacing w:line="360" w:lineRule="auto"/>
              <w:ind w:firstLine="496"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投标人提供保密承诺</w:t>
            </w:r>
            <w:r>
              <w:rPr>
                <w:rFonts w:hint="eastAsia" w:ascii="宋体" w:hAnsi="宋体" w:eastAsia="宋体" w:cs="宋体"/>
                <w:sz w:val="24"/>
                <w:szCs w:val="24"/>
                <w:highlight w:val="none"/>
                <w:lang w:val="en-US" w:eastAsia="zh-CN"/>
              </w:rPr>
              <w:t>计1分；</w:t>
            </w:r>
            <w:r>
              <w:rPr>
                <w:rFonts w:hint="eastAsia" w:ascii="宋体" w:hAnsi="宋体" w:eastAsia="宋体" w:cs="宋体"/>
                <w:sz w:val="24"/>
                <w:szCs w:val="24"/>
                <w:highlight w:val="none"/>
              </w:rPr>
              <w:t>根据投标人</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相应的保密措施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保密措施完善、合理可实施性强计</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分，保密措施较完善、合理，可实施性一般计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分，保密措施不完善，可实施性不全面计1分，未提供不得分</w:t>
            </w:r>
            <w:r>
              <w:rPr>
                <w:rFonts w:hint="eastAsia" w:ascii="宋体" w:hAnsi="宋体" w:eastAsia="宋体" w:cs="宋体"/>
                <w:sz w:val="24"/>
                <w:szCs w:val="24"/>
                <w:highlight w:val="none"/>
                <w:lang w:eastAsia="zh-CN"/>
              </w:rPr>
              <w:t>。</w:t>
            </w:r>
          </w:p>
        </w:tc>
      </w:tr>
      <w:tr w14:paraId="1FA1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jc w:val="center"/>
        </w:trPr>
        <w:tc>
          <w:tcPr>
            <w:tcW w:w="1018" w:type="dxa"/>
            <w:vMerge w:val="continue"/>
            <w:vAlign w:val="center"/>
          </w:tcPr>
          <w:p w14:paraId="719DC434">
            <w:pPr>
              <w:jc w:val="center"/>
              <w:rPr>
                <w:rFonts w:ascii="宋体" w:hAnsi="宋体" w:eastAsia="宋体" w:cs="宋体"/>
                <w:szCs w:val="21"/>
                <w:highlight w:val="none"/>
              </w:rPr>
            </w:pPr>
          </w:p>
        </w:tc>
        <w:tc>
          <w:tcPr>
            <w:tcW w:w="896" w:type="dxa"/>
            <w:vMerge w:val="restart"/>
            <w:vAlign w:val="center"/>
          </w:tcPr>
          <w:p w14:paraId="7A22D43E">
            <w:pPr>
              <w:rPr>
                <w:rFonts w:ascii="宋体" w:hAnsi="宋体" w:eastAsia="宋体" w:cs="宋体"/>
                <w:highlight w:val="none"/>
              </w:rPr>
            </w:pPr>
            <w:r>
              <w:rPr>
                <w:rFonts w:hint="eastAsia" w:ascii="宋体" w:hAnsi="宋体" w:eastAsia="宋体" w:cs="宋体"/>
                <w:highlight w:val="none"/>
              </w:rPr>
              <w:t>项目组人员</w:t>
            </w:r>
          </w:p>
        </w:tc>
        <w:tc>
          <w:tcPr>
            <w:tcW w:w="684" w:type="dxa"/>
            <w:vMerge w:val="restart"/>
            <w:vAlign w:val="center"/>
          </w:tcPr>
          <w:p w14:paraId="0FD67FB1">
            <w:pPr>
              <w:rPr>
                <w:rFonts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c>
          <w:tcPr>
            <w:tcW w:w="6460" w:type="dxa"/>
            <w:vAlign w:val="center"/>
          </w:tcPr>
          <w:p w14:paraId="0C96F909">
            <w:pPr>
              <w:spacing w:line="360" w:lineRule="auto"/>
              <w:ind w:firstLine="496" w:firstLineChars="200"/>
              <w:rPr>
                <w:rFonts w:hint="eastAsia" w:ascii="宋体" w:hAnsi="宋体" w:eastAsia="宋体" w:cs="宋体"/>
                <w:highlight w:val="none"/>
                <w:lang w:eastAsia="zh-CN"/>
              </w:rPr>
            </w:pPr>
            <w:r>
              <w:rPr>
                <w:rFonts w:hint="eastAsia" w:ascii="宋体" w:hAnsi="宋体" w:eastAsia="宋体" w:cs="宋体"/>
                <w:highlight w:val="none"/>
              </w:rPr>
              <w:t>拟派项目经理具有信息系统项目管理师得1分</w:t>
            </w:r>
            <w:r>
              <w:rPr>
                <w:rFonts w:hint="eastAsia" w:ascii="宋体" w:hAnsi="宋体" w:eastAsia="宋体" w:cs="宋体"/>
                <w:highlight w:val="none"/>
                <w:lang w:eastAsia="zh-CN"/>
              </w:rPr>
              <w:t>。</w:t>
            </w:r>
          </w:p>
          <w:p w14:paraId="16E0DB05">
            <w:pPr>
              <w:spacing w:line="360" w:lineRule="auto"/>
              <w:ind w:firstLine="496" w:firstLineChars="200"/>
              <w:rPr>
                <w:rFonts w:ascii="宋体" w:hAnsi="宋体" w:eastAsia="宋体" w:cs="宋体"/>
                <w:sz w:val="21"/>
                <w:szCs w:val="21"/>
                <w:highlight w:val="none"/>
              </w:rPr>
            </w:pPr>
            <w:r>
              <w:rPr>
                <w:rFonts w:hint="eastAsia" w:ascii="宋体" w:hAnsi="宋体" w:eastAsia="宋体" w:cs="宋体"/>
                <w:highlight w:val="none"/>
              </w:rPr>
              <w:t>注：须提供证书复印件及投标截止时间前1年内任意连续3个月(成立不足3个月的公司，提供成立之日起次月至截标时问前一个月的)</w:t>
            </w:r>
            <w:r>
              <w:rPr>
                <w:rFonts w:hint="eastAsia" w:ascii="宋体" w:hAnsi="宋体" w:eastAsia="宋体" w:cs="宋体"/>
                <w:highlight w:val="none"/>
                <w:lang w:val="en-US" w:eastAsia="zh-CN"/>
              </w:rPr>
              <w:t>投标人</w:t>
            </w:r>
            <w:r>
              <w:rPr>
                <w:rFonts w:hint="eastAsia" w:ascii="宋体" w:hAnsi="宋体" w:eastAsia="宋体" w:cs="宋体"/>
                <w:highlight w:val="none"/>
              </w:rPr>
              <w:t>为其缴纳个人社保证明，否则不得分。</w:t>
            </w:r>
          </w:p>
        </w:tc>
      </w:tr>
      <w:tr w14:paraId="0DE4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0" w:hRule="atLeast"/>
          <w:jc w:val="center"/>
        </w:trPr>
        <w:tc>
          <w:tcPr>
            <w:tcW w:w="1018" w:type="dxa"/>
            <w:vMerge w:val="continue"/>
            <w:vAlign w:val="center"/>
          </w:tcPr>
          <w:p w14:paraId="41237DFE">
            <w:pPr>
              <w:jc w:val="center"/>
              <w:rPr>
                <w:rFonts w:ascii="宋体" w:hAnsi="宋体" w:eastAsia="宋体" w:cs="宋体"/>
                <w:szCs w:val="21"/>
                <w:highlight w:val="none"/>
              </w:rPr>
            </w:pPr>
          </w:p>
        </w:tc>
        <w:tc>
          <w:tcPr>
            <w:tcW w:w="896" w:type="dxa"/>
            <w:vMerge w:val="continue"/>
            <w:vAlign w:val="center"/>
          </w:tcPr>
          <w:p w14:paraId="37E1D9F5">
            <w:pPr>
              <w:rPr>
                <w:rFonts w:ascii="宋体" w:hAnsi="宋体" w:eastAsia="宋体" w:cs="宋体"/>
                <w:highlight w:val="none"/>
              </w:rPr>
            </w:pPr>
          </w:p>
        </w:tc>
        <w:tc>
          <w:tcPr>
            <w:tcW w:w="684" w:type="dxa"/>
            <w:vMerge w:val="continue"/>
            <w:vAlign w:val="center"/>
          </w:tcPr>
          <w:p w14:paraId="50A0691C">
            <w:pPr>
              <w:rPr>
                <w:rFonts w:ascii="宋体" w:hAnsi="宋体" w:eastAsia="宋体" w:cs="宋体"/>
                <w:szCs w:val="21"/>
                <w:highlight w:val="none"/>
              </w:rPr>
            </w:pPr>
          </w:p>
        </w:tc>
        <w:tc>
          <w:tcPr>
            <w:tcW w:w="6460" w:type="dxa"/>
            <w:vAlign w:val="center"/>
          </w:tcPr>
          <w:p w14:paraId="09E83EF9">
            <w:pPr>
              <w:spacing w:line="360" w:lineRule="auto"/>
              <w:ind w:firstLine="496" w:firstLineChars="200"/>
              <w:rPr>
                <w:rFonts w:hint="eastAsia" w:ascii="宋体" w:hAnsi="宋体" w:eastAsia="宋体" w:cs="宋体"/>
                <w:highlight w:val="none"/>
                <w:lang w:val="en-US" w:eastAsia="zh-CN"/>
              </w:rPr>
            </w:pPr>
            <w:r>
              <w:rPr>
                <w:rFonts w:hint="eastAsia" w:ascii="宋体" w:hAnsi="宋体" w:eastAsia="宋体" w:cs="宋体"/>
                <w:highlight w:val="none"/>
              </w:rPr>
              <w:t>项目团队成员(不包括项目</w:t>
            </w:r>
            <w:r>
              <w:rPr>
                <w:rFonts w:hint="eastAsia" w:ascii="宋体" w:hAnsi="宋体" w:eastAsia="宋体" w:cs="宋体"/>
                <w:highlight w:val="none"/>
                <w:lang w:val="en-US" w:eastAsia="zh-CN"/>
              </w:rPr>
              <w:t>经理</w:t>
            </w:r>
            <w:r>
              <w:rPr>
                <w:rFonts w:hint="eastAsia" w:ascii="宋体" w:hAnsi="宋体" w:eastAsia="宋体" w:cs="宋体"/>
                <w:highlight w:val="none"/>
              </w:rPr>
              <w:t>)</w:t>
            </w:r>
            <w:r>
              <w:rPr>
                <w:rFonts w:hint="eastAsia" w:ascii="宋体" w:hAnsi="宋体" w:eastAsia="宋体" w:cs="宋体"/>
                <w:highlight w:val="none"/>
                <w:lang w:val="en-US" w:eastAsia="zh-CN"/>
              </w:rPr>
              <w:t>具有</w:t>
            </w:r>
          </w:p>
          <w:p w14:paraId="2DF0F1C2">
            <w:pPr>
              <w:spacing w:line="360" w:lineRule="auto"/>
              <w:ind w:firstLine="496" w:firstLineChars="200"/>
              <w:rPr>
                <w:rFonts w:hint="eastAsia" w:ascii="宋体" w:hAnsi="宋体" w:eastAsia="宋体" w:cs="宋体"/>
                <w:highlight w:val="none"/>
                <w:lang w:val="en-US" w:eastAsia="zh-CN"/>
              </w:rPr>
            </w:pPr>
            <w:r>
              <w:rPr>
                <w:rFonts w:hint="eastAsia" w:ascii="宋体" w:hAnsi="宋体" w:eastAsia="宋体" w:cs="宋体"/>
                <w:highlight w:val="none"/>
              </w:rPr>
              <w:t>(1)系统分析师</w:t>
            </w:r>
            <w:r>
              <w:rPr>
                <w:rFonts w:hint="eastAsia" w:ascii="宋体" w:hAnsi="宋体" w:eastAsia="宋体" w:cs="宋体"/>
                <w:highlight w:val="none"/>
                <w:lang w:val="en-US" w:eastAsia="zh-CN"/>
              </w:rPr>
              <w:t>证书</w:t>
            </w:r>
            <w:r>
              <w:rPr>
                <w:rFonts w:hint="eastAsia" w:ascii="宋体" w:hAnsi="宋体" w:eastAsia="宋体" w:cs="宋体"/>
                <w:highlight w:val="none"/>
                <w:lang w:eastAsia="zh-CN"/>
              </w:rPr>
              <w:t>，</w:t>
            </w:r>
          </w:p>
          <w:p w14:paraId="6B7FFD1E">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(2)信息系统项目管理师证；</w:t>
            </w:r>
          </w:p>
          <w:p w14:paraId="6C33E8F7">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(3)软件设计师证书；</w:t>
            </w:r>
          </w:p>
          <w:p w14:paraId="6AFA7549">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(4)数据库工程师证书；</w:t>
            </w:r>
          </w:p>
          <w:p w14:paraId="64676BC5">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(5)软件工程造价师证书；</w:t>
            </w:r>
          </w:p>
          <w:p w14:paraId="7CA64C4C">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(6)系统集成项目管理工程师证书；</w:t>
            </w:r>
          </w:p>
          <w:p w14:paraId="6CC10716">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(7) 信息安全工程师证书</w:t>
            </w:r>
          </w:p>
          <w:p w14:paraId="140D5ADB">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满分</w:t>
            </w:r>
            <w:r>
              <w:rPr>
                <w:rFonts w:hint="eastAsia" w:ascii="宋体" w:hAnsi="宋体" w:eastAsia="宋体" w:cs="宋体"/>
                <w:highlight w:val="none"/>
                <w:lang w:val="en-US" w:eastAsia="zh-CN"/>
              </w:rPr>
              <w:t>7</w:t>
            </w:r>
            <w:r>
              <w:rPr>
                <w:rFonts w:hint="eastAsia" w:ascii="宋体" w:hAnsi="宋体" w:eastAsia="宋体" w:cs="宋体"/>
                <w:highlight w:val="none"/>
              </w:rPr>
              <w:t>分，项目组成员全部满足得</w:t>
            </w:r>
            <w:r>
              <w:rPr>
                <w:rFonts w:hint="eastAsia" w:ascii="宋体" w:hAnsi="宋体" w:eastAsia="宋体" w:cs="宋体"/>
                <w:highlight w:val="none"/>
                <w:lang w:val="en-US" w:eastAsia="zh-CN"/>
              </w:rPr>
              <w:t>7</w:t>
            </w:r>
            <w:r>
              <w:rPr>
                <w:rFonts w:hint="eastAsia" w:ascii="宋体" w:hAnsi="宋体" w:eastAsia="宋体" w:cs="宋体"/>
                <w:highlight w:val="none"/>
              </w:rPr>
              <w:t>分，以上</w:t>
            </w:r>
            <w:r>
              <w:rPr>
                <w:rFonts w:hint="eastAsia" w:ascii="宋体" w:hAnsi="宋体" w:eastAsia="宋体" w:cs="宋体"/>
                <w:highlight w:val="none"/>
                <w:lang w:val="en-US" w:eastAsia="zh-CN"/>
              </w:rPr>
              <w:t>7</w:t>
            </w:r>
            <w:r>
              <w:rPr>
                <w:rFonts w:hint="eastAsia" w:ascii="宋体" w:hAnsi="宋体" w:eastAsia="宋体" w:cs="宋体"/>
                <w:highlight w:val="none"/>
              </w:rPr>
              <w:t>个</w:t>
            </w:r>
            <w:r>
              <w:rPr>
                <w:rFonts w:hint="eastAsia" w:ascii="宋体" w:hAnsi="宋体" w:eastAsia="宋体" w:cs="宋体"/>
                <w:highlight w:val="none"/>
                <w:lang w:val="en-US" w:eastAsia="zh-CN"/>
              </w:rPr>
              <w:t>证书</w:t>
            </w:r>
            <w:r>
              <w:rPr>
                <w:rFonts w:hint="eastAsia" w:ascii="宋体" w:hAnsi="宋体" w:eastAsia="宋体" w:cs="宋体"/>
                <w:highlight w:val="none"/>
              </w:rPr>
              <w:t>类型每少1类扣1分，最低分0分。</w:t>
            </w:r>
          </w:p>
          <w:p w14:paraId="0DDD45A4">
            <w:pPr>
              <w:spacing w:line="360" w:lineRule="auto"/>
              <w:ind w:firstLine="496" w:firstLineChars="200"/>
              <w:rPr>
                <w:rFonts w:ascii="宋体" w:hAnsi="宋体" w:eastAsia="宋体" w:cs="宋体"/>
                <w:sz w:val="21"/>
                <w:szCs w:val="21"/>
                <w:highlight w:val="none"/>
              </w:rPr>
            </w:pPr>
            <w:r>
              <w:rPr>
                <w:rFonts w:hint="eastAsia" w:ascii="宋体" w:hAnsi="宋体" w:eastAsia="宋体" w:cs="宋体"/>
                <w:highlight w:val="none"/>
              </w:rPr>
              <w:t>注：同一人具有多个证书只按</w:t>
            </w:r>
            <w:r>
              <w:rPr>
                <w:rFonts w:hint="eastAsia" w:ascii="宋体" w:hAnsi="宋体" w:eastAsia="宋体" w:cs="宋体"/>
                <w:highlight w:val="none"/>
                <w:lang w:val="en-US" w:eastAsia="zh-CN"/>
              </w:rPr>
              <w:t>一</w:t>
            </w:r>
            <w:r>
              <w:rPr>
                <w:rFonts w:hint="eastAsia" w:ascii="宋体" w:hAnsi="宋体" w:eastAsia="宋体" w:cs="宋体"/>
                <w:highlight w:val="none"/>
              </w:rPr>
              <w:t>个算，须提供证书复印件及上述人员投标截止时间前1年内任意连续3个月(成立不足3个月的公司，提供成立之日起次月至截标时问前一个月的)</w:t>
            </w:r>
            <w:r>
              <w:rPr>
                <w:rFonts w:hint="eastAsia" w:ascii="宋体" w:hAnsi="宋体" w:eastAsia="宋体" w:cs="宋体"/>
                <w:highlight w:val="none"/>
                <w:lang w:val="en-US" w:eastAsia="zh-CN"/>
              </w:rPr>
              <w:t>投标人</w:t>
            </w:r>
            <w:r>
              <w:rPr>
                <w:rFonts w:hint="eastAsia" w:ascii="宋体" w:hAnsi="宋体" w:eastAsia="宋体" w:cs="宋体"/>
                <w:highlight w:val="none"/>
              </w:rPr>
              <w:t>为其缴纳个人社保证明，否则不得分。</w:t>
            </w:r>
          </w:p>
        </w:tc>
      </w:tr>
      <w:tr w14:paraId="7C0C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jc w:val="center"/>
        </w:trPr>
        <w:tc>
          <w:tcPr>
            <w:tcW w:w="1018" w:type="dxa"/>
            <w:vMerge w:val="restart"/>
            <w:vAlign w:val="center"/>
          </w:tcPr>
          <w:p w14:paraId="3715F8C9">
            <w:pPr>
              <w:jc w:val="center"/>
              <w:rPr>
                <w:rFonts w:ascii="宋体" w:hAnsi="宋体" w:eastAsia="宋体" w:cs="宋体"/>
                <w:szCs w:val="21"/>
                <w:highlight w:val="none"/>
              </w:rPr>
            </w:pPr>
            <w:r>
              <w:rPr>
                <w:rFonts w:hint="eastAsia" w:ascii="宋体" w:hAnsi="宋体" w:eastAsia="宋体" w:cs="宋体"/>
                <w:szCs w:val="21"/>
                <w:highlight w:val="none"/>
              </w:rPr>
              <w:t>商务部分（</w:t>
            </w:r>
            <w:r>
              <w:rPr>
                <w:rFonts w:hint="eastAsia" w:ascii="宋体" w:hAnsi="宋体" w:eastAsia="宋体" w:cs="宋体"/>
                <w:szCs w:val="21"/>
                <w:highlight w:val="none"/>
                <w:lang w:val="en-US" w:eastAsia="zh-CN"/>
              </w:rPr>
              <w:t>33</w:t>
            </w:r>
            <w:r>
              <w:rPr>
                <w:rFonts w:hint="eastAsia" w:ascii="宋体" w:hAnsi="宋体" w:eastAsia="宋体" w:cs="宋体"/>
                <w:szCs w:val="21"/>
                <w:highlight w:val="none"/>
              </w:rPr>
              <w:t>分）</w:t>
            </w:r>
          </w:p>
        </w:tc>
        <w:tc>
          <w:tcPr>
            <w:tcW w:w="896" w:type="dxa"/>
            <w:vAlign w:val="center"/>
          </w:tcPr>
          <w:p w14:paraId="690427EA">
            <w:pPr>
              <w:jc w:val="center"/>
              <w:rPr>
                <w:rFonts w:ascii="宋体" w:hAnsi="宋体" w:eastAsia="宋体" w:cs="宋体"/>
                <w:bCs/>
                <w:szCs w:val="21"/>
                <w:highlight w:val="none"/>
              </w:rPr>
            </w:pPr>
            <w:r>
              <w:rPr>
                <w:rFonts w:hint="eastAsia" w:ascii="宋体" w:hAnsi="宋体" w:eastAsia="宋体" w:cs="宋体"/>
                <w:szCs w:val="21"/>
                <w:highlight w:val="none"/>
              </w:rPr>
              <w:t>应急保障</w:t>
            </w:r>
          </w:p>
        </w:tc>
        <w:tc>
          <w:tcPr>
            <w:tcW w:w="684" w:type="dxa"/>
            <w:vAlign w:val="center"/>
          </w:tcPr>
          <w:p w14:paraId="4C37CF85">
            <w:pPr>
              <w:jc w:val="center"/>
              <w:rPr>
                <w:rFonts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c>
          <w:tcPr>
            <w:tcW w:w="6460" w:type="dxa"/>
            <w:vAlign w:val="center"/>
          </w:tcPr>
          <w:p w14:paraId="7B348CD3">
            <w:pPr>
              <w:spacing w:line="360" w:lineRule="auto"/>
              <w:ind w:firstLine="248" w:firstLineChars="100"/>
              <w:rPr>
                <w:rFonts w:ascii="宋体" w:hAnsi="宋体" w:eastAsia="宋体" w:cs="宋体"/>
                <w:b/>
                <w:bCs/>
                <w:sz w:val="21"/>
                <w:szCs w:val="21"/>
                <w:highlight w:val="none"/>
              </w:rPr>
            </w:pPr>
            <w:r>
              <w:rPr>
                <w:rFonts w:hint="eastAsia" w:ascii="宋体" w:hAnsi="宋体" w:eastAsia="宋体" w:cs="宋体"/>
                <w:szCs w:val="21"/>
                <w:highlight w:val="none"/>
              </w:rPr>
              <w:t>需提供本项目在实施期间针对本项目的应急响应服务，包括但不限于应急响应保障方案和人员，按照提供的应急响应保障方案、应急响应时效、应急响应方法、恢复时间、应急人员、特殊时期系统保障等情况进行横向对比综合打分。完全满足采购需求并符合本项目实施特点的得</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分；以上内容中每缺少一项内容扣 1分；每有一处内容与实际需求不符或不满足要求或与本项目需求不切合或直接套用其他项目内容的扣0.5分，扣完为止。未提供不得分。</w:t>
            </w:r>
          </w:p>
        </w:tc>
      </w:tr>
      <w:tr w14:paraId="6F1C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018" w:type="dxa"/>
            <w:vMerge w:val="continue"/>
            <w:vAlign w:val="center"/>
          </w:tcPr>
          <w:p w14:paraId="62EF29F9">
            <w:pPr>
              <w:jc w:val="center"/>
              <w:rPr>
                <w:rFonts w:ascii="宋体" w:hAnsi="宋体" w:eastAsia="宋体" w:cs="宋体"/>
                <w:szCs w:val="21"/>
                <w:highlight w:val="none"/>
              </w:rPr>
            </w:pPr>
          </w:p>
        </w:tc>
        <w:tc>
          <w:tcPr>
            <w:tcW w:w="896" w:type="dxa"/>
            <w:vAlign w:val="center"/>
          </w:tcPr>
          <w:p w14:paraId="38D7FADA">
            <w:pPr>
              <w:rPr>
                <w:rFonts w:ascii="宋体" w:hAnsi="宋体" w:eastAsia="宋体" w:cs="宋体"/>
                <w:szCs w:val="21"/>
                <w:highlight w:val="none"/>
              </w:rPr>
            </w:pPr>
            <w:r>
              <w:rPr>
                <w:rFonts w:hint="eastAsia" w:ascii="宋体" w:hAnsi="宋体" w:eastAsia="宋体" w:cs="宋体"/>
                <w:szCs w:val="21"/>
                <w:highlight w:val="none"/>
              </w:rPr>
              <w:t>资料管理</w:t>
            </w:r>
          </w:p>
        </w:tc>
        <w:tc>
          <w:tcPr>
            <w:tcW w:w="684" w:type="dxa"/>
            <w:vAlign w:val="center"/>
          </w:tcPr>
          <w:p w14:paraId="185E033D">
            <w:pPr>
              <w:rPr>
                <w:rFonts w:ascii="宋体" w:hAnsi="宋体" w:eastAsia="宋体" w:cs="宋体"/>
                <w:szCs w:val="21"/>
                <w:highlight w:val="none"/>
              </w:rPr>
            </w:pPr>
            <w:r>
              <w:rPr>
                <w:rFonts w:hint="eastAsia" w:ascii="宋体" w:hAnsi="宋体" w:eastAsia="宋体" w:cs="宋体"/>
                <w:szCs w:val="21"/>
                <w:highlight w:val="none"/>
              </w:rPr>
              <w:t>5分</w:t>
            </w:r>
          </w:p>
        </w:tc>
        <w:tc>
          <w:tcPr>
            <w:tcW w:w="6460" w:type="dxa"/>
            <w:vAlign w:val="center"/>
          </w:tcPr>
          <w:p w14:paraId="7F8DF6B9">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具有完善的资料管理和移交工作制度，制度可操作性强具体细致得，3.1-5.0分，具有档案资料管理和移交工作制度，内容宽泛未贴合实际得1.0-3.0分。 未提供档案资料管理和移交工作制度不得分。</w:t>
            </w:r>
          </w:p>
        </w:tc>
      </w:tr>
      <w:tr w14:paraId="752F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018" w:type="dxa"/>
            <w:vMerge w:val="continue"/>
            <w:vAlign w:val="center"/>
          </w:tcPr>
          <w:p w14:paraId="730728B8">
            <w:pPr>
              <w:jc w:val="center"/>
              <w:rPr>
                <w:rFonts w:ascii="宋体" w:hAnsi="宋体" w:eastAsia="宋体" w:cs="宋体"/>
                <w:szCs w:val="21"/>
                <w:highlight w:val="none"/>
              </w:rPr>
            </w:pPr>
          </w:p>
        </w:tc>
        <w:tc>
          <w:tcPr>
            <w:tcW w:w="896" w:type="dxa"/>
            <w:vAlign w:val="center"/>
          </w:tcPr>
          <w:p w14:paraId="1A3EF6D2">
            <w:pPr>
              <w:rPr>
                <w:rFonts w:ascii="宋体" w:hAnsi="宋体" w:eastAsia="宋体" w:cs="宋体"/>
                <w:szCs w:val="21"/>
                <w:highlight w:val="none"/>
              </w:rPr>
            </w:pPr>
            <w:r>
              <w:rPr>
                <w:rFonts w:hint="eastAsia" w:ascii="宋体" w:hAnsi="宋体" w:eastAsia="宋体" w:cs="宋体"/>
                <w:szCs w:val="21"/>
                <w:highlight w:val="none"/>
              </w:rPr>
              <w:t>履约能力</w:t>
            </w:r>
          </w:p>
        </w:tc>
        <w:tc>
          <w:tcPr>
            <w:tcW w:w="684" w:type="dxa"/>
            <w:vAlign w:val="center"/>
          </w:tcPr>
          <w:p w14:paraId="48B8C719">
            <w:pPr>
              <w:rPr>
                <w:rFonts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c>
          <w:tcPr>
            <w:tcW w:w="6460" w:type="dxa"/>
            <w:vAlign w:val="center"/>
          </w:tcPr>
          <w:p w14:paraId="6B4BC13E">
            <w:pPr>
              <w:pStyle w:val="87"/>
              <w:numPr>
                <w:ilvl w:val="0"/>
                <w:numId w:val="0"/>
              </w:numPr>
              <w:spacing w:line="360" w:lineRule="auto"/>
              <w:ind w:leftChars="0"/>
              <w:rPr>
                <w:rFonts w:ascii="宋体" w:hAnsi="宋体" w:eastAsia="宋体" w:cs="宋体"/>
                <w:highlight w:val="none"/>
              </w:rPr>
            </w:pPr>
            <w:r>
              <w:rPr>
                <w:rFonts w:hint="eastAsia" w:ascii="宋体" w:hAnsi="宋体" w:eastAsia="宋体" w:cs="宋体"/>
                <w:highlight w:val="none"/>
              </w:rPr>
              <w:t>投标人具有</w:t>
            </w:r>
            <w:r>
              <w:rPr>
                <w:rFonts w:hint="eastAsia" w:ascii="宋体" w:hAnsi="宋体" w:eastAsia="宋体" w:cs="宋体"/>
                <w:highlight w:val="none"/>
                <w:lang w:val="en-US" w:eastAsia="zh-CN"/>
              </w:rPr>
              <w:t>有效期内的</w:t>
            </w:r>
            <w:r>
              <w:rPr>
                <w:rFonts w:hint="eastAsia" w:ascii="宋体" w:hAnsi="宋体" w:eastAsia="宋体" w:cs="宋体"/>
                <w:highlight w:val="none"/>
              </w:rPr>
              <w:t>ISO9001、ISO20000、ISO27001、ISO45001、ISO14001每提供一个</w:t>
            </w:r>
            <w:r>
              <w:rPr>
                <w:rFonts w:hint="eastAsia" w:ascii="宋体" w:hAnsi="宋体" w:eastAsia="宋体" w:cs="宋体"/>
                <w:highlight w:val="none"/>
                <w:lang w:val="en-US" w:eastAsia="zh-CN"/>
              </w:rPr>
              <w:t>证书</w:t>
            </w:r>
            <w:r>
              <w:rPr>
                <w:rFonts w:hint="eastAsia" w:ascii="宋体" w:hAnsi="宋体" w:eastAsia="宋体" w:cs="宋体"/>
                <w:highlight w:val="none"/>
              </w:rPr>
              <w:t>得1分，满分5分。</w:t>
            </w:r>
          </w:p>
        </w:tc>
      </w:tr>
      <w:tr w14:paraId="4257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jc w:val="center"/>
        </w:trPr>
        <w:tc>
          <w:tcPr>
            <w:tcW w:w="1018" w:type="dxa"/>
            <w:vMerge w:val="continue"/>
            <w:vAlign w:val="center"/>
          </w:tcPr>
          <w:p w14:paraId="664CDA14">
            <w:pPr>
              <w:jc w:val="center"/>
              <w:rPr>
                <w:rFonts w:ascii="宋体" w:hAnsi="宋体" w:eastAsia="宋体" w:cs="宋体"/>
                <w:szCs w:val="21"/>
                <w:highlight w:val="none"/>
              </w:rPr>
            </w:pPr>
          </w:p>
        </w:tc>
        <w:tc>
          <w:tcPr>
            <w:tcW w:w="896" w:type="dxa"/>
            <w:vAlign w:val="center"/>
          </w:tcPr>
          <w:p w14:paraId="3EBFD567">
            <w:pPr>
              <w:jc w:val="center"/>
              <w:rPr>
                <w:rFonts w:ascii="宋体" w:hAnsi="宋体" w:eastAsia="宋体" w:cs="宋体"/>
                <w:bCs/>
                <w:szCs w:val="21"/>
                <w:highlight w:val="none"/>
              </w:rPr>
            </w:pPr>
            <w:r>
              <w:rPr>
                <w:rFonts w:hint="eastAsia" w:ascii="宋体" w:hAnsi="宋体" w:eastAsia="宋体" w:cs="宋体"/>
                <w:highlight w:val="none"/>
              </w:rPr>
              <w:t>售后服务</w:t>
            </w:r>
          </w:p>
        </w:tc>
        <w:tc>
          <w:tcPr>
            <w:tcW w:w="684" w:type="dxa"/>
            <w:vAlign w:val="center"/>
          </w:tcPr>
          <w:p w14:paraId="0833C247">
            <w:pPr>
              <w:jc w:val="center"/>
              <w:rPr>
                <w:rFonts w:ascii="宋体" w:hAnsi="宋体" w:eastAsia="宋体" w:cs="宋体"/>
                <w:szCs w:val="21"/>
                <w:highlight w:val="none"/>
              </w:rPr>
            </w:pPr>
            <w:r>
              <w:rPr>
                <w:rFonts w:hint="eastAsia" w:ascii="宋体" w:hAnsi="宋体" w:eastAsia="宋体" w:cs="宋体"/>
                <w:szCs w:val="21"/>
                <w:highlight w:val="none"/>
              </w:rPr>
              <w:t>9分</w:t>
            </w:r>
          </w:p>
        </w:tc>
        <w:tc>
          <w:tcPr>
            <w:tcW w:w="6460" w:type="dxa"/>
            <w:vAlign w:val="center"/>
          </w:tcPr>
          <w:p w14:paraId="11BCA75D">
            <w:pPr>
              <w:spacing w:line="360" w:lineRule="auto"/>
              <w:ind w:firstLine="248" w:firstLineChars="100"/>
              <w:rPr>
                <w:rFonts w:ascii="宋体" w:hAnsi="宋体" w:eastAsia="宋体" w:cs="宋体"/>
                <w:szCs w:val="21"/>
                <w:highlight w:val="none"/>
              </w:rPr>
            </w:pPr>
            <w:r>
              <w:rPr>
                <w:rFonts w:hint="eastAsia" w:ascii="宋体" w:hAnsi="宋体" w:eastAsia="宋体" w:cs="宋体"/>
                <w:highlight w:val="none"/>
              </w:rPr>
              <w:t>针对本项目实际情况及采购人需求，投标人应提供具体可行的售后服务措施承诺，包括但不限于</w:t>
            </w:r>
            <w:r>
              <w:rPr>
                <w:rFonts w:hint="eastAsia" w:ascii="宋体" w:hAnsi="宋体" w:eastAsia="宋体" w:cs="宋体"/>
                <w:highlight w:val="none"/>
                <w:lang w:val="en-US" w:eastAsia="zh-CN"/>
              </w:rPr>
              <w:t>系统</w:t>
            </w:r>
            <w:r>
              <w:rPr>
                <w:rFonts w:hint="eastAsia" w:ascii="宋体" w:hAnsi="宋体" w:eastAsia="宋体" w:cs="宋体"/>
                <w:highlight w:val="none"/>
              </w:rPr>
              <w:t>升级、功能完善、数据备份恢复、故障排除、定期巡检、性能调优、技术咨询、售后场所、人员安排等完全满足采购需求并符合本项目实施特点的得9分；以上内容中每缺少一项内容扣 1分；每有一处内容与实际需求不符或不满足要求或与本项目需求不切合或直接套用其他项目内容的扣0.5分，扣完为止。未提供不得分。</w:t>
            </w:r>
          </w:p>
        </w:tc>
      </w:tr>
      <w:tr w14:paraId="7D93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jc w:val="center"/>
        </w:trPr>
        <w:tc>
          <w:tcPr>
            <w:tcW w:w="1018" w:type="dxa"/>
            <w:vMerge w:val="continue"/>
            <w:vAlign w:val="center"/>
          </w:tcPr>
          <w:p w14:paraId="50F60A37">
            <w:pPr>
              <w:jc w:val="center"/>
              <w:rPr>
                <w:rFonts w:ascii="宋体" w:hAnsi="宋体" w:eastAsia="宋体" w:cs="宋体"/>
                <w:szCs w:val="21"/>
                <w:highlight w:val="none"/>
              </w:rPr>
            </w:pPr>
          </w:p>
        </w:tc>
        <w:tc>
          <w:tcPr>
            <w:tcW w:w="896" w:type="dxa"/>
            <w:vAlign w:val="center"/>
          </w:tcPr>
          <w:p w14:paraId="3787BF5D">
            <w:pPr>
              <w:spacing w:line="360" w:lineRule="auto"/>
              <w:jc w:val="center"/>
              <w:rPr>
                <w:rFonts w:ascii="宋体" w:hAnsi="宋体" w:eastAsia="宋体" w:cs="宋体"/>
                <w:bCs/>
                <w:sz w:val="21"/>
                <w:szCs w:val="21"/>
                <w:highlight w:val="none"/>
              </w:rPr>
            </w:pPr>
            <w:r>
              <w:rPr>
                <w:rFonts w:hint="eastAsia" w:ascii="宋体" w:hAnsi="宋体" w:eastAsia="宋体" w:cs="宋体"/>
                <w:highlight w:val="none"/>
              </w:rPr>
              <w:t>培训方案</w:t>
            </w:r>
          </w:p>
        </w:tc>
        <w:tc>
          <w:tcPr>
            <w:tcW w:w="684" w:type="dxa"/>
            <w:vAlign w:val="center"/>
          </w:tcPr>
          <w:p w14:paraId="527D06F8">
            <w:pPr>
              <w:spacing w:line="360" w:lineRule="auto"/>
              <w:jc w:val="center"/>
              <w:rPr>
                <w:rFonts w:ascii="宋体" w:hAnsi="宋体" w:eastAsia="宋体" w:cs="宋体"/>
                <w:sz w:val="21"/>
                <w:szCs w:val="21"/>
                <w:highlight w:val="none"/>
              </w:rPr>
            </w:pPr>
            <w:r>
              <w:rPr>
                <w:rFonts w:hint="eastAsia" w:ascii="宋体" w:hAnsi="宋体" w:eastAsia="宋体" w:cs="宋体"/>
                <w:color w:val="000000"/>
                <w:sz w:val="21"/>
                <w:szCs w:val="21"/>
                <w:highlight w:val="none"/>
              </w:rPr>
              <w:t>5分</w:t>
            </w:r>
          </w:p>
        </w:tc>
        <w:tc>
          <w:tcPr>
            <w:tcW w:w="6460" w:type="dxa"/>
            <w:vAlign w:val="center"/>
          </w:tcPr>
          <w:p w14:paraId="10D4C97D">
            <w:pPr>
              <w:spacing w:line="360" w:lineRule="auto"/>
              <w:ind w:firstLine="248" w:firstLineChars="100"/>
              <w:rPr>
                <w:rFonts w:ascii="宋体" w:hAnsi="宋体" w:eastAsia="宋体" w:cs="宋体"/>
                <w:b/>
                <w:bCs/>
                <w:sz w:val="21"/>
                <w:szCs w:val="21"/>
                <w:highlight w:val="none"/>
                <w:lang w:val="zh-CN"/>
              </w:rPr>
            </w:pPr>
            <w:r>
              <w:rPr>
                <w:rFonts w:hint="eastAsia" w:ascii="宋体" w:hAnsi="宋体" w:eastAsia="宋体" w:cs="宋体"/>
                <w:highlight w:val="none"/>
              </w:rPr>
              <w:t xml:space="preserve">投标人应向采购人提供相应的培训方案，列出详细的培训内容、培训方式、培训人员、培训场次、培训目标和要求等，完全满足采购需求并符合本项目实施特点的得5分；以上内容中每缺少一项内容扣 1分；每有一处内容与实际需求不符或不满足要求或与本项目需求不切合或直接套用其他项目内容的扣0.5分，扣完为止。未提供不得分。 </w:t>
            </w:r>
          </w:p>
        </w:tc>
      </w:tr>
      <w:tr w14:paraId="1B17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1018" w:type="dxa"/>
            <w:vMerge w:val="continue"/>
            <w:vAlign w:val="center"/>
          </w:tcPr>
          <w:p w14:paraId="6ABAD660">
            <w:pPr>
              <w:jc w:val="center"/>
              <w:rPr>
                <w:rFonts w:ascii="宋体" w:hAnsi="宋体" w:eastAsia="宋体" w:cs="宋体"/>
                <w:szCs w:val="21"/>
                <w:highlight w:val="none"/>
              </w:rPr>
            </w:pPr>
          </w:p>
        </w:tc>
        <w:tc>
          <w:tcPr>
            <w:tcW w:w="896" w:type="dxa"/>
            <w:vAlign w:val="center"/>
          </w:tcPr>
          <w:p w14:paraId="2FE4AB6F">
            <w:pPr>
              <w:jc w:val="center"/>
              <w:rPr>
                <w:rFonts w:ascii="宋体" w:hAnsi="宋体" w:eastAsia="宋体" w:cs="宋体"/>
                <w:bCs/>
                <w:szCs w:val="21"/>
                <w:highlight w:val="none"/>
              </w:rPr>
            </w:pPr>
            <w:r>
              <w:rPr>
                <w:rFonts w:hint="eastAsia" w:ascii="宋体" w:hAnsi="宋体" w:eastAsia="宋体" w:cs="宋体"/>
                <w:bCs/>
                <w:szCs w:val="21"/>
                <w:highlight w:val="none"/>
              </w:rPr>
              <w:t>业绩</w:t>
            </w:r>
          </w:p>
        </w:tc>
        <w:tc>
          <w:tcPr>
            <w:tcW w:w="684" w:type="dxa"/>
            <w:vAlign w:val="center"/>
          </w:tcPr>
          <w:p w14:paraId="5A75ACA3">
            <w:pPr>
              <w:jc w:val="center"/>
              <w:rPr>
                <w:rFonts w:ascii="宋体" w:hAnsi="宋体" w:eastAsia="宋体" w:cs="宋体"/>
                <w:szCs w:val="21"/>
                <w:highlight w:val="none"/>
              </w:rPr>
            </w:pPr>
            <w:r>
              <w:rPr>
                <w:rFonts w:hint="eastAsia" w:ascii="宋体" w:hAnsi="宋体" w:eastAsia="宋体" w:cs="宋体"/>
                <w:szCs w:val="21"/>
                <w:highlight w:val="none"/>
              </w:rPr>
              <w:t>3分</w:t>
            </w:r>
          </w:p>
        </w:tc>
        <w:tc>
          <w:tcPr>
            <w:tcW w:w="6460" w:type="dxa"/>
          </w:tcPr>
          <w:p w14:paraId="37CADEFF">
            <w:pPr>
              <w:spacing w:line="360" w:lineRule="auto"/>
              <w:rPr>
                <w:rFonts w:ascii="宋体" w:hAnsi="宋体" w:eastAsia="宋体" w:cs="宋体"/>
                <w:highlight w:val="none"/>
              </w:rPr>
            </w:pPr>
            <w:r>
              <w:rPr>
                <w:rFonts w:hint="eastAsia" w:ascii="宋体" w:hAnsi="宋体" w:eastAsia="宋体" w:cs="宋体"/>
                <w:highlight w:val="none"/>
              </w:rPr>
              <w:t>提供</w:t>
            </w:r>
            <w:r>
              <w:rPr>
                <w:rFonts w:hint="eastAsia" w:ascii="宋体" w:hAnsi="宋体" w:eastAsia="宋体" w:cs="宋体"/>
                <w:highlight w:val="none"/>
                <w:lang w:val="en-US" w:eastAsia="zh-CN"/>
              </w:rPr>
              <w:t>投标人</w:t>
            </w:r>
            <w:r>
              <w:rPr>
                <w:rFonts w:hint="eastAsia" w:ascii="宋体" w:hAnsi="宋体" w:eastAsia="宋体" w:cs="宋体"/>
                <w:highlight w:val="none"/>
              </w:rPr>
              <w:t>2021年10月1日至今类似项目业绩合同（以合同签订时间为准），一个业绩计1分，最高3分。</w:t>
            </w:r>
          </w:p>
          <w:p w14:paraId="0E3C565B">
            <w:pPr>
              <w:pStyle w:val="22"/>
              <w:spacing w:line="360" w:lineRule="auto"/>
              <w:rPr>
                <w:rFonts w:ascii="宋体" w:hAnsi="宋体" w:eastAsia="宋体" w:cs="宋体"/>
                <w:szCs w:val="21"/>
                <w:highlight w:val="none"/>
              </w:rPr>
            </w:pPr>
            <w:r>
              <w:rPr>
                <w:rFonts w:hint="eastAsia" w:ascii="宋体" w:hAnsi="宋体" w:eastAsia="宋体" w:cs="宋体"/>
                <w:b/>
                <w:bCs/>
                <w:sz w:val="24"/>
                <w:szCs w:val="24"/>
                <w:highlight w:val="none"/>
              </w:rPr>
              <w:t>评审依据</w:t>
            </w:r>
            <w:r>
              <w:rPr>
                <w:rFonts w:hint="eastAsia" w:ascii="宋体" w:hAnsi="宋体" w:eastAsia="宋体" w:cs="宋体"/>
                <w:sz w:val="24"/>
                <w:szCs w:val="24"/>
                <w:highlight w:val="none"/>
              </w:rPr>
              <w:t>：投标文件中须提供业绩合同证明材料复印件加盖公章，含合同关键页（即合同首页、合同标的物清单、合同金额页及双方签字盖章页），以合同签订时间为准。</w:t>
            </w:r>
          </w:p>
        </w:tc>
      </w:tr>
      <w:tr w14:paraId="1D68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1018" w:type="dxa"/>
            <w:vAlign w:val="center"/>
          </w:tcPr>
          <w:p w14:paraId="54950500">
            <w:pPr>
              <w:rPr>
                <w:rFonts w:ascii="宋体" w:hAnsi="宋体" w:eastAsia="宋体" w:cs="宋体"/>
                <w:szCs w:val="21"/>
                <w:highlight w:val="none"/>
              </w:rPr>
            </w:pPr>
            <w:r>
              <w:rPr>
                <w:rFonts w:hint="eastAsia" w:ascii="宋体" w:hAnsi="宋体" w:eastAsia="宋体" w:cs="宋体"/>
                <w:szCs w:val="21"/>
                <w:highlight w:val="none"/>
              </w:rPr>
              <w:t>备注</w:t>
            </w:r>
          </w:p>
        </w:tc>
        <w:tc>
          <w:tcPr>
            <w:tcW w:w="8040" w:type="dxa"/>
            <w:gridSpan w:val="3"/>
          </w:tcPr>
          <w:p w14:paraId="40C1233D">
            <w:pPr>
              <w:rPr>
                <w:rFonts w:ascii="宋体" w:hAnsi="宋体" w:eastAsia="宋体" w:cs="宋体"/>
                <w:szCs w:val="21"/>
                <w:highlight w:val="none"/>
              </w:rPr>
            </w:pPr>
            <w:r>
              <w:rPr>
                <w:rFonts w:hint="eastAsia" w:ascii="宋体" w:hAnsi="宋体" w:eastAsia="宋体" w:cs="宋体"/>
                <w:szCs w:val="21"/>
                <w:highlight w:val="none"/>
              </w:rPr>
              <w:t>1）各评委独立打分，每项评审指标最低得分为零分。</w:t>
            </w:r>
          </w:p>
          <w:p w14:paraId="0F3075E0">
            <w:pPr>
              <w:rPr>
                <w:rFonts w:ascii="宋体" w:hAnsi="宋体" w:eastAsia="宋体" w:cs="宋体"/>
                <w:szCs w:val="21"/>
                <w:highlight w:val="none"/>
              </w:rPr>
            </w:pPr>
            <w:r>
              <w:rPr>
                <w:rFonts w:hint="eastAsia" w:ascii="宋体" w:hAnsi="宋体" w:eastAsia="宋体" w:cs="宋体"/>
                <w:szCs w:val="21"/>
                <w:highlight w:val="none"/>
              </w:rPr>
              <w:t>2）评委打分超过得分界限或未按本表规定赋分时，该评委的打分无效，不计入汇总分。</w:t>
            </w:r>
          </w:p>
          <w:p w14:paraId="2E542DB9">
            <w:pPr>
              <w:rPr>
                <w:rFonts w:ascii="宋体" w:hAnsi="宋体" w:eastAsia="宋体" w:cs="宋体"/>
                <w:szCs w:val="21"/>
                <w:highlight w:val="none"/>
              </w:rPr>
            </w:pPr>
            <w:r>
              <w:rPr>
                <w:rFonts w:hint="eastAsia" w:ascii="宋体" w:hAnsi="宋体" w:eastAsia="宋体" w:cs="宋体"/>
                <w:szCs w:val="21"/>
                <w:highlight w:val="none"/>
              </w:rPr>
              <w:t>3）若出现综合得分相同的，按投标报价由低到高顺序排列名次；得分且投标报价相同的，按技术指标得分顺序排列名次。</w:t>
            </w:r>
          </w:p>
          <w:p w14:paraId="51E0361B">
            <w:pPr>
              <w:rPr>
                <w:rFonts w:ascii="宋体" w:hAnsi="宋体" w:eastAsia="宋体" w:cs="宋体"/>
                <w:szCs w:val="21"/>
                <w:highlight w:val="none"/>
              </w:rPr>
            </w:pPr>
            <w:r>
              <w:rPr>
                <w:rFonts w:hint="eastAsia" w:ascii="宋体" w:hAnsi="宋体" w:eastAsia="宋体" w:cs="宋体"/>
                <w:szCs w:val="21"/>
                <w:highlight w:val="none"/>
              </w:rPr>
              <w:t>4）最终结果数字保留二位小数，不进行四舍五入。</w:t>
            </w:r>
          </w:p>
        </w:tc>
      </w:tr>
    </w:tbl>
    <w:p w14:paraId="5465D4B3">
      <w:pPr>
        <w:rPr>
          <w:rFonts w:ascii="宋体" w:hAnsi="宋体" w:eastAsia="宋体" w:cs="宋体"/>
          <w:highlight w:val="none"/>
        </w:rPr>
      </w:pPr>
    </w:p>
    <w:p w14:paraId="283B85EB">
      <w:pPr>
        <w:rPr>
          <w:rFonts w:ascii="宋体" w:hAnsi="宋体" w:eastAsia="宋体" w:cs="宋体"/>
          <w:highlight w:val="none"/>
        </w:rPr>
      </w:pPr>
      <w:r>
        <w:rPr>
          <w:rFonts w:hint="eastAsia" w:ascii="宋体" w:hAnsi="宋体" w:eastAsia="宋体" w:cs="宋体"/>
          <w:highlight w:val="none"/>
        </w:rPr>
        <w:t>备注：</w:t>
      </w:r>
    </w:p>
    <w:p w14:paraId="13E830F7">
      <w:pPr>
        <w:spacing w:line="360" w:lineRule="auto"/>
        <w:ind w:firstLine="248" w:firstLineChars="100"/>
        <w:rPr>
          <w:rFonts w:ascii="宋体" w:hAnsi="宋体" w:eastAsia="宋体" w:cs="宋体"/>
          <w:b/>
          <w:bCs/>
          <w:highlight w:val="none"/>
        </w:rPr>
      </w:pPr>
      <w:r>
        <w:rPr>
          <w:rFonts w:hint="eastAsia" w:ascii="宋体" w:hAnsi="宋体" w:eastAsia="宋体" w:cs="宋体"/>
          <w:b/>
          <w:bCs/>
          <w:highlight w:val="none"/>
        </w:rPr>
        <w:t>（一）对小型或微型企业参加政府采购投标的扶持：</w:t>
      </w:r>
    </w:p>
    <w:p w14:paraId="56953AF2">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根据《政府采购促进中小企业发展管理办法》（</w:t>
      </w:r>
      <w:r>
        <w:rPr>
          <w:rFonts w:hint="eastAsia" w:ascii="宋体" w:hAnsi="宋体" w:eastAsia="宋体" w:cs="宋体"/>
          <w:spacing w:val="6"/>
          <w:highlight w:val="none"/>
        </w:rPr>
        <w:t>财库[2020]46号</w:t>
      </w:r>
      <w:r>
        <w:rPr>
          <w:rFonts w:hint="eastAsia" w:ascii="宋体" w:hAnsi="宋体" w:eastAsia="宋体" w:cs="宋体"/>
          <w:highlight w:val="none"/>
        </w:rPr>
        <w:t>）、《财政部关于进一步加大政府采购支持中小企业力度的通知》（财库〔2022〕19号）的规定，对于非专门面向中小企业的项目，对小型和微型企业产品的价格给予10%的扣除，用扣除后的价格参与评审；投标人可在投标文件中提供小型和微型企业声明，具体格式详见附件。</w:t>
      </w:r>
    </w:p>
    <w:p w14:paraId="42C6A4DB">
      <w:pPr>
        <w:spacing w:line="360" w:lineRule="auto"/>
        <w:ind w:firstLine="496" w:firstLineChars="200"/>
        <w:rPr>
          <w:rFonts w:ascii="宋体" w:hAnsi="宋体" w:eastAsia="宋体" w:cs="宋体"/>
          <w:b/>
          <w:bCs/>
          <w:highlight w:val="none"/>
        </w:rPr>
      </w:pPr>
      <w:r>
        <w:rPr>
          <w:rFonts w:hint="eastAsia" w:ascii="宋体" w:hAnsi="宋体" w:eastAsia="宋体" w:cs="宋体"/>
          <w:b/>
          <w:bCs/>
          <w:highlight w:val="none"/>
        </w:rPr>
        <w:t>（二）对监狱企业、残疾人福利企业的扶持</w:t>
      </w:r>
    </w:p>
    <w:p w14:paraId="6AE277C1">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 xml:space="preserve">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 </w:t>
      </w:r>
    </w:p>
    <w:p w14:paraId="6A29C351">
      <w:pPr>
        <w:spacing w:line="360" w:lineRule="auto"/>
        <w:ind w:firstLine="496" w:firstLineChars="200"/>
        <w:rPr>
          <w:rFonts w:ascii="宋体" w:hAnsi="宋体" w:eastAsia="宋体" w:cs="宋体"/>
          <w:b/>
          <w:bCs/>
          <w:highlight w:val="none"/>
        </w:rPr>
      </w:pPr>
      <w:r>
        <w:rPr>
          <w:rFonts w:hint="eastAsia" w:ascii="宋体" w:hAnsi="宋体" w:eastAsia="宋体" w:cs="宋体"/>
          <w:b/>
          <w:bCs/>
          <w:highlight w:val="none"/>
        </w:rPr>
        <w:t>（三）对同时属于小微企业、监狱企业或残疾人福利性单位的，不重复享受政策。</w:t>
      </w:r>
    </w:p>
    <w:p w14:paraId="440B5452">
      <w:pPr>
        <w:spacing w:line="360" w:lineRule="auto"/>
        <w:ind w:firstLine="496" w:firstLineChars="200"/>
        <w:rPr>
          <w:rFonts w:ascii="宋体" w:hAnsi="宋体" w:eastAsia="宋体" w:cs="宋体"/>
          <w:b/>
          <w:bCs/>
          <w:highlight w:val="none"/>
        </w:rPr>
      </w:pPr>
      <w:r>
        <w:rPr>
          <w:rFonts w:hint="eastAsia" w:ascii="宋体" w:hAnsi="宋体" w:eastAsia="宋体" w:cs="宋体"/>
          <w:b/>
          <w:bCs/>
          <w:highlight w:val="none"/>
        </w:rPr>
        <w:t>（四）对节能、环保政策的支持</w:t>
      </w:r>
    </w:p>
    <w:p w14:paraId="1F9DF85C">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14:paraId="4CB899B5">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2、根据《财政部发展改革委 生态环境部 市场监管总局关于调整优化节能产品环境标志产品政府采购执行机制的通知》（财库〔2019〕9号），及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44BB3729">
      <w:pPr>
        <w:jc w:val="center"/>
        <w:rPr>
          <w:rFonts w:ascii="宋体" w:hAnsi="宋体" w:eastAsia="宋体" w:cs="宋体"/>
          <w:b/>
          <w:bCs/>
          <w:sz w:val="28"/>
          <w:szCs w:val="28"/>
          <w:highlight w:val="none"/>
        </w:rPr>
      </w:pPr>
      <w:r>
        <w:rPr>
          <w:rFonts w:hint="eastAsia" w:ascii="宋体" w:hAnsi="宋体" w:eastAsia="宋体" w:cs="宋体"/>
          <w:highlight w:val="none"/>
        </w:rPr>
        <w:t>3、产品同时属于“非强制采购节能产品”、环境标志产品的，评审时只有其中一项能享受优先待遇（供应商自行选择，并在报价文件中填写相关信息及数据）。</w:t>
      </w:r>
      <w:r>
        <w:rPr>
          <w:rFonts w:hint="eastAsia" w:ascii="宋体" w:hAnsi="宋体" w:eastAsia="宋体" w:cs="宋体"/>
          <w:b/>
          <w:bCs/>
          <w:sz w:val="28"/>
          <w:szCs w:val="28"/>
          <w:highlight w:val="none"/>
        </w:rPr>
        <w:t xml:space="preserve"> </w:t>
      </w:r>
    </w:p>
    <w:p w14:paraId="71C5B316">
      <w:pPr>
        <w:jc w:val="center"/>
        <w:rPr>
          <w:rFonts w:ascii="宋体" w:hAnsi="宋体" w:eastAsia="宋体" w:cs="宋体"/>
          <w:b/>
          <w:bCs/>
          <w:sz w:val="28"/>
          <w:szCs w:val="28"/>
          <w:highlight w:val="none"/>
        </w:rPr>
      </w:pPr>
    </w:p>
    <w:p w14:paraId="1D25304B">
      <w:pPr>
        <w:rPr>
          <w:rFonts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29CA4B41">
      <w:pPr>
        <w:pStyle w:val="3"/>
        <w:rPr>
          <w:rFonts w:ascii="宋体" w:hAnsi="宋体" w:eastAsia="宋体" w:cs="宋体"/>
          <w:sz w:val="28"/>
          <w:szCs w:val="28"/>
          <w:highlight w:val="none"/>
        </w:rPr>
      </w:pPr>
      <w:bookmarkStart w:id="70" w:name="_Toc100219614"/>
      <w:bookmarkStart w:id="71" w:name="_Toc22380"/>
      <w:bookmarkStart w:id="72" w:name="_Toc9354"/>
      <w:bookmarkStart w:id="73" w:name="_Toc7578"/>
      <w:r>
        <w:rPr>
          <w:rFonts w:hint="eastAsia" w:ascii="宋体" w:hAnsi="宋体" w:eastAsia="宋体" w:cs="宋体"/>
          <w:sz w:val="28"/>
          <w:szCs w:val="28"/>
          <w:highlight w:val="none"/>
        </w:rPr>
        <w:t>第三章  招标内容及要求</w:t>
      </w:r>
      <w:bookmarkEnd w:id="70"/>
      <w:bookmarkEnd w:id="71"/>
      <w:bookmarkEnd w:id="72"/>
      <w:bookmarkEnd w:id="73"/>
    </w:p>
    <w:p w14:paraId="2010E520">
      <w:pPr>
        <w:pStyle w:val="4"/>
        <w:bidi w:val="0"/>
      </w:pPr>
      <w:r>
        <w:rPr>
          <w:rFonts w:hint="eastAsia"/>
        </w:rPr>
        <w:t>一、商务条款</w:t>
      </w:r>
    </w:p>
    <w:p w14:paraId="42888BE5">
      <w:pPr>
        <w:tabs>
          <w:tab w:val="left" w:pos="420"/>
        </w:tabs>
        <w:spacing w:line="360" w:lineRule="auto"/>
        <w:ind w:firstLine="496" w:firstLineChars="200"/>
        <w:rPr>
          <w:rFonts w:ascii="宋体" w:hAnsi="宋体" w:eastAsia="宋体" w:cs="宋体"/>
          <w:highlight w:val="none"/>
        </w:rPr>
      </w:pPr>
      <w:r>
        <w:rPr>
          <w:rFonts w:hint="eastAsia" w:ascii="宋体" w:hAnsi="宋体" w:eastAsia="宋体" w:cs="宋体"/>
          <w:highlight w:val="none"/>
        </w:rPr>
        <w:t>1、服务期：自合同签订之日起24个月。</w:t>
      </w:r>
    </w:p>
    <w:p w14:paraId="7210C799">
      <w:pPr>
        <w:pStyle w:val="32"/>
        <w:ind w:firstLine="496" w:firstLineChars="200"/>
        <w:rPr>
          <w:rFonts w:ascii="宋体" w:hAnsi="宋体" w:eastAsia="宋体" w:cs="宋体"/>
          <w:sz w:val="24"/>
          <w:highlight w:val="none"/>
        </w:rPr>
      </w:pPr>
      <w:r>
        <w:rPr>
          <w:rFonts w:hint="eastAsia" w:ascii="宋体" w:hAnsi="宋体" w:eastAsia="宋体" w:cs="宋体"/>
          <w:sz w:val="24"/>
          <w:highlight w:val="none"/>
        </w:rPr>
        <w:t>2、服务地点：采购人指定地点；</w:t>
      </w:r>
    </w:p>
    <w:p w14:paraId="7BB3D931">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3、付款方式：</w:t>
      </w:r>
    </w:p>
    <w:p w14:paraId="663E227D">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（一）合同签订后30个工作日内，采购人向中标服务商支付项目合同价款的</w:t>
      </w:r>
      <w:r>
        <w:rPr>
          <w:rFonts w:hint="eastAsia" w:ascii="宋体" w:hAnsi="宋体" w:eastAsia="宋体" w:cs="宋体"/>
          <w:highlight w:val="none"/>
          <w:lang w:val="en-US" w:eastAsia="zh-CN"/>
        </w:rPr>
        <w:t>5</w:t>
      </w:r>
      <w:r>
        <w:rPr>
          <w:rFonts w:hint="eastAsia" w:ascii="宋体" w:hAnsi="宋体" w:eastAsia="宋体" w:cs="宋体"/>
          <w:highlight w:val="none"/>
        </w:rPr>
        <w:t>0%。即人民币（大写）</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元。</w:t>
      </w:r>
    </w:p>
    <w:p w14:paraId="57EB2441">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（二）服务期满10个月</w:t>
      </w:r>
      <w:r>
        <w:rPr>
          <w:rFonts w:hint="eastAsia" w:ascii="宋体" w:hAnsi="宋体" w:eastAsia="宋体" w:cs="宋体"/>
          <w:highlight w:val="none"/>
          <w:lang w:eastAsia="zh-Hans"/>
        </w:rPr>
        <w:t>后</w:t>
      </w:r>
      <w:r>
        <w:rPr>
          <w:rFonts w:hint="eastAsia" w:ascii="宋体" w:hAnsi="宋体" w:eastAsia="宋体" w:cs="宋体"/>
          <w:highlight w:val="none"/>
        </w:rPr>
        <w:t>，采购人组织初次服务验收并通过后30个工作日内，扣除相关款项（根据合同附件的考核要求计算的服务不达标扣除款项等），采购人向中标服务商支付项目合同价款的</w:t>
      </w:r>
      <w:r>
        <w:rPr>
          <w:rFonts w:hint="eastAsia" w:ascii="宋体" w:hAnsi="宋体" w:eastAsia="宋体" w:cs="宋体"/>
          <w:highlight w:val="none"/>
          <w:lang w:val="en-US" w:eastAsia="zh-CN"/>
        </w:rPr>
        <w:t>3</w:t>
      </w:r>
      <w:r>
        <w:rPr>
          <w:rFonts w:hint="eastAsia" w:ascii="宋体" w:hAnsi="宋体" w:eastAsia="宋体" w:cs="宋体"/>
          <w:highlight w:val="none"/>
        </w:rPr>
        <w:t>0%。</w:t>
      </w:r>
    </w:p>
    <w:p w14:paraId="23BCBB0A">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（三）服务期结束后一个月内，采购人组织整体服务验收并通过后30个工作日内，扣除相关款项（根据合同附件的考核要求计算的服务不达标扣除款项等），采购人向中标服务商支付剩余合同价款（不超过</w:t>
      </w:r>
      <w:r>
        <w:rPr>
          <w:rFonts w:hint="eastAsia" w:ascii="宋体" w:hAnsi="宋体" w:eastAsia="宋体" w:cs="宋体"/>
          <w:highlight w:val="none"/>
          <w:lang w:val="en-US" w:eastAsia="zh-CN"/>
        </w:rPr>
        <w:t>2</w:t>
      </w:r>
      <w:r>
        <w:rPr>
          <w:rFonts w:hint="eastAsia" w:ascii="宋体" w:hAnsi="宋体" w:eastAsia="宋体" w:cs="宋体"/>
          <w:highlight w:val="none"/>
        </w:rPr>
        <w:t>0%）。</w:t>
      </w:r>
    </w:p>
    <w:p w14:paraId="1F729A66">
      <w:pPr>
        <w:spacing w:line="360" w:lineRule="auto"/>
        <w:ind w:firstLine="496" w:firstLineChars="200"/>
        <w:rPr>
          <w:rFonts w:ascii="宋体" w:hAnsi="宋体" w:eastAsia="宋体" w:cs="宋体"/>
          <w:highlight w:val="none"/>
        </w:rPr>
      </w:pPr>
      <w:r>
        <w:rPr>
          <w:rFonts w:hint="eastAsia" w:ascii="宋体" w:hAnsi="宋体" w:eastAsia="宋体" w:cs="宋体"/>
          <w:highlight w:val="none"/>
        </w:rPr>
        <w:t>（四）支付方式：银行转账。</w:t>
      </w:r>
    </w:p>
    <w:p w14:paraId="5B531FEB">
      <w:pPr>
        <w:pStyle w:val="11"/>
        <w:spacing w:line="480" w:lineRule="exact"/>
        <w:ind w:firstLine="496" w:firstLineChars="200"/>
        <w:rPr>
          <w:rFonts w:ascii="宋体" w:hAnsi="宋体" w:eastAsia="宋体" w:cs="宋体"/>
          <w:highlight w:val="none"/>
        </w:rPr>
      </w:pPr>
      <w:r>
        <w:rPr>
          <w:rFonts w:hint="eastAsia" w:ascii="宋体" w:hAnsi="宋体" w:eastAsia="宋体" w:cs="宋体"/>
          <w:highlight w:val="none"/>
        </w:rPr>
        <w:t>（五）结算方式：乙方开具发票，持结算等额发票，与甲方结算。</w:t>
      </w:r>
    </w:p>
    <w:p w14:paraId="6E736EFC">
      <w:pPr>
        <w:pStyle w:val="4"/>
        <w:bidi w:val="0"/>
        <w:rPr>
          <w:rFonts w:hint="eastAsia"/>
        </w:rPr>
      </w:pPr>
      <w:r>
        <w:rPr>
          <w:rFonts w:hint="eastAsia"/>
        </w:rPr>
        <w:t>二、</w:t>
      </w:r>
      <w:bookmarkStart w:id="74" w:name="_Toc21324"/>
      <w:bookmarkStart w:id="75" w:name="_Toc2281"/>
      <w:bookmarkStart w:id="76" w:name="_Toc20322"/>
      <w:r>
        <w:rPr>
          <w:rFonts w:hint="eastAsia"/>
        </w:rPr>
        <w:t>技术要求</w:t>
      </w:r>
      <w:bookmarkEnd w:id="74"/>
      <w:bookmarkEnd w:id="75"/>
      <w:bookmarkEnd w:id="76"/>
      <w:bookmarkStart w:id="77" w:name="_Toc10703"/>
      <w:bookmarkStart w:id="78" w:name="_Toc100219616"/>
    </w:p>
    <w:p w14:paraId="1AAC03CC">
      <w:pPr>
        <w:pStyle w:val="5"/>
        <w:bidi w:val="0"/>
        <w:rPr>
          <w:rFonts w:hint="eastAsia"/>
        </w:rPr>
      </w:pPr>
      <w:r>
        <w:rPr>
          <w:rFonts w:hint="eastAsia"/>
          <w:lang w:val="en-US" w:eastAsia="zh-CN"/>
        </w:rPr>
        <w:t>（一）、</w:t>
      </w:r>
      <w:r>
        <w:rPr>
          <w:rFonts w:hint="eastAsia"/>
        </w:rPr>
        <w:t>建设背景</w:t>
      </w:r>
    </w:p>
    <w:p w14:paraId="1CFF833F">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sz w:val="24"/>
        </w:rPr>
      </w:pPr>
      <w:r>
        <w:rPr>
          <w:rFonts w:hint="eastAsia" w:ascii="Times New Roman" w:hAnsi="Times New Roman"/>
          <w:sz w:val="24"/>
        </w:rPr>
        <w:t>根据《西安市人民政府办公厅文件办理单工作事项呈批（综四数据〔2023〕8号）》《关于建设市政协“数字政协”有关事项的函》《“秦商量”协商议政平台省市县三级联动建设工作方案》的要求，“完成两级智慧政协平台建设，各市政协应完成与省政协数据中心的对接。尚未完成信息化平台建设的各市政协需建设市本级的智慧政协核心业务类模块”。为进一步深化我市政协信息化建设，提高信息化和数据应用水平，提高履职质效，更广泛地联系人民群众推动政协工作高质量发展，更好地发挥新时代人民政协专门协商机构作用，根据王吉德主席关于丰富系统内容、提供优质服务、充分发挥委员作用、加强互联互通、统筹规划、分步实施、确保系统安全等要求，在借鉴其他省政协和市州政协先进经验的基础上，结合我市政协工作实际，建设本项目。</w:t>
      </w:r>
    </w:p>
    <w:p w14:paraId="55CE8095">
      <w:pPr>
        <w:pStyle w:val="5"/>
        <w:bidi w:val="0"/>
        <w:rPr>
          <w:rFonts w:hint="default"/>
          <w:b w:val="0"/>
          <w:lang w:val="en-US" w:eastAsia="zh-CN"/>
        </w:rPr>
      </w:pPr>
      <w:r>
        <w:rPr>
          <w:rFonts w:hint="eastAsia"/>
          <w:lang w:val="en-US" w:eastAsia="zh-CN"/>
        </w:rPr>
        <w:t>（二）、</w:t>
      </w:r>
      <w:r>
        <w:rPr>
          <w:rFonts w:hint="default"/>
          <w:lang w:val="en-US" w:eastAsia="zh-CN"/>
        </w:rPr>
        <w:t>建设依据</w:t>
      </w:r>
    </w:p>
    <w:p w14:paraId="5A7329E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《中国人民政治协商会议章程（2023版）》</w:t>
      </w:r>
      <w:r>
        <w:rPr>
          <w:rFonts w:hint="eastAsia" w:ascii="Times New Roman" w:hAnsi="Times New Roman"/>
          <w:sz w:val="24"/>
          <w:lang w:val="en-US" w:eastAsia="zh-CN"/>
        </w:rPr>
        <w:t>；</w:t>
      </w:r>
    </w:p>
    <w:p w14:paraId="52A47A1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《中国人民政治协商会议章程修正案（2023版）》</w:t>
      </w:r>
      <w:r>
        <w:rPr>
          <w:rFonts w:hint="eastAsia" w:ascii="Times New Roman" w:hAnsi="Times New Roman"/>
          <w:sz w:val="24"/>
          <w:lang w:val="en-US" w:eastAsia="zh-CN"/>
        </w:rPr>
        <w:t>；</w:t>
      </w:r>
    </w:p>
    <w:p w14:paraId="49E0AD5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《中国共产党政治协商工作条例》</w:t>
      </w:r>
      <w:r>
        <w:rPr>
          <w:rFonts w:hint="eastAsia" w:ascii="Times New Roman" w:hAnsi="Times New Roman"/>
          <w:sz w:val="24"/>
          <w:lang w:val="en-US" w:eastAsia="zh-CN"/>
        </w:rPr>
        <w:t>；</w:t>
      </w:r>
    </w:p>
    <w:p w14:paraId="5847EF6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《中共中央办公厅关于加强新时代人民政协党的建设工作的若干意见》（中办发〔2018〕48号）《中共陕西省委关于新时代加强和改进人民政协工作的实施意见》（陕发〔2021〕15号）</w:t>
      </w:r>
      <w:r>
        <w:rPr>
          <w:rFonts w:hint="eastAsia" w:ascii="Times New Roman" w:hAnsi="Times New Roman"/>
          <w:sz w:val="24"/>
          <w:lang w:val="en-US" w:eastAsia="zh-CN"/>
        </w:rPr>
        <w:t>；</w:t>
      </w:r>
    </w:p>
    <w:p w14:paraId="7BFB20A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《中共西安市委办公厅关于加强和改进新时代市县政协工作措施》（市办发〔2022〕18号）</w:t>
      </w:r>
      <w:r>
        <w:rPr>
          <w:rFonts w:hint="eastAsia" w:ascii="Times New Roman" w:hAnsi="Times New Roman"/>
          <w:sz w:val="24"/>
          <w:lang w:val="en-US" w:eastAsia="zh-CN"/>
        </w:rPr>
        <w:t>；</w:t>
      </w:r>
    </w:p>
    <w:p w14:paraId="02C4E14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《“秦商量”协商议政平台省市县三级联动建设工作方案》（陕政协办发〔2023〕7号）</w:t>
      </w:r>
      <w:r>
        <w:rPr>
          <w:rFonts w:hint="eastAsia" w:ascii="Times New Roman" w:hAnsi="Times New Roman"/>
          <w:sz w:val="24"/>
          <w:lang w:val="en-US" w:eastAsia="zh-CN"/>
        </w:rPr>
        <w:t>；</w:t>
      </w:r>
    </w:p>
    <w:p w14:paraId="41FA140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《政协西安市委员会办公厅关于成立数字政协建设领导小组的通知（市政协办发〔2023〕50号）》</w:t>
      </w:r>
      <w:r>
        <w:rPr>
          <w:rFonts w:hint="eastAsia" w:ascii="Times New Roman" w:hAnsi="Times New Roman"/>
          <w:sz w:val="24"/>
          <w:lang w:val="en-US" w:eastAsia="zh-CN"/>
        </w:rPr>
        <w:t>；</w:t>
      </w:r>
    </w:p>
    <w:p w14:paraId="0E4E497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《西安市贯彻落实《中共陕西省委政治协商工作机制》实施办法》（市统组办发〔2024〕1号）</w:t>
      </w:r>
      <w:r>
        <w:rPr>
          <w:rFonts w:hint="eastAsia" w:ascii="Times New Roman" w:hAnsi="Times New Roman"/>
          <w:sz w:val="24"/>
          <w:lang w:val="en-US" w:eastAsia="zh-CN"/>
        </w:rPr>
        <w:t>。</w:t>
      </w:r>
    </w:p>
    <w:p w14:paraId="17DDC8FB">
      <w:pPr>
        <w:pStyle w:val="5"/>
        <w:bidi w:val="0"/>
        <w:rPr>
          <w:rFonts w:hint="default"/>
          <w:lang w:val="en-US" w:eastAsia="zh-CN"/>
        </w:rPr>
      </w:pPr>
      <w:r>
        <w:rPr>
          <w:rFonts w:hint="eastAsia"/>
          <w:lang w:val="en-US" w:eastAsia="zh-CN"/>
        </w:rPr>
        <w:t>（三）、</w:t>
      </w:r>
      <w:r>
        <w:rPr>
          <w:rFonts w:hint="default"/>
          <w:lang w:val="en-US" w:eastAsia="zh-CN"/>
        </w:rPr>
        <w:t>建设目标</w:t>
      </w:r>
    </w:p>
    <w:p w14:paraId="2526560D">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sz w:val="24"/>
        </w:rPr>
      </w:pPr>
      <w:r>
        <w:rPr>
          <w:rFonts w:hint="eastAsia" w:ascii="Times New Roman" w:hAnsi="Times New Roman"/>
          <w:sz w:val="24"/>
        </w:rPr>
        <w:t>以数字化理念推进政协工作全方位、系统性重塑，坚持综合集成、以数字化技术实现政协履职高效服务，坚持双向发力、以数字化平台拓宽群众有序政治参与渠道，打通业务、数据、信息等流转的屏障，探索委员跨区域、跨层级履职新路径，建设即时感知、融合协同、精准服务、高效运行、共建共享的西安数字政协，引入人工智能，提升政协智能化水平，创新智慧应用履职模式，为履职服务提质增效，以数字化手段推动政协工作的创新发展，以数字政协推动政协工作的质量变革、效率变革、动力变革。</w:t>
      </w:r>
    </w:p>
    <w:p w14:paraId="16DB8D02">
      <w:pPr>
        <w:pStyle w:val="5"/>
        <w:bidi w:val="0"/>
        <w:rPr>
          <w:lang w:val="en-US" w:eastAsia="zh-CN"/>
        </w:rPr>
      </w:pPr>
      <w:r>
        <w:rPr>
          <w:rFonts w:hint="eastAsia"/>
          <w:lang w:val="en-US" w:eastAsia="zh-CN"/>
        </w:rPr>
        <w:t>（四）、建设内容</w:t>
      </w:r>
    </w:p>
    <w:p w14:paraId="015B24DE">
      <w:pPr>
        <w:widowControl/>
        <w:spacing w:line="360" w:lineRule="auto"/>
        <w:ind w:firstLine="496" w:firstLineChars="200"/>
        <w:rPr>
          <w:rFonts w:ascii="宋体" w:hAnsi="宋体" w:eastAsia="宋体" w:cs="宋体"/>
          <w:kern w:val="0"/>
          <w:sz w:val="24"/>
          <w:szCs w:val="32"/>
        </w:rPr>
      </w:pPr>
      <w:r>
        <w:rPr>
          <w:rFonts w:hint="eastAsia" w:ascii="宋体" w:hAnsi="宋体" w:eastAsia="宋体" w:cs="宋体"/>
          <w:kern w:val="0"/>
          <w:sz w:val="24"/>
          <w:szCs w:val="32"/>
        </w:rPr>
        <w:t>本次项目在业务上以数字化技术打造数字政协一体化平台，实现政协履职高效服务，借助现代信息手段和数字技术，进行数据共享、资源整合、平台融合，形成全方位覆盖的履职流程、全环节政协办公管理环境。</w:t>
      </w:r>
    </w:p>
    <w:p w14:paraId="783EBB8F">
      <w:pPr>
        <w:widowControl/>
        <w:spacing w:line="360" w:lineRule="auto"/>
        <w:ind w:firstLine="496" w:firstLineChars="200"/>
        <w:rPr>
          <w:rFonts w:ascii="宋体" w:hAnsi="宋体" w:eastAsia="宋体" w:cs="宋体"/>
          <w:kern w:val="0"/>
          <w:sz w:val="24"/>
          <w:szCs w:val="32"/>
        </w:rPr>
      </w:pPr>
      <w:r>
        <w:rPr>
          <w:rFonts w:hint="eastAsia" w:ascii="宋体" w:hAnsi="宋体" w:eastAsia="宋体" w:cs="宋体"/>
          <w:kern w:val="0"/>
          <w:sz w:val="24"/>
          <w:szCs w:val="32"/>
        </w:rPr>
        <w:t>有全市统一的政协统一用户体系，可以进行统一的认证、统一的管理、统一的分级授权和统一维护；在统一的市政协核心数据仓的基础上，支持数据动态分析，并通过可视化图表多方位、多角度、全景化即时汇集、直观感知、集中展示西安数字政协履职全景。</w:t>
      </w:r>
    </w:p>
    <w:p w14:paraId="1C9EE505">
      <w:pPr>
        <w:widowControl/>
        <w:spacing w:line="360" w:lineRule="auto"/>
        <w:ind w:firstLine="496" w:firstLineChars="200"/>
        <w:rPr>
          <w:rFonts w:ascii="宋体" w:hAnsi="宋体" w:eastAsia="宋体" w:cs="宋体"/>
          <w:kern w:val="0"/>
          <w:sz w:val="24"/>
          <w:szCs w:val="32"/>
        </w:rPr>
      </w:pPr>
      <w:r>
        <w:rPr>
          <w:rFonts w:hint="eastAsia" w:ascii="宋体" w:hAnsi="宋体" w:eastAsia="宋体" w:cs="宋体"/>
          <w:kern w:val="0"/>
          <w:sz w:val="24"/>
          <w:szCs w:val="32"/>
        </w:rPr>
        <w:t>提供政协委员履职服务、管理、考评的全流程管理，委员的积分管理和积分奖励机制，更好地助力委员履职；支持在提案提出、提案审查立案、提案办理、提案督办、提案反馈等全流程闭环管理基础上，建立知情明政、在线办理协商、重点提案领办督办、提案质量三方评价等改革创新机制，为委员提案提供智能辅助；在社情民意报送、审核、签发、反馈等流程基础上，创新拓展各类线索征集渠道，对接12345热线等平台数据，逐步推进社情民意工作在上下级政协的贯通。</w:t>
      </w:r>
    </w:p>
    <w:p w14:paraId="5DEB29CF">
      <w:pPr>
        <w:widowControl/>
        <w:spacing w:line="360" w:lineRule="auto"/>
        <w:ind w:firstLine="496" w:firstLineChars="200"/>
        <w:rPr>
          <w:rFonts w:ascii="宋体" w:hAnsi="宋体" w:eastAsia="宋体" w:cs="宋体"/>
          <w:kern w:val="0"/>
          <w:sz w:val="24"/>
          <w:szCs w:val="32"/>
        </w:rPr>
      </w:pPr>
      <w:r>
        <w:rPr>
          <w:rFonts w:hint="eastAsia" w:ascii="宋体" w:hAnsi="宋体" w:eastAsia="宋体" w:cs="宋体"/>
          <w:kern w:val="0"/>
          <w:sz w:val="24"/>
          <w:szCs w:val="32"/>
        </w:rPr>
        <w:t>围绕年度协商工作计划及界别协商、专家协商、专题协商等主要协商形式，支持各类协商活动的全流程闭环管理，提供一个综合的在线协商平台，支持委员在线提供服务，实现委员在线议事、协商议政；借助融媒体平台实现各级政协、广大委员、各界群众的全面覆盖、全时连线；提供全会数字化辅助，提升政协会议体验。</w:t>
      </w:r>
    </w:p>
    <w:p w14:paraId="7B1C14D6">
      <w:pPr>
        <w:widowControl/>
        <w:spacing w:line="360" w:lineRule="auto"/>
        <w:ind w:firstLine="496" w:firstLineChars="200"/>
        <w:rPr>
          <w:rFonts w:ascii="宋体" w:hAnsi="宋体" w:eastAsia="宋体" w:cs="宋体"/>
          <w:kern w:val="0"/>
          <w:sz w:val="24"/>
          <w:szCs w:val="32"/>
        </w:rPr>
      </w:pPr>
      <w:r>
        <w:rPr>
          <w:rFonts w:hint="eastAsia" w:ascii="宋体" w:hAnsi="宋体" w:eastAsia="宋体" w:cs="宋体"/>
          <w:kern w:val="0"/>
          <w:sz w:val="24"/>
          <w:szCs w:val="32"/>
        </w:rPr>
        <w:t>加强学习应用，建设数字文史馆和政协书院系统；需加强政协宣传，微信公众号、政协门户网站等多渠道同源发布，精准推送时事要闻。</w:t>
      </w:r>
    </w:p>
    <w:p w14:paraId="5B12BBAB">
      <w:pPr>
        <w:widowControl/>
        <w:spacing w:line="360" w:lineRule="auto"/>
        <w:ind w:firstLine="496" w:firstLineChars="200"/>
        <w:rPr>
          <w:rFonts w:ascii="宋体" w:hAnsi="宋体" w:eastAsia="宋体" w:cs="宋体"/>
          <w:kern w:val="0"/>
          <w:sz w:val="24"/>
          <w:szCs w:val="32"/>
        </w:rPr>
      </w:pPr>
      <w:r>
        <w:rPr>
          <w:rFonts w:hint="eastAsia" w:ascii="宋体" w:hAnsi="宋体" w:eastAsia="宋体" w:cs="宋体"/>
          <w:kern w:val="0"/>
          <w:sz w:val="24"/>
          <w:szCs w:val="32"/>
        </w:rPr>
        <w:t>为政协机关各部门提供“数据集中化、流程可视化、管理精细化”的辅助管理手段，优化政协机关服务，建设事务管理系统、党建管理系统、主题教育系统、无纸化会议系统，建设公文管理系统和政协委员积分管理系统。支持机关日常运转事项的全流程数字化运转，深化打造“同心向党”党建工作品牌。</w:t>
      </w:r>
    </w:p>
    <w:p w14:paraId="16350BDE">
      <w:pPr>
        <w:widowControl/>
        <w:spacing w:line="360" w:lineRule="auto"/>
        <w:ind w:firstLine="496" w:firstLineChars="200"/>
        <w:rPr>
          <w:rFonts w:ascii="宋体" w:hAnsi="宋体" w:eastAsia="宋体" w:cs="宋体"/>
          <w:kern w:val="0"/>
          <w:sz w:val="24"/>
          <w:szCs w:val="32"/>
        </w:rPr>
      </w:pPr>
      <w:r>
        <w:rPr>
          <w:rFonts w:hint="eastAsia" w:ascii="宋体" w:hAnsi="宋体" w:eastAsia="宋体" w:cs="宋体"/>
          <w:kern w:val="0"/>
          <w:sz w:val="24"/>
          <w:szCs w:val="32"/>
        </w:rPr>
        <w:t>借助人工智能技术，提供政协智慧服务，为委员、机关工作人员提供更便捷易用的全场景管理服务应用平台。</w:t>
      </w:r>
    </w:p>
    <w:p w14:paraId="6C9E228C">
      <w:pPr>
        <w:widowControl/>
        <w:spacing w:line="360" w:lineRule="auto"/>
        <w:ind w:firstLine="496" w:firstLineChars="200"/>
        <w:rPr>
          <w:rFonts w:hint="eastAsia" w:ascii="宋体" w:hAnsi="宋体" w:eastAsia="宋体" w:cs="宋体"/>
          <w:kern w:val="0"/>
          <w:sz w:val="24"/>
          <w:szCs w:val="32"/>
        </w:rPr>
      </w:pPr>
      <w:r>
        <w:rPr>
          <w:rFonts w:hint="eastAsia" w:ascii="宋体" w:hAnsi="宋体" w:eastAsia="宋体" w:cs="宋体"/>
          <w:kern w:val="0"/>
          <w:sz w:val="24"/>
          <w:szCs w:val="32"/>
        </w:rPr>
        <w:t>系统采用可插拔设计，实现底层支撑平台与上层应用的解耦，更加灵活方便地满足上层应用的更新迭代需求，对特色应用的开发保留接口，提高系统的可扩展性。</w:t>
      </w:r>
    </w:p>
    <w:p w14:paraId="0CDC4BBE">
      <w:pPr>
        <w:widowControl/>
        <w:spacing w:line="360" w:lineRule="auto"/>
        <w:ind w:firstLine="496" w:firstLineChars="200"/>
        <w:rPr>
          <w:rFonts w:hint="default" w:ascii="宋体" w:hAnsi="宋体" w:eastAsia="宋体" w:cs="宋体"/>
          <w:kern w:val="0"/>
          <w:sz w:val="24"/>
          <w:szCs w:val="32"/>
          <w:lang w:val="en-US" w:eastAsia="zh-CN"/>
        </w:rPr>
      </w:pPr>
      <w:r>
        <w:rPr>
          <w:rFonts w:hint="eastAsia" w:ascii="宋体" w:hAnsi="宋体" w:eastAsia="宋体" w:cs="宋体"/>
          <w:kern w:val="0"/>
          <w:sz w:val="24"/>
          <w:szCs w:val="32"/>
          <w:lang w:val="en-US" w:eastAsia="zh-CN"/>
        </w:rPr>
        <w:t>具体包括如下内容：</w:t>
      </w:r>
    </w:p>
    <w:p w14:paraId="7BA2E138">
      <w:pPr>
        <w:pStyle w:val="2"/>
        <w:numPr>
          <w:ilvl w:val="3"/>
          <w:numId w:val="0"/>
        </w:numPr>
        <w:bidi w:val="0"/>
        <w:ind w:leftChars="0"/>
        <w:rPr>
          <w:lang w:val="en-US" w:eastAsia="zh-CN"/>
        </w:rPr>
      </w:pPr>
      <w:r>
        <w:rPr>
          <w:rFonts w:hint="eastAsia" w:ascii="黑体" w:hAnsi="黑体" w:eastAsia="黑体" w:cstheme="minorBidi"/>
          <w:kern w:val="2"/>
          <w:sz w:val="30"/>
          <w:szCs w:val="24"/>
          <w:lang w:val="en-US" w:eastAsia="zh-CN" w:bidi="ar-SA"/>
        </w:rPr>
        <w:t>4.1</w:t>
      </w:r>
      <w:r>
        <w:rPr>
          <w:rFonts w:hint="eastAsia"/>
          <w:lang w:val="en-US" w:eastAsia="zh-CN"/>
        </w:rPr>
        <w:t>应用支撑服务中心</w:t>
      </w:r>
    </w:p>
    <w:p w14:paraId="1CA03A14">
      <w:pPr>
        <w:pStyle w:val="6"/>
        <w:numPr>
          <w:ilvl w:val="4"/>
          <w:numId w:val="0"/>
        </w:numPr>
        <w:bidi w:val="0"/>
        <w:ind w:leftChars="0"/>
        <w:rPr>
          <w:lang w:val="en-US" w:eastAsia="zh-CN"/>
        </w:rPr>
      </w:pPr>
      <w:bookmarkStart w:id="79" w:name="_Toc9261"/>
      <w:bookmarkStart w:id="80" w:name="_Toc161418610"/>
      <w:bookmarkStart w:id="81" w:name="_Toc8090"/>
      <w:bookmarkStart w:id="82" w:name="_Toc32143"/>
      <w:r>
        <w:rPr>
          <w:rFonts w:hint="eastAsia" w:ascii="黑体" w:hAnsi="黑体" w:eastAsia="黑体" w:cstheme="minorBidi"/>
          <w:kern w:val="2"/>
          <w:sz w:val="28"/>
          <w:szCs w:val="24"/>
          <w:lang w:val="en-US" w:eastAsia="zh-CN" w:bidi="ar-SA"/>
        </w:rPr>
        <w:t>4.1.1</w:t>
      </w:r>
      <w:r>
        <w:rPr>
          <w:rFonts w:hint="eastAsia"/>
          <w:lang w:val="en-US" w:eastAsia="zh-CN"/>
        </w:rPr>
        <w:t>统一门户</w:t>
      </w:r>
      <w:bookmarkEnd w:id="79"/>
      <w:bookmarkEnd w:id="80"/>
      <w:bookmarkEnd w:id="81"/>
      <w:r>
        <w:rPr>
          <w:rFonts w:hint="eastAsia"/>
          <w:lang w:val="en-US" w:eastAsia="zh-CN"/>
        </w:rPr>
        <w:t>管理</w:t>
      </w:r>
      <w:bookmarkEnd w:id="82"/>
    </w:p>
    <w:p w14:paraId="31EAC467">
      <w:pPr>
        <w:widowControl/>
        <w:adjustRightInd w:val="0"/>
        <w:spacing w:line="360" w:lineRule="auto"/>
        <w:ind w:firstLine="471" w:firstLineChars="0"/>
        <w:rPr>
          <w:rFonts w:ascii="宋体" w:hAnsi="宋体" w:eastAsia="宋体" w:cs="仿宋"/>
          <w:kern w:val="0"/>
          <w:sz w:val="24"/>
        </w:rPr>
      </w:pPr>
      <w:r>
        <w:rPr>
          <w:rFonts w:hint="eastAsia" w:ascii="宋体" w:hAnsi="宋体" w:eastAsia="宋体" w:cs="仿宋"/>
          <w:kern w:val="0"/>
          <w:sz w:val="24"/>
        </w:rPr>
        <w:t>开发数字政协统一的</w:t>
      </w:r>
      <w:r>
        <w:rPr>
          <w:rFonts w:ascii="宋体" w:hAnsi="宋体" w:eastAsia="宋体" w:cs="仿宋"/>
          <w:kern w:val="0"/>
          <w:sz w:val="24"/>
        </w:rPr>
        <w:t>PC</w:t>
      </w:r>
      <w:r>
        <w:rPr>
          <w:rFonts w:hint="eastAsia" w:ascii="宋体" w:hAnsi="宋体" w:eastAsia="宋体" w:cs="仿宋"/>
          <w:kern w:val="0"/>
          <w:sz w:val="24"/>
        </w:rPr>
        <w:t>端和移动端门户，在统一用户管理和统一身份认证的基础上，为委员履职提供统一访问、单点登录、统一权限和系统管理服务。</w:t>
      </w:r>
    </w:p>
    <w:p w14:paraId="4987B3C1">
      <w:pPr>
        <w:widowControl/>
        <w:adjustRightInd w:val="0"/>
        <w:spacing w:line="360" w:lineRule="auto"/>
        <w:ind w:firstLine="471" w:firstLineChars="0"/>
        <w:rPr>
          <w:rFonts w:ascii="宋体" w:hAnsi="宋体" w:eastAsia="宋体" w:cs="仿宋"/>
          <w:kern w:val="0"/>
          <w:sz w:val="24"/>
        </w:rPr>
      </w:pPr>
      <w:r>
        <w:rPr>
          <w:rFonts w:ascii="宋体" w:hAnsi="宋体" w:eastAsia="宋体" w:cs="仿宋"/>
          <w:kern w:val="0"/>
          <w:sz w:val="24"/>
        </w:rPr>
        <w:t>一是作为全</w:t>
      </w:r>
      <w:r>
        <w:rPr>
          <w:rFonts w:hint="eastAsia" w:ascii="宋体" w:hAnsi="宋体" w:eastAsia="宋体" w:cs="仿宋"/>
          <w:kern w:val="0"/>
          <w:sz w:val="24"/>
        </w:rPr>
        <w:t>市政协</w:t>
      </w:r>
      <w:r>
        <w:rPr>
          <w:rFonts w:ascii="宋体" w:hAnsi="宋体" w:eastAsia="宋体" w:cs="仿宋"/>
          <w:kern w:val="0"/>
          <w:sz w:val="24"/>
        </w:rPr>
        <w:t>信息系统的统一入口。可以借助移动办公门户入口的优势和定位，为整个政协信息化系统开发单点登录功能，为用户提供一键登录的体验，解决用户找应用功能的问题，从而避免多点登录，多套账号，用户名和密码重复输入，权限管理混乱的问题。</w:t>
      </w:r>
    </w:p>
    <w:p w14:paraId="2EF1C2FC">
      <w:pPr>
        <w:widowControl/>
        <w:adjustRightInd w:val="0"/>
        <w:spacing w:line="360" w:lineRule="auto"/>
        <w:ind w:firstLine="471" w:firstLineChars="0"/>
        <w:rPr>
          <w:rFonts w:ascii="宋体" w:hAnsi="宋体" w:eastAsia="宋体" w:cs="仿宋"/>
          <w:kern w:val="0"/>
          <w:sz w:val="24"/>
        </w:rPr>
      </w:pPr>
      <w:r>
        <w:rPr>
          <w:rFonts w:ascii="宋体" w:hAnsi="宋体" w:eastAsia="宋体" w:cs="仿宋"/>
          <w:kern w:val="0"/>
          <w:sz w:val="24"/>
        </w:rPr>
        <w:t>二是作为应用和数据集中展示的门户。基于内部门户，实现政协所有用户与各应用系统的人机交互，是政协信息集中展示的窗口。一是为用户提供个人数据统一展示和信息的浏览，解决用户找数据的问题，二是整合各类业务系统的待办待审提醒，解决用户集中业务办理的问题。</w:t>
      </w:r>
    </w:p>
    <w:p w14:paraId="4EC3EABD">
      <w:pPr>
        <w:widowControl/>
        <w:adjustRightInd w:val="0"/>
        <w:spacing w:line="360" w:lineRule="auto"/>
        <w:ind w:firstLine="471" w:firstLineChars="0"/>
        <w:rPr>
          <w:rFonts w:ascii="宋体" w:hAnsi="宋体" w:eastAsia="宋体" w:cs="仿宋"/>
          <w:kern w:val="0"/>
          <w:sz w:val="24"/>
        </w:rPr>
      </w:pPr>
      <w:r>
        <w:rPr>
          <w:rFonts w:ascii="宋体" w:hAnsi="宋体" w:eastAsia="宋体" w:cs="仿宋"/>
          <w:kern w:val="0"/>
          <w:sz w:val="24"/>
        </w:rPr>
        <w:t>三是数据同源的多渠道访问途径。包括</w:t>
      </w:r>
      <w:r>
        <w:rPr>
          <w:rFonts w:hint="eastAsia" w:ascii="宋体" w:hAnsi="宋体" w:eastAsia="宋体" w:cs="仿宋"/>
          <w:kern w:val="0"/>
          <w:sz w:val="24"/>
        </w:rPr>
        <w:t>网页</w:t>
      </w:r>
      <w:r>
        <w:rPr>
          <w:rFonts w:ascii="宋体" w:hAnsi="宋体" w:eastAsia="宋体" w:cs="仿宋"/>
          <w:kern w:val="0"/>
          <w:sz w:val="24"/>
        </w:rPr>
        <w:t>、</w:t>
      </w:r>
      <w:r>
        <w:rPr>
          <w:rFonts w:hint="eastAsia" w:ascii="宋体" w:hAnsi="宋体" w:eastAsia="宋体" w:cs="仿宋"/>
          <w:kern w:val="0"/>
          <w:sz w:val="24"/>
        </w:rPr>
        <w:t>App</w:t>
      </w:r>
      <w:r>
        <w:rPr>
          <w:rFonts w:ascii="宋体" w:hAnsi="宋体" w:eastAsia="宋体" w:cs="仿宋"/>
          <w:kern w:val="0"/>
          <w:sz w:val="24"/>
        </w:rPr>
        <w:t>等多种访问途径，通过应用融合、数据互通、信息同步发布等工具，实现多个渠道的不同形式的展现，数据同步同源。</w:t>
      </w:r>
    </w:p>
    <w:p w14:paraId="47094BA7">
      <w:pPr>
        <w:widowControl/>
        <w:adjustRightInd w:val="0"/>
        <w:spacing w:line="360" w:lineRule="auto"/>
        <w:ind w:firstLine="471" w:firstLineChars="0"/>
        <w:rPr>
          <w:rFonts w:hint="eastAsia" w:ascii="宋体" w:hAnsi="宋体" w:eastAsia="宋体" w:cs="仿宋"/>
          <w:kern w:val="0"/>
          <w:sz w:val="24"/>
        </w:rPr>
      </w:pPr>
      <w:r>
        <w:rPr>
          <w:rFonts w:ascii="宋体" w:hAnsi="宋体" w:eastAsia="宋体" w:cs="仿宋"/>
          <w:kern w:val="0"/>
          <w:sz w:val="24"/>
        </w:rPr>
        <w:t>四是个性化的用户空间。针对不同类型不同级别用户，分别提供界面风格统一、基础功能相似、业务功能个性化的门户展现形式和用户个性化数据，实现用户常用操作的一站式服务。</w:t>
      </w:r>
    </w:p>
    <w:p w14:paraId="113C933A">
      <w:pPr>
        <w:bidi w:val="0"/>
        <w:rPr>
          <w:rFonts w:hint="eastAsia"/>
          <w:lang w:val="en-US" w:eastAsia="zh-CN"/>
        </w:rPr>
      </w:pPr>
      <w:r>
        <w:rPr>
          <w:rFonts w:hint="eastAsia" w:ascii="宋体" w:hAnsi="宋体" w:eastAsia="宋体" w:cstheme="minorBidi"/>
          <w:b/>
          <w:kern w:val="2"/>
          <w:sz w:val="24"/>
          <w:szCs w:val="24"/>
          <w:lang w:val="en-US" w:eastAsia="zh-CN" w:bidi="ar-SA"/>
        </w:rPr>
        <w:t>4.1.1.1</w:t>
      </w:r>
      <w:r>
        <w:rPr>
          <w:rFonts w:hint="eastAsia"/>
          <w:lang w:val="en-US" w:eastAsia="zh-CN"/>
        </w:rPr>
        <w:t>单点登录</w:t>
      </w:r>
    </w:p>
    <w:p w14:paraId="0A37F6FA">
      <w:pPr>
        <w:widowControl/>
        <w:spacing w:line="360" w:lineRule="auto"/>
        <w:ind w:firstLine="428" w:firstLineChars="173"/>
        <w:rPr>
          <w:rFonts w:ascii="Times New Roman" w:hAnsi="Times New Roman" w:eastAsia="宋体" w:cs="宋体"/>
          <w:kern w:val="0"/>
          <w:sz w:val="24"/>
        </w:rPr>
      </w:pPr>
      <w:r>
        <w:rPr>
          <w:rFonts w:hint="eastAsia" w:ascii="Times New Roman" w:hAnsi="Times New Roman" w:eastAsia="宋体" w:cs="宋体"/>
          <w:kern w:val="0"/>
          <w:sz w:val="24"/>
        </w:rPr>
        <w:t>单点登录是指基于用户/会话认证的一个过程，用户只需一次性提供凭证（仅一次登录），就可以访问多个应用。</w:t>
      </w:r>
    </w:p>
    <w:p w14:paraId="15278FF7">
      <w:pPr>
        <w:widowControl/>
        <w:spacing w:line="360" w:lineRule="auto"/>
        <w:ind w:firstLine="428" w:firstLineChars="173"/>
        <w:rPr>
          <w:rFonts w:ascii="Times New Roman" w:hAnsi="Times New Roman" w:eastAsia="宋体" w:cs="宋体"/>
          <w:kern w:val="0"/>
          <w:sz w:val="24"/>
        </w:rPr>
      </w:pPr>
      <w:r>
        <w:rPr>
          <w:rFonts w:hint="eastAsia" w:ascii="Times New Roman" w:hAnsi="Times New Roman" w:eastAsia="宋体" w:cs="宋体"/>
          <w:kern w:val="0"/>
          <w:sz w:val="24"/>
        </w:rPr>
        <w:t>目前单点登录主要基于Web的多种应用程序，即通过浏览器实现对多个B/S架构应用的统一账户认证。</w:t>
      </w:r>
    </w:p>
    <w:p w14:paraId="3703C3E6">
      <w:pPr>
        <w:widowControl/>
        <w:numPr>
          <w:ilvl w:val="0"/>
          <w:numId w:val="5"/>
        </w:numPr>
        <w:spacing w:line="360" w:lineRule="auto"/>
        <w:ind w:left="0" w:firstLine="428" w:firstLineChars="173"/>
        <w:rPr>
          <w:rFonts w:ascii="Times New Roman" w:hAnsi="Times New Roman" w:eastAsia="宋体" w:cs="宋体"/>
          <w:kern w:val="0"/>
          <w:sz w:val="24"/>
        </w:rPr>
      </w:pPr>
      <w:r>
        <w:rPr>
          <w:rFonts w:hint="eastAsia" w:ascii="Times New Roman" w:hAnsi="Times New Roman" w:eastAsia="宋体" w:cs="宋体"/>
          <w:kern w:val="0"/>
          <w:sz w:val="24"/>
        </w:rPr>
        <w:t>减少用户在不同系统中登录耗费的时间，减少用户登录出错的可能性；</w:t>
      </w:r>
    </w:p>
    <w:p w14:paraId="4D015DA1">
      <w:pPr>
        <w:widowControl/>
        <w:numPr>
          <w:ilvl w:val="0"/>
          <w:numId w:val="5"/>
        </w:numPr>
        <w:spacing w:line="360" w:lineRule="auto"/>
        <w:ind w:left="0" w:firstLine="428" w:firstLineChars="173"/>
        <w:rPr>
          <w:rFonts w:ascii="Times New Roman" w:hAnsi="Times New Roman" w:eastAsia="宋体" w:cs="宋体"/>
          <w:kern w:val="0"/>
          <w:sz w:val="24"/>
        </w:rPr>
      </w:pPr>
      <w:r>
        <w:rPr>
          <w:rFonts w:hint="eastAsia" w:ascii="Times New Roman" w:hAnsi="Times New Roman" w:eastAsia="宋体" w:cs="宋体"/>
          <w:kern w:val="0"/>
          <w:sz w:val="24"/>
        </w:rPr>
        <w:t>实现安全的同时避免了处理和保存多套系统用户的认证信息；</w:t>
      </w:r>
    </w:p>
    <w:p w14:paraId="79431005">
      <w:pPr>
        <w:widowControl/>
        <w:numPr>
          <w:ilvl w:val="0"/>
          <w:numId w:val="5"/>
        </w:numPr>
        <w:spacing w:line="360" w:lineRule="auto"/>
        <w:ind w:left="0" w:firstLine="428" w:firstLineChars="173"/>
        <w:rPr>
          <w:rFonts w:ascii="Times New Roman" w:hAnsi="Times New Roman" w:eastAsia="宋体" w:cs="宋体"/>
          <w:kern w:val="0"/>
          <w:sz w:val="24"/>
        </w:rPr>
      </w:pPr>
      <w:r>
        <w:rPr>
          <w:rFonts w:hint="eastAsia" w:ascii="Times New Roman" w:hAnsi="Times New Roman" w:eastAsia="宋体" w:cs="宋体"/>
          <w:kern w:val="0"/>
          <w:sz w:val="24"/>
        </w:rPr>
        <w:t>减少了系统管理员增加、删除用户和修改用户权限的时间；</w:t>
      </w:r>
    </w:p>
    <w:p w14:paraId="295E4570">
      <w:pPr>
        <w:widowControl/>
        <w:numPr>
          <w:ilvl w:val="0"/>
          <w:numId w:val="5"/>
        </w:numPr>
        <w:spacing w:line="360" w:lineRule="auto"/>
        <w:ind w:left="0" w:firstLine="428" w:firstLineChars="173"/>
        <w:rPr>
          <w:rFonts w:ascii="Times New Roman" w:hAnsi="Times New Roman" w:eastAsia="宋体" w:cs="宋体"/>
          <w:kern w:val="0"/>
          <w:sz w:val="24"/>
        </w:rPr>
      </w:pPr>
      <w:r>
        <w:rPr>
          <w:rFonts w:hint="eastAsia" w:ascii="Times New Roman" w:hAnsi="Times New Roman" w:eastAsia="宋体" w:cs="宋体"/>
          <w:kern w:val="0"/>
          <w:sz w:val="24"/>
        </w:rPr>
        <w:t>增加了安全性：系统管理员有了更好的方法管理用户，包括可以通过直接禁止和删除用户来取消该用户对所有系统资源的访问权限。</w:t>
      </w:r>
    </w:p>
    <w:p w14:paraId="0425CC0C">
      <w:pPr>
        <w:bidi w:val="0"/>
        <w:rPr>
          <w:rFonts w:hint="eastAsia"/>
          <w:kern w:val="0"/>
        </w:rPr>
      </w:pPr>
      <w:r>
        <w:rPr>
          <w:rFonts w:hint="eastAsia" w:ascii="宋体" w:hAnsi="宋体" w:eastAsia="宋体" w:cs="宋体"/>
          <w:kern w:val="0"/>
          <w:sz w:val="24"/>
          <w:szCs w:val="24"/>
          <w:lang w:val="en-US" w:eastAsia="zh-CN" w:bidi="ar-SA"/>
        </w:rPr>
        <w:t>4.1.1.1.1</w:t>
      </w:r>
      <w:r>
        <w:rPr>
          <w:rFonts w:hint="eastAsia"/>
          <w:kern w:val="0"/>
        </w:rPr>
        <w:t>统一登录功能</w:t>
      </w:r>
    </w:p>
    <w:p w14:paraId="55665A3C">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统一登录是政协综合平台重要组成部分，它为各个应用系统提供统一的用户认证体系。</w:t>
      </w:r>
    </w:p>
    <w:p w14:paraId="2971010D">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建设多级政协统一用户认证，首先要考虑建立一套规范的用户管理规则和命名体系，还要考虑已经建设完成的应用系统的用户管理和实施的可行性；统一用户管理系统提供多种单点登录实现手段，接入系统可以选择其中一种实现单点登录。</w:t>
      </w:r>
    </w:p>
    <w:p w14:paraId="3E0F1629">
      <w:pPr>
        <w:widowControl/>
        <w:adjustRightInd w:val="0"/>
        <w:spacing w:line="360" w:lineRule="auto"/>
        <w:ind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平台要提供三种方式登录，普通登录，短信登录，扫码登录。三种登录方式可以根据场景及需要配置登录方式。</w:t>
      </w:r>
    </w:p>
    <w:p w14:paraId="2F5155D8">
      <w:pPr>
        <w:bidi w:val="0"/>
        <w:rPr>
          <w:rFonts w:hint="eastAsia"/>
          <w:lang w:val="en-US" w:eastAsia="zh-CN"/>
        </w:rPr>
      </w:pPr>
      <w:r>
        <w:rPr>
          <w:rFonts w:hint="eastAsia" w:ascii="宋体" w:hAnsi="宋体" w:eastAsia="宋体" w:cstheme="minorBidi"/>
          <w:b/>
          <w:kern w:val="2"/>
          <w:sz w:val="24"/>
          <w:szCs w:val="24"/>
          <w:lang w:val="en-US" w:eastAsia="zh-CN" w:bidi="ar-SA"/>
        </w:rPr>
        <w:t>4.1.1.2</w:t>
      </w:r>
      <w:r>
        <w:rPr>
          <w:rFonts w:hint="eastAsia"/>
          <w:lang w:val="en-US" w:eastAsia="zh-CN"/>
        </w:rPr>
        <w:t>统一认证管理</w:t>
      </w:r>
    </w:p>
    <w:p w14:paraId="16C03C60">
      <w:pPr>
        <w:widowControl/>
        <w:adjustRightInd w:val="0"/>
        <w:spacing w:line="360" w:lineRule="auto"/>
        <w:ind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lang w:val="en-US" w:eastAsia="zh-CN"/>
        </w:rPr>
        <w:t>本次统一身份认证管理，使用</w:t>
      </w:r>
      <w:r>
        <w:rPr>
          <w:rFonts w:hint="eastAsia" w:ascii="Times New Roman" w:hAnsi="Times New Roman" w:eastAsia="宋体" w:cs="宋体"/>
          <w:kern w:val="0"/>
          <w:sz w:val="24"/>
        </w:rPr>
        <w:t>市统一身份认证体系</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szCs w:val="22"/>
        </w:rPr>
        <w:t>集中账号认证和维护</w:t>
      </w:r>
      <w:r>
        <w:rPr>
          <w:rFonts w:ascii="Times New Roman" w:hAnsi="Times New Roman" w:eastAsia="宋体" w:cs="宋体"/>
          <w:kern w:val="0"/>
          <w:sz w:val="24"/>
          <w:szCs w:val="22"/>
        </w:rPr>
        <w:t>，</w:t>
      </w:r>
      <w:r>
        <w:rPr>
          <w:rFonts w:hint="eastAsia" w:ascii="Times New Roman" w:hAnsi="Times New Roman" w:eastAsia="宋体" w:cs="宋体"/>
          <w:kern w:val="0"/>
          <w:sz w:val="24"/>
          <w:szCs w:val="22"/>
          <w:lang w:val="en-US" w:eastAsia="zh-CN"/>
        </w:rPr>
        <w:t>利用</w:t>
      </w:r>
      <w:r>
        <w:rPr>
          <w:rFonts w:hint="eastAsia" w:ascii="Times New Roman" w:hAnsi="Times New Roman" w:eastAsia="宋体" w:cs="宋体"/>
          <w:kern w:val="0"/>
          <w:sz w:val="24"/>
          <w:szCs w:val="22"/>
        </w:rPr>
        <w:t>统一的认证管理服务</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系统内除初始化配置的平台管理员外</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其余用户均在系统内统一添加账号</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进行账号认证</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并以本系统作为唯一登录入口。</w:t>
      </w:r>
    </w:p>
    <w:p w14:paraId="0B90A62A">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提供移动端和</w:t>
      </w:r>
      <w:r>
        <w:rPr>
          <w:rFonts w:ascii="Times New Roman" w:hAnsi="Times New Roman" w:eastAsia="宋体" w:cs="宋体"/>
          <w:kern w:val="0"/>
          <w:sz w:val="24"/>
        </w:rPr>
        <w:t>PC</w:t>
      </w:r>
      <w:r>
        <w:rPr>
          <w:rFonts w:hint="eastAsia" w:ascii="Times New Roman" w:hAnsi="Times New Roman" w:eastAsia="宋体" w:cs="宋体"/>
          <w:kern w:val="0"/>
          <w:sz w:val="24"/>
          <w:szCs w:val="22"/>
        </w:rPr>
        <w:t>端统一的认证登录门户</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移动端支持手机号码作为唯一识别认证方式</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首次登录时</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需输入相关信息进行账号激活</w:t>
      </w:r>
      <w:r>
        <w:rPr>
          <w:rFonts w:ascii="Times New Roman" w:hAnsi="Times New Roman" w:eastAsia="宋体" w:cs="宋体"/>
          <w:kern w:val="0"/>
          <w:sz w:val="24"/>
          <w:szCs w:val="22"/>
        </w:rPr>
        <w:t>。</w:t>
      </w:r>
    </w:p>
    <w:p w14:paraId="120B0174">
      <w:pPr>
        <w:bidi w:val="0"/>
        <w:rPr>
          <w:rFonts w:hint="eastAsia" w:ascii="Arial" w:hAnsi="Arial"/>
          <w:b/>
          <w:lang w:val="en-US" w:eastAsia="zh-CN"/>
        </w:rPr>
      </w:pPr>
      <w:r>
        <w:rPr>
          <w:rFonts w:hint="eastAsia" w:ascii="宋体" w:hAnsi="宋体" w:eastAsia="宋体" w:cstheme="minorBidi"/>
          <w:b/>
          <w:kern w:val="2"/>
          <w:sz w:val="24"/>
          <w:szCs w:val="24"/>
          <w:lang w:val="en-US" w:eastAsia="zh-CN" w:bidi="ar-SA"/>
        </w:rPr>
        <w:t>4.1.1.3</w:t>
      </w:r>
      <w:r>
        <w:rPr>
          <w:rFonts w:hint="eastAsia" w:ascii="Arial" w:hAnsi="Arial"/>
          <w:b/>
          <w:lang w:val="en-US" w:eastAsia="zh-CN"/>
        </w:rPr>
        <w:t>政协PC端门户</w:t>
      </w:r>
    </w:p>
    <w:p w14:paraId="7FFFBC62">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我的平台整合平台内各业务系统的信息化资源，为政协领导、工作人员、委员、党派团体、专委会等各类用户提供统一导航栏，菜单栏，自定义桌面等。如</w:t>
      </w:r>
      <w:r>
        <w:rPr>
          <w:rFonts w:hint="eastAsia" w:ascii="Times New Roman" w:hAnsi="Times New Roman" w:eastAsia="宋体" w:cs="宋体"/>
          <w:kern w:val="0"/>
          <w:sz w:val="24"/>
          <w:szCs w:val="22"/>
          <w:lang w:val="en-US" w:eastAsia="zh-CN"/>
        </w:rPr>
        <w:t>新闻报道</w:t>
      </w:r>
      <w:r>
        <w:rPr>
          <w:rFonts w:hint="eastAsia" w:ascii="Times New Roman" w:hAnsi="Times New Roman" w:eastAsia="宋体" w:cs="宋体"/>
          <w:kern w:val="0"/>
          <w:sz w:val="24"/>
          <w:szCs w:val="22"/>
        </w:rPr>
        <w:t>、统一待办列表、统一应用入口、会议活动、政协会议专题、日程安排、通讯录，通知公告等功能。</w:t>
      </w:r>
    </w:p>
    <w:p w14:paraId="21A998D2">
      <w:pPr>
        <w:widowControl/>
        <w:numPr>
          <w:ilvl w:val="0"/>
          <w:numId w:val="6"/>
        </w:numPr>
        <w:spacing w:line="360" w:lineRule="auto"/>
        <w:ind w:left="932" w:hanging="440" w:firstLineChars="0"/>
        <w:rPr>
          <w:rFonts w:ascii="Times New Roman" w:hAnsi="Times New Roman" w:eastAsia="宋体" w:cs="宋体"/>
          <w:kern w:val="0"/>
          <w:sz w:val="24"/>
        </w:rPr>
      </w:pPr>
      <w:r>
        <w:rPr>
          <w:rFonts w:hint="eastAsia" w:ascii="Times New Roman" w:hAnsi="Times New Roman" w:eastAsia="宋体" w:cs="宋体"/>
          <w:kern w:val="0"/>
          <w:sz w:val="24"/>
        </w:rPr>
        <w:t>平台导航栏目：</w:t>
      </w:r>
      <w:r>
        <w:rPr>
          <w:rFonts w:hint="eastAsia" w:ascii="Times New Roman" w:hAnsi="Times New Roman" w:eastAsia="宋体" w:cs="宋体"/>
          <w:kern w:val="0"/>
          <w:sz w:val="24"/>
          <w:szCs w:val="22"/>
        </w:rPr>
        <w:t>功能菜单栏展示，包括一级，二级功能菜单展示</w:t>
      </w:r>
    </w:p>
    <w:p w14:paraId="7F8BA415">
      <w:pPr>
        <w:widowControl/>
        <w:numPr>
          <w:ilvl w:val="0"/>
          <w:numId w:val="7"/>
        </w:numPr>
        <w:spacing w:line="360" w:lineRule="auto"/>
        <w:ind w:left="932" w:hanging="440" w:firstLineChars="0"/>
        <w:rPr>
          <w:rFonts w:ascii="Times New Roman" w:hAnsi="Times New Roman" w:eastAsia="宋体" w:cs="宋体"/>
          <w:kern w:val="0"/>
          <w:sz w:val="24"/>
        </w:rPr>
      </w:pPr>
      <w:r>
        <w:rPr>
          <w:rFonts w:hint="eastAsia" w:ascii="Times New Roman" w:hAnsi="Times New Roman" w:eastAsia="宋体" w:cs="宋体"/>
          <w:kern w:val="0"/>
          <w:sz w:val="24"/>
        </w:rPr>
        <w:t>桌面的展示：</w:t>
      </w:r>
      <w:r>
        <w:rPr>
          <w:rFonts w:hint="eastAsia" w:ascii="Times New Roman" w:hAnsi="Times New Roman" w:eastAsia="宋体" w:cs="宋体"/>
          <w:kern w:val="0"/>
          <w:sz w:val="24"/>
          <w:szCs w:val="22"/>
        </w:rPr>
        <w:t>展示默认功能桌面栏目板块信息、平台logo、版权信息等</w:t>
      </w:r>
    </w:p>
    <w:p w14:paraId="01519DC0">
      <w:pPr>
        <w:widowControl/>
        <w:numPr>
          <w:ilvl w:val="0"/>
          <w:numId w:val="7"/>
        </w:numPr>
        <w:spacing w:line="360" w:lineRule="auto"/>
        <w:ind w:left="932" w:hanging="440" w:firstLineChars="0"/>
        <w:rPr>
          <w:rFonts w:ascii="Times New Roman" w:hAnsi="Times New Roman" w:eastAsia="宋体" w:cs="宋体"/>
          <w:kern w:val="0"/>
          <w:sz w:val="24"/>
        </w:rPr>
      </w:pPr>
      <w:r>
        <w:rPr>
          <w:rFonts w:hint="eastAsia" w:ascii="Times New Roman" w:hAnsi="Times New Roman" w:eastAsia="宋体" w:cs="宋体"/>
          <w:kern w:val="0"/>
          <w:sz w:val="24"/>
        </w:rPr>
        <w:t>用户登录信息展示：</w:t>
      </w:r>
      <w:r>
        <w:rPr>
          <w:rFonts w:hint="eastAsia" w:ascii="Times New Roman" w:hAnsi="Times New Roman" w:eastAsia="宋体" w:cs="宋体"/>
          <w:kern w:val="0"/>
          <w:sz w:val="24"/>
          <w:szCs w:val="22"/>
        </w:rPr>
        <w:t>登录次时间，上次登录情况</w:t>
      </w:r>
    </w:p>
    <w:p w14:paraId="30C854FA">
      <w:pPr>
        <w:widowControl/>
        <w:numPr>
          <w:ilvl w:val="0"/>
          <w:numId w:val="7"/>
        </w:numPr>
        <w:spacing w:line="360" w:lineRule="auto"/>
        <w:ind w:left="932" w:hanging="440" w:firstLineChars="0"/>
        <w:rPr>
          <w:rFonts w:ascii="Times New Roman" w:hAnsi="Times New Roman" w:eastAsia="宋体" w:cs="宋体"/>
          <w:kern w:val="0"/>
          <w:sz w:val="24"/>
        </w:rPr>
      </w:pPr>
      <w:r>
        <w:rPr>
          <w:rFonts w:hint="eastAsia" w:ascii="Times New Roman" w:hAnsi="Times New Roman" w:eastAsia="宋体" w:cs="宋体"/>
          <w:kern w:val="0"/>
          <w:sz w:val="24"/>
        </w:rPr>
        <w:t>个人信息：用户个人信息查看。</w:t>
      </w:r>
    </w:p>
    <w:p w14:paraId="711908D7">
      <w:pPr>
        <w:widowControl/>
        <w:numPr>
          <w:ilvl w:val="0"/>
          <w:numId w:val="7"/>
        </w:numPr>
        <w:spacing w:line="360" w:lineRule="auto"/>
        <w:ind w:left="932" w:hanging="440" w:firstLineChars="0"/>
        <w:rPr>
          <w:rFonts w:hint="eastAsia" w:ascii="Times New Roman" w:hAnsi="Times New Roman" w:eastAsia="宋体" w:cs="宋体"/>
          <w:kern w:val="0"/>
          <w:sz w:val="24"/>
        </w:rPr>
      </w:pPr>
      <w:r>
        <w:rPr>
          <w:rFonts w:hint="eastAsia" w:ascii="Times New Roman" w:hAnsi="Times New Roman" w:eastAsia="宋体" w:cs="宋体"/>
          <w:kern w:val="0"/>
          <w:sz w:val="24"/>
        </w:rPr>
        <w:t>登录退出：</w:t>
      </w:r>
      <w:r>
        <w:rPr>
          <w:rFonts w:hint="eastAsia" w:ascii="Times New Roman" w:hAnsi="Times New Roman" w:eastAsia="宋体" w:cs="宋体"/>
          <w:kern w:val="0"/>
          <w:sz w:val="24"/>
          <w:szCs w:val="22"/>
        </w:rPr>
        <w:t>退出系统。</w:t>
      </w:r>
    </w:p>
    <w:p w14:paraId="62B2A47C">
      <w:pPr>
        <w:bidi w:val="0"/>
        <w:rPr>
          <w:rFonts w:hint="eastAsia"/>
          <w:lang w:val="en-US" w:eastAsia="zh-CN"/>
        </w:rPr>
      </w:pPr>
      <w:bookmarkStart w:id="83" w:name="_Toc161418611"/>
      <w:r>
        <w:rPr>
          <w:rFonts w:hint="eastAsia" w:ascii="宋体" w:hAnsi="宋体" w:eastAsia="宋体" w:cstheme="minorBidi"/>
          <w:b/>
          <w:kern w:val="2"/>
          <w:sz w:val="24"/>
          <w:szCs w:val="24"/>
          <w:lang w:val="en-US" w:eastAsia="zh-CN" w:bidi="ar-SA"/>
        </w:rPr>
        <w:t>4.1.1.4</w:t>
      </w:r>
      <w:r>
        <w:rPr>
          <w:lang w:val="en-US" w:eastAsia="zh-CN"/>
        </w:rPr>
        <w:t>政协</w:t>
      </w:r>
      <w:r>
        <w:rPr>
          <w:rFonts w:hint="eastAsia"/>
          <w:lang w:val="en-US" w:eastAsia="zh-CN"/>
        </w:rPr>
        <w:t>i西安G端APP</w:t>
      </w:r>
      <w:r>
        <w:rPr>
          <w:lang w:val="en-US" w:eastAsia="zh-CN"/>
        </w:rPr>
        <w:t>门户</w:t>
      </w:r>
    </w:p>
    <w:p w14:paraId="191F2A1B">
      <w:pPr>
        <w:widowControl/>
        <w:adjustRightInd w:val="0"/>
        <w:spacing w:line="360" w:lineRule="auto"/>
        <w:ind w:firstLine="468" w:firstLineChars="0"/>
        <w:rPr>
          <w:rFonts w:ascii="Times New Roman" w:hAnsi="Times New Roman" w:eastAsia="宋体" w:cs="宋体"/>
          <w:kern w:val="0"/>
          <w:sz w:val="24"/>
        </w:rPr>
      </w:pPr>
      <w:r>
        <w:rPr>
          <w:rFonts w:hint="eastAsia" w:ascii="Times New Roman" w:hAnsi="Times New Roman" w:eastAsia="宋体" w:cs="宋体"/>
          <w:kern w:val="0"/>
          <w:sz w:val="24"/>
          <w:lang w:val="en-US" w:eastAsia="zh-CN"/>
        </w:rPr>
        <w:t>针对</w:t>
      </w:r>
      <w:r>
        <w:rPr>
          <w:rFonts w:ascii="Times New Roman" w:hAnsi="Times New Roman" w:eastAsia="宋体" w:cs="宋体"/>
          <w:kern w:val="0"/>
          <w:sz w:val="24"/>
        </w:rPr>
        <w:t>委员</w:t>
      </w:r>
      <w:r>
        <w:rPr>
          <w:rFonts w:hint="eastAsia" w:ascii="Times New Roman" w:hAnsi="Times New Roman" w:eastAsia="宋体" w:cs="宋体"/>
          <w:kern w:val="0"/>
          <w:sz w:val="24"/>
        </w:rPr>
        <w:t>、机关办公</w:t>
      </w:r>
      <w:r>
        <w:rPr>
          <w:rFonts w:ascii="Times New Roman" w:hAnsi="Times New Roman" w:eastAsia="宋体" w:cs="宋体"/>
          <w:kern w:val="0"/>
          <w:sz w:val="24"/>
        </w:rPr>
        <w:t>用户提供参与履职和互动的渠道。</w:t>
      </w:r>
    </w:p>
    <w:p w14:paraId="7A271B26">
      <w:pPr>
        <w:widowControl/>
        <w:adjustRightInd w:val="0"/>
        <w:spacing w:line="360" w:lineRule="auto"/>
        <w:ind w:firstLine="468" w:firstLineChars="0"/>
        <w:rPr>
          <w:rFonts w:ascii="Times New Roman" w:hAnsi="Times New Roman" w:eastAsia="宋体" w:cs="宋体"/>
          <w:kern w:val="0"/>
          <w:sz w:val="24"/>
        </w:rPr>
      </w:pPr>
      <w:r>
        <w:rPr>
          <w:rFonts w:hint="eastAsia" w:ascii="Times New Roman" w:hAnsi="Times New Roman" w:eastAsia="宋体" w:cs="宋体"/>
          <w:kern w:val="0"/>
          <w:sz w:val="24"/>
        </w:rPr>
        <w:t>G端</w:t>
      </w:r>
      <w:r>
        <w:rPr>
          <w:rFonts w:ascii="Times New Roman" w:hAnsi="Times New Roman" w:eastAsia="宋体" w:cs="宋体"/>
          <w:kern w:val="0"/>
          <w:sz w:val="24"/>
        </w:rPr>
        <w:t>移动端应用整合平台内各业务系统的信息化资源，为政协领导、工作人员、委员、党派团体、专委会等各类用户提供统一移动端工作台，通讯录、消息、待办、我的5大模块。</w:t>
      </w:r>
    </w:p>
    <w:p w14:paraId="62DCF8A2">
      <w:pPr>
        <w:widowControl/>
        <w:numPr>
          <w:ilvl w:val="0"/>
          <w:numId w:val="8"/>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工作台：</w:t>
      </w:r>
      <w:r>
        <w:rPr>
          <w:rFonts w:hint="eastAsia" w:ascii="Times New Roman" w:hAnsi="Times New Roman" w:eastAsia="宋体" w:cs="宋体"/>
          <w:kern w:val="0"/>
          <w:sz w:val="24"/>
          <w:lang w:val="en-US" w:eastAsia="zh-CN"/>
        </w:rPr>
        <w:t>针对</w:t>
      </w:r>
      <w:r>
        <w:rPr>
          <w:rFonts w:hint="eastAsia" w:ascii="Times New Roman" w:hAnsi="Times New Roman" w:eastAsia="宋体" w:cs="宋体"/>
          <w:kern w:val="0"/>
          <w:sz w:val="24"/>
          <w:szCs w:val="22"/>
        </w:rPr>
        <w:t>机关、委员、公众用户等用户</w:t>
      </w:r>
      <w:r>
        <w:rPr>
          <w:rFonts w:hint="eastAsia" w:ascii="Times New Roman" w:hAnsi="Times New Roman" w:eastAsia="宋体" w:cs="宋体"/>
          <w:kern w:val="0"/>
          <w:sz w:val="24"/>
          <w:szCs w:val="22"/>
          <w:lang w:val="en-US" w:eastAsia="zh-CN"/>
        </w:rPr>
        <w:t>对象</w:t>
      </w:r>
      <w:r>
        <w:rPr>
          <w:rFonts w:hint="eastAsia" w:ascii="Times New Roman" w:hAnsi="Times New Roman" w:eastAsia="宋体" w:cs="宋体"/>
          <w:kern w:val="0"/>
          <w:sz w:val="24"/>
          <w:szCs w:val="22"/>
        </w:rPr>
        <w:t>提供8大业务系统的业务入口工作台。</w:t>
      </w:r>
    </w:p>
    <w:p w14:paraId="487CF5A8">
      <w:pPr>
        <w:widowControl/>
        <w:numPr>
          <w:ilvl w:val="0"/>
          <w:numId w:val="8"/>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通讯录：查看登录人员所在单位下的部门人员信息支持即时消息发送，电话联系。</w:t>
      </w:r>
    </w:p>
    <w:p w14:paraId="31F4CFB3">
      <w:pPr>
        <w:widowControl/>
        <w:numPr>
          <w:ilvl w:val="0"/>
          <w:numId w:val="8"/>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即时消息：实时接收动态消息和查看历史消息的，支持文本，图片，链接多种信息</w:t>
      </w:r>
    </w:p>
    <w:p w14:paraId="332BB364">
      <w:pPr>
        <w:widowControl/>
        <w:numPr>
          <w:ilvl w:val="0"/>
          <w:numId w:val="8"/>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待办：接收待办事项及信息关联处理、跳转、查看。</w:t>
      </w:r>
    </w:p>
    <w:p w14:paraId="5BA8CBC2">
      <w:pPr>
        <w:widowControl/>
        <w:numPr>
          <w:ilvl w:val="0"/>
          <w:numId w:val="8"/>
        </w:numPr>
        <w:adjustRightInd w:val="0"/>
        <w:spacing w:line="360" w:lineRule="auto"/>
        <w:ind w:left="0" w:firstLine="468" w:firstLineChars="0"/>
        <w:rPr>
          <w:rFonts w:ascii="Times New Roman" w:hAnsi="Times New Roman" w:eastAsia="宋体" w:cs="宋体"/>
          <w:kern w:val="0"/>
          <w:sz w:val="24"/>
        </w:rPr>
      </w:pPr>
      <w:r>
        <w:rPr>
          <w:rFonts w:hint="eastAsia" w:ascii="Times New Roman" w:hAnsi="Times New Roman" w:eastAsia="宋体" w:cs="宋体"/>
          <w:kern w:val="0"/>
          <w:sz w:val="24"/>
          <w:szCs w:val="22"/>
        </w:rPr>
        <w:t>我的：查看个人处理历史记录，我的关注，我的收藏，个人信息等功能。</w:t>
      </w:r>
    </w:p>
    <w:p w14:paraId="334C9A82">
      <w:pPr>
        <w:bidi w:val="0"/>
        <w:rPr>
          <w:rFonts w:hint="eastAsia" w:ascii="Arial" w:hAnsi="Arial"/>
          <w:b/>
          <w:lang w:val="en-US" w:eastAsia="zh-CN"/>
        </w:rPr>
      </w:pPr>
      <w:r>
        <w:rPr>
          <w:rFonts w:hint="eastAsia" w:ascii="宋体" w:hAnsi="宋体" w:eastAsia="宋体" w:cstheme="minorBidi"/>
          <w:b/>
          <w:kern w:val="2"/>
          <w:sz w:val="24"/>
          <w:szCs w:val="24"/>
          <w:lang w:val="en-US" w:eastAsia="zh-CN" w:bidi="ar-SA"/>
        </w:rPr>
        <w:t>4.1.1.5</w:t>
      </w:r>
      <w:r>
        <w:rPr>
          <w:rFonts w:ascii="Arial" w:hAnsi="Arial"/>
          <w:b/>
          <w:lang w:val="en-US" w:eastAsia="zh-CN"/>
        </w:rPr>
        <w:t>政协</w:t>
      </w:r>
      <w:r>
        <w:rPr>
          <w:rFonts w:hint="eastAsia" w:ascii="Arial" w:hAnsi="Arial"/>
          <w:b/>
          <w:lang w:val="en-US" w:eastAsia="zh-CN"/>
        </w:rPr>
        <w:t>i西安C端APP</w:t>
      </w:r>
      <w:r>
        <w:rPr>
          <w:rFonts w:ascii="Arial" w:hAnsi="Arial"/>
          <w:b/>
          <w:lang w:val="en-US" w:eastAsia="zh-CN"/>
        </w:rPr>
        <w:t>门户</w:t>
      </w:r>
    </w:p>
    <w:p w14:paraId="02F4BB96">
      <w:pPr>
        <w:widowControl/>
        <w:adjustRightInd w:val="0"/>
        <w:spacing w:line="360" w:lineRule="auto"/>
        <w:ind w:firstLine="468" w:firstLineChars="0"/>
        <w:rPr>
          <w:rFonts w:ascii="Times New Roman" w:hAnsi="Times New Roman" w:eastAsia="宋体" w:cs="宋体"/>
          <w:kern w:val="0"/>
          <w:sz w:val="24"/>
        </w:rPr>
      </w:pPr>
      <w:r>
        <w:rPr>
          <w:rFonts w:hint="eastAsia" w:ascii="Times New Roman" w:hAnsi="Times New Roman" w:eastAsia="宋体" w:cs="宋体"/>
          <w:kern w:val="0"/>
          <w:sz w:val="24"/>
          <w:lang w:val="en-US" w:eastAsia="zh-CN"/>
        </w:rPr>
        <w:t>针对</w:t>
      </w:r>
      <w:r>
        <w:rPr>
          <w:rFonts w:ascii="Times New Roman" w:hAnsi="Times New Roman" w:eastAsia="宋体" w:cs="宋体"/>
          <w:kern w:val="0"/>
          <w:sz w:val="24"/>
        </w:rPr>
        <w:t>公众用户提供参与履职和互动的渠道。</w:t>
      </w:r>
    </w:p>
    <w:p w14:paraId="4C714F1B">
      <w:pPr>
        <w:widowControl/>
        <w:adjustRightInd w:val="0"/>
        <w:spacing w:line="360" w:lineRule="auto"/>
        <w:ind w:firstLine="468" w:firstLineChars="0"/>
        <w:rPr>
          <w:rFonts w:ascii="Times New Roman" w:hAnsi="Times New Roman" w:eastAsia="宋体" w:cs="宋体"/>
          <w:kern w:val="0"/>
          <w:sz w:val="24"/>
        </w:rPr>
      </w:pPr>
      <w:r>
        <w:rPr>
          <w:rFonts w:hint="eastAsia" w:ascii="Times New Roman" w:hAnsi="Times New Roman" w:eastAsia="宋体" w:cs="宋体"/>
          <w:kern w:val="0"/>
          <w:sz w:val="24"/>
        </w:rPr>
        <w:t>C端</w:t>
      </w:r>
      <w:r>
        <w:rPr>
          <w:rFonts w:ascii="Times New Roman" w:hAnsi="Times New Roman" w:eastAsia="宋体" w:cs="宋体"/>
          <w:kern w:val="0"/>
          <w:sz w:val="24"/>
        </w:rPr>
        <w:t>移动端应用整合平台内各业务系统的信息化资源，为公众等各类用户提供统一移动端</w:t>
      </w:r>
      <w:r>
        <w:rPr>
          <w:rFonts w:hint="eastAsia" w:ascii="Times New Roman" w:hAnsi="Times New Roman" w:eastAsia="宋体" w:cs="宋体"/>
          <w:kern w:val="0"/>
          <w:sz w:val="24"/>
        </w:rPr>
        <w:t>政务视窗门户，主要模块包括提案线索征集、社情民意线索征集、问卷调查、政协视窗、社情民意反映</w:t>
      </w:r>
      <w:r>
        <w:rPr>
          <w:rFonts w:ascii="Times New Roman" w:hAnsi="Times New Roman" w:eastAsia="宋体" w:cs="宋体"/>
          <w:kern w:val="0"/>
          <w:sz w:val="24"/>
        </w:rPr>
        <w:t>5大模块。</w:t>
      </w:r>
    </w:p>
    <w:p w14:paraId="749DEBE5">
      <w:pPr>
        <w:widowControl/>
        <w:numPr>
          <w:ilvl w:val="0"/>
          <w:numId w:val="9"/>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提案线索征集：提案委为公众用户提供提案线索征集功能，公众用户可以提交内容要包括主题，内容，附件，时间和用户手机号，公众用户可以查看本人提交的提案线索采用情况。</w:t>
      </w:r>
    </w:p>
    <w:p w14:paraId="3B658ABC">
      <w:pPr>
        <w:widowControl/>
        <w:numPr>
          <w:ilvl w:val="0"/>
          <w:numId w:val="9"/>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社情民意线索征集：社情民意处为公众用户提供社情民意线索征集功能，公众用户可以提交</w:t>
      </w:r>
      <w:r>
        <w:rPr>
          <w:rFonts w:hint="eastAsia" w:ascii="Times New Roman" w:hAnsi="Times New Roman" w:eastAsia="宋体" w:cs="宋体"/>
          <w:kern w:val="0"/>
          <w:sz w:val="24"/>
          <w:szCs w:val="22"/>
          <w:lang w:val="en-US" w:eastAsia="zh-CN"/>
        </w:rPr>
        <w:t>内容</w:t>
      </w:r>
      <w:r>
        <w:rPr>
          <w:rFonts w:hint="eastAsia" w:ascii="Times New Roman" w:hAnsi="Times New Roman" w:eastAsia="宋体" w:cs="宋体"/>
          <w:kern w:val="0"/>
          <w:sz w:val="24"/>
          <w:szCs w:val="22"/>
        </w:rPr>
        <w:t>包括主题，内容，附件，时间和用户手机号，公众用户可以查看本人提交的社情民意线索采用情况。</w:t>
      </w:r>
    </w:p>
    <w:p w14:paraId="35962308">
      <w:pPr>
        <w:widowControl/>
        <w:numPr>
          <w:ilvl w:val="0"/>
          <w:numId w:val="9"/>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问卷调查：政协机关或专委会针对特定的主题向社会公众进行问卷调查。公众可以针对问卷调查内容进行反馈和回复。</w:t>
      </w:r>
    </w:p>
    <w:p w14:paraId="4CBB9B84">
      <w:pPr>
        <w:widowControl/>
        <w:numPr>
          <w:ilvl w:val="0"/>
          <w:numId w:val="9"/>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政协视窗：主要是C端APP门户公开政协政务新闻，宣传</w:t>
      </w:r>
      <w:r>
        <w:rPr>
          <w:rFonts w:hint="eastAsia" w:ascii="Times New Roman" w:hAnsi="Times New Roman" w:eastAsia="宋体" w:cs="宋体"/>
          <w:kern w:val="0"/>
          <w:sz w:val="24"/>
          <w:szCs w:val="22"/>
          <w:lang w:val="en-US" w:eastAsia="zh-CN"/>
        </w:rPr>
        <w:t>资讯</w:t>
      </w:r>
      <w:r>
        <w:rPr>
          <w:rFonts w:hint="eastAsia" w:ascii="Times New Roman" w:hAnsi="Times New Roman" w:eastAsia="宋体" w:cs="宋体"/>
          <w:kern w:val="0"/>
          <w:sz w:val="24"/>
          <w:szCs w:val="22"/>
        </w:rPr>
        <w:t>，政协动态等</w:t>
      </w:r>
      <w:r>
        <w:rPr>
          <w:rFonts w:hint="eastAsia" w:ascii="Times New Roman" w:hAnsi="Times New Roman" w:eastAsia="宋体" w:cs="宋体"/>
          <w:kern w:val="0"/>
          <w:sz w:val="24"/>
          <w:szCs w:val="22"/>
          <w:lang w:val="en-US" w:eastAsia="zh-CN"/>
        </w:rPr>
        <w:t>各种</w:t>
      </w:r>
      <w:r>
        <w:rPr>
          <w:rFonts w:hint="eastAsia" w:ascii="Times New Roman" w:hAnsi="Times New Roman" w:eastAsia="宋体" w:cs="宋体"/>
          <w:kern w:val="0"/>
          <w:sz w:val="24"/>
          <w:szCs w:val="22"/>
        </w:rPr>
        <w:t>宣传信息。</w:t>
      </w:r>
    </w:p>
    <w:p w14:paraId="435A2AC7">
      <w:pPr>
        <w:widowControl/>
        <w:numPr>
          <w:ilvl w:val="0"/>
          <w:numId w:val="9"/>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社情民意反映：公众提交社情民意信息，主要包括主题，内容，附件，时间，提交人等社情民意信息，支持查看本人的历史提交信息和处理状态。</w:t>
      </w:r>
    </w:p>
    <w:p w14:paraId="246D00F1">
      <w:pPr>
        <w:bidi w:val="0"/>
        <w:rPr>
          <w:rFonts w:hint="eastAsia" w:ascii="Arial" w:hAnsi="Arial"/>
          <w:b/>
          <w:lang w:val="en-US" w:eastAsia="zh-CN"/>
        </w:rPr>
      </w:pPr>
      <w:r>
        <w:rPr>
          <w:rFonts w:hint="eastAsia" w:ascii="宋体" w:hAnsi="宋体" w:eastAsia="宋体" w:cstheme="minorBidi"/>
          <w:b/>
          <w:kern w:val="2"/>
          <w:sz w:val="24"/>
          <w:szCs w:val="24"/>
          <w:lang w:val="en-US" w:eastAsia="zh-CN" w:bidi="ar-SA"/>
        </w:rPr>
        <w:t>4.1.1.6</w:t>
      </w:r>
      <w:r>
        <w:rPr>
          <w:rFonts w:ascii="Arial" w:hAnsi="Arial"/>
          <w:b/>
          <w:lang w:val="en-US" w:eastAsia="zh-CN"/>
        </w:rPr>
        <w:t>政协</w:t>
      </w:r>
      <w:r>
        <w:rPr>
          <w:rFonts w:hint="eastAsia" w:ascii="Arial" w:hAnsi="Arial"/>
          <w:b/>
          <w:lang w:val="en-US" w:eastAsia="zh-CN"/>
        </w:rPr>
        <w:t>PAD专属APP</w:t>
      </w:r>
      <w:r>
        <w:rPr>
          <w:rFonts w:ascii="Arial" w:hAnsi="Arial"/>
          <w:b/>
          <w:lang w:val="en-US" w:eastAsia="zh-CN"/>
        </w:rPr>
        <w:t>门户</w:t>
      </w:r>
    </w:p>
    <w:p w14:paraId="3EBBB96B">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lang w:val="en-US" w:eastAsia="zh-CN"/>
        </w:rPr>
        <w:t>针对</w:t>
      </w:r>
      <w:r>
        <w:rPr>
          <w:rFonts w:hint="eastAsia" w:ascii="Times New Roman" w:hAnsi="Times New Roman" w:eastAsia="宋体" w:cs="宋体"/>
          <w:kern w:val="0"/>
          <w:sz w:val="24"/>
        </w:rPr>
        <w:t>委员履职特定应用，主要是无纸化会议服务、特定无法登录</w:t>
      </w:r>
      <w:r>
        <w:rPr>
          <w:rFonts w:hint="eastAsia" w:ascii="Times New Roman" w:hAnsi="Times New Roman" w:eastAsia="宋体" w:cs="宋体"/>
          <w:kern w:val="0"/>
          <w:sz w:val="24"/>
          <w:lang w:eastAsia="zh-CN"/>
        </w:rPr>
        <w:t>i西安App</w:t>
      </w:r>
      <w:r>
        <w:rPr>
          <w:rFonts w:hint="eastAsia" w:ascii="Times New Roman" w:hAnsi="Times New Roman" w:eastAsia="宋体" w:cs="宋体"/>
          <w:kern w:val="0"/>
          <w:sz w:val="24"/>
        </w:rPr>
        <w:t>的特别人员（如港澳委员），特定应用场景（视频通讯）开发专用APP应用渠道。</w:t>
      </w:r>
    </w:p>
    <w:p w14:paraId="1B07622E">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PAD端</w:t>
      </w:r>
      <w:r>
        <w:rPr>
          <w:rFonts w:ascii="Times New Roman" w:hAnsi="Times New Roman" w:eastAsia="宋体" w:cs="宋体"/>
          <w:kern w:val="0"/>
          <w:sz w:val="24"/>
        </w:rPr>
        <w:t>应用整合平台内各业务系统的信息化资源，为</w:t>
      </w:r>
      <w:r>
        <w:rPr>
          <w:rFonts w:hint="eastAsia" w:ascii="Times New Roman" w:hAnsi="Times New Roman" w:eastAsia="宋体" w:cs="宋体"/>
          <w:kern w:val="0"/>
          <w:sz w:val="24"/>
        </w:rPr>
        <w:t>特定委员、机关服务人员</w:t>
      </w:r>
      <w:r>
        <w:rPr>
          <w:rFonts w:ascii="Times New Roman" w:hAnsi="Times New Roman" w:eastAsia="宋体" w:cs="宋体"/>
          <w:kern w:val="0"/>
          <w:sz w:val="24"/>
        </w:rPr>
        <w:t>用户</w:t>
      </w:r>
      <w:r>
        <w:rPr>
          <w:rFonts w:hint="eastAsia" w:ascii="Times New Roman" w:hAnsi="Times New Roman" w:eastAsia="宋体" w:cs="宋体"/>
          <w:kern w:val="0"/>
          <w:sz w:val="24"/>
        </w:rPr>
        <w:t>、特定场景</w:t>
      </w:r>
      <w:r>
        <w:rPr>
          <w:rFonts w:ascii="Times New Roman" w:hAnsi="Times New Roman" w:eastAsia="宋体" w:cs="宋体"/>
          <w:kern w:val="0"/>
          <w:sz w:val="24"/>
        </w:rPr>
        <w:t>提供</w:t>
      </w:r>
      <w:r>
        <w:rPr>
          <w:rFonts w:hint="eastAsia" w:ascii="Times New Roman" w:hAnsi="Times New Roman" w:eastAsia="宋体" w:cs="宋体"/>
          <w:kern w:val="0"/>
          <w:sz w:val="24"/>
        </w:rPr>
        <w:t>专属APP应用，主要功能包括无纸化会议服务、简易提案提交、音视频通讯3</w:t>
      </w:r>
      <w:r>
        <w:rPr>
          <w:rFonts w:ascii="Times New Roman" w:hAnsi="Times New Roman" w:eastAsia="宋体" w:cs="宋体"/>
          <w:kern w:val="0"/>
          <w:sz w:val="24"/>
        </w:rPr>
        <w:t>大模块。</w:t>
      </w:r>
    </w:p>
    <w:p w14:paraId="6829DFD3">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包括无纸化会议服务：主要用户提供会议议程，会议资料、会议成果、会议排座、会议签到、请假等服务信息的处理、查看、下载、调阅服务</w:t>
      </w:r>
    </w:p>
    <w:p w14:paraId="1E81501E">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简易提案提交：方便用户在PAD移动端在线提交提案功能，方便特定委员的履职</w:t>
      </w:r>
    </w:p>
    <w:p w14:paraId="0441C0FB">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音视频通讯：实现多地委员远程音、视频协商活动。提供参与委员视频直播、音视频互动履职活动。方便多方多地履职。</w:t>
      </w:r>
    </w:p>
    <w:bookmarkEnd w:id="83"/>
    <w:p w14:paraId="17977B6A">
      <w:pPr>
        <w:pStyle w:val="6"/>
        <w:numPr>
          <w:ilvl w:val="4"/>
          <w:numId w:val="0"/>
        </w:numPr>
        <w:bidi w:val="0"/>
        <w:ind w:leftChars="0"/>
        <w:rPr>
          <w:lang w:val="en-US" w:eastAsia="zh-CN"/>
        </w:rPr>
      </w:pPr>
      <w:bookmarkStart w:id="84" w:name="_Toc4209"/>
      <w:bookmarkStart w:id="85" w:name="_Toc13887"/>
      <w:bookmarkStart w:id="86" w:name="_Toc11140"/>
      <w:bookmarkStart w:id="87" w:name="_Toc27089"/>
      <w:bookmarkStart w:id="88" w:name="_Toc12923"/>
      <w:bookmarkStart w:id="89" w:name="_Toc7789"/>
      <w:bookmarkStart w:id="90" w:name="_Toc161418612"/>
      <w:r>
        <w:rPr>
          <w:rFonts w:hint="eastAsia" w:ascii="黑体" w:hAnsi="黑体" w:eastAsia="黑体" w:cstheme="minorBidi"/>
          <w:kern w:val="2"/>
          <w:sz w:val="28"/>
          <w:szCs w:val="24"/>
          <w:lang w:val="en-US" w:eastAsia="zh-CN" w:bidi="ar-SA"/>
        </w:rPr>
        <w:t>4.1.2</w:t>
      </w:r>
      <w:r>
        <w:rPr>
          <w:rFonts w:hint="eastAsia"/>
          <w:lang w:val="en-US" w:eastAsia="zh-CN"/>
        </w:rPr>
        <w:t>统一用户体系</w:t>
      </w:r>
      <w:bookmarkEnd w:id="84"/>
      <w:bookmarkEnd w:id="85"/>
      <w:bookmarkEnd w:id="86"/>
    </w:p>
    <w:p w14:paraId="4F988BB3">
      <w:pPr>
        <w:widowControl/>
        <w:adjustRightInd w:val="0"/>
        <w:spacing w:line="360" w:lineRule="auto"/>
        <w:ind w:firstLine="496" w:firstLineChars="200"/>
        <w:rPr>
          <w:rFonts w:hint="eastAsia" w:ascii="宋体" w:hAnsi="宋体" w:eastAsia="宋体" w:cs="仿宋"/>
          <w:kern w:val="0"/>
          <w:sz w:val="24"/>
        </w:rPr>
      </w:pPr>
      <w:r>
        <w:rPr>
          <w:rFonts w:hint="eastAsia" w:ascii="宋体" w:hAnsi="宋体" w:eastAsia="宋体" w:cs="仿宋"/>
          <w:kern w:val="0"/>
          <w:sz w:val="24"/>
        </w:rPr>
        <w:t>统一用户体系应用主要包括专属通讯录管理、分级授权管理和人员管理中心模块。</w:t>
      </w:r>
    </w:p>
    <w:p w14:paraId="5AC77682">
      <w:pPr>
        <w:rPr>
          <w:rFonts w:hint="eastAsia" w:ascii="宋体" w:hAnsi="宋体" w:eastAsia="宋体" w:cstheme="minorBidi"/>
          <w:b/>
          <w:kern w:val="2"/>
          <w:sz w:val="24"/>
          <w:szCs w:val="24"/>
          <w:lang w:val="en-US" w:eastAsia="zh-CN" w:bidi="ar-SA"/>
        </w:rPr>
      </w:pPr>
      <w:r>
        <w:rPr>
          <w:rFonts w:hint="eastAsia" w:ascii="宋体" w:hAnsi="宋体" w:eastAsia="宋体" w:cstheme="minorBidi"/>
          <w:b/>
          <w:kern w:val="2"/>
          <w:sz w:val="24"/>
          <w:szCs w:val="24"/>
          <w:lang w:val="en-US" w:eastAsia="zh-CN" w:bidi="ar-SA"/>
        </w:rPr>
        <w:br w:type="page"/>
      </w:r>
    </w:p>
    <w:p w14:paraId="46E45040">
      <w:pPr>
        <w:bidi w:val="0"/>
        <w:rPr>
          <w:rFonts w:hint="eastAsia"/>
          <w:lang w:val="en-US" w:eastAsia="zh-CN"/>
        </w:rPr>
      </w:pPr>
      <w:r>
        <w:rPr>
          <w:rFonts w:hint="eastAsia" w:ascii="宋体" w:hAnsi="宋体" w:eastAsia="宋体" w:cstheme="minorBidi"/>
          <w:b/>
          <w:kern w:val="2"/>
          <w:sz w:val="24"/>
          <w:szCs w:val="24"/>
          <w:lang w:val="en-US" w:eastAsia="zh-CN" w:bidi="ar-SA"/>
        </w:rPr>
        <w:t>4.1.2.1</w:t>
      </w:r>
      <w:r>
        <w:rPr>
          <w:rFonts w:hint="eastAsia"/>
          <w:lang w:val="en-US" w:eastAsia="zh-CN"/>
        </w:rPr>
        <w:t>专属通讯录管理</w:t>
      </w:r>
    </w:p>
    <w:p w14:paraId="29048430">
      <w:pPr>
        <w:widowControl/>
        <w:adjustRightInd w:val="0"/>
        <w:spacing w:line="360" w:lineRule="auto"/>
        <w:ind w:firstLine="468" w:firstLineChars="0"/>
        <w:rPr>
          <w:rFonts w:ascii="Times New Roman" w:hAnsi="Times New Roman" w:eastAsia="宋体" w:cs="宋体"/>
          <w:kern w:val="0"/>
          <w:sz w:val="24"/>
          <w:szCs w:val="22"/>
        </w:rPr>
      </w:pPr>
      <w:r>
        <w:rPr>
          <w:rFonts w:ascii="Times New Roman" w:hAnsi="Times New Roman" w:eastAsia="宋体" w:cs="宋体"/>
          <w:kern w:val="0"/>
          <w:sz w:val="24"/>
          <w:szCs w:val="22"/>
        </w:rPr>
        <w:t>实现全市、县区两级政协委员、机关人员、</w:t>
      </w:r>
      <w:r>
        <w:rPr>
          <w:rFonts w:hint="eastAsia" w:ascii="Times New Roman" w:hAnsi="Times New Roman" w:eastAsia="宋体" w:cs="宋体"/>
          <w:kern w:val="0"/>
          <w:sz w:val="24"/>
          <w:szCs w:val="22"/>
          <w:lang w:val="en-US" w:eastAsia="zh-CN"/>
        </w:rPr>
        <w:t>其他</w:t>
      </w:r>
      <w:r>
        <w:rPr>
          <w:rFonts w:ascii="Times New Roman" w:hAnsi="Times New Roman" w:eastAsia="宋体" w:cs="宋体"/>
          <w:kern w:val="0"/>
          <w:sz w:val="24"/>
          <w:szCs w:val="22"/>
        </w:rPr>
        <w:t>内、外部单位人员档案信息的管理和展示。既支持通讯录自定义字段</w:t>
      </w:r>
      <w:r>
        <w:rPr>
          <w:rFonts w:hint="eastAsia" w:ascii="Times New Roman" w:hAnsi="Times New Roman" w:eastAsia="宋体" w:cs="宋体"/>
          <w:kern w:val="0"/>
          <w:sz w:val="24"/>
          <w:szCs w:val="22"/>
          <w:lang w:eastAsia="zh-CN"/>
        </w:rPr>
        <w:t>，</w:t>
      </w:r>
      <w:r>
        <w:rPr>
          <w:rFonts w:hint="eastAsia" w:ascii="Times New Roman" w:hAnsi="Times New Roman" w:eastAsia="宋体" w:cs="宋体"/>
          <w:kern w:val="0"/>
          <w:sz w:val="24"/>
          <w:szCs w:val="22"/>
          <w:lang w:val="en-US" w:eastAsia="zh-CN"/>
        </w:rPr>
        <w:t>还</w:t>
      </w:r>
      <w:r>
        <w:rPr>
          <w:rFonts w:ascii="Times New Roman" w:hAnsi="Times New Roman" w:eastAsia="宋体" w:cs="宋体"/>
          <w:kern w:val="0"/>
          <w:sz w:val="24"/>
          <w:szCs w:val="22"/>
        </w:rPr>
        <w:t>支持设置展示的字段、人员可自行填写的字段以及可被搜索的字段、对敏感信息加密显示及查看权限。</w:t>
      </w:r>
    </w:p>
    <w:p w14:paraId="57E6C304">
      <w:pPr>
        <w:widowControl/>
        <w:adjustRightInd w:val="0"/>
        <w:spacing w:line="360" w:lineRule="auto"/>
        <w:ind w:firstLine="468" w:firstLineChars="0"/>
        <w:rPr>
          <w:rFonts w:ascii="Times New Roman" w:hAnsi="Times New Roman" w:eastAsia="宋体" w:cs="宋体"/>
          <w:kern w:val="0"/>
          <w:sz w:val="24"/>
          <w:szCs w:val="22"/>
        </w:rPr>
      </w:pPr>
      <w:r>
        <w:rPr>
          <w:rFonts w:ascii="Times New Roman" w:hAnsi="Times New Roman" w:eastAsia="宋体" w:cs="宋体"/>
          <w:kern w:val="0"/>
          <w:sz w:val="24"/>
          <w:szCs w:val="22"/>
        </w:rPr>
        <w:t>对现有全市政协单位，政协委员、机关工作人员信息提供数据初始化建设服务，包括人员的档案信息搜集、异常信息处理、账号注册生成、用户权限配置、基础信息维护、通讯录导入等工作。</w:t>
      </w:r>
    </w:p>
    <w:p w14:paraId="0E54DDEF">
      <w:pPr>
        <w:widowControl/>
        <w:adjustRightInd w:val="0"/>
        <w:spacing w:line="360" w:lineRule="auto"/>
        <w:ind w:firstLine="468" w:firstLineChars="0"/>
        <w:rPr>
          <w:rFonts w:ascii="Times New Roman" w:hAnsi="Times New Roman" w:eastAsia="宋体" w:cs="宋体"/>
          <w:kern w:val="0"/>
          <w:sz w:val="24"/>
          <w:szCs w:val="22"/>
        </w:rPr>
      </w:pPr>
      <w:r>
        <w:rPr>
          <w:rFonts w:ascii="Times New Roman" w:hAnsi="Times New Roman" w:eastAsia="宋体" w:cs="宋体"/>
          <w:kern w:val="0"/>
          <w:sz w:val="24"/>
          <w:szCs w:val="22"/>
        </w:rPr>
        <w:t>支持跨部门、跨组织任职信息的管理。支持人员的全文检索。</w:t>
      </w:r>
    </w:p>
    <w:p w14:paraId="22A8CA05">
      <w:pPr>
        <w:widowControl/>
        <w:adjustRightInd w:val="0"/>
        <w:spacing w:line="360" w:lineRule="auto"/>
        <w:ind w:firstLine="468" w:firstLineChars="0"/>
        <w:rPr>
          <w:rFonts w:ascii="Times New Roman" w:hAnsi="Times New Roman" w:eastAsia="宋体" w:cs="宋体"/>
          <w:kern w:val="0"/>
          <w:sz w:val="24"/>
          <w:szCs w:val="22"/>
        </w:rPr>
      </w:pPr>
      <w:r>
        <w:rPr>
          <w:rFonts w:ascii="Times New Roman" w:hAnsi="Times New Roman" w:eastAsia="宋体" w:cs="宋体"/>
          <w:kern w:val="0"/>
          <w:sz w:val="24"/>
          <w:szCs w:val="22"/>
        </w:rPr>
        <w:t>支持按组织，按业务条线，行政区划，工作组等多维度组织通讯录成员的显示，以适应各种业务需要。</w:t>
      </w:r>
    </w:p>
    <w:p w14:paraId="40935D89">
      <w:pPr>
        <w:bidi w:val="0"/>
      </w:pPr>
      <w:r>
        <w:rPr>
          <w:rFonts w:hint="eastAsia" w:ascii="宋体" w:hAnsi="宋体" w:eastAsia="宋体" w:cs="宋体"/>
          <w:sz w:val="24"/>
          <w:szCs w:val="24"/>
          <w:lang w:val="en-US" w:eastAsia="zh-CN" w:bidi="ar-SA"/>
        </w:rPr>
        <w:t>4.1.2.1.1</w:t>
      </w:r>
      <w:r>
        <w:rPr>
          <w:rFonts w:hint="eastAsia"/>
        </w:rPr>
        <w:t>委员通讯录</w:t>
      </w:r>
    </w:p>
    <w:p w14:paraId="4176F73D">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本模块展示委员的通讯内容</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列表展示委员的主要信息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包括委员照片</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姓名</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性别</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手机号码</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地址</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职务</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点击可查看委员的基本信息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政协信息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家庭信息的详细内容</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同时赋予委员码</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实现一人一码功能</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移动端扫码后也可展示委员的基本信息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提供多维度查询条件</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主要包括委员姓名</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手机号码</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专门委员会</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届</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界别</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籍贯等</w:t>
      </w:r>
      <w:r>
        <w:rPr>
          <w:rFonts w:ascii="Times New Roman" w:hAnsi="Times New Roman" w:eastAsia="宋体" w:cs="宋体"/>
          <w:kern w:val="0"/>
          <w:sz w:val="24"/>
          <w:szCs w:val="22"/>
        </w:rPr>
        <w:t>。</w:t>
      </w:r>
    </w:p>
    <w:p w14:paraId="35276186">
      <w:pPr>
        <w:bidi w:val="0"/>
        <w:rPr>
          <w:rFonts w:hint="eastAsia"/>
          <w:kern w:val="0"/>
        </w:rPr>
      </w:pPr>
      <w:r>
        <w:rPr>
          <w:rFonts w:hint="eastAsia" w:ascii="宋体" w:hAnsi="宋体" w:eastAsia="宋体" w:cs="宋体"/>
          <w:kern w:val="0"/>
          <w:sz w:val="24"/>
          <w:szCs w:val="24"/>
          <w:lang w:val="en-US" w:eastAsia="zh-CN" w:bidi="ar-SA"/>
        </w:rPr>
        <w:t>4.1.2.1.2</w:t>
      </w:r>
      <w:r>
        <w:rPr>
          <w:rFonts w:hint="eastAsia"/>
          <w:kern w:val="0"/>
        </w:rPr>
        <w:t>机关人员通讯录</w:t>
      </w:r>
    </w:p>
    <w:p w14:paraId="42DDF6B3">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机关人员通讯录根据机关部门展示各部</w:t>
      </w:r>
      <w:r>
        <w:rPr>
          <w:rFonts w:hint="eastAsia" w:ascii="Times New Roman" w:hAnsi="Times New Roman" w:eastAsia="宋体" w:cs="宋体"/>
          <w:kern w:val="0"/>
          <w:sz w:val="24"/>
          <w:szCs w:val="22"/>
          <w:lang w:val="en-US" w:eastAsia="zh-CN"/>
        </w:rPr>
        <w:t>门</w:t>
      </w:r>
      <w:r>
        <w:rPr>
          <w:rFonts w:hint="eastAsia" w:ascii="Times New Roman" w:hAnsi="Times New Roman" w:eastAsia="宋体" w:cs="宋体"/>
          <w:kern w:val="0"/>
          <w:sz w:val="24"/>
          <w:szCs w:val="22"/>
        </w:rPr>
        <w:t>的人员信息。展示树形结构的部门信息，右侧为该部门下的人员。可通过姓名搜索。机关人员信息包含姓名、职务、性别、办公室、办公室电话、移动电话等信息。点击卡片可查看详情，了解更多人员信息。用户可根据姓名、性别、手机号码、特长以及所属部门查询机关人员。同时提供导出数据和下载模板功能。导出的模板和下载的模板可</w:t>
      </w:r>
      <w:r>
        <w:rPr>
          <w:rFonts w:hint="eastAsia" w:ascii="Times New Roman" w:hAnsi="Times New Roman" w:eastAsia="宋体" w:cs="宋体"/>
          <w:kern w:val="0"/>
          <w:sz w:val="24"/>
          <w:szCs w:val="22"/>
          <w:lang w:val="en-US" w:eastAsia="zh-CN"/>
        </w:rPr>
        <w:t>在</w:t>
      </w:r>
      <w:r>
        <w:rPr>
          <w:rFonts w:hint="eastAsia" w:ascii="Times New Roman" w:hAnsi="Times New Roman" w:eastAsia="宋体" w:cs="宋体"/>
          <w:kern w:val="0"/>
          <w:sz w:val="24"/>
          <w:szCs w:val="22"/>
        </w:rPr>
        <w:t>模型管理中自定义设置。</w:t>
      </w:r>
    </w:p>
    <w:p w14:paraId="1927C38C">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br w:type="page"/>
      </w:r>
    </w:p>
    <w:p w14:paraId="51E5E15F">
      <w:pPr>
        <w:bidi w:val="0"/>
        <w:rPr>
          <w:rFonts w:hint="eastAsia"/>
          <w:kern w:val="0"/>
        </w:rPr>
      </w:pPr>
      <w:r>
        <w:rPr>
          <w:rFonts w:hint="eastAsia" w:ascii="宋体" w:hAnsi="宋体" w:eastAsia="宋体" w:cs="宋体"/>
          <w:kern w:val="0"/>
          <w:sz w:val="24"/>
          <w:szCs w:val="24"/>
          <w:lang w:val="en-US" w:eastAsia="zh-CN" w:bidi="ar-SA"/>
        </w:rPr>
        <w:t>4.1.2.1.3</w:t>
      </w:r>
      <w:r>
        <w:rPr>
          <w:rFonts w:hint="eastAsia"/>
          <w:kern w:val="0"/>
        </w:rPr>
        <w:t>人员账号注册生成</w:t>
      </w:r>
    </w:p>
    <w:p w14:paraId="569E297E">
      <w:pPr>
        <w:widowControl/>
        <w:adjustRightInd w:val="0"/>
        <w:spacing w:line="360" w:lineRule="auto"/>
        <w:ind w:firstLine="468" w:firstLineChars="0"/>
        <w:rPr>
          <w:rFonts w:ascii="Times New Roman" w:hAnsi="Times New Roman" w:eastAsia="宋体" w:cs="宋体"/>
          <w:kern w:val="0"/>
          <w:sz w:val="24"/>
          <w:szCs w:val="22"/>
        </w:rPr>
      </w:pPr>
      <w:r>
        <w:rPr>
          <w:rFonts w:ascii="Times New Roman" w:hAnsi="Times New Roman" w:eastAsia="宋体" w:cs="宋体"/>
          <w:kern w:val="0"/>
          <w:sz w:val="24"/>
          <w:szCs w:val="22"/>
        </w:rPr>
        <w:t>为政协单位，政协委员、机关工作人员提供“数字政协平台”账号注册工作，将人员信息录入（批量或单条）至平台，生成平台账号和初始密码，并纳入“人员管理中心（专属通讯录后台管理系统）”和“数字政协平台”分级授权和管理系统统一管理。</w:t>
      </w:r>
    </w:p>
    <w:p w14:paraId="658F24EC">
      <w:pPr>
        <w:widowControl/>
        <w:adjustRightInd w:val="0"/>
        <w:spacing w:line="360" w:lineRule="auto"/>
        <w:ind w:firstLine="468" w:firstLineChars="0"/>
        <w:rPr>
          <w:rFonts w:ascii="Times New Roman" w:hAnsi="Times New Roman" w:eastAsia="宋体" w:cs="宋体"/>
          <w:kern w:val="0"/>
          <w:sz w:val="24"/>
          <w:szCs w:val="22"/>
        </w:rPr>
      </w:pPr>
      <w:r>
        <w:rPr>
          <w:rFonts w:ascii="Times New Roman" w:hAnsi="Times New Roman" w:eastAsia="宋体" w:cs="宋体"/>
          <w:kern w:val="0"/>
          <w:sz w:val="24"/>
          <w:szCs w:val="22"/>
        </w:rPr>
        <w:t>“数字政协平台”分级授权和管理系统需要提供用户账号统一管理、用户认证管理，以及授权管理。</w:t>
      </w:r>
    </w:p>
    <w:p w14:paraId="16FD6ACC">
      <w:pPr>
        <w:bidi w:val="0"/>
        <w:rPr>
          <w:rFonts w:hint="eastAsia"/>
          <w:kern w:val="0"/>
        </w:rPr>
      </w:pPr>
      <w:r>
        <w:rPr>
          <w:rFonts w:hint="eastAsia" w:ascii="宋体" w:hAnsi="宋体" w:eastAsia="宋体" w:cs="宋体"/>
          <w:kern w:val="0"/>
          <w:sz w:val="24"/>
          <w:szCs w:val="24"/>
          <w:lang w:val="en-US" w:eastAsia="zh-CN" w:bidi="ar-SA"/>
        </w:rPr>
        <w:t>4.1.2.1.4</w:t>
      </w:r>
      <w:r>
        <w:rPr>
          <w:rFonts w:hint="eastAsia"/>
          <w:kern w:val="0"/>
        </w:rPr>
        <w:t>人员权限配置</w:t>
      </w:r>
    </w:p>
    <w:p w14:paraId="1A2B2134">
      <w:pPr>
        <w:widowControl/>
        <w:adjustRightInd w:val="0"/>
        <w:spacing w:line="360" w:lineRule="auto"/>
        <w:ind w:firstLine="468" w:firstLineChars="0"/>
        <w:rPr>
          <w:rFonts w:ascii="Times New Roman" w:hAnsi="Times New Roman" w:eastAsia="宋体" w:cs="宋体"/>
          <w:kern w:val="0"/>
          <w:sz w:val="24"/>
          <w:szCs w:val="22"/>
        </w:rPr>
      </w:pPr>
      <w:r>
        <w:rPr>
          <w:rFonts w:ascii="Times New Roman" w:hAnsi="Times New Roman" w:eastAsia="宋体" w:cs="宋体"/>
          <w:kern w:val="0"/>
          <w:sz w:val="24"/>
          <w:szCs w:val="22"/>
        </w:rPr>
        <w:t>利用“数字政协平台”分级授权和管理系统，对已注册生成的账号进行</w:t>
      </w:r>
      <w:r>
        <w:rPr>
          <w:rFonts w:hint="eastAsia" w:ascii="Times New Roman" w:hAnsi="Times New Roman" w:eastAsia="宋体" w:cs="宋体"/>
          <w:kern w:val="0"/>
          <w:sz w:val="24"/>
          <w:szCs w:val="22"/>
          <w:lang w:val="en-US" w:eastAsia="zh-CN"/>
        </w:rPr>
        <w:t>相应地</w:t>
      </w:r>
      <w:r>
        <w:rPr>
          <w:rFonts w:ascii="Times New Roman" w:hAnsi="Times New Roman" w:eastAsia="宋体" w:cs="宋体"/>
          <w:kern w:val="0"/>
          <w:sz w:val="24"/>
          <w:szCs w:val="22"/>
        </w:rPr>
        <w:t>权限初始化配置，根据身份类型、工作单位、岗位等人员多维度信息进行授权管理，同时建立对功能权限、审批和授权的流程化管理。</w:t>
      </w:r>
    </w:p>
    <w:p w14:paraId="72507FBE">
      <w:pPr>
        <w:bidi w:val="0"/>
        <w:rPr>
          <w:rFonts w:hint="eastAsia"/>
          <w:kern w:val="0"/>
        </w:rPr>
      </w:pPr>
      <w:r>
        <w:rPr>
          <w:rFonts w:hint="eastAsia" w:ascii="宋体" w:hAnsi="宋体" w:eastAsia="宋体" w:cs="宋体"/>
          <w:kern w:val="0"/>
          <w:sz w:val="24"/>
          <w:szCs w:val="24"/>
          <w:lang w:val="en-US" w:eastAsia="zh-CN" w:bidi="ar-SA"/>
        </w:rPr>
        <w:t>4.1.2.1.5</w:t>
      </w:r>
      <w:r>
        <w:rPr>
          <w:rFonts w:hint="eastAsia"/>
          <w:kern w:val="0"/>
        </w:rPr>
        <w:t>人员绑定</w:t>
      </w:r>
    </w:p>
    <w:p w14:paraId="2783DA8E">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lang w:val="en-US" w:eastAsia="zh-CN"/>
        </w:rPr>
        <w:t>借助i西安App，</w:t>
      </w:r>
      <w:r>
        <w:rPr>
          <w:rFonts w:ascii="Times New Roman" w:hAnsi="Times New Roman" w:eastAsia="宋体" w:cs="宋体"/>
          <w:kern w:val="0"/>
          <w:sz w:val="24"/>
          <w:szCs w:val="22"/>
        </w:rPr>
        <w:t>通过手机号码、姓名、短信进行认证。为后续业务系统信息互通提供支撑。</w:t>
      </w:r>
      <w:r>
        <w:rPr>
          <w:rFonts w:hint="eastAsia" w:ascii="Times New Roman" w:hAnsi="Times New Roman" w:eastAsia="宋体" w:cs="宋体"/>
          <w:kern w:val="0"/>
          <w:sz w:val="24"/>
          <w:szCs w:val="22"/>
        </w:rPr>
        <w:t>同时，制定全市</w:t>
      </w:r>
      <w:r>
        <w:rPr>
          <w:rFonts w:ascii="Times New Roman" w:hAnsi="Times New Roman" w:eastAsia="宋体" w:cs="宋体"/>
          <w:kern w:val="0"/>
          <w:sz w:val="24"/>
          <w:szCs w:val="22"/>
        </w:rPr>
        <w:t>政协委员、机关工作人员专属通讯录信息表，为</w:t>
      </w:r>
      <w:r>
        <w:rPr>
          <w:rFonts w:hint="eastAsia" w:ascii="Times New Roman" w:hAnsi="Times New Roman" w:eastAsia="宋体" w:cs="宋体"/>
          <w:kern w:val="0"/>
          <w:sz w:val="24"/>
          <w:szCs w:val="22"/>
        </w:rPr>
        <w:t>全市</w:t>
      </w:r>
      <w:r>
        <w:rPr>
          <w:rFonts w:ascii="Times New Roman" w:hAnsi="Times New Roman" w:eastAsia="宋体" w:cs="宋体"/>
          <w:kern w:val="0"/>
          <w:sz w:val="24"/>
          <w:szCs w:val="22"/>
        </w:rPr>
        <w:t>政协专属通讯录的搭建奠定信息基础。</w:t>
      </w:r>
    </w:p>
    <w:p w14:paraId="4650C69B">
      <w:pPr>
        <w:bidi w:val="0"/>
        <w:rPr>
          <w:rFonts w:hint="eastAsia"/>
          <w:kern w:val="0"/>
        </w:rPr>
      </w:pPr>
      <w:r>
        <w:rPr>
          <w:rFonts w:hint="eastAsia" w:ascii="宋体" w:hAnsi="宋体" w:eastAsia="宋体" w:cs="宋体"/>
          <w:kern w:val="0"/>
          <w:sz w:val="24"/>
          <w:szCs w:val="24"/>
          <w:lang w:val="en-US" w:eastAsia="zh-CN" w:bidi="ar-SA"/>
        </w:rPr>
        <w:t>4.1.2.1.6</w:t>
      </w:r>
      <w:r>
        <w:rPr>
          <w:rFonts w:hint="eastAsia"/>
          <w:kern w:val="0"/>
        </w:rPr>
        <w:t>模型管理</w:t>
      </w:r>
    </w:p>
    <w:p w14:paraId="578AFE99">
      <w:pPr>
        <w:widowControl/>
        <w:adjustRightInd w:val="0"/>
        <w:spacing w:line="360" w:lineRule="auto"/>
        <w:ind w:firstLine="468" w:firstLineChars="0"/>
        <w:rPr>
          <w:rFonts w:ascii="Times New Roman" w:hAnsi="Times New Roman" w:eastAsia="宋体" w:cs="宋体"/>
          <w:kern w:val="0"/>
          <w:sz w:val="24"/>
          <w:szCs w:val="22"/>
        </w:rPr>
      </w:pPr>
      <w:r>
        <w:rPr>
          <w:rFonts w:ascii="Times New Roman" w:hAnsi="Times New Roman" w:eastAsia="宋体" w:cs="宋体"/>
          <w:kern w:val="0"/>
          <w:sz w:val="24"/>
          <w:szCs w:val="22"/>
        </w:rPr>
        <w:t>实现通讯录人员信息是否必填、是否隐藏、是否允许查询、是否启用、是否可修改、敏感信息是否加密进行管理控制。</w:t>
      </w:r>
    </w:p>
    <w:p w14:paraId="516A24B4">
      <w:pPr>
        <w:bidi w:val="0"/>
        <w:rPr>
          <w:lang w:val="en-US" w:eastAsia="zh-CN"/>
        </w:rPr>
      </w:pPr>
      <w:r>
        <w:rPr>
          <w:rFonts w:hint="eastAsia" w:ascii="宋体" w:hAnsi="宋体" w:eastAsia="宋体" w:cstheme="minorBidi"/>
          <w:b/>
          <w:kern w:val="2"/>
          <w:sz w:val="24"/>
          <w:szCs w:val="24"/>
          <w:lang w:val="en-US" w:eastAsia="zh-CN" w:bidi="ar-SA"/>
        </w:rPr>
        <w:t>4.1.2.2</w:t>
      </w:r>
      <w:r>
        <w:rPr>
          <w:rFonts w:hint="eastAsia"/>
          <w:lang w:val="en-US" w:eastAsia="zh-CN"/>
        </w:rPr>
        <w:t>分级授权管理</w:t>
      </w:r>
    </w:p>
    <w:p w14:paraId="0AE7AEB0">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包括用户管理中心、分级授权、基础运行管理。</w:t>
      </w:r>
    </w:p>
    <w:p w14:paraId="2365E7C4">
      <w:pPr>
        <w:bidi w:val="0"/>
        <w:rPr>
          <w:kern w:val="0"/>
        </w:rPr>
      </w:pPr>
      <w:r>
        <w:rPr>
          <w:rFonts w:hint="eastAsia" w:ascii="宋体" w:hAnsi="宋体" w:eastAsia="宋体" w:cs="宋体"/>
          <w:kern w:val="0"/>
          <w:sz w:val="24"/>
          <w:szCs w:val="24"/>
          <w:lang w:val="en-US" w:eastAsia="zh-CN" w:bidi="ar-SA"/>
        </w:rPr>
        <w:t>4.1.2.2.1</w:t>
      </w:r>
      <w:r>
        <w:rPr>
          <w:rFonts w:hint="eastAsia"/>
          <w:kern w:val="0"/>
        </w:rPr>
        <w:t>用户管理</w:t>
      </w:r>
    </w:p>
    <w:p w14:paraId="2C0C9564">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对政协的所有用户体系和组织架构统一管理</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并进行相关维护</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同时支持全市各政协机构进行系统分级管理</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各政协机构管理本政协的组织机构和用户体系</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各级政协根据需要对本级用户进行角色配置</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并通过权限配置对其进行相应的权限划分</w:t>
      </w:r>
      <w:r>
        <w:rPr>
          <w:rFonts w:ascii="Times New Roman" w:hAnsi="Times New Roman" w:eastAsia="宋体" w:cs="宋体"/>
          <w:kern w:val="0"/>
          <w:sz w:val="24"/>
          <w:szCs w:val="22"/>
        </w:rPr>
        <w:t>。</w:t>
      </w:r>
    </w:p>
    <w:p w14:paraId="457A61DE">
      <w:pPr>
        <w:bidi w:val="0"/>
        <w:rPr>
          <w:rFonts w:hint="eastAsia"/>
          <w:kern w:val="0"/>
        </w:rPr>
      </w:pPr>
      <w:r>
        <w:rPr>
          <w:rFonts w:hint="eastAsia" w:ascii="宋体" w:hAnsi="宋体" w:eastAsia="宋体" w:cs="宋体"/>
          <w:kern w:val="0"/>
          <w:sz w:val="24"/>
          <w:szCs w:val="24"/>
          <w:lang w:val="en-US" w:eastAsia="zh-CN" w:bidi="ar-SA"/>
        </w:rPr>
        <w:t>4.1.2.2.2</w:t>
      </w:r>
      <w:r>
        <w:rPr>
          <w:rFonts w:hint="eastAsia"/>
          <w:kern w:val="0"/>
        </w:rPr>
        <w:t>分级授权</w:t>
      </w:r>
    </w:p>
    <w:p w14:paraId="08A78540">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为提升数字政协的基础管理水平</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建立统一的分级授权的协作系统</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为政协提供统一的系统应用管理和单位信息管理</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并</w:t>
      </w:r>
      <w:r>
        <w:rPr>
          <w:rFonts w:hint="eastAsia" w:ascii="Times New Roman" w:hAnsi="Times New Roman" w:eastAsia="宋体" w:cs="宋体"/>
          <w:kern w:val="0"/>
          <w:sz w:val="24"/>
          <w:szCs w:val="22"/>
          <w:lang w:val="en-US" w:eastAsia="zh-CN"/>
        </w:rPr>
        <w:t>支持</w:t>
      </w:r>
      <w:r>
        <w:rPr>
          <w:rFonts w:hint="eastAsia" w:ascii="Times New Roman" w:hAnsi="Times New Roman" w:eastAsia="宋体" w:cs="宋体"/>
          <w:kern w:val="0"/>
          <w:sz w:val="24"/>
          <w:szCs w:val="22"/>
        </w:rPr>
        <w:t>对各级政协对系统应用的权限进行划分</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完成统一授权</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建立分级授权的标准体系</w:t>
      </w:r>
      <w:r>
        <w:rPr>
          <w:rFonts w:ascii="Times New Roman" w:hAnsi="Times New Roman" w:eastAsia="宋体" w:cs="宋体"/>
          <w:kern w:val="0"/>
          <w:sz w:val="24"/>
          <w:szCs w:val="22"/>
        </w:rPr>
        <w:t>。</w:t>
      </w:r>
    </w:p>
    <w:p w14:paraId="75D37969">
      <w:pPr>
        <w:bidi w:val="0"/>
        <w:rPr>
          <w:kern w:val="0"/>
        </w:rPr>
      </w:pPr>
      <w:r>
        <w:rPr>
          <w:rFonts w:hint="eastAsia" w:ascii="宋体" w:hAnsi="宋体" w:eastAsia="宋体" w:cs="宋体"/>
          <w:kern w:val="0"/>
          <w:sz w:val="24"/>
          <w:szCs w:val="24"/>
          <w:lang w:val="en-US" w:eastAsia="zh-CN" w:bidi="ar-SA"/>
        </w:rPr>
        <w:t>4.1.2.2.3</w:t>
      </w:r>
      <w:r>
        <w:rPr>
          <w:rFonts w:hint="eastAsia"/>
          <w:kern w:val="0"/>
        </w:rPr>
        <w:t>基础运行管理</w:t>
      </w:r>
    </w:p>
    <w:p w14:paraId="0EA10891">
      <w:pPr>
        <w:widowControl/>
        <w:numPr>
          <w:ilvl w:val="0"/>
          <w:numId w:val="10"/>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操作日志管理</w:t>
      </w:r>
    </w:p>
    <w:p w14:paraId="52B36FB5">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记录各个平台业务操作的日志并对其进行管理维护</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包括移动端与</w:t>
      </w:r>
      <w:r>
        <w:rPr>
          <w:rFonts w:ascii="Times New Roman" w:hAnsi="Times New Roman" w:eastAsia="宋体" w:cs="宋体"/>
          <w:kern w:val="0"/>
          <w:sz w:val="24"/>
          <w:szCs w:val="22"/>
        </w:rPr>
        <w:t>PC</w:t>
      </w:r>
      <w:r>
        <w:rPr>
          <w:rFonts w:hint="eastAsia" w:ascii="Times New Roman" w:hAnsi="Times New Roman" w:eastAsia="宋体" w:cs="宋体"/>
          <w:kern w:val="0"/>
          <w:sz w:val="24"/>
          <w:szCs w:val="22"/>
        </w:rPr>
        <w:t>端所有的详细日志操作</w:t>
      </w:r>
      <w:r>
        <w:rPr>
          <w:rFonts w:ascii="Times New Roman" w:hAnsi="Times New Roman" w:eastAsia="宋体" w:cs="宋体"/>
          <w:kern w:val="0"/>
          <w:sz w:val="24"/>
          <w:szCs w:val="22"/>
        </w:rPr>
        <w:t>。</w:t>
      </w:r>
    </w:p>
    <w:p w14:paraId="74371A4E">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日志查询</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通过相关条件查询可对日志记录进行查询</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查询结果以列表的形式展示</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展示信息主要包括操作人</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操作模块</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操作时间</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描述</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操作端等信息</w:t>
      </w:r>
      <w:r>
        <w:rPr>
          <w:rFonts w:ascii="Times New Roman" w:hAnsi="Times New Roman" w:eastAsia="宋体" w:cs="宋体"/>
          <w:kern w:val="0"/>
          <w:sz w:val="24"/>
          <w:szCs w:val="22"/>
        </w:rPr>
        <w:t>。</w:t>
      </w:r>
    </w:p>
    <w:p w14:paraId="3068770B">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日志详细信息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主要展示日志的操作人</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操作系统</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操作模块</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操作类型</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操作时间</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操作结果</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操作说明</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操作端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政协单位等信息</w:t>
      </w:r>
      <w:r>
        <w:rPr>
          <w:rFonts w:ascii="Times New Roman" w:hAnsi="Times New Roman" w:eastAsia="宋体" w:cs="宋体"/>
          <w:kern w:val="0"/>
          <w:sz w:val="24"/>
          <w:szCs w:val="22"/>
        </w:rPr>
        <w:t>。</w:t>
      </w:r>
    </w:p>
    <w:p w14:paraId="699CC00E">
      <w:pPr>
        <w:widowControl/>
        <w:numPr>
          <w:ilvl w:val="0"/>
          <w:numId w:val="10"/>
        </w:numPr>
        <w:adjustRightInd w:val="0"/>
        <w:spacing w:line="360" w:lineRule="auto"/>
        <w:ind w:left="0"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运行日志管理</w:t>
      </w:r>
    </w:p>
    <w:p w14:paraId="00D0BE60">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记录各个平台业务运行的日志并对其进行管理维护</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包括移动端与</w:t>
      </w:r>
      <w:r>
        <w:rPr>
          <w:rFonts w:ascii="Times New Roman" w:hAnsi="Times New Roman" w:eastAsia="宋体" w:cs="宋体"/>
          <w:kern w:val="0"/>
          <w:sz w:val="24"/>
          <w:szCs w:val="22"/>
        </w:rPr>
        <w:t>PC</w:t>
      </w:r>
      <w:r>
        <w:rPr>
          <w:rFonts w:hint="eastAsia" w:ascii="Times New Roman" w:hAnsi="Times New Roman" w:eastAsia="宋体" w:cs="宋体"/>
          <w:kern w:val="0"/>
          <w:sz w:val="24"/>
          <w:szCs w:val="22"/>
        </w:rPr>
        <w:t>端所有的详细运行日志</w:t>
      </w:r>
      <w:r>
        <w:rPr>
          <w:rFonts w:ascii="Times New Roman" w:hAnsi="Times New Roman" w:eastAsia="宋体" w:cs="宋体"/>
          <w:kern w:val="0"/>
          <w:sz w:val="24"/>
          <w:szCs w:val="22"/>
        </w:rPr>
        <w:t>。</w:t>
      </w:r>
    </w:p>
    <w:p w14:paraId="11F1FB3A">
      <w:pPr>
        <w:widowControl/>
        <w:adjustRightInd w:val="0"/>
        <w:spacing w:line="360" w:lineRule="auto"/>
        <w:ind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日志查询</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通过相关条件查询可对日志记录进行查询</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查询结果以列表的形式展示</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主要信息包括部署的各业务web服务运行状况，每个服务的资源占用情况和使用情况</w:t>
      </w:r>
      <w:r>
        <w:rPr>
          <w:rFonts w:ascii="Times New Roman" w:hAnsi="Times New Roman" w:eastAsia="宋体" w:cs="宋体"/>
          <w:kern w:val="0"/>
          <w:sz w:val="24"/>
          <w:szCs w:val="22"/>
        </w:rPr>
        <w:t>。</w:t>
      </w:r>
    </w:p>
    <w:p w14:paraId="2CC4BF7F">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日志详细信息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主要展示信息内存、cpu利用率，服务中间件运行情况和各个子系统的使用状况，浏览次数，上传文档数量、录入数据数量</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各个子系统的使用状况，浏览次数，上传文档数量、录入数据数量等等</w:t>
      </w:r>
      <w:r>
        <w:rPr>
          <w:rFonts w:ascii="Times New Roman" w:hAnsi="Times New Roman" w:eastAsia="宋体" w:cs="宋体"/>
          <w:kern w:val="0"/>
          <w:sz w:val="24"/>
          <w:szCs w:val="22"/>
        </w:rPr>
        <w:t>。</w:t>
      </w:r>
    </w:p>
    <w:p w14:paraId="1983CB79">
      <w:pPr>
        <w:rPr>
          <w:rFonts w:hint="eastAsia" w:ascii="宋体" w:hAnsi="宋体" w:eastAsia="宋体" w:cstheme="minorBidi"/>
          <w:b/>
          <w:kern w:val="2"/>
          <w:sz w:val="24"/>
          <w:szCs w:val="24"/>
          <w:lang w:val="en-US" w:eastAsia="zh-CN" w:bidi="ar-SA"/>
        </w:rPr>
      </w:pPr>
      <w:r>
        <w:rPr>
          <w:rFonts w:hint="eastAsia" w:ascii="宋体" w:hAnsi="宋体" w:eastAsia="宋体" w:cstheme="minorBidi"/>
          <w:b/>
          <w:kern w:val="2"/>
          <w:sz w:val="24"/>
          <w:szCs w:val="24"/>
          <w:lang w:val="en-US" w:eastAsia="zh-CN" w:bidi="ar-SA"/>
        </w:rPr>
        <w:br w:type="page"/>
      </w:r>
    </w:p>
    <w:p w14:paraId="64D10E4C">
      <w:pPr>
        <w:bidi w:val="0"/>
        <w:rPr>
          <w:lang w:val="en-US" w:eastAsia="zh-CN"/>
        </w:rPr>
      </w:pPr>
      <w:r>
        <w:rPr>
          <w:rFonts w:hint="eastAsia" w:ascii="宋体" w:hAnsi="宋体" w:eastAsia="宋体" w:cstheme="minorBidi"/>
          <w:b/>
          <w:kern w:val="2"/>
          <w:sz w:val="24"/>
          <w:szCs w:val="24"/>
          <w:lang w:val="en-US" w:eastAsia="zh-CN" w:bidi="ar-SA"/>
        </w:rPr>
        <w:t>4.1.2.3</w:t>
      </w:r>
      <w:r>
        <w:rPr>
          <w:rFonts w:hint="eastAsia"/>
          <w:lang w:val="en-US" w:eastAsia="zh-CN"/>
        </w:rPr>
        <w:t>人员管理中心</w:t>
      </w:r>
    </w:p>
    <w:p w14:paraId="264878C1">
      <w:pPr>
        <w:pStyle w:val="16"/>
        <w:widowControl/>
        <w:adjustRightInd w:val="0"/>
        <w:ind w:firstLine="468"/>
        <w:rPr>
          <w:rFonts w:ascii="Times New Roman" w:hAnsi="Times New Roman" w:eastAsia="宋体" w:cs="Times New Roman"/>
          <w:kern w:val="0"/>
          <w:sz w:val="24"/>
          <w:szCs w:val="22"/>
          <w:lang w:eastAsia="zh-CN"/>
        </w:rPr>
      </w:pPr>
      <w:r>
        <w:rPr>
          <w:rFonts w:ascii="Times New Roman" w:hAnsi="Times New Roman" w:eastAsia="宋体" w:cs="Times New Roman"/>
          <w:kern w:val="0"/>
          <w:sz w:val="24"/>
          <w:szCs w:val="22"/>
          <w:lang w:eastAsia="zh-CN"/>
        </w:rPr>
        <w:t>支持统一用户管理 、统一身份认证、安全访问控制、用户组织架构管理、不同应用和系统之间的免登等，使全市各地不同类型用户用一套账户系统访问不同业务系统，简化操作和办事流程。</w:t>
      </w:r>
    </w:p>
    <w:p w14:paraId="24AA2D11">
      <w:pPr>
        <w:pStyle w:val="16"/>
        <w:widowControl/>
        <w:adjustRightInd w:val="0"/>
        <w:ind w:firstLine="468"/>
        <w:rPr>
          <w:rFonts w:ascii="Times New Roman" w:hAnsi="Times New Roman" w:eastAsia="宋体" w:cs="Times New Roman"/>
          <w:kern w:val="0"/>
          <w:sz w:val="24"/>
          <w:szCs w:val="22"/>
          <w:lang w:eastAsia="zh-CN"/>
        </w:rPr>
      </w:pPr>
      <w:r>
        <w:rPr>
          <w:rFonts w:hint="eastAsia" w:ascii="Times New Roman" w:hAnsi="Times New Roman" w:eastAsia="宋体" w:cs="Times New Roman"/>
          <w:kern w:val="0"/>
          <w:sz w:val="24"/>
          <w:szCs w:val="22"/>
          <w:lang w:eastAsia="zh-CN"/>
        </w:rPr>
        <w:t>人员</w:t>
      </w:r>
      <w:r>
        <w:rPr>
          <w:rFonts w:ascii="Times New Roman" w:hAnsi="Times New Roman" w:eastAsia="宋体" w:cs="Times New Roman"/>
          <w:kern w:val="0"/>
          <w:sz w:val="24"/>
          <w:szCs w:val="22"/>
          <w:lang w:eastAsia="zh-CN"/>
        </w:rPr>
        <w:t>管理包括</w:t>
      </w:r>
      <w:r>
        <w:rPr>
          <w:rFonts w:hint="eastAsia" w:ascii="Times New Roman" w:hAnsi="Times New Roman" w:eastAsia="宋体" w:cs="Times New Roman"/>
          <w:kern w:val="0"/>
          <w:sz w:val="24"/>
          <w:szCs w:val="22"/>
          <w:lang w:eastAsia="zh-CN"/>
        </w:rPr>
        <w:t>组织架构管理、人员信息管理、综合查询、全文检索、统计分析、信息审核反馈、届中调整、换届管理、一人多职协同管理、修改日志管理</w:t>
      </w:r>
      <w:r>
        <w:rPr>
          <w:rFonts w:ascii="Times New Roman" w:hAnsi="Times New Roman" w:eastAsia="宋体" w:cs="Times New Roman"/>
          <w:kern w:val="0"/>
          <w:sz w:val="24"/>
          <w:szCs w:val="22"/>
          <w:lang w:eastAsia="zh-CN"/>
        </w:rPr>
        <w:t>。</w:t>
      </w:r>
    </w:p>
    <w:p w14:paraId="170261C6">
      <w:pPr>
        <w:pStyle w:val="6"/>
        <w:numPr>
          <w:ilvl w:val="4"/>
          <w:numId w:val="0"/>
        </w:numPr>
        <w:bidi w:val="0"/>
        <w:ind w:leftChars="0"/>
        <w:rPr>
          <w:lang w:val="en-US" w:eastAsia="zh-CN"/>
        </w:rPr>
      </w:pPr>
      <w:r>
        <w:rPr>
          <w:rFonts w:hint="eastAsia" w:ascii="黑体" w:hAnsi="黑体" w:eastAsia="黑体" w:cstheme="minorBidi"/>
          <w:kern w:val="2"/>
          <w:sz w:val="28"/>
          <w:szCs w:val="24"/>
          <w:lang w:val="en-US" w:eastAsia="zh-CN" w:bidi="ar-SA"/>
        </w:rPr>
        <w:t>4.1.3</w:t>
      </w:r>
      <w:r>
        <w:rPr>
          <w:rFonts w:hint="eastAsia"/>
          <w:lang w:val="en-US" w:eastAsia="zh-CN"/>
        </w:rPr>
        <w:t>基础支撑组件</w:t>
      </w:r>
      <w:bookmarkEnd w:id="87"/>
      <w:bookmarkEnd w:id="88"/>
      <w:bookmarkEnd w:id="89"/>
      <w:bookmarkEnd w:id="90"/>
    </w:p>
    <w:p w14:paraId="443D0084">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本次要求提供以下基础支撑组件：</w:t>
      </w:r>
    </w:p>
    <w:p w14:paraId="7CB2D48E">
      <w:pPr>
        <w:bidi w:val="0"/>
        <w:rPr>
          <w:lang w:val="en-US" w:eastAsia="zh-CN"/>
        </w:rPr>
      </w:pPr>
      <w:r>
        <w:rPr>
          <w:rFonts w:hint="eastAsia" w:ascii="宋体" w:hAnsi="宋体" w:eastAsia="宋体" w:cstheme="minorBidi"/>
          <w:b/>
          <w:kern w:val="2"/>
          <w:sz w:val="24"/>
          <w:szCs w:val="24"/>
          <w:lang w:val="en-US" w:eastAsia="zh-CN" w:bidi="ar-SA"/>
        </w:rPr>
        <w:t>4.1.3.1</w:t>
      </w:r>
      <w:r>
        <w:rPr>
          <w:rFonts w:hint="eastAsia"/>
          <w:lang w:val="en-US" w:eastAsia="zh-CN"/>
        </w:rPr>
        <w:t>算法模型后台服务组件</w:t>
      </w:r>
    </w:p>
    <w:p w14:paraId="5A128C25">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hint="eastAsia" w:ascii="Times New Roman" w:hAnsi="Times New Roman" w:eastAsia="宋体" w:cs="宋体"/>
          <w:kern w:val="0"/>
          <w:sz w:val="24"/>
        </w:rPr>
        <w:t>通过一定规则、策略等各算法将符合业务应用场景的综合智能分析生成各模型，应对各业务数据中心的智能分析。</w:t>
      </w:r>
    </w:p>
    <w:p w14:paraId="670AEF7C">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4.1.3.2</w:t>
      </w:r>
      <w:r>
        <w:rPr>
          <w:rFonts w:hint="eastAsia" w:ascii="Arial" w:hAnsi="Arial" w:eastAsia="宋体"/>
          <w:b/>
          <w:lang w:val="en-US" w:eastAsia="zh-CN"/>
        </w:rPr>
        <w:t>日志服务</w:t>
      </w:r>
    </w:p>
    <w:p w14:paraId="4A762726">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规范日志输出、统一日志链路追踪方案，引入高可用高扩展日志分析应用并将统一可视化方式做深入日志整体服务，针对操作日志、应用日志、监控日志等提供统一存储。</w:t>
      </w:r>
    </w:p>
    <w:p w14:paraId="1AEB4DA7">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4.1.3.3</w:t>
      </w:r>
      <w:r>
        <w:rPr>
          <w:rFonts w:hint="eastAsia" w:ascii="Arial" w:hAnsi="Arial" w:eastAsia="宋体"/>
          <w:b/>
          <w:lang w:val="en-US" w:eastAsia="zh-CN"/>
        </w:rPr>
        <w:t>模板引擎</w:t>
      </w:r>
    </w:p>
    <w:p w14:paraId="6877084E">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通过定制</w:t>
      </w:r>
      <w:r>
        <w:rPr>
          <w:rFonts w:hint="eastAsia" w:ascii="Times New Roman" w:hAnsi="Times New Roman" w:eastAsia="宋体" w:cs="宋体"/>
          <w:kern w:val="0"/>
          <w:sz w:val="24"/>
          <w:lang w:val="en-US" w:eastAsia="zh-CN"/>
        </w:rPr>
        <w:t>模板</w:t>
      </w:r>
      <w:r>
        <w:rPr>
          <w:rFonts w:hint="eastAsia" w:ascii="Times New Roman" w:hAnsi="Times New Roman" w:eastAsia="宋体" w:cs="宋体"/>
          <w:kern w:val="0"/>
          <w:sz w:val="24"/>
        </w:rPr>
        <w:t>化技术，将人员信息拆分基本信息、委员信息、家庭信息，按照各信息模型生成</w:t>
      </w:r>
      <w:r>
        <w:rPr>
          <w:rFonts w:hint="eastAsia" w:ascii="Times New Roman" w:hAnsi="Times New Roman" w:eastAsia="宋体" w:cs="宋体"/>
          <w:kern w:val="0"/>
          <w:sz w:val="24"/>
          <w:lang w:val="en-US" w:eastAsia="zh-CN"/>
        </w:rPr>
        <w:t>信息模板</w:t>
      </w:r>
      <w:r>
        <w:rPr>
          <w:rFonts w:hint="eastAsia" w:ascii="Times New Roman" w:hAnsi="Times New Roman" w:eastAsia="宋体" w:cs="宋体"/>
          <w:kern w:val="0"/>
          <w:sz w:val="24"/>
        </w:rPr>
        <w:t>，并提供</w:t>
      </w:r>
      <w:r>
        <w:rPr>
          <w:rFonts w:hint="eastAsia" w:ascii="Times New Roman" w:hAnsi="Times New Roman" w:eastAsia="宋体" w:cs="宋体"/>
          <w:kern w:val="0"/>
          <w:sz w:val="24"/>
          <w:lang w:val="en-US" w:eastAsia="zh-CN"/>
        </w:rPr>
        <w:t>模型模板</w:t>
      </w:r>
      <w:r>
        <w:rPr>
          <w:rFonts w:hint="eastAsia" w:ascii="Times New Roman" w:hAnsi="Times New Roman" w:eastAsia="宋体" w:cs="宋体"/>
          <w:kern w:val="0"/>
          <w:sz w:val="24"/>
        </w:rPr>
        <w:t>管理</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rPr>
        <w:t>应用在其他业务模块。</w:t>
      </w:r>
    </w:p>
    <w:p w14:paraId="01EA3916">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4.1.3.4</w:t>
      </w:r>
      <w:r>
        <w:rPr>
          <w:rFonts w:hint="eastAsia" w:ascii="Arial" w:hAnsi="Arial" w:eastAsia="宋体"/>
          <w:b/>
          <w:lang w:val="en-US" w:eastAsia="zh-CN"/>
        </w:rPr>
        <w:t>接口管理后台服务组件</w:t>
      </w:r>
    </w:p>
    <w:p w14:paraId="0DAE7FED">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规范化流程统一接口定义，生成接口标准化文档，也提供平台化支持处理接口管理，并将接口按照各业务应用场景提供访问次数、总访问量、指定应用访问等安全策略统一管控。</w:t>
      </w:r>
    </w:p>
    <w:p w14:paraId="3FD65FE0">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4.1.3.5</w:t>
      </w:r>
      <w:r>
        <w:rPr>
          <w:rFonts w:hint="eastAsia" w:ascii="Arial" w:hAnsi="Arial" w:eastAsia="宋体"/>
          <w:b/>
          <w:lang w:val="en-US" w:eastAsia="zh-CN"/>
        </w:rPr>
        <w:t>任务调度后台服务组件</w:t>
      </w:r>
    </w:p>
    <w:p w14:paraId="42CD6A82">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采用</w:t>
      </w:r>
      <w:r>
        <w:rPr>
          <w:rFonts w:ascii="Times New Roman" w:hAnsi="Times New Roman" w:eastAsia="宋体" w:cs="宋体"/>
          <w:kern w:val="0"/>
          <w:sz w:val="24"/>
        </w:rPr>
        <w:t>http</w:t>
      </w:r>
      <w:r>
        <w:rPr>
          <w:rFonts w:hint="eastAsia" w:ascii="Times New Roman" w:hAnsi="Times New Roman" w:eastAsia="宋体" w:cs="宋体"/>
          <w:kern w:val="0"/>
          <w:sz w:val="24"/>
          <w:lang w:val="en-US" w:eastAsia="zh-CN"/>
        </w:rPr>
        <w:t>s</w:t>
      </w:r>
      <w:r>
        <w:rPr>
          <w:rFonts w:ascii="Times New Roman" w:hAnsi="Times New Roman" w:eastAsia="宋体" w:cs="宋体"/>
          <w:kern w:val="0"/>
          <w:sz w:val="24"/>
        </w:rPr>
        <w:t>接口请求方式的任务集成方案， 将按照业务场景的调度策略统一处理任务的调度管理，并支持高扩展的支持</w:t>
      </w:r>
      <w:r>
        <w:rPr>
          <w:rFonts w:hint="eastAsia" w:ascii="Times New Roman" w:hAnsi="Times New Roman" w:eastAsia="宋体" w:cs="宋体"/>
          <w:kern w:val="0"/>
          <w:sz w:val="24"/>
        </w:rPr>
        <w:t>。</w:t>
      </w:r>
    </w:p>
    <w:p w14:paraId="5E068DFA">
      <w:pPr>
        <w:rPr>
          <w:rFonts w:hint="eastAsia" w:ascii="宋体" w:hAnsi="宋体" w:eastAsia="宋体" w:cstheme="minorBidi"/>
          <w:b/>
          <w:kern w:val="2"/>
          <w:sz w:val="24"/>
          <w:szCs w:val="24"/>
          <w:lang w:val="en-US" w:eastAsia="zh-CN" w:bidi="ar-SA"/>
        </w:rPr>
      </w:pPr>
      <w:r>
        <w:rPr>
          <w:rFonts w:hint="eastAsia" w:ascii="宋体" w:hAnsi="宋体" w:eastAsia="宋体" w:cstheme="minorBidi"/>
          <w:b/>
          <w:kern w:val="2"/>
          <w:sz w:val="24"/>
          <w:szCs w:val="24"/>
          <w:lang w:val="en-US" w:eastAsia="zh-CN" w:bidi="ar-SA"/>
        </w:rPr>
        <w:br w:type="page"/>
      </w:r>
    </w:p>
    <w:p w14:paraId="61A98D23">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4.1.3.6</w:t>
      </w:r>
      <w:r>
        <w:rPr>
          <w:rFonts w:hint="eastAsia" w:ascii="Arial" w:hAnsi="Arial" w:eastAsia="宋体"/>
          <w:b/>
          <w:lang w:val="en-US" w:eastAsia="zh-CN"/>
        </w:rPr>
        <w:t>文件服务</w:t>
      </w:r>
    </w:p>
    <w:p w14:paraId="36A9CC65">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平台化统一管理各文件的生命周期，将文件格式、文件上传下载、文件管理等一体化</w:t>
      </w:r>
      <w:r>
        <w:rPr>
          <w:rFonts w:hint="eastAsia" w:ascii="Times New Roman" w:hAnsi="Times New Roman" w:eastAsia="宋体" w:cs="宋体"/>
          <w:kern w:val="0"/>
          <w:sz w:val="24"/>
          <w:lang w:val="en-US" w:eastAsia="zh-CN"/>
        </w:rPr>
        <w:t>的</w:t>
      </w:r>
      <w:r>
        <w:rPr>
          <w:rFonts w:hint="eastAsia" w:ascii="Times New Roman" w:hAnsi="Times New Roman" w:eastAsia="宋体" w:cs="宋体"/>
          <w:kern w:val="0"/>
          <w:sz w:val="24"/>
        </w:rPr>
        <w:t>处理各文件，并提供视频、图片、文档等大文件做统一切分、切片技术，并将支持文件的云存储等管理。</w:t>
      </w:r>
    </w:p>
    <w:p w14:paraId="0A37AAA4">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4.1.3.7</w:t>
      </w:r>
      <w:r>
        <w:rPr>
          <w:rFonts w:hint="eastAsia" w:ascii="Arial" w:hAnsi="Arial" w:eastAsia="宋体"/>
          <w:b/>
          <w:lang w:val="en-US" w:eastAsia="zh-CN"/>
        </w:rPr>
        <w:t>流程引擎</w:t>
      </w:r>
    </w:p>
    <w:p w14:paraId="52AE22B7">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根据各场景针对流程节点做可视化的流程管理，并按照引擎方案统一应用，并提供流程节点的操作（包括审核）、流转、闭环等处理。</w:t>
      </w:r>
    </w:p>
    <w:p w14:paraId="0706A163">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4.1.3.8</w:t>
      </w:r>
      <w:r>
        <w:rPr>
          <w:rFonts w:hint="eastAsia" w:ascii="Arial" w:hAnsi="Arial" w:eastAsia="宋体"/>
          <w:b/>
          <w:lang w:val="en-US" w:eastAsia="zh-CN"/>
        </w:rPr>
        <w:t>消息服务</w:t>
      </w:r>
    </w:p>
    <w:p w14:paraId="39CBF177">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支持消息</w:t>
      </w:r>
      <w:r>
        <w:rPr>
          <w:rFonts w:hint="eastAsia" w:ascii="Times New Roman" w:hAnsi="Times New Roman" w:eastAsia="宋体" w:cs="宋体"/>
          <w:kern w:val="0"/>
          <w:sz w:val="24"/>
          <w:lang w:val="en-US" w:eastAsia="zh-CN"/>
        </w:rPr>
        <w:t>以</w:t>
      </w:r>
      <w:r>
        <w:rPr>
          <w:rFonts w:hint="eastAsia" w:ascii="Times New Roman" w:hAnsi="Times New Roman" w:eastAsia="宋体" w:cs="宋体"/>
          <w:kern w:val="0"/>
          <w:sz w:val="24"/>
        </w:rPr>
        <w:t>多个卡片形式统一接入，以及提供平台通知、通知公告、站内消息等多渠道消息方式做统一消息服务，</w:t>
      </w:r>
      <w:r>
        <w:rPr>
          <w:rFonts w:ascii="Times New Roman" w:hAnsi="Times New Roman" w:eastAsia="宋体" w:cs="宋体"/>
          <w:kern w:val="0"/>
          <w:sz w:val="24"/>
        </w:rPr>
        <w:t>并对消息统一管理</w:t>
      </w:r>
      <w:r>
        <w:rPr>
          <w:rFonts w:hint="eastAsia" w:ascii="Times New Roman" w:hAnsi="Times New Roman" w:eastAsia="宋体" w:cs="宋体"/>
          <w:kern w:val="0"/>
          <w:sz w:val="24"/>
        </w:rPr>
        <w:t>。</w:t>
      </w:r>
    </w:p>
    <w:p w14:paraId="02816A3C">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4.1.3.9</w:t>
      </w:r>
      <w:r>
        <w:rPr>
          <w:rFonts w:hint="eastAsia" w:ascii="Arial" w:hAnsi="Arial" w:eastAsia="宋体"/>
          <w:b/>
          <w:lang w:val="en-US" w:eastAsia="zh-CN"/>
        </w:rPr>
        <w:t>业务数据交换服务</w:t>
      </w:r>
    </w:p>
    <w:p w14:paraId="2A44852A">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通过数据仓储服务方案提供各数据接入，并应对各应用场景处理各数据汇聚的转换，</w:t>
      </w:r>
      <w:r>
        <w:rPr>
          <w:rFonts w:ascii="Times New Roman" w:hAnsi="Times New Roman" w:eastAsia="宋体" w:cs="宋体"/>
          <w:kern w:val="0"/>
          <w:sz w:val="24"/>
        </w:rPr>
        <w:t>支持高并发高扩展的交换策略来应对</w:t>
      </w:r>
      <w:r>
        <w:rPr>
          <w:rFonts w:hint="eastAsia" w:ascii="Times New Roman" w:hAnsi="Times New Roman" w:eastAsia="宋体" w:cs="宋体"/>
          <w:kern w:val="0"/>
          <w:sz w:val="24"/>
        </w:rPr>
        <w:t>。</w:t>
      </w:r>
    </w:p>
    <w:p w14:paraId="1938470D">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4.1.3.10</w:t>
      </w:r>
      <w:r>
        <w:rPr>
          <w:rFonts w:hint="eastAsia" w:ascii="Arial" w:hAnsi="Arial" w:eastAsia="宋体"/>
          <w:b/>
          <w:lang w:val="en-US" w:eastAsia="zh-CN"/>
        </w:rPr>
        <w:t>即时消息服务</w:t>
      </w:r>
    </w:p>
    <w:p w14:paraId="25DA77D4">
      <w:pPr>
        <w:widowControl/>
        <w:adjustRightInd w:val="0"/>
        <w:spacing w:line="360" w:lineRule="auto"/>
        <w:ind w:firstLine="496" w:firstLineChars="200"/>
        <w:rPr>
          <w:rFonts w:hint="eastAsia" w:ascii="Times New Roman" w:hAnsi="Times New Roman" w:eastAsia="宋体" w:cs="宋体"/>
          <w:kern w:val="0"/>
          <w:sz w:val="24"/>
          <w:lang w:eastAsia="zh-CN"/>
        </w:rPr>
      </w:pPr>
      <w:r>
        <w:rPr>
          <w:rFonts w:hint="eastAsia" w:ascii="Times New Roman" w:hAnsi="Times New Roman" w:eastAsia="宋体" w:cs="宋体"/>
          <w:kern w:val="0"/>
          <w:sz w:val="24"/>
        </w:rPr>
        <w:t>支持用户通过网络进行实时文本、图片、发送文件的通信技术服务</w:t>
      </w:r>
      <w:r>
        <w:rPr>
          <w:rFonts w:hint="eastAsia" w:ascii="Times New Roman" w:hAnsi="Times New Roman" w:eastAsia="宋体" w:cs="宋体"/>
          <w:kern w:val="0"/>
          <w:sz w:val="24"/>
          <w:lang w:eastAsia="zh-CN"/>
        </w:rPr>
        <w:t>。</w:t>
      </w:r>
    </w:p>
    <w:p w14:paraId="6DB66677">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4.1.3.11</w:t>
      </w:r>
      <w:r>
        <w:rPr>
          <w:rFonts w:hint="eastAsia" w:ascii="Arial" w:hAnsi="Arial" w:eastAsia="宋体"/>
          <w:b/>
          <w:lang w:val="en-US" w:eastAsia="zh-CN"/>
        </w:rPr>
        <w:t>规则引擎</w:t>
      </w:r>
    </w:p>
    <w:p w14:paraId="5472ECF5">
      <w:pPr>
        <w:pStyle w:val="16"/>
        <w:widowControl/>
        <w:adjustRightInd w:val="0"/>
        <w:ind w:firstLine="456"/>
        <w:rPr>
          <w:rFonts w:ascii="Times New Roman" w:hAnsi="Times New Roman" w:eastAsia="宋体"/>
          <w:kern w:val="0"/>
          <w:sz w:val="24"/>
          <w:szCs w:val="24"/>
          <w:lang w:eastAsia="zh-CN"/>
        </w:rPr>
      </w:pPr>
      <w:r>
        <w:rPr>
          <w:rFonts w:ascii="Times New Roman" w:hAnsi="Times New Roman" w:eastAsia="宋体"/>
          <w:kern w:val="0"/>
          <w:sz w:val="24"/>
          <w:szCs w:val="24"/>
          <w:lang w:eastAsia="zh-CN"/>
        </w:rPr>
        <w:t>用于复杂的业务逻辑处理和自动化决策制定。在规则引擎中，规则通常是按照优先级顺序排列的，并且当新的数据输入系统时，引擎会根据这些数据与规则的匹配程度来决定采取哪些行动</w:t>
      </w:r>
      <w:r>
        <w:rPr>
          <w:rFonts w:hint="eastAsia" w:ascii="Times New Roman" w:hAnsi="Times New Roman" w:eastAsia="宋体"/>
          <w:kern w:val="0"/>
          <w:sz w:val="24"/>
          <w:szCs w:val="24"/>
          <w:lang w:eastAsia="zh-CN"/>
        </w:rPr>
        <w:t>。</w:t>
      </w:r>
    </w:p>
    <w:p w14:paraId="5EBEDD22">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4.1.3.12</w:t>
      </w:r>
      <w:r>
        <w:rPr>
          <w:rFonts w:hint="eastAsia" w:ascii="Arial" w:hAnsi="Arial" w:eastAsia="宋体"/>
          <w:b/>
          <w:lang w:val="en-US" w:eastAsia="zh-CN"/>
        </w:rPr>
        <w:t>查重服务</w:t>
      </w:r>
    </w:p>
    <w:p w14:paraId="5043A496">
      <w:pPr>
        <w:pStyle w:val="16"/>
        <w:widowControl/>
        <w:adjustRightInd w:val="0"/>
        <w:ind w:firstLine="456"/>
        <w:rPr>
          <w:rFonts w:ascii="Times New Roman" w:hAnsi="Times New Roman" w:eastAsia="宋体"/>
          <w:kern w:val="0"/>
          <w:sz w:val="24"/>
          <w:szCs w:val="24"/>
          <w:lang w:eastAsia="zh-CN"/>
        </w:rPr>
      </w:pPr>
      <w:r>
        <w:rPr>
          <w:rFonts w:ascii="Times New Roman" w:hAnsi="Times New Roman" w:eastAsia="宋体"/>
          <w:kern w:val="0"/>
          <w:sz w:val="24"/>
          <w:szCs w:val="24"/>
          <w:lang w:eastAsia="zh-CN"/>
        </w:rPr>
        <w:t>实现政协履职系统中文本、文件的切片、编码、向量索引构建、相似度分析</w:t>
      </w:r>
      <w:r>
        <w:rPr>
          <w:rFonts w:hint="eastAsia" w:ascii="Times New Roman" w:hAnsi="Times New Roman" w:eastAsia="宋体"/>
          <w:kern w:val="0"/>
          <w:sz w:val="24"/>
          <w:szCs w:val="24"/>
          <w:lang w:eastAsia="zh-CN"/>
        </w:rPr>
        <w:t>。</w:t>
      </w:r>
    </w:p>
    <w:p w14:paraId="22920B3A">
      <w:pPr>
        <w:pStyle w:val="6"/>
        <w:numPr>
          <w:ilvl w:val="4"/>
          <w:numId w:val="0"/>
        </w:numPr>
        <w:bidi w:val="0"/>
        <w:ind w:leftChars="0"/>
        <w:rPr>
          <w:rFonts w:hint="eastAsia"/>
          <w:lang w:val="en-US" w:eastAsia="zh-CN"/>
        </w:rPr>
      </w:pPr>
      <w:bookmarkStart w:id="91" w:name="_Toc161418613"/>
      <w:bookmarkStart w:id="92" w:name="_Toc9729"/>
      <w:bookmarkStart w:id="93" w:name="_Toc2850"/>
      <w:bookmarkStart w:id="94" w:name="_Toc446"/>
      <w:r>
        <w:rPr>
          <w:rFonts w:hint="eastAsia" w:ascii="黑体" w:hAnsi="黑体" w:eastAsia="黑体" w:cstheme="minorBidi"/>
          <w:kern w:val="2"/>
          <w:sz w:val="28"/>
          <w:szCs w:val="24"/>
          <w:lang w:val="en-US" w:eastAsia="zh-CN" w:bidi="ar-SA"/>
        </w:rPr>
        <w:t>4.1.4</w:t>
      </w:r>
      <w:r>
        <w:rPr>
          <w:rFonts w:hint="eastAsia"/>
          <w:lang w:val="en-US" w:eastAsia="zh-CN"/>
        </w:rPr>
        <w:t>基础应用组件</w:t>
      </w:r>
      <w:bookmarkEnd w:id="91"/>
      <w:bookmarkEnd w:id="92"/>
      <w:bookmarkEnd w:id="93"/>
      <w:bookmarkEnd w:id="94"/>
    </w:p>
    <w:p w14:paraId="618BB3EF">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4.1.4.1</w:t>
      </w:r>
      <w:r>
        <w:rPr>
          <w:rFonts w:hint="eastAsia" w:ascii="Arial" w:hAnsi="Arial" w:eastAsia="宋体"/>
          <w:b/>
          <w:lang w:val="en-US" w:eastAsia="zh-CN"/>
        </w:rPr>
        <w:t>文本编辑控件</w:t>
      </w:r>
    </w:p>
    <w:p w14:paraId="54C14FE6">
      <w:pPr>
        <w:pStyle w:val="16"/>
        <w:widowControl/>
        <w:adjustRightInd w:val="0"/>
        <w:ind w:firstLine="456"/>
        <w:rPr>
          <w:rFonts w:ascii="Times New Roman" w:hAnsi="Times New Roman" w:eastAsia="宋体"/>
          <w:kern w:val="0"/>
          <w:sz w:val="24"/>
          <w:szCs w:val="24"/>
          <w:lang w:eastAsia="zh-CN"/>
        </w:rPr>
      </w:pPr>
      <w:r>
        <w:rPr>
          <w:rFonts w:hint="eastAsia" w:ascii="Times New Roman" w:hAnsi="Times New Roman" w:eastAsia="宋体"/>
          <w:kern w:val="0"/>
          <w:sz w:val="24"/>
          <w:szCs w:val="24"/>
          <w:lang w:eastAsia="zh-CN"/>
        </w:rPr>
        <w:t>支持解析Office 软件常用文件格式（包含doc、xls、ppt、docx、xlsx、pptx、pdf、zip、rar、uof、rtf格式文档），提供将Office软件常用文件格式转换为 html  格式的功能，排版基本不变；实现文档在线编辑功能，并保留原文档格式样章，编辑Office常用文件格式（包含xls、xlsx、doc、docx、ppt、pptx、eio格式文档、TXT）；实现即时转换功能；提供简便的API 接口，方便集成。</w:t>
      </w:r>
    </w:p>
    <w:p w14:paraId="5DE5251E">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4.1.4.2</w:t>
      </w:r>
      <w:r>
        <w:rPr>
          <w:rFonts w:hint="eastAsia" w:ascii="Arial" w:hAnsi="Arial" w:eastAsia="宋体"/>
          <w:b/>
          <w:lang w:val="en-US" w:eastAsia="zh-CN"/>
        </w:rPr>
        <w:t>可视化渲染引擎</w:t>
      </w:r>
    </w:p>
    <w:p w14:paraId="33C161DA">
      <w:pPr>
        <w:widowControl/>
        <w:adjustRightInd w:val="0"/>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采用快速渲染方案，并结合接口服务等应用来应对多个业务模块需求：</w:t>
      </w:r>
      <w:r>
        <w:rPr>
          <w:rFonts w:hint="eastAsia" w:ascii="Times New Roman" w:hAnsi="Times New Roman" w:eastAsia="宋体" w:cs="宋体"/>
          <w:kern w:val="0"/>
          <w:sz w:val="24"/>
        </w:rPr>
        <w:t>数智管理平台</w:t>
      </w:r>
      <w:r>
        <w:rPr>
          <w:rFonts w:ascii="Times New Roman" w:hAnsi="Times New Roman" w:eastAsia="宋体" w:cs="宋体"/>
          <w:kern w:val="0"/>
          <w:sz w:val="24"/>
        </w:rPr>
        <w:t>的运行组件，平台具备多数据源实时、丰富的视觉效果等特点</w:t>
      </w:r>
      <w:r>
        <w:rPr>
          <w:rFonts w:hint="eastAsia" w:ascii="Times New Roman" w:hAnsi="Times New Roman" w:eastAsia="宋体" w:cs="宋体"/>
          <w:kern w:val="0"/>
          <w:sz w:val="24"/>
        </w:rPr>
        <w:t>，主要包括以下模块:</w:t>
      </w:r>
    </w:p>
    <w:p w14:paraId="664B886D">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项目导入:支持导入可视化项目工程包，如线上环境或自有其他环境做好的项目下载后，可至基础版内导入运行。</w:t>
      </w:r>
    </w:p>
    <w:p w14:paraId="49085257">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项目编辑:为方便客户本地版本做细微内容调整，支持限时对可视化项目组件、图层、配置项进行编辑。</w:t>
      </w:r>
    </w:p>
    <w:p w14:paraId="12450C8A">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数据接入:支持对导入后的项目进行本地数据对接（原环境也可以进行数据预接入，导入后默认配置保留</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rPr>
        <w:t>。</w:t>
      </w:r>
    </w:p>
    <w:p w14:paraId="2C004CD6">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项目发布:支持对项目进行选择性发布。</w:t>
      </w:r>
    </w:p>
    <w:p w14:paraId="3E31EB38">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4.1.4.3</w:t>
      </w:r>
      <w:r>
        <w:rPr>
          <w:rFonts w:hint="eastAsia" w:ascii="Arial" w:hAnsi="Arial" w:eastAsia="宋体"/>
          <w:b/>
          <w:lang w:val="en-US" w:eastAsia="zh-CN"/>
        </w:rPr>
        <w:t>远程协商服务</w:t>
      </w:r>
    </w:p>
    <w:p w14:paraId="2B7C9A4B">
      <w:pPr>
        <w:widowControl/>
        <w:adjustRightInd w:val="0"/>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提供应用驱动的音视频通讯服务，</w:t>
      </w:r>
      <w:r>
        <w:rPr>
          <w:rFonts w:hint="eastAsia" w:ascii="Times New Roman" w:hAnsi="Times New Roman" w:eastAsia="宋体" w:cs="宋体"/>
          <w:kern w:val="0"/>
          <w:sz w:val="24"/>
        </w:rPr>
        <w:t>含音视频流媒体服务、流量等，</w:t>
      </w:r>
      <w:r>
        <w:rPr>
          <w:rFonts w:hint="eastAsia" w:ascii="Times New Roman" w:hAnsi="Times New Roman" w:eastAsia="宋体" w:cs="宋体"/>
          <w:color w:val="333333"/>
          <w:kern w:val="0"/>
          <w:sz w:val="24"/>
          <w:szCs w:val="21"/>
        </w:rPr>
        <w:t>通过自动部署、集中控制、智能调度、动态扩容</w:t>
      </w:r>
      <w:r>
        <w:rPr>
          <w:rFonts w:hint="eastAsia" w:ascii="Times New Roman" w:hAnsi="Times New Roman" w:eastAsia="宋体" w:cs="宋体"/>
          <w:color w:val="333333"/>
          <w:kern w:val="0"/>
          <w:sz w:val="24"/>
          <w:szCs w:val="21"/>
          <w:lang w:val="en-US" w:eastAsia="zh-CN"/>
        </w:rPr>
        <w:t>及</w:t>
      </w:r>
      <w:r>
        <w:rPr>
          <w:rFonts w:hint="eastAsia" w:ascii="Times New Roman" w:hAnsi="Times New Roman" w:eastAsia="宋体" w:cs="宋体"/>
          <w:color w:val="333333"/>
          <w:kern w:val="0"/>
          <w:sz w:val="24"/>
          <w:szCs w:val="21"/>
        </w:rPr>
        <w:t>可视化等手段，</w:t>
      </w:r>
      <w:r>
        <w:rPr>
          <w:rFonts w:ascii="Times New Roman" w:hAnsi="Times New Roman" w:eastAsia="宋体" w:cs="宋体"/>
          <w:kern w:val="0"/>
          <w:sz w:val="24"/>
        </w:rPr>
        <w:t>保障通讯质量，均衡服务资源分布，降低技术成本</w:t>
      </w:r>
      <w:r>
        <w:rPr>
          <w:rFonts w:hint="eastAsia" w:ascii="Times New Roman" w:hAnsi="Times New Roman" w:eastAsia="宋体" w:cs="宋体"/>
          <w:kern w:val="0"/>
          <w:sz w:val="24"/>
        </w:rPr>
        <w:t>，为音视频远程协商提供支撑。</w:t>
      </w:r>
    </w:p>
    <w:p w14:paraId="49C75B8D">
      <w:pPr>
        <w:widowControl/>
        <w:adjustRightInd w:val="0"/>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本次建设</w:t>
      </w:r>
      <w:r>
        <w:rPr>
          <w:rFonts w:hint="eastAsia" w:ascii="Times New Roman" w:hAnsi="Times New Roman" w:eastAsia="宋体" w:cs="宋体"/>
          <w:kern w:val="0"/>
          <w:sz w:val="24"/>
          <w:lang w:val="en-US" w:eastAsia="zh-CN"/>
        </w:rPr>
        <w:t>的</w:t>
      </w:r>
      <w:r>
        <w:rPr>
          <w:rFonts w:hint="eastAsia" w:ascii="Times New Roman" w:hAnsi="Times New Roman" w:eastAsia="宋体" w:cs="宋体"/>
          <w:kern w:val="0"/>
          <w:sz w:val="24"/>
        </w:rPr>
        <w:t>协商议政系统通过远程视频会议方式进行远程协商议政。需租赁视频流量及服务，以支撑远程协商全流程的实现。视频会议支持多方通话，即视频流和音频流是双向的，并支持实时保存视频，静音某几个终端的音频。在视频会议中，当事人可通过系统参与协商议政。</w:t>
      </w:r>
    </w:p>
    <w:p w14:paraId="02F5EB66">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4.1.4.4</w:t>
      </w:r>
      <w:r>
        <w:rPr>
          <w:rFonts w:hint="eastAsia" w:ascii="Arial" w:hAnsi="Arial" w:eastAsia="宋体"/>
          <w:b/>
          <w:lang w:val="en-US" w:eastAsia="zh-CN"/>
        </w:rPr>
        <w:t>直播流媒体服务</w:t>
      </w:r>
    </w:p>
    <w:p w14:paraId="0FA918D2">
      <w:pPr>
        <w:widowControl/>
        <w:adjustRightInd w:val="0"/>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针对视频直播功能，</w:t>
      </w:r>
      <w:r>
        <w:rPr>
          <w:rFonts w:hint="eastAsia" w:ascii="Times New Roman" w:hAnsi="Times New Roman" w:eastAsia="宋体" w:cs="宋体"/>
          <w:kern w:val="0"/>
          <w:sz w:val="24"/>
          <w:lang w:val="en-US" w:eastAsia="zh-CN"/>
        </w:rPr>
        <w:t>采购</w:t>
      </w:r>
      <w:r>
        <w:rPr>
          <w:rFonts w:hint="eastAsia" w:ascii="Times New Roman" w:hAnsi="Times New Roman" w:eastAsia="宋体" w:cs="宋体"/>
          <w:kern w:val="0"/>
          <w:sz w:val="24"/>
        </w:rPr>
        <w:t>基于互联网应用</w:t>
      </w:r>
      <w:r>
        <w:rPr>
          <w:rFonts w:hint="eastAsia" w:ascii="Times New Roman" w:hAnsi="Times New Roman" w:eastAsia="宋体" w:cs="宋体"/>
          <w:kern w:val="0"/>
          <w:sz w:val="24"/>
          <w:lang w:val="en-US" w:eastAsia="zh-CN"/>
        </w:rPr>
        <w:t>的流媒体服务</w:t>
      </w:r>
      <w:r>
        <w:rPr>
          <w:rFonts w:hint="eastAsia" w:ascii="Times New Roman" w:hAnsi="Times New Roman" w:eastAsia="宋体" w:cs="宋体"/>
          <w:kern w:val="0"/>
          <w:sz w:val="24"/>
        </w:rPr>
        <w:t>，提供公有云API/SDK对接模块，与所需业务系统对接，可在业务系统中调用直播服务，实现政协座谈会现场直播等应用。</w:t>
      </w:r>
    </w:p>
    <w:p w14:paraId="147CCDF2">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4.1.4.5</w:t>
      </w:r>
      <w:r>
        <w:rPr>
          <w:rFonts w:hint="eastAsia" w:ascii="Arial" w:hAnsi="Arial" w:eastAsia="宋体"/>
          <w:b/>
          <w:lang w:val="en-US" w:eastAsia="zh-CN"/>
        </w:rPr>
        <w:t>实时语音转写服务</w:t>
      </w:r>
    </w:p>
    <w:p w14:paraId="207E2357">
      <w:pPr>
        <w:widowControl/>
        <w:spacing w:line="360" w:lineRule="auto"/>
        <w:ind w:firstLine="496" w:firstLineChars="200"/>
        <w:rPr>
          <w:rFonts w:hint="eastAsia" w:ascii="Times New Roman" w:hAnsi="Times New Roman" w:eastAsia="宋体" w:cs="宋体"/>
          <w:b w:val="0"/>
          <w:bCs w:val="0"/>
          <w:color w:val="000000"/>
          <w:kern w:val="0"/>
          <w:sz w:val="24"/>
        </w:rPr>
      </w:pPr>
      <w:r>
        <w:rPr>
          <w:rFonts w:hint="eastAsia" w:ascii="Times New Roman" w:hAnsi="Times New Roman" w:eastAsia="宋体" w:cs="宋体"/>
          <w:b w:val="0"/>
          <w:bCs w:val="0"/>
          <w:color w:val="000000"/>
          <w:kern w:val="0"/>
          <w:sz w:val="24"/>
        </w:rPr>
        <w:t>实时语音转写可将音频流实时识别为文字，并返回带有时间戳的文字流，此服务为本次建设AI小助手语音输入转文字提供支撑。具体能力如下：</w:t>
      </w:r>
    </w:p>
    <w:p w14:paraId="20ED4E0D">
      <w:pPr>
        <w:widowControl/>
        <w:spacing w:line="360" w:lineRule="auto"/>
        <w:ind w:firstLine="496" w:firstLineChars="200"/>
        <w:rPr>
          <w:rFonts w:hint="eastAsia" w:ascii="Times New Roman" w:hAnsi="Times New Roman" w:eastAsia="宋体" w:cs="宋体"/>
          <w:b w:val="0"/>
          <w:bCs w:val="0"/>
          <w:color w:val="000000"/>
          <w:kern w:val="0"/>
          <w:sz w:val="24"/>
        </w:rPr>
      </w:pPr>
      <w:r>
        <w:rPr>
          <w:rFonts w:hint="eastAsia" w:ascii="Times New Roman" w:hAnsi="Times New Roman" w:eastAsia="宋体" w:cs="宋体"/>
          <w:b w:val="0"/>
          <w:bCs w:val="0"/>
          <w:color w:val="000000"/>
          <w:kern w:val="0"/>
          <w:sz w:val="24"/>
        </w:rPr>
        <w:t>快速响应，毫秒级返回：对于音频流实现毫秒级识别，并返回带有时间戳的文字流，便于二次开发；</w:t>
      </w:r>
    </w:p>
    <w:p w14:paraId="33DBAB97">
      <w:pPr>
        <w:widowControl/>
        <w:spacing w:line="360" w:lineRule="auto"/>
        <w:ind w:firstLine="496" w:firstLineChars="200"/>
        <w:rPr>
          <w:rFonts w:hint="eastAsia" w:ascii="Times New Roman" w:hAnsi="Times New Roman" w:eastAsia="宋体" w:cs="宋体"/>
          <w:b w:val="0"/>
          <w:bCs w:val="0"/>
          <w:color w:val="000000"/>
          <w:kern w:val="0"/>
          <w:sz w:val="24"/>
        </w:rPr>
      </w:pPr>
      <w:r>
        <w:rPr>
          <w:rFonts w:hint="eastAsia" w:ascii="Times New Roman" w:hAnsi="Times New Roman" w:eastAsia="宋体" w:cs="宋体"/>
          <w:b w:val="0"/>
          <w:bCs w:val="0"/>
          <w:color w:val="000000"/>
          <w:kern w:val="0"/>
          <w:sz w:val="24"/>
        </w:rPr>
        <w:t>实时翻译，覆盖更多场景：支持中文与英语种互译；</w:t>
      </w:r>
    </w:p>
    <w:p w14:paraId="0C313E19">
      <w:pPr>
        <w:widowControl/>
        <w:spacing w:line="360" w:lineRule="auto"/>
        <w:ind w:firstLine="496" w:firstLineChars="200"/>
        <w:rPr>
          <w:rFonts w:hint="eastAsia" w:ascii="Times New Roman" w:hAnsi="Times New Roman" w:eastAsia="宋体" w:cs="宋体"/>
          <w:b w:val="0"/>
          <w:bCs w:val="0"/>
          <w:color w:val="000000"/>
          <w:kern w:val="0"/>
          <w:sz w:val="24"/>
        </w:rPr>
      </w:pPr>
      <w:r>
        <w:rPr>
          <w:rFonts w:hint="eastAsia" w:ascii="Times New Roman" w:hAnsi="Times New Roman" w:eastAsia="宋体" w:cs="宋体"/>
          <w:b w:val="0"/>
          <w:bCs w:val="0"/>
          <w:color w:val="000000"/>
          <w:kern w:val="0"/>
          <w:sz w:val="24"/>
        </w:rPr>
        <w:t>语义理解，智能纠错：针对上下文进行语义理解，将中间结果进行智能纠错，确保识别的高准确率；</w:t>
      </w:r>
    </w:p>
    <w:p w14:paraId="2290355C">
      <w:pPr>
        <w:widowControl/>
        <w:spacing w:line="360" w:lineRule="auto"/>
        <w:ind w:firstLine="496" w:firstLineChars="200"/>
        <w:rPr>
          <w:rFonts w:hint="eastAsia" w:ascii="Times New Roman" w:hAnsi="Times New Roman" w:eastAsia="宋体" w:cs="宋体"/>
          <w:b w:val="0"/>
          <w:bCs w:val="0"/>
          <w:color w:val="000000"/>
          <w:kern w:val="0"/>
          <w:sz w:val="24"/>
        </w:rPr>
      </w:pPr>
      <w:r>
        <w:rPr>
          <w:rFonts w:hint="eastAsia" w:ascii="Times New Roman" w:hAnsi="Times New Roman" w:eastAsia="宋体" w:cs="宋体"/>
          <w:b w:val="0"/>
          <w:bCs w:val="0"/>
          <w:color w:val="000000"/>
          <w:kern w:val="0"/>
          <w:sz w:val="24"/>
        </w:rPr>
        <w:t>格式转化，标点智能预测：对数字、日期、时间等返回格式化文本，根据对话语境，智能断句并匹配标点符号。</w:t>
      </w:r>
    </w:p>
    <w:p w14:paraId="42F244B6">
      <w:pPr>
        <w:pStyle w:val="2"/>
        <w:numPr>
          <w:ilvl w:val="3"/>
          <w:numId w:val="0"/>
        </w:numPr>
        <w:bidi w:val="0"/>
        <w:ind w:leftChars="0"/>
        <w:rPr>
          <w:lang w:val="en-US" w:eastAsia="zh-CN"/>
        </w:rPr>
      </w:pPr>
      <w:bookmarkStart w:id="95" w:name="_Toc526"/>
      <w:bookmarkStart w:id="96" w:name="_Toc565"/>
      <w:bookmarkStart w:id="97" w:name="_Toc5109"/>
      <w:bookmarkStart w:id="98" w:name="_Toc16753"/>
      <w:r>
        <w:rPr>
          <w:rFonts w:hint="eastAsia" w:ascii="黑体" w:hAnsi="黑体" w:eastAsia="黑体" w:cstheme="minorBidi"/>
          <w:kern w:val="2"/>
          <w:sz w:val="30"/>
          <w:szCs w:val="24"/>
          <w:lang w:val="en-US" w:eastAsia="zh-CN" w:bidi="ar-SA"/>
        </w:rPr>
        <w:t>4.2</w:t>
      </w:r>
      <w:r>
        <w:rPr>
          <w:rFonts w:hint="eastAsia"/>
          <w:lang w:val="en-US" w:eastAsia="zh-CN"/>
        </w:rPr>
        <w:t>应用系统设计</w:t>
      </w:r>
      <w:bookmarkEnd w:id="95"/>
      <w:bookmarkEnd w:id="96"/>
      <w:bookmarkEnd w:id="97"/>
      <w:bookmarkEnd w:id="98"/>
    </w:p>
    <w:p w14:paraId="13ADED76">
      <w:pPr>
        <w:pStyle w:val="6"/>
        <w:numPr>
          <w:ilvl w:val="4"/>
          <w:numId w:val="0"/>
        </w:numPr>
        <w:bidi w:val="0"/>
        <w:ind w:leftChars="0"/>
        <w:rPr>
          <w:lang w:val="en-US" w:eastAsia="zh-CN"/>
        </w:rPr>
      </w:pPr>
      <w:bookmarkStart w:id="99" w:name="_Toc17477"/>
      <w:bookmarkStart w:id="100" w:name="_Toc16215"/>
      <w:bookmarkStart w:id="101" w:name="_Toc4249"/>
      <w:bookmarkStart w:id="102" w:name="_Toc161418615"/>
      <w:bookmarkStart w:id="103" w:name="_Toc161418616"/>
      <w:r>
        <w:rPr>
          <w:rFonts w:hint="eastAsia" w:ascii="黑体" w:hAnsi="黑体" w:eastAsia="黑体" w:cstheme="minorBidi"/>
          <w:kern w:val="2"/>
          <w:sz w:val="28"/>
          <w:szCs w:val="24"/>
          <w:lang w:val="en-US" w:eastAsia="zh-CN" w:bidi="ar-SA"/>
        </w:rPr>
        <w:t>4.2.1</w:t>
      </w:r>
      <w:r>
        <w:rPr>
          <w:rFonts w:hint="eastAsia"/>
          <w:lang w:val="en-US" w:eastAsia="zh-CN"/>
        </w:rPr>
        <w:t>AI智能小助手</w:t>
      </w:r>
      <w:bookmarkEnd w:id="99"/>
      <w:bookmarkEnd w:id="100"/>
      <w:bookmarkEnd w:id="101"/>
      <w:bookmarkEnd w:id="102"/>
    </w:p>
    <w:p w14:paraId="787B60C4">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CN"/>
        </w:rPr>
      </w:pPr>
      <w:r>
        <w:rPr>
          <w:rFonts w:hint="eastAsia" w:ascii="Times New Roman" w:hAnsi="Times New Roman" w:eastAsia="宋体" w:cs="宋体"/>
          <w:kern w:val="0"/>
          <w:sz w:val="24"/>
          <w:lang w:val="en-US" w:eastAsia="zh-CN"/>
        </w:rPr>
        <w:t>建设AI智能小助手，</w:t>
      </w:r>
      <w:r>
        <w:rPr>
          <w:rFonts w:ascii="Times New Roman" w:hAnsi="Times New Roman" w:eastAsia="宋体" w:cs="宋体"/>
          <w:kern w:val="0"/>
          <w:sz w:val="24"/>
        </w:rPr>
        <w:t>使用全流程辅助功能</w:t>
      </w:r>
      <w:r>
        <w:rPr>
          <w:rFonts w:hint="eastAsia" w:ascii="Times New Roman" w:hAnsi="Times New Roman" w:eastAsia="宋体" w:cs="宋体"/>
          <w:kern w:val="0"/>
          <w:sz w:val="24"/>
        </w:rPr>
        <w:t>，</w:t>
      </w:r>
      <w:r>
        <w:rPr>
          <w:rFonts w:ascii="Times New Roman" w:hAnsi="Times New Roman" w:eastAsia="宋体" w:cs="宋体"/>
          <w:kern w:val="0"/>
          <w:sz w:val="24"/>
        </w:rPr>
        <w:t>移动端提供智能入口</w:t>
      </w:r>
      <w:r>
        <w:rPr>
          <w:rFonts w:hint="eastAsia" w:ascii="Times New Roman" w:hAnsi="Times New Roman" w:eastAsia="宋体" w:cs="宋体"/>
          <w:kern w:val="0"/>
          <w:sz w:val="24"/>
        </w:rPr>
        <w:t>，实现</w:t>
      </w:r>
      <w:r>
        <w:rPr>
          <w:rFonts w:ascii="Times New Roman" w:hAnsi="Times New Roman" w:eastAsia="宋体" w:cs="宋体"/>
          <w:kern w:val="0"/>
          <w:sz w:val="24"/>
        </w:rPr>
        <w:t>智能咨询</w:t>
      </w:r>
      <w:r>
        <w:rPr>
          <w:rFonts w:hint="eastAsia" w:ascii="Times New Roman" w:hAnsi="Times New Roman" w:eastAsia="宋体" w:cs="宋体"/>
          <w:kern w:val="0"/>
          <w:sz w:val="24"/>
        </w:rPr>
        <w:t>、</w:t>
      </w:r>
      <w:r>
        <w:rPr>
          <w:rFonts w:ascii="Times New Roman" w:hAnsi="Times New Roman" w:eastAsia="宋体" w:cs="宋体"/>
          <w:kern w:val="0"/>
          <w:sz w:val="24"/>
        </w:rPr>
        <w:t>满意度收集</w:t>
      </w:r>
      <w:r>
        <w:rPr>
          <w:rFonts w:hint="eastAsia" w:ascii="Times New Roman" w:hAnsi="Times New Roman" w:eastAsia="宋体" w:cs="宋体"/>
          <w:kern w:val="0"/>
          <w:sz w:val="24"/>
        </w:rPr>
        <w:t>；需通过建设政协场景知识库，为委员履职提供数字服务支撑</w:t>
      </w:r>
      <w:r>
        <w:rPr>
          <w:rFonts w:hint="eastAsia" w:ascii="Times New Roman" w:hAnsi="Times New Roman" w:eastAsia="宋体" w:cs="宋体"/>
          <w:kern w:val="0"/>
          <w:sz w:val="24"/>
          <w:lang w:eastAsia="zh-CN"/>
        </w:rPr>
        <w:t>，为各政协委员们沟通建立一种基于AI智能交互的服务形式。</w:t>
      </w:r>
    </w:p>
    <w:p w14:paraId="109E337F">
      <w:pPr>
        <w:bidi w:val="0"/>
        <w:rPr>
          <w:rFonts w:hint="eastAsia"/>
          <w:lang w:val="en-US" w:eastAsia="zh-CN"/>
        </w:rPr>
      </w:pPr>
      <w:r>
        <w:rPr>
          <w:rFonts w:hint="eastAsia" w:ascii="宋体" w:hAnsi="宋体" w:eastAsia="宋体" w:cstheme="minorBidi"/>
          <w:b/>
          <w:kern w:val="2"/>
          <w:sz w:val="24"/>
          <w:szCs w:val="24"/>
          <w:lang w:val="en-US" w:eastAsia="zh-CN" w:bidi="ar-SA"/>
        </w:rPr>
        <w:t>4.2.1.1</w:t>
      </w:r>
      <w:r>
        <w:rPr>
          <w:rFonts w:hint="eastAsia"/>
          <w:lang w:val="en-US" w:eastAsia="zh-CN"/>
        </w:rPr>
        <w:t>移动端功能（用户端）</w:t>
      </w:r>
    </w:p>
    <w:p w14:paraId="3DD3C3D8">
      <w:pPr>
        <w:keepNext w:val="0"/>
        <w:keepLines w:val="0"/>
        <w:pageBreakBefore w:val="0"/>
        <w:widowControl/>
        <w:numPr>
          <w:ilvl w:val="0"/>
          <w:numId w:val="1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智能入口设计</w:t>
      </w:r>
    </w:p>
    <w:p w14:paraId="373BFC01">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ascii="Times New Roman" w:hAnsi="Times New Roman" w:eastAsia="宋体" w:cs="宋体"/>
          <w:kern w:val="0"/>
          <w:sz w:val="24"/>
        </w:rPr>
        <w:t>以H5形式开发相应的委员履职数字助理应用。结合多轮语义理解、意图识别、智能交互等AI核心能力，满足委员的咨询需求。</w:t>
      </w:r>
    </w:p>
    <w:p w14:paraId="073D59F8">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hint="eastAsia" w:ascii="Times New Roman" w:hAnsi="Times New Roman" w:eastAsia="宋体" w:cs="宋体"/>
          <w:kern w:val="0"/>
          <w:sz w:val="24"/>
        </w:rPr>
        <w:t>对于数字助理入口做智能化引导设计，包括对于业务分类的呈现、推荐问题引导、问候语、常用功能卡、问答模式的设计等。</w:t>
      </w:r>
    </w:p>
    <w:p w14:paraId="4214E891">
      <w:pPr>
        <w:keepNext w:val="0"/>
        <w:keepLines w:val="0"/>
        <w:pageBreakBefore w:val="0"/>
        <w:widowControl/>
        <w:numPr>
          <w:ilvl w:val="0"/>
          <w:numId w:val="1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智能咨询功能</w:t>
      </w:r>
    </w:p>
    <w:p w14:paraId="726738CD">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调用类人人工智能引擎语音识别引擎和语义理解引擎以及智能服务平台知识库的能力和知识，为用户提供自然对话方式（支持文本和语音）的业务信息咨询和办理引导。</w:t>
      </w:r>
    </w:p>
    <w:p w14:paraId="2F3D9619">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首页提供“进入咨询”入口，用户经过授权认证后，进入智能咨询界面。智能咨询提供用户输入、AI回复、用户反馈和猜你想问功能，快速理解用户意图，为委员提供类人智能咨询服务，满足委员履职和体验需求。</w:t>
      </w:r>
    </w:p>
    <w:p w14:paraId="577993D5">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4.2.1.2</w:t>
      </w:r>
      <w:r>
        <w:rPr>
          <w:rFonts w:hint="eastAsia" w:ascii="Arial" w:hAnsi="Arial" w:eastAsia="宋体"/>
          <w:b/>
          <w:lang w:val="en-US" w:eastAsia="zh-CN"/>
        </w:rPr>
        <w:t>智能对话系统（管理端）</w:t>
      </w:r>
    </w:p>
    <w:p w14:paraId="08E81EEB">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hint="eastAsia" w:ascii="Times New Roman" w:hAnsi="Times New Roman" w:eastAsia="宋体" w:cs="宋体"/>
          <w:kern w:val="0"/>
          <w:sz w:val="24"/>
        </w:rPr>
        <w:t>智能对话系统集成了语义理解、对话管理、文本生成、符号系统、深度神经网络、知识图谱等人工智能技术</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rPr>
        <w:t>为智能咨询提供对话能力的核心支撑。</w:t>
      </w:r>
    </w:p>
    <w:p w14:paraId="2862010D">
      <w:pPr>
        <w:keepNext w:val="0"/>
        <w:keepLines w:val="0"/>
        <w:pageBreakBefore w:val="0"/>
        <w:widowControl/>
        <w:numPr>
          <w:ilvl w:val="0"/>
          <w:numId w:val="1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多轮对话</w:t>
      </w:r>
    </w:p>
    <w:p w14:paraId="42DC7F6A">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ascii="Times New Roman" w:hAnsi="Times New Roman" w:eastAsia="宋体" w:cs="宋体"/>
          <w:kern w:val="0"/>
          <w:sz w:val="24"/>
        </w:rPr>
        <w:t>系统支持多轮对话，</w:t>
      </w:r>
      <w:r>
        <w:rPr>
          <w:rFonts w:hint="eastAsia" w:ascii="Times New Roman" w:hAnsi="Times New Roman" w:eastAsia="宋体" w:cs="宋体"/>
          <w:kern w:val="0"/>
          <w:sz w:val="24"/>
        </w:rPr>
        <w:t>可实现复杂的任务型问答场景及任务办理，通过多轮对话，逐步判断出用户问题意图，更快捷匹配出问题答案。</w:t>
      </w:r>
    </w:p>
    <w:p w14:paraId="4024972D">
      <w:pPr>
        <w:keepNext w:val="0"/>
        <w:keepLines w:val="0"/>
        <w:pageBreakBefore w:val="0"/>
        <w:widowControl/>
        <w:numPr>
          <w:ilvl w:val="0"/>
          <w:numId w:val="1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满意度收集</w:t>
      </w:r>
    </w:p>
    <w:p w14:paraId="243A7AF7">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hint="eastAsia" w:ascii="Times New Roman" w:hAnsi="Times New Roman" w:eastAsia="宋体" w:cs="宋体"/>
          <w:kern w:val="0"/>
          <w:sz w:val="24"/>
        </w:rPr>
        <w:t>支持实时收集用户对答复内容的满意度评价，其中满意度等级分为“非常满意、基本满意、一般、不满意、非常不满意”五个等级。对于满意度等级为基本满意以下的，增加采集不满意原因：不能准确识别问题、答案描述不正确、答案太复杂、问答流程不合理等。</w:t>
      </w:r>
    </w:p>
    <w:p w14:paraId="3C831B51">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4.2.1.3</w:t>
      </w:r>
      <w:r>
        <w:rPr>
          <w:rFonts w:hint="eastAsia" w:ascii="Arial" w:hAnsi="Arial" w:eastAsia="宋体"/>
          <w:b/>
          <w:lang w:val="en-US" w:eastAsia="zh-CN"/>
        </w:rPr>
        <w:t>场景知识库构建</w:t>
      </w:r>
    </w:p>
    <w:p w14:paraId="7C2E8D16">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建设场景知识库，为委员履职提供数字服务支撑，知识库包括单轮应答和多轮应答的知识，知识库更新后，AI咨询小助手的回复逻辑和回复内容会发生对应的变化。</w:t>
      </w:r>
    </w:p>
    <w:p w14:paraId="7A548750">
      <w:pPr>
        <w:keepNext w:val="0"/>
        <w:keepLines w:val="0"/>
        <w:pageBreakBefore w:val="0"/>
        <w:widowControl/>
        <w:numPr>
          <w:ilvl w:val="0"/>
          <w:numId w:val="1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知识数据预处理</w:t>
      </w:r>
    </w:p>
    <w:p w14:paraId="26396C84">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hint="eastAsia" w:ascii="Times New Roman" w:hAnsi="Times New Roman" w:eastAsia="宋体" w:cs="宋体"/>
          <w:kern w:val="0"/>
          <w:sz w:val="24"/>
        </w:rPr>
        <w:t>基于场景原始QA数据，整理业务数据，对其进行标记、清洗、分析，业务场景包括履职在线、协商在线、学习在线、宣传在线、提案在线、社情民意在线等。针对每条问题，梳理出功能点、问题类型（操作类、咨询类）、回答方式（固定答案、查询答案）、具体问题、相似问法、答案等信息。</w:t>
      </w:r>
    </w:p>
    <w:p w14:paraId="44858BEC">
      <w:pPr>
        <w:keepNext w:val="0"/>
        <w:keepLines w:val="0"/>
        <w:pageBreakBefore w:val="0"/>
        <w:widowControl/>
        <w:numPr>
          <w:ilvl w:val="0"/>
          <w:numId w:val="1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知识加工</w:t>
      </w:r>
    </w:p>
    <w:p w14:paraId="1003131E">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hint="eastAsia" w:ascii="Times New Roman" w:hAnsi="Times New Roman" w:eastAsia="宋体" w:cs="宋体"/>
          <w:kern w:val="0"/>
          <w:sz w:val="24"/>
        </w:rPr>
        <w:t>利用预处理后得到的数据，通过知识抽取、知识融合、数据增强、特征工程、模型训练等知识加工流程，建设业务场景知识库。</w:t>
      </w:r>
      <w:r>
        <w:rPr>
          <w:rFonts w:ascii="Times New Roman" w:hAnsi="Times New Roman" w:eastAsia="宋体" w:cs="宋体"/>
          <w:kern w:val="0"/>
          <w:sz w:val="24"/>
        </w:rPr>
        <w:t>主要为如下3种：</w:t>
      </w:r>
    </w:p>
    <w:p w14:paraId="20BFC842">
      <w:pPr>
        <w:widowControl/>
        <w:numPr>
          <w:ilvl w:val="0"/>
          <w:numId w:val="14"/>
        </w:numPr>
        <w:adjustRightInd w:val="0"/>
        <w:spacing w:line="360" w:lineRule="auto"/>
        <w:ind w:left="1080" w:hanging="440" w:firstLineChars="0"/>
        <w:rPr>
          <w:rFonts w:ascii="Times New Roman" w:hAnsi="Times New Roman" w:eastAsia="宋体" w:cs="宋体"/>
          <w:kern w:val="0"/>
          <w:sz w:val="24"/>
          <w:szCs w:val="22"/>
        </w:rPr>
      </w:pPr>
      <w:r>
        <w:rPr>
          <w:rFonts w:ascii="Times New Roman" w:hAnsi="Times New Roman" w:eastAsia="宋体" w:cs="宋体"/>
          <w:kern w:val="0"/>
          <w:sz w:val="24"/>
          <w:szCs w:val="22"/>
        </w:rPr>
        <w:tab/>
      </w:r>
      <w:r>
        <w:rPr>
          <w:rFonts w:ascii="Times New Roman" w:hAnsi="Times New Roman" w:eastAsia="宋体" w:cs="宋体"/>
          <w:kern w:val="0"/>
          <w:sz w:val="24"/>
          <w:szCs w:val="22"/>
        </w:rPr>
        <w:t>基于委员履职服务事项数据建设成的场景知识库；</w:t>
      </w:r>
    </w:p>
    <w:p w14:paraId="43529769">
      <w:pPr>
        <w:widowControl/>
        <w:numPr>
          <w:ilvl w:val="0"/>
          <w:numId w:val="14"/>
        </w:numPr>
        <w:adjustRightInd w:val="0"/>
        <w:spacing w:line="360" w:lineRule="auto"/>
        <w:ind w:left="1080" w:hanging="440" w:firstLineChars="0"/>
        <w:rPr>
          <w:rFonts w:ascii="Times New Roman" w:hAnsi="Times New Roman" w:eastAsia="宋体" w:cs="宋体"/>
          <w:kern w:val="0"/>
          <w:sz w:val="24"/>
          <w:szCs w:val="22"/>
        </w:rPr>
      </w:pPr>
      <w:r>
        <w:rPr>
          <w:rFonts w:ascii="Times New Roman" w:hAnsi="Times New Roman" w:eastAsia="宋体" w:cs="宋体"/>
          <w:kern w:val="0"/>
          <w:sz w:val="24"/>
          <w:szCs w:val="22"/>
        </w:rPr>
        <w:tab/>
      </w:r>
      <w:r>
        <w:rPr>
          <w:rFonts w:ascii="Times New Roman" w:hAnsi="Times New Roman" w:eastAsia="宋体" w:cs="宋体"/>
          <w:kern w:val="0"/>
          <w:sz w:val="24"/>
          <w:szCs w:val="22"/>
        </w:rPr>
        <w:t>基于委员、单位信息等数据建立的结构化知识库；</w:t>
      </w:r>
    </w:p>
    <w:p w14:paraId="5FD43AEF">
      <w:pPr>
        <w:widowControl/>
        <w:numPr>
          <w:ilvl w:val="0"/>
          <w:numId w:val="14"/>
        </w:numPr>
        <w:adjustRightInd w:val="0"/>
        <w:spacing w:line="360" w:lineRule="auto"/>
        <w:ind w:left="1080" w:hanging="440" w:firstLineChars="0"/>
        <w:rPr>
          <w:rFonts w:hint="eastAsia" w:ascii="Times New Roman" w:hAnsi="Times New Roman" w:eastAsia="宋体" w:cs="宋体"/>
          <w:kern w:val="0"/>
          <w:sz w:val="24"/>
          <w:szCs w:val="22"/>
        </w:rPr>
      </w:pPr>
      <w:r>
        <w:rPr>
          <w:rFonts w:ascii="Times New Roman" w:hAnsi="Times New Roman" w:eastAsia="宋体" w:cs="宋体"/>
          <w:kern w:val="0"/>
          <w:sz w:val="24"/>
          <w:szCs w:val="22"/>
        </w:rPr>
        <w:tab/>
      </w:r>
      <w:r>
        <w:rPr>
          <w:rFonts w:ascii="Times New Roman" w:hAnsi="Times New Roman" w:eastAsia="宋体" w:cs="宋体"/>
          <w:kern w:val="0"/>
          <w:sz w:val="24"/>
          <w:szCs w:val="22"/>
        </w:rPr>
        <w:t>基于工作手册、新闻资讯等数据建立的文件型知识库。</w:t>
      </w:r>
    </w:p>
    <w:p w14:paraId="7B7D2339">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（1）知识抽取：通过信息抽取，从原始语料中提取出知识间的实体、关系与属性等知识要素。信息抽取是从不同来源、不同结构的数据中进行知识提取，形成结构化数据存入到知识库中。</w:t>
      </w:r>
    </w:p>
    <w:p w14:paraId="61C19993">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（2）知识融合：信息抽取的结果中，包含大量的冗余和错误信息，数据之间的关系也是扁平化的。通过知识融合技术，可以消除概念的歧义，剔除冗余和错误概念，从而确保知识的质量。</w:t>
      </w:r>
    </w:p>
    <w:p w14:paraId="032DF9EB">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（3）知识关联：基于实体链接技术，将不同来源的同一实体关联起来。在已有的知识库基础上进一步挖掘隐含的知识，从而丰富、扩展知识库。业务流程关联包括类别关联和聚类关联。</w:t>
      </w:r>
    </w:p>
    <w:p w14:paraId="07C8D9E2">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ascii="Times New Roman" w:hAnsi="Times New Roman" w:eastAsia="宋体" w:cs="宋体"/>
          <w:kern w:val="0"/>
          <w:sz w:val="24"/>
        </w:rPr>
        <w:t>（4）特征增强：利用数据增强技术，对标注好的数据做样本数据扩充，补充数据特征点，用于后续的模型训练。</w:t>
      </w:r>
    </w:p>
    <w:p w14:paraId="5300DB1E">
      <w:pPr>
        <w:keepNext w:val="0"/>
        <w:keepLines w:val="0"/>
        <w:pageBreakBefore w:val="0"/>
        <w:widowControl/>
        <w:numPr>
          <w:ilvl w:val="0"/>
          <w:numId w:val="1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知识模型训练</w:t>
      </w:r>
    </w:p>
    <w:p w14:paraId="7A685558">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hint="eastAsia" w:ascii="Times New Roman" w:hAnsi="Times New Roman" w:eastAsia="宋体" w:cs="宋体"/>
          <w:kern w:val="0"/>
          <w:sz w:val="24"/>
        </w:rPr>
        <w:t>利用加工过后的数据，选择适配的模型，进行训练、融合、优化、验证等流程。</w:t>
      </w:r>
    </w:p>
    <w:p w14:paraId="3D5F530B">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（1）模型训练：基于统一语义解析模型进行训练，对各场景知识信息进行重构。知识模型训练基于算法模型对知识数据进行训练，实现的是泛化</w:t>
      </w:r>
      <w:r>
        <w:rPr>
          <w:rFonts w:hint="eastAsia" w:ascii="Times New Roman" w:hAnsi="Times New Roman" w:eastAsia="宋体" w:cs="宋体"/>
          <w:kern w:val="0"/>
          <w:sz w:val="24"/>
          <w:lang w:val="en-US" w:eastAsia="zh-CN"/>
        </w:rPr>
        <w:t>问题</w:t>
      </w:r>
      <w:r>
        <w:rPr>
          <w:rFonts w:ascii="Times New Roman" w:hAnsi="Times New Roman" w:eastAsia="宋体" w:cs="宋体"/>
          <w:kern w:val="0"/>
          <w:sz w:val="24"/>
        </w:rPr>
        <w:t>和标准问题的正确对应。</w:t>
      </w:r>
    </w:p>
    <w:p w14:paraId="5FC66BFC">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ascii="Times New Roman" w:hAnsi="Times New Roman" w:eastAsia="宋体" w:cs="宋体"/>
          <w:kern w:val="0"/>
          <w:sz w:val="24"/>
        </w:rPr>
        <w:t>（2）训练优化：进行大量的数据训练及数据加工工作，评判模型泛化到新数据的能力，测试数据正确度。对设计好的业务场景流程进行测试调优工作，保证业务场景流程在程序执行过程中完整、合理。</w:t>
      </w:r>
    </w:p>
    <w:p w14:paraId="5825ADAA">
      <w:pPr>
        <w:keepNext w:val="0"/>
        <w:keepLines w:val="0"/>
        <w:pageBreakBefore w:val="0"/>
        <w:widowControl/>
        <w:numPr>
          <w:ilvl w:val="0"/>
          <w:numId w:val="1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知识模型对接</w:t>
      </w:r>
    </w:p>
    <w:p w14:paraId="35203D79">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hint="eastAsia" w:ascii="Times New Roman" w:hAnsi="Times New Roman" w:eastAsia="宋体" w:cs="宋体"/>
          <w:kern w:val="0"/>
          <w:sz w:val="24"/>
        </w:rPr>
        <w:t>对训练好的模型进行对接，与智能小助手的智能对话系统对接。</w:t>
      </w:r>
    </w:p>
    <w:p w14:paraId="771A2130">
      <w:pPr>
        <w:keepNext w:val="0"/>
        <w:keepLines w:val="0"/>
        <w:pageBreakBefore w:val="0"/>
        <w:widowControl/>
        <w:numPr>
          <w:ilvl w:val="0"/>
          <w:numId w:val="1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知识库管理平台</w:t>
      </w:r>
    </w:p>
    <w:p w14:paraId="685EF4F8">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hint="eastAsia" w:ascii="Times New Roman" w:hAnsi="Times New Roman" w:eastAsia="宋体" w:cs="宋体"/>
          <w:kern w:val="0"/>
          <w:sz w:val="24"/>
        </w:rPr>
        <w:t>提供知识库管理功能，能够自主完善更新本地知识库内容。</w:t>
      </w:r>
      <w:r>
        <w:rPr>
          <w:rFonts w:ascii="Times New Roman" w:hAnsi="Times New Roman" w:eastAsia="宋体" w:cs="宋体"/>
          <w:kern w:val="0"/>
          <w:sz w:val="24"/>
        </w:rPr>
        <w:t>业务人员可以对知识进行增、删、改、查的操作。</w:t>
      </w:r>
    </w:p>
    <w:p w14:paraId="081B8FDC">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可以新增“单轮”和“多轮”知识，也可以对已存在的“单轮”和“多轮”知识进行维护。对于单轮应答的知识，管理员可以修改问题的标准问法、相似问法、回答以及启用状态。对于多轮应答的知识库，管理员可以绘制多轮应答的各个节点，还可以修改节点关键词、节点回复以及节点</w:t>
      </w:r>
      <w:r>
        <w:rPr>
          <w:rFonts w:hint="eastAsia" w:ascii="Times New Roman" w:hAnsi="Times New Roman" w:eastAsia="宋体" w:cs="宋体"/>
          <w:kern w:val="0"/>
          <w:sz w:val="24"/>
          <w:lang w:val="en-US" w:eastAsia="zh-CN"/>
        </w:rPr>
        <w:t>启</w:t>
      </w:r>
      <w:r>
        <w:rPr>
          <w:rFonts w:ascii="Times New Roman" w:hAnsi="Times New Roman" w:eastAsia="宋体" w:cs="宋体"/>
          <w:kern w:val="0"/>
          <w:sz w:val="24"/>
        </w:rPr>
        <w:t>用状态。</w:t>
      </w:r>
    </w:p>
    <w:p w14:paraId="6A2BB3BD">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ascii="Times New Roman" w:hAnsi="Times New Roman" w:eastAsia="宋体" w:cs="宋体"/>
          <w:kern w:val="0"/>
          <w:sz w:val="24"/>
        </w:rPr>
        <w:t>知识编辑操作提交后实时进入审核流程，审核流程完结时知识生效，以实现知识质量的把控。</w:t>
      </w:r>
    </w:p>
    <w:p w14:paraId="379E2446">
      <w:pPr>
        <w:keepNext w:val="0"/>
        <w:keepLines w:val="0"/>
        <w:pageBreakBefore w:val="0"/>
        <w:widowControl/>
        <w:numPr>
          <w:ilvl w:val="0"/>
          <w:numId w:val="1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知识数据分析</w:t>
      </w:r>
    </w:p>
    <w:p w14:paraId="1808BF6F">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hint="eastAsia" w:ascii="Times New Roman" w:hAnsi="Times New Roman" w:eastAsia="宋体" w:cs="宋体"/>
          <w:kern w:val="0"/>
          <w:sz w:val="24"/>
        </w:rPr>
        <w:t>提供知识运营数据分析功能，包括对话记录、问答统计、服务人数及服务人次数据统计、关注趋势图、各业务线热词分析等。</w:t>
      </w:r>
    </w:p>
    <w:p w14:paraId="16F32895">
      <w:pPr>
        <w:keepNext w:val="0"/>
        <w:keepLines w:val="0"/>
        <w:pageBreakBefore w:val="0"/>
        <w:widowControl/>
        <w:numPr>
          <w:ilvl w:val="0"/>
          <w:numId w:val="1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AI调教优化服务</w:t>
      </w:r>
    </w:p>
    <w:p w14:paraId="3284567C">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hint="eastAsia" w:ascii="Times New Roman" w:hAnsi="Times New Roman" w:eastAsia="宋体" w:cs="宋体"/>
          <w:kern w:val="0"/>
          <w:sz w:val="24"/>
        </w:rPr>
        <w:t>对AI交互、精准率、准确率进行持续更新和优化服务。</w:t>
      </w:r>
    </w:p>
    <w:p w14:paraId="23F55C26">
      <w:pPr>
        <w:rPr>
          <w:rFonts w:hint="eastAsia" w:ascii="宋体" w:hAnsi="宋体" w:eastAsia="宋体" w:cstheme="minorBidi"/>
          <w:b/>
          <w:kern w:val="2"/>
          <w:sz w:val="24"/>
          <w:szCs w:val="24"/>
          <w:lang w:val="en-US" w:eastAsia="zh-CN" w:bidi="ar-SA"/>
        </w:rPr>
      </w:pPr>
      <w:bookmarkStart w:id="104" w:name="_Toc2432"/>
      <w:bookmarkStart w:id="105" w:name="_Toc19616"/>
      <w:r>
        <w:rPr>
          <w:rFonts w:hint="eastAsia" w:ascii="宋体" w:hAnsi="宋体" w:eastAsia="宋体" w:cstheme="minorBidi"/>
          <w:b/>
          <w:kern w:val="2"/>
          <w:sz w:val="24"/>
          <w:szCs w:val="24"/>
          <w:lang w:val="en-US" w:eastAsia="zh-CN" w:bidi="ar-SA"/>
        </w:rPr>
        <w:br w:type="page"/>
      </w:r>
    </w:p>
    <w:p w14:paraId="1DFEBF96">
      <w:pPr>
        <w:bidi w:val="0"/>
        <w:rPr>
          <w:rFonts w:hint="eastAsia"/>
          <w:lang w:val="en-US" w:eastAsia="zh-CN"/>
        </w:rPr>
      </w:pPr>
      <w:r>
        <w:rPr>
          <w:rFonts w:hint="eastAsia" w:ascii="宋体" w:hAnsi="宋体" w:eastAsia="宋体" w:cstheme="minorBidi"/>
          <w:b/>
          <w:kern w:val="2"/>
          <w:sz w:val="24"/>
          <w:szCs w:val="24"/>
          <w:lang w:val="en-US" w:eastAsia="zh-CN" w:bidi="ar-SA"/>
        </w:rPr>
        <w:t>4.2.1.4</w:t>
      </w:r>
      <w:r>
        <w:rPr>
          <w:rFonts w:hint="eastAsia"/>
          <w:lang w:val="en-US" w:eastAsia="zh-CN"/>
        </w:rPr>
        <w:t>关联系统接口设计</w:t>
      </w:r>
    </w:p>
    <w:p w14:paraId="1EEFC4CC">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本系统对接政协i西安G端APP门户，</w:t>
      </w:r>
      <w:r>
        <w:rPr>
          <w:rFonts w:hint="eastAsia" w:ascii="Times New Roman" w:hAnsi="Times New Roman" w:eastAsia="宋体" w:cs="宋体"/>
          <w:kern w:val="0"/>
          <w:sz w:val="24"/>
        </w:rPr>
        <w:t>以H5形式</w:t>
      </w:r>
      <w:r>
        <w:rPr>
          <w:rFonts w:hint="eastAsia" w:ascii="Times New Roman" w:hAnsi="Times New Roman" w:eastAsia="宋体" w:cs="宋体"/>
          <w:kern w:val="0"/>
          <w:sz w:val="24"/>
          <w:lang w:val="en-US" w:eastAsia="zh-CN"/>
        </w:rPr>
        <w:t>在门户页面上，实现</w:t>
      </w:r>
      <w:r>
        <w:rPr>
          <w:rFonts w:hint="eastAsia" w:ascii="Times New Roman" w:hAnsi="Times New Roman" w:eastAsia="宋体" w:cs="宋体"/>
          <w:kern w:val="0"/>
          <w:sz w:val="24"/>
        </w:rPr>
        <w:t>委员履职数字助理</w:t>
      </w:r>
      <w:r>
        <w:rPr>
          <w:rFonts w:hint="eastAsia" w:ascii="Times New Roman" w:hAnsi="Times New Roman" w:eastAsia="宋体" w:cs="宋体"/>
          <w:kern w:val="0"/>
          <w:sz w:val="24"/>
          <w:lang w:val="en-US" w:eastAsia="zh-CN"/>
        </w:rPr>
        <w:t>服务，通过智能问答</w:t>
      </w:r>
      <w:r>
        <w:rPr>
          <w:rFonts w:hint="eastAsia" w:ascii="Times New Roman" w:hAnsi="Times New Roman" w:eastAsia="宋体" w:cs="宋体"/>
          <w:kern w:val="0"/>
          <w:sz w:val="24"/>
        </w:rPr>
        <w:t>满足委员的咨询需求</w:t>
      </w:r>
      <w:r>
        <w:rPr>
          <w:rFonts w:hint="eastAsia" w:ascii="Times New Roman" w:hAnsi="Times New Roman" w:eastAsia="宋体" w:cs="宋体"/>
          <w:kern w:val="0"/>
          <w:sz w:val="24"/>
          <w:lang w:eastAsia="zh-CN"/>
        </w:rPr>
        <w:t>。</w:t>
      </w:r>
    </w:p>
    <w:p w14:paraId="12CBE049">
      <w:pPr>
        <w:pStyle w:val="6"/>
        <w:numPr>
          <w:ilvl w:val="4"/>
          <w:numId w:val="0"/>
        </w:numPr>
        <w:bidi w:val="0"/>
        <w:ind w:leftChars="0"/>
        <w:rPr>
          <w:lang w:val="en-US" w:eastAsia="zh-CN"/>
        </w:rPr>
      </w:pPr>
      <w:bookmarkStart w:id="106" w:name="_Toc19174"/>
      <w:bookmarkStart w:id="107" w:name="_Toc161418617"/>
      <w:bookmarkStart w:id="108" w:name="_Toc30151"/>
      <w:bookmarkStart w:id="109" w:name="_Toc16089"/>
      <w:bookmarkStart w:id="110" w:name="_Toc22221"/>
      <w:r>
        <w:rPr>
          <w:rFonts w:hint="eastAsia" w:ascii="黑体" w:hAnsi="黑体" w:eastAsia="黑体" w:cstheme="minorBidi"/>
          <w:kern w:val="2"/>
          <w:sz w:val="28"/>
          <w:szCs w:val="24"/>
          <w:lang w:val="en-US" w:eastAsia="zh-CN" w:bidi="ar-SA"/>
        </w:rPr>
        <w:t>4.2.2</w:t>
      </w:r>
      <w:r>
        <w:rPr>
          <w:rFonts w:hint="eastAsia"/>
          <w:lang w:val="en-US" w:eastAsia="zh-CN"/>
        </w:rPr>
        <w:t>履职在线</w:t>
      </w:r>
      <w:bookmarkEnd w:id="106"/>
      <w:bookmarkEnd w:id="107"/>
      <w:bookmarkEnd w:id="108"/>
      <w:bookmarkEnd w:id="109"/>
    </w:p>
    <w:p w14:paraId="28DF0111">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面向政协组织和政协委员，即时汇集、直观感知、集中展示委员综合履职的各方面多角度。运用数字化技术跨层级、跨系统、跨业务的特点，打通委员履职数据壁垒，及时有效准确地将委员“线上</w:t>
      </w:r>
      <w:r>
        <w:rPr>
          <w:rFonts w:ascii="Times New Roman" w:hAnsi="Times New Roman" w:eastAsia="宋体" w:cs="宋体"/>
          <w:kern w:val="0"/>
          <w:sz w:val="24"/>
          <w:szCs w:val="22"/>
        </w:rPr>
        <w:t>+线下”“直播+互动”“场内+场外”的履职数据资源全量归集，</w:t>
      </w:r>
      <w:r>
        <w:rPr>
          <w:rFonts w:hint="eastAsia" w:ascii="Times New Roman" w:hAnsi="Times New Roman" w:eastAsia="宋体" w:cs="宋体"/>
          <w:kern w:val="0"/>
          <w:sz w:val="24"/>
          <w:szCs w:val="22"/>
        </w:rPr>
        <w:t>提升委员履职平台集成化、便捷化、移动化、智能化水平。</w:t>
      </w:r>
    </w:p>
    <w:p w14:paraId="130127C6">
      <w:pPr>
        <w:widowControl/>
        <w:adjustRightInd w:val="0"/>
        <w:spacing w:line="360" w:lineRule="auto"/>
        <w:ind w:firstLine="468" w:firstLineChars="0"/>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综合集成现有服务委员履职的各方式载体，包括我的履职、我的通知、我的履职统计、履职活动信息、个人信息等应用场景，实现委员履职“一键直达”。 履职平台</w:t>
      </w:r>
      <w:r>
        <w:rPr>
          <w:rFonts w:ascii="Times New Roman" w:hAnsi="Times New Roman" w:eastAsia="宋体" w:cs="宋体"/>
          <w:kern w:val="0"/>
          <w:sz w:val="24"/>
          <w:szCs w:val="22"/>
        </w:rPr>
        <w:t>PC</w:t>
      </w:r>
      <w:r>
        <w:rPr>
          <w:rFonts w:hint="eastAsia" w:ascii="Times New Roman" w:hAnsi="Times New Roman" w:eastAsia="宋体" w:cs="宋体"/>
          <w:kern w:val="0"/>
          <w:sz w:val="24"/>
          <w:szCs w:val="22"/>
        </w:rPr>
        <w:t>端实现委员信息审核、履职管理、履职反馈审核、综合分析、履职基础配置管理、业务数据接入功能。委员移动端实现查看和维护委员个人信息、履职考核、个人通知、待办履职、政协近期履职、政协活动签到、履职统计、履职入口、履职画像、履职线索功能；移动管理端实现活动管理、会议管理、签到二维码、履职反馈、委员信息审核、履职排名、履职统计、基本概况和委员特长信息。</w:t>
      </w:r>
    </w:p>
    <w:p w14:paraId="1E6E04F3">
      <w:pPr>
        <w:bidi w:val="0"/>
        <w:rPr>
          <w:rFonts w:hint="eastAsia"/>
          <w:lang w:val="en-US" w:eastAsia="zh-CN"/>
        </w:rPr>
      </w:pPr>
      <w:r>
        <w:rPr>
          <w:rFonts w:hint="eastAsia" w:ascii="宋体" w:hAnsi="宋体" w:eastAsia="宋体" w:cstheme="minorBidi"/>
          <w:b/>
          <w:kern w:val="2"/>
          <w:sz w:val="24"/>
          <w:szCs w:val="24"/>
          <w:lang w:val="en-US" w:eastAsia="zh-CN" w:bidi="ar-SA"/>
        </w:rPr>
        <w:t>4.2.2.1</w:t>
      </w:r>
      <w:r>
        <w:rPr>
          <w:rFonts w:hint="eastAsia"/>
          <w:lang w:val="en-US" w:eastAsia="zh-CN"/>
        </w:rPr>
        <w:t>履职在线PC端功能</w:t>
      </w:r>
    </w:p>
    <w:p w14:paraId="6FA8CEF4">
      <w:pPr>
        <w:bidi w:val="0"/>
        <w:rPr>
          <w:kern w:val="0"/>
        </w:rPr>
      </w:pPr>
      <w:r>
        <w:rPr>
          <w:rFonts w:hint="eastAsia" w:ascii="宋体" w:hAnsi="宋体" w:eastAsia="宋体" w:cs="宋体"/>
          <w:kern w:val="0"/>
          <w:sz w:val="24"/>
          <w:szCs w:val="24"/>
          <w:lang w:val="en-US" w:eastAsia="zh-CN" w:bidi="ar-SA"/>
        </w:rPr>
        <w:t>4.2.2.1.1</w:t>
      </w:r>
      <w:r>
        <w:rPr>
          <w:rFonts w:hint="eastAsia"/>
          <w:kern w:val="0"/>
        </w:rPr>
        <w:t>我的履职</w:t>
      </w:r>
    </w:p>
    <w:p w14:paraId="6F103D7C">
      <w:pPr>
        <w:widowControl/>
        <w:spacing w:line="360" w:lineRule="auto"/>
        <w:ind w:firstLine="496" w:firstLineChars="200"/>
        <w:rPr>
          <w:rFonts w:ascii="Times New Roman" w:hAnsi="Times New Roman" w:eastAsia="宋体" w:cs="宋体"/>
          <w:kern w:val="0"/>
          <w:sz w:val="24"/>
          <w:szCs w:val="22"/>
        </w:rPr>
      </w:pPr>
      <w:r>
        <w:rPr>
          <w:rFonts w:hint="eastAsia" w:ascii="Times New Roman" w:hAnsi="Times New Roman" w:eastAsia="宋体" w:cs="宋体"/>
          <w:kern w:val="0"/>
          <w:sz w:val="24"/>
          <w:szCs w:val="22"/>
        </w:rPr>
        <w:t>面向委员用户，PC端支持修改个人信息、查看履职统计、履职考核信息，4.我的履职统计</w:t>
      </w:r>
      <w:r>
        <w:rPr>
          <w:rFonts w:hint="eastAsia" w:ascii="Times New Roman" w:hAnsi="Times New Roman" w:eastAsia="宋体" w:cs="宋体"/>
          <w:kern w:val="0"/>
          <w:sz w:val="24"/>
          <w:szCs w:val="22"/>
          <w:lang w:eastAsia="zh-CN"/>
        </w:rPr>
        <w:t>、</w:t>
      </w:r>
      <w:r>
        <w:rPr>
          <w:rFonts w:hint="eastAsia" w:ascii="Times New Roman" w:hAnsi="Times New Roman" w:eastAsia="宋体" w:cs="宋体"/>
          <w:kern w:val="0"/>
          <w:sz w:val="24"/>
          <w:szCs w:val="22"/>
        </w:rPr>
        <w:t>我的待办履职、政协近期履职</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履职档案</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履职画像</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履职足迹等</w:t>
      </w:r>
      <w:r>
        <w:rPr>
          <w:rFonts w:ascii="Times New Roman" w:hAnsi="Times New Roman" w:eastAsia="宋体" w:cs="宋体"/>
          <w:kern w:val="0"/>
          <w:sz w:val="24"/>
          <w:szCs w:val="22"/>
        </w:rPr>
        <w:t>。</w:t>
      </w:r>
    </w:p>
    <w:p w14:paraId="2FD89A54">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br w:type="page"/>
      </w:r>
    </w:p>
    <w:p w14:paraId="280A54CA">
      <w:pPr>
        <w:bidi w:val="0"/>
        <w:rPr>
          <w:kern w:val="0"/>
        </w:rPr>
      </w:pPr>
      <w:r>
        <w:rPr>
          <w:rFonts w:hint="eastAsia" w:ascii="宋体" w:hAnsi="宋体" w:eastAsia="宋体" w:cs="宋体"/>
          <w:kern w:val="0"/>
          <w:sz w:val="24"/>
          <w:szCs w:val="24"/>
          <w:lang w:val="en-US" w:eastAsia="zh-CN" w:bidi="ar-SA"/>
        </w:rPr>
        <w:t>4.2.2.1.2</w:t>
      </w:r>
      <w:r>
        <w:rPr>
          <w:rFonts w:hint="eastAsia"/>
          <w:kern w:val="0"/>
        </w:rPr>
        <w:t>履职管理</w:t>
      </w:r>
    </w:p>
    <w:p w14:paraId="7E3CA1A2">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CN"/>
        </w:rPr>
      </w:pPr>
      <w:r>
        <w:rPr>
          <w:rFonts w:hint="eastAsia" w:ascii="Times New Roman" w:hAnsi="Times New Roman" w:eastAsia="宋体" w:cs="宋体"/>
          <w:kern w:val="0"/>
          <w:sz w:val="24"/>
        </w:rPr>
        <w:t>按本政协单位不同的履职类型进行管理</w:t>
      </w:r>
      <w:r>
        <w:rPr>
          <w:rFonts w:ascii="Times New Roman" w:hAnsi="Times New Roman" w:eastAsia="宋体" w:cs="宋体"/>
          <w:kern w:val="0"/>
          <w:sz w:val="24"/>
        </w:rPr>
        <w:t>，</w:t>
      </w:r>
      <w:r>
        <w:rPr>
          <w:rFonts w:hint="eastAsia" w:ascii="Times New Roman" w:hAnsi="Times New Roman" w:eastAsia="宋体" w:cs="宋体"/>
          <w:kern w:val="0"/>
          <w:sz w:val="24"/>
        </w:rPr>
        <w:t>包括但不仅限于</w:t>
      </w:r>
      <w:r>
        <w:rPr>
          <w:rFonts w:hint="eastAsia" w:ascii="Times New Roman" w:hAnsi="Times New Roman" w:eastAsia="宋体" w:cs="宋体"/>
          <w:kern w:val="0"/>
          <w:sz w:val="24"/>
          <w:szCs w:val="22"/>
          <w:lang w:eastAsia="zh-Hans"/>
        </w:rPr>
        <w:t>创建履职活动</w:t>
      </w:r>
      <w:r>
        <w:rPr>
          <w:rFonts w:hint="eastAsia" w:ascii="Times New Roman" w:hAnsi="Times New Roman" w:eastAsia="宋体" w:cs="宋体"/>
          <w:kern w:val="0"/>
          <w:sz w:val="24"/>
          <w:szCs w:val="22"/>
          <w:lang w:eastAsia="zh-CN"/>
        </w:rPr>
        <w:t>、</w:t>
      </w:r>
      <w:r>
        <w:rPr>
          <w:rFonts w:hint="eastAsia" w:ascii="Times New Roman" w:hAnsi="Times New Roman" w:eastAsia="宋体" w:cs="宋体"/>
          <w:kern w:val="0"/>
          <w:sz w:val="24"/>
          <w:szCs w:val="22"/>
          <w:lang w:eastAsia="zh-Hans"/>
        </w:rPr>
        <w:t>履职活动签到</w:t>
      </w:r>
      <w:r>
        <w:rPr>
          <w:rFonts w:hint="eastAsia" w:ascii="Times New Roman" w:hAnsi="Times New Roman" w:eastAsia="宋体" w:cs="宋体"/>
          <w:kern w:val="0"/>
          <w:sz w:val="24"/>
          <w:szCs w:val="22"/>
          <w:lang w:eastAsia="zh-CN"/>
        </w:rPr>
        <w:t>、</w:t>
      </w:r>
      <w:r>
        <w:rPr>
          <w:rFonts w:hint="eastAsia" w:ascii="Times New Roman" w:hAnsi="Times New Roman" w:eastAsia="宋体" w:cs="宋体"/>
          <w:kern w:val="0"/>
          <w:sz w:val="24"/>
          <w:szCs w:val="22"/>
          <w:lang w:eastAsia="zh-Hans"/>
        </w:rPr>
        <w:t>履职活动管理</w:t>
      </w:r>
      <w:r>
        <w:rPr>
          <w:rFonts w:hint="eastAsia" w:ascii="Times New Roman" w:hAnsi="Times New Roman" w:eastAsia="宋体" w:cs="宋体"/>
          <w:kern w:val="0"/>
          <w:sz w:val="24"/>
          <w:szCs w:val="22"/>
          <w:lang w:eastAsia="zh-CN"/>
        </w:rPr>
        <w:t>、</w:t>
      </w:r>
      <w:r>
        <w:rPr>
          <w:rFonts w:hint="eastAsia" w:ascii="Times New Roman" w:hAnsi="Times New Roman" w:eastAsia="宋体" w:cs="宋体"/>
          <w:kern w:val="0"/>
          <w:sz w:val="24"/>
          <w:szCs w:val="22"/>
          <w:lang w:eastAsia="zh-Hans"/>
        </w:rPr>
        <w:t>履职审核</w:t>
      </w:r>
      <w:r>
        <w:rPr>
          <w:rFonts w:hint="eastAsia" w:ascii="Times New Roman" w:hAnsi="Times New Roman" w:eastAsia="宋体" w:cs="宋体"/>
          <w:kern w:val="0"/>
          <w:sz w:val="24"/>
          <w:szCs w:val="22"/>
          <w:lang w:eastAsia="zh-CN"/>
        </w:rPr>
        <w:t>、</w:t>
      </w:r>
      <w:r>
        <w:rPr>
          <w:rFonts w:hint="eastAsia" w:ascii="Times New Roman" w:hAnsi="Times New Roman" w:eastAsia="宋体" w:cs="宋体"/>
          <w:kern w:val="0"/>
          <w:sz w:val="24"/>
          <w:szCs w:val="22"/>
          <w:lang w:eastAsia="zh-Hans"/>
        </w:rPr>
        <w:t>履职内容补录</w:t>
      </w:r>
      <w:r>
        <w:rPr>
          <w:rFonts w:hint="eastAsia" w:ascii="Times New Roman" w:hAnsi="Times New Roman" w:eastAsia="宋体" w:cs="宋体"/>
          <w:kern w:val="0"/>
          <w:sz w:val="24"/>
          <w:szCs w:val="22"/>
          <w:lang w:eastAsia="zh-CN"/>
        </w:rPr>
        <w:t>、</w:t>
      </w:r>
      <w:r>
        <w:rPr>
          <w:rFonts w:hint="eastAsia" w:ascii="Times New Roman" w:hAnsi="Times New Roman" w:eastAsia="宋体" w:cs="宋体"/>
          <w:kern w:val="0"/>
          <w:sz w:val="24"/>
          <w:szCs w:val="22"/>
          <w:lang w:eastAsia="zh-Hans"/>
        </w:rPr>
        <w:t>履职反馈审核</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szCs w:val="22"/>
          <w:lang w:eastAsia="zh-Hans"/>
        </w:rPr>
        <w:t>委员信息审核</w:t>
      </w:r>
      <w:r>
        <w:rPr>
          <w:rFonts w:hint="eastAsia" w:ascii="Times New Roman" w:hAnsi="Times New Roman" w:eastAsia="宋体" w:cs="宋体"/>
          <w:kern w:val="0"/>
          <w:sz w:val="24"/>
          <w:szCs w:val="22"/>
          <w:lang w:eastAsia="zh-CN"/>
        </w:rPr>
        <w:t>。</w:t>
      </w:r>
    </w:p>
    <w:p w14:paraId="1C12B7E0">
      <w:pPr>
        <w:bidi w:val="0"/>
        <w:rPr>
          <w:rFonts w:hint="eastAsia"/>
          <w:kern w:val="0"/>
        </w:rPr>
      </w:pPr>
      <w:r>
        <w:rPr>
          <w:rFonts w:hint="eastAsia" w:ascii="宋体" w:hAnsi="宋体" w:eastAsia="宋体" w:cs="宋体"/>
          <w:kern w:val="0"/>
          <w:sz w:val="24"/>
          <w:szCs w:val="24"/>
          <w:lang w:val="en-US" w:eastAsia="zh-CN" w:bidi="ar-SA"/>
        </w:rPr>
        <w:t>4.2.2.1.3</w:t>
      </w:r>
      <w:r>
        <w:rPr>
          <w:rFonts w:hint="eastAsia"/>
          <w:kern w:val="0"/>
        </w:rPr>
        <w:t>综合分析</w:t>
      </w:r>
    </w:p>
    <w:p w14:paraId="62C98E2D">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宋体"/>
          <w:kern w:val="0"/>
          <w:sz w:val="24"/>
          <w:lang w:val="en-US" w:eastAsia="zh-CN"/>
        </w:rPr>
      </w:pPr>
      <w:r>
        <w:rPr>
          <w:rFonts w:hint="eastAsia" w:ascii="Times New Roman" w:hAnsi="Times New Roman" w:eastAsia="宋体" w:cs="宋体"/>
          <w:kern w:val="0"/>
          <w:sz w:val="24"/>
          <w:lang w:eastAsia="zh-Hans"/>
        </w:rPr>
        <w:t>管理员可根据姓名、届次、履职类型等可筛选各个履职类型或各党派、各专委会、各界别里的委员履职情况，主要包括履职类型的次数统计、各履职内容的参与情况、履职总分数、个人排名结果、界别排名情况等内容。</w:t>
      </w:r>
      <w:r>
        <w:rPr>
          <w:rFonts w:hint="eastAsia" w:ascii="Times New Roman" w:hAnsi="Times New Roman" w:eastAsia="宋体" w:cs="宋体"/>
          <w:kern w:val="0"/>
          <w:sz w:val="24"/>
          <w:lang w:val="en-US" w:eastAsia="zh-CN"/>
        </w:rPr>
        <w:t>主要包含履职综合查询、履职考核结果、履职统计、全文检索功能</w:t>
      </w:r>
    </w:p>
    <w:p w14:paraId="6FB36795">
      <w:pPr>
        <w:bidi w:val="0"/>
        <w:rPr>
          <w:rFonts w:hint="eastAsia"/>
          <w:kern w:val="0"/>
        </w:rPr>
      </w:pPr>
      <w:r>
        <w:rPr>
          <w:rFonts w:hint="eastAsia" w:ascii="宋体" w:hAnsi="宋体" w:eastAsia="宋体" w:cs="宋体"/>
          <w:kern w:val="0"/>
          <w:sz w:val="24"/>
          <w:szCs w:val="24"/>
          <w:lang w:val="en-US" w:eastAsia="zh-CN" w:bidi="ar-SA"/>
        </w:rPr>
        <w:t>4.2.2.1.4</w:t>
      </w:r>
      <w:r>
        <w:rPr>
          <w:rFonts w:hint="eastAsia"/>
          <w:kern w:val="0"/>
        </w:rPr>
        <w:t>配置管理</w:t>
      </w:r>
    </w:p>
    <w:p w14:paraId="4CC89C28">
      <w:pPr>
        <w:widowControl/>
        <w:spacing w:line="360" w:lineRule="auto"/>
        <w:ind w:firstLine="570" w:firstLineChars="230"/>
        <w:rPr>
          <w:rFonts w:hint="default" w:ascii="Times New Roman" w:hAnsi="Times New Roman" w:eastAsia="宋体" w:cs="宋体"/>
          <w:kern w:val="0"/>
          <w:sz w:val="24"/>
          <w:lang w:val="en-US" w:eastAsia="zh-CN"/>
        </w:rPr>
      </w:pPr>
      <w:r>
        <w:rPr>
          <w:rFonts w:hint="eastAsia" w:ascii="Times New Roman" w:hAnsi="Times New Roman" w:eastAsia="宋体" w:cs="宋体"/>
          <w:kern w:val="0"/>
          <w:sz w:val="24"/>
          <w:lang w:eastAsia="zh-Hans"/>
        </w:rPr>
        <w:t>为履职在线的基础配置服务</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通过对履职类型</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考核</w:t>
      </w:r>
      <w:r>
        <w:rPr>
          <w:rFonts w:hint="eastAsia" w:ascii="Times New Roman" w:hAnsi="Times New Roman" w:eastAsia="宋体" w:cs="宋体"/>
          <w:kern w:val="0"/>
          <w:sz w:val="24"/>
          <w:lang w:val="en-US" w:eastAsia="zh-CN"/>
        </w:rPr>
        <w:t>模板</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积分规则等初始化信息进行配置</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从而满足本政协不同的考核需求</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val="en-US" w:eastAsia="zh-CN"/>
        </w:rPr>
        <w:t>主要包含履职配置、考核配置等内容。</w:t>
      </w:r>
    </w:p>
    <w:p w14:paraId="3E842264">
      <w:pPr>
        <w:bidi w:val="0"/>
        <w:rPr>
          <w:lang w:val="en-US" w:eastAsia="zh-CN"/>
        </w:rPr>
      </w:pPr>
      <w:r>
        <w:rPr>
          <w:rFonts w:hint="eastAsia" w:ascii="宋体" w:hAnsi="宋体" w:eastAsia="宋体" w:cstheme="minorBidi"/>
          <w:b/>
          <w:kern w:val="2"/>
          <w:sz w:val="24"/>
          <w:szCs w:val="24"/>
          <w:lang w:val="en-US" w:eastAsia="zh-CN" w:bidi="ar-SA"/>
        </w:rPr>
        <w:t>4.2.2.2</w:t>
      </w:r>
      <w:r>
        <w:rPr>
          <w:rFonts w:hint="eastAsia"/>
          <w:lang w:val="en-US" w:eastAsia="zh-CN"/>
        </w:rPr>
        <w:t>履职在线委员移动端功能</w:t>
      </w:r>
    </w:p>
    <w:p w14:paraId="1F186816">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履职在线移动端面向委员以及管理员，设计委员移动端和移动管理端，分别提供委员个人的履职信息管理以及</w:t>
      </w:r>
      <w:r>
        <w:rPr>
          <w:rFonts w:hint="eastAsia" w:ascii="Times New Roman" w:hAnsi="Times New Roman" w:eastAsia="宋体" w:cs="Times New Roman"/>
          <w:kern w:val="0"/>
          <w:sz w:val="24"/>
          <w:lang w:eastAsia="zh-Hans"/>
        </w:rPr>
        <w:t>为政协机关工作人员、管理员提供活动管理的功能。</w:t>
      </w:r>
    </w:p>
    <w:p w14:paraId="5A8D9B62">
      <w:pPr>
        <w:bidi w:val="0"/>
        <w:rPr>
          <w:rFonts w:hint="eastAsia"/>
          <w:kern w:val="0"/>
        </w:rPr>
      </w:pPr>
      <w:r>
        <w:rPr>
          <w:rFonts w:hint="eastAsia" w:ascii="宋体" w:hAnsi="宋体" w:eastAsia="宋体" w:cs="宋体"/>
          <w:kern w:val="0"/>
          <w:sz w:val="24"/>
          <w:szCs w:val="24"/>
          <w:lang w:val="en-US" w:eastAsia="zh-CN" w:bidi="ar-SA"/>
        </w:rPr>
        <w:t>4.2.2.2.1</w:t>
      </w:r>
      <w:r>
        <w:rPr>
          <w:rFonts w:hint="eastAsia"/>
          <w:kern w:val="0"/>
        </w:rPr>
        <w:t>查看和维护委员个人信息</w:t>
      </w:r>
    </w:p>
    <w:p w14:paraId="052F2129">
      <w:pPr>
        <w:keepNext w:val="0"/>
        <w:keepLines w:val="0"/>
        <w:pageBreakBefore w:val="0"/>
        <w:widowControl/>
        <w:numPr>
          <w:ilvl w:val="0"/>
          <w:numId w:val="1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个人信息</w:t>
      </w:r>
    </w:p>
    <w:p w14:paraId="78222CAE">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可查看当前用户的个人信息、政协信息。个人信息包括头像，名字、性别、职务、单位电话、兴趣爱好、信函寄达地址、单位地址和家庭地址等。修改后需等待管理人员审核通过后方可生效。</w:t>
      </w:r>
    </w:p>
    <w:p w14:paraId="0E74D1B2">
      <w:pPr>
        <w:keepNext w:val="0"/>
        <w:keepLines w:val="0"/>
        <w:pageBreakBefore w:val="0"/>
        <w:widowControl/>
        <w:numPr>
          <w:ilvl w:val="0"/>
          <w:numId w:val="1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个人标签</w:t>
      </w:r>
    </w:p>
    <w:p w14:paraId="0A94CB8B">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委员可结合自身专业特长、兴趣爱好等选择标签，便于委员画像。标签支持修改删除。</w:t>
      </w:r>
    </w:p>
    <w:p w14:paraId="0512B288">
      <w:pPr>
        <w:keepNext w:val="0"/>
        <w:keepLines w:val="0"/>
        <w:pageBreakBefore w:val="0"/>
        <w:widowControl/>
        <w:numPr>
          <w:ilvl w:val="0"/>
          <w:numId w:val="1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委员码</w:t>
      </w:r>
    </w:p>
    <w:p w14:paraId="5C8EAD19">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可查看当前用户的委员码，委员码支持相关活动的签到，其他人扫码后可查看委员的个人名片。</w:t>
      </w:r>
    </w:p>
    <w:p w14:paraId="141C9CBA">
      <w:pPr>
        <w:bidi w:val="0"/>
        <w:rPr>
          <w:rFonts w:hint="eastAsia"/>
          <w:kern w:val="0"/>
        </w:rPr>
      </w:pPr>
      <w:r>
        <w:rPr>
          <w:rFonts w:hint="eastAsia" w:ascii="宋体" w:hAnsi="宋体" w:eastAsia="宋体" w:cs="宋体"/>
          <w:kern w:val="0"/>
          <w:sz w:val="24"/>
          <w:szCs w:val="24"/>
          <w:lang w:val="en-US" w:eastAsia="zh-CN" w:bidi="ar-SA"/>
        </w:rPr>
        <w:t>4.2.2.2.2</w:t>
      </w:r>
      <w:r>
        <w:rPr>
          <w:rFonts w:hint="eastAsia"/>
          <w:kern w:val="0"/>
        </w:rPr>
        <w:t>履职考核</w:t>
      </w:r>
    </w:p>
    <w:p w14:paraId="050A1D2C">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提供履职积分、履职排名的查看，可反馈履职情况。</w:t>
      </w:r>
    </w:p>
    <w:p w14:paraId="18FF4652">
      <w:pPr>
        <w:keepNext w:val="0"/>
        <w:keepLines w:val="0"/>
        <w:pageBreakBefore w:val="0"/>
        <w:widowControl/>
        <w:numPr>
          <w:ilvl w:val="0"/>
          <w:numId w:val="1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履职积分</w:t>
      </w:r>
    </w:p>
    <w:p w14:paraId="50DF5934">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首页可查看本年的履职总分以及履职积分的详情。</w:t>
      </w:r>
    </w:p>
    <w:p w14:paraId="7920FB0C">
      <w:pPr>
        <w:keepNext w:val="0"/>
        <w:keepLines w:val="0"/>
        <w:pageBreakBefore w:val="0"/>
        <w:widowControl/>
        <w:numPr>
          <w:ilvl w:val="0"/>
          <w:numId w:val="1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履职情况反馈</w:t>
      </w:r>
    </w:p>
    <w:p w14:paraId="6AC830C2">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履职积分正确可反馈确认无误；当发现履职得分详情有错误情况时，可通过履职情况反馈功能，提出自己的反馈意见，包括履职名称、时间、地点等，提出后需等待管理人员调整才会更新。</w:t>
      </w:r>
    </w:p>
    <w:p w14:paraId="2DB859C4">
      <w:pPr>
        <w:keepNext w:val="0"/>
        <w:keepLines w:val="0"/>
        <w:pageBreakBefore w:val="0"/>
        <w:widowControl/>
        <w:numPr>
          <w:ilvl w:val="0"/>
          <w:numId w:val="1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履职排名</w:t>
      </w:r>
    </w:p>
    <w:p w14:paraId="6BB6141A">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可查看本年履职排名，也可查看本政协单位内的个人排名、界别排名。</w:t>
      </w:r>
    </w:p>
    <w:p w14:paraId="718DA39C">
      <w:pPr>
        <w:bidi w:val="0"/>
        <w:rPr>
          <w:rFonts w:hint="eastAsia"/>
          <w:kern w:val="0"/>
        </w:rPr>
      </w:pPr>
      <w:r>
        <w:rPr>
          <w:rFonts w:hint="eastAsia" w:ascii="宋体" w:hAnsi="宋体" w:eastAsia="宋体" w:cs="宋体"/>
          <w:kern w:val="0"/>
          <w:sz w:val="24"/>
          <w:szCs w:val="24"/>
          <w:lang w:val="en-US" w:eastAsia="zh-CN" w:bidi="ar-SA"/>
        </w:rPr>
        <w:t>4.2.2.2.3</w:t>
      </w:r>
      <w:r>
        <w:rPr>
          <w:rFonts w:hint="eastAsia"/>
          <w:kern w:val="0"/>
        </w:rPr>
        <w:t>个人通知</w:t>
      </w:r>
    </w:p>
    <w:p w14:paraId="15351EE0">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可查看业务系统所有与当前用户相关的通知、公开的消息列表。通知内容包括通知公告、文件通知、会议活动Ding消息等，可显示未读通知数量。</w:t>
      </w:r>
    </w:p>
    <w:p w14:paraId="149DF548">
      <w:pPr>
        <w:bidi w:val="0"/>
        <w:rPr>
          <w:rFonts w:hint="eastAsia"/>
          <w:kern w:val="0"/>
        </w:rPr>
      </w:pPr>
      <w:r>
        <w:rPr>
          <w:rFonts w:hint="eastAsia" w:ascii="宋体" w:hAnsi="宋体" w:eastAsia="宋体" w:cs="宋体"/>
          <w:kern w:val="0"/>
          <w:sz w:val="24"/>
          <w:szCs w:val="24"/>
          <w:lang w:val="en-US" w:eastAsia="zh-CN" w:bidi="ar-SA"/>
        </w:rPr>
        <w:t>4.2.2.2.4</w:t>
      </w:r>
      <w:r>
        <w:rPr>
          <w:rFonts w:hint="eastAsia"/>
          <w:kern w:val="0"/>
        </w:rPr>
        <w:t>我的待办履职</w:t>
      </w:r>
    </w:p>
    <w:p w14:paraId="1A1D3C6D">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可查看当前用户所有待办的履职，便于委员及时了解掌握下阶段</w:t>
      </w:r>
      <w:r>
        <w:rPr>
          <w:rFonts w:hint="eastAsia" w:ascii="Times New Roman" w:hAnsi="Times New Roman" w:eastAsia="宋体" w:cs="宋体"/>
          <w:kern w:val="0"/>
          <w:sz w:val="24"/>
          <w:lang w:val="en-US" w:eastAsia="zh-CN"/>
        </w:rPr>
        <w:t>必须</w:t>
      </w:r>
      <w:r>
        <w:rPr>
          <w:rFonts w:hint="eastAsia" w:ascii="Times New Roman" w:hAnsi="Times New Roman" w:eastAsia="宋体" w:cs="宋体"/>
          <w:kern w:val="0"/>
          <w:sz w:val="24"/>
          <w:lang w:eastAsia="zh-Hans"/>
        </w:rPr>
        <w:t>参加的会议、活动信息。可通过当前待办履职列表直接进入履职详情参与履职。比如待参加的会议活动，可直接进行签到操作。</w:t>
      </w:r>
    </w:p>
    <w:p w14:paraId="3D2D4E7B">
      <w:pPr>
        <w:bidi w:val="0"/>
        <w:rPr>
          <w:rFonts w:hint="eastAsia"/>
          <w:kern w:val="0"/>
        </w:rPr>
      </w:pPr>
      <w:r>
        <w:rPr>
          <w:rFonts w:hint="eastAsia" w:ascii="宋体" w:hAnsi="宋体" w:eastAsia="宋体" w:cs="宋体"/>
          <w:kern w:val="0"/>
          <w:sz w:val="24"/>
          <w:szCs w:val="24"/>
          <w:lang w:val="en-US" w:eastAsia="zh-CN" w:bidi="ar-SA"/>
        </w:rPr>
        <w:t>4.2.2.2.5</w:t>
      </w:r>
      <w:r>
        <w:rPr>
          <w:rFonts w:hint="eastAsia"/>
          <w:kern w:val="0"/>
        </w:rPr>
        <w:t>政协近期履职</w:t>
      </w:r>
    </w:p>
    <w:p w14:paraId="03EC7D40">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可查看当前用户未被邀请但可参与的履职活动，包括协商在线、履职会议等活动，可以进行报名参与活动。</w:t>
      </w:r>
    </w:p>
    <w:p w14:paraId="6586951D">
      <w:pP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br w:type="page"/>
      </w:r>
    </w:p>
    <w:p w14:paraId="19B2C410">
      <w:pPr>
        <w:bidi w:val="0"/>
        <w:rPr>
          <w:rFonts w:hint="eastAsia"/>
          <w:kern w:val="0"/>
        </w:rPr>
      </w:pPr>
      <w:r>
        <w:rPr>
          <w:rFonts w:hint="eastAsia" w:ascii="宋体" w:hAnsi="宋体" w:eastAsia="宋体" w:cs="宋体"/>
          <w:kern w:val="0"/>
          <w:sz w:val="24"/>
          <w:szCs w:val="24"/>
          <w:lang w:val="en-US" w:eastAsia="zh-CN" w:bidi="ar-SA"/>
        </w:rPr>
        <w:t>4.2.2.2.6</w:t>
      </w:r>
      <w:r>
        <w:rPr>
          <w:rFonts w:hint="eastAsia"/>
          <w:kern w:val="0"/>
        </w:rPr>
        <w:t>我的履职统计</w:t>
      </w:r>
    </w:p>
    <w:p w14:paraId="164909C0">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可查看委员当年度总体的履职概况及履职详情。包括参加会议次数、参加活动次数、提案数量、社情民意信息数量、参加主题议政数量、参加网上学习数量等。可查看参加的时间，统计发言次数，查看发言内容。</w:t>
      </w:r>
    </w:p>
    <w:p w14:paraId="7C888414">
      <w:pPr>
        <w:bidi w:val="0"/>
        <w:rPr>
          <w:rFonts w:ascii="Times New Roman" w:hAnsi="Times New Roman"/>
          <w:kern w:val="0"/>
          <w:sz w:val="24"/>
        </w:rPr>
      </w:pPr>
      <w:r>
        <w:rPr>
          <w:rFonts w:hint="eastAsia" w:ascii="宋体" w:hAnsi="宋体" w:eastAsia="宋体" w:cs="宋体"/>
          <w:kern w:val="0"/>
          <w:sz w:val="24"/>
          <w:szCs w:val="24"/>
          <w:lang w:val="en-US" w:eastAsia="zh-CN" w:bidi="ar-SA"/>
        </w:rPr>
        <w:t>4.2.2.2.7</w:t>
      </w:r>
      <w:r>
        <w:rPr>
          <w:rFonts w:hint="eastAsia" w:ascii="Times New Roman" w:hAnsi="Times New Roman"/>
          <w:kern w:val="0"/>
          <w:sz w:val="24"/>
        </w:rPr>
        <w:t>履职快捷入口</w:t>
      </w:r>
    </w:p>
    <w:p w14:paraId="38F3A7B7">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汇总各业务系统的履职应用入口，可直接进入相关应用。如我的文件、我要主题议政、我要提案</w:t>
      </w:r>
      <w:r>
        <w:rPr>
          <w:rFonts w:hint="eastAsia" w:ascii="Times New Roman" w:hAnsi="Times New Roman" w:eastAsia="宋体" w:cs="宋体"/>
          <w:kern w:val="0"/>
          <w:sz w:val="24"/>
        </w:rPr>
        <w:t>、</w:t>
      </w:r>
      <w:r>
        <w:rPr>
          <w:rFonts w:hint="eastAsia" w:ascii="Times New Roman" w:hAnsi="Times New Roman" w:eastAsia="宋体" w:cs="宋体"/>
          <w:kern w:val="0"/>
          <w:sz w:val="24"/>
          <w:lang w:eastAsia="zh-Hans"/>
        </w:rPr>
        <w:t>我的社情民意等。</w:t>
      </w:r>
    </w:p>
    <w:p w14:paraId="6CA27815">
      <w:pPr>
        <w:bidi w:val="0"/>
        <w:rPr>
          <w:rFonts w:ascii="Times New Roman" w:hAnsi="Times New Roman"/>
          <w:kern w:val="0"/>
          <w:sz w:val="24"/>
        </w:rPr>
      </w:pPr>
      <w:r>
        <w:rPr>
          <w:rFonts w:hint="eastAsia" w:ascii="宋体" w:hAnsi="宋体" w:eastAsia="宋体" w:cs="宋体"/>
          <w:kern w:val="0"/>
          <w:sz w:val="24"/>
          <w:szCs w:val="24"/>
          <w:lang w:val="en-US" w:eastAsia="zh-CN" w:bidi="ar-SA"/>
        </w:rPr>
        <w:t>4.2.2.2.8</w:t>
      </w:r>
      <w:r>
        <w:rPr>
          <w:rFonts w:hint="eastAsia" w:ascii="Times New Roman" w:hAnsi="Times New Roman"/>
          <w:kern w:val="0"/>
          <w:sz w:val="24"/>
        </w:rPr>
        <w:t>履职画像</w:t>
      </w:r>
    </w:p>
    <w:p w14:paraId="5644B4A4">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过履职大模型，及画像规则引擎生成委员个人履职画像；</w:t>
      </w:r>
      <w:r>
        <w:rPr>
          <w:rFonts w:hint="eastAsia" w:ascii="Times New Roman" w:hAnsi="Times New Roman" w:eastAsia="宋体" w:cs="宋体"/>
          <w:kern w:val="0"/>
          <w:sz w:val="24"/>
          <w:lang w:eastAsia="zh-Hans"/>
        </w:rPr>
        <w:t>展示当前用户各个</w:t>
      </w:r>
      <w:r>
        <w:rPr>
          <w:rFonts w:hint="eastAsia" w:ascii="Times New Roman" w:hAnsi="Times New Roman" w:eastAsia="宋体" w:cs="宋体"/>
          <w:kern w:val="0"/>
          <w:sz w:val="24"/>
        </w:rPr>
        <w:t>履职的</w:t>
      </w:r>
      <w:r>
        <w:rPr>
          <w:rFonts w:hint="eastAsia" w:ascii="Times New Roman" w:hAnsi="Times New Roman" w:eastAsia="宋体" w:cs="宋体"/>
          <w:kern w:val="0"/>
          <w:sz w:val="24"/>
          <w:lang w:eastAsia="zh-Hans"/>
        </w:rPr>
        <w:t>维度的得分</w:t>
      </w:r>
      <w:r>
        <w:rPr>
          <w:rFonts w:hint="eastAsia" w:ascii="Times New Roman" w:hAnsi="Times New Roman" w:eastAsia="宋体" w:cs="宋体"/>
          <w:kern w:val="0"/>
          <w:sz w:val="24"/>
        </w:rPr>
        <w:t>以及综合得分</w:t>
      </w:r>
      <w:r>
        <w:rPr>
          <w:rFonts w:hint="eastAsia" w:ascii="Times New Roman" w:hAnsi="Times New Roman" w:eastAsia="宋体" w:cs="宋体"/>
          <w:kern w:val="0"/>
          <w:sz w:val="24"/>
          <w:lang w:eastAsia="zh-Hans"/>
        </w:rPr>
        <w:t>情况</w:t>
      </w:r>
      <w:r>
        <w:rPr>
          <w:rFonts w:hint="eastAsia" w:ascii="Times New Roman" w:hAnsi="Times New Roman" w:eastAsia="宋体" w:cs="宋体"/>
          <w:kern w:val="0"/>
          <w:sz w:val="24"/>
        </w:rPr>
        <w:t>。</w:t>
      </w:r>
    </w:p>
    <w:p w14:paraId="02714F52">
      <w:pPr>
        <w:bidi w:val="0"/>
        <w:rPr>
          <w:kern w:val="0"/>
        </w:rPr>
      </w:pPr>
      <w:r>
        <w:rPr>
          <w:rFonts w:hint="eastAsia" w:ascii="宋体" w:hAnsi="宋体" w:eastAsia="宋体" w:cs="宋体"/>
          <w:kern w:val="0"/>
          <w:sz w:val="24"/>
          <w:szCs w:val="24"/>
          <w:lang w:val="en-US" w:eastAsia="zh-CN" w:bidi="ar-SA"/>
        </w:rPr>
        <w:t>4.2.2.2.9</w:t>
      </w:r>
      <w:r>
        <w:rPr>
          <w:rFonts w:hint="eastAsia"/>
          <w:kern w:val="0"/>
        </w:rPr>
        <w:t>履职档案</w:t>
      </w:r>
    </w:p>
    <w:p w14:paraId="03B10EB5">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可查看当前用户的年度履职档案，包括各个履职情况的统计，支持年度筛选，可长期保存。</w:t>
      </w:r>
    </w:p>
    <w:p w14:paraId="380DD7CB">
      <w:pPr>
        <w:bidi w:val="0"/>
        <w:rPr>
          <w:rFonts w:ascii="Times New Roman" w:hAnsi="Times New Roman"/>
          <w:kern w:val="0"/>
          <w:sz w:val="24"/>
        </w:rPr>
      </w:pPr>
      <w:r>
        <w:rPr>
          <w:rFonts w:hint="eastAsia" w:ascii="宋体" w:hAnsi="宋体" w:eastAsia="宋体" w:cs="宋体"/>
          <w:kern w:val="0"/>
          <w:sz w:val="24"/>
          <w:szCs w:val="24"/>
          <w:lang w:val="en-US" w:eastAsia="zh-CN" w:bidi="ar-SA"/>
        </w:rPr>
        <w:t>4.2.2.2.10</w:t>
      </w:r>
      <w:r>
        <w:rPr>
          <w:rFonts w:hint="eastAsia" w:ascii="Times New Roman" w:hAnsi="Times New Roman"/>
          <w:kern w:val="0"/>
          <w:sz w:val="24"/>
        </w:rPr>
        <w:t>履职足迹</w:t>
      </w:r>
    </w:p>
    <w:p w14:paraId="49638ED7">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可查看当前用户的履职足迹，按照时间先后顺序逐一记录该用户每一次履职。</w:t>
      </w:r>
    </w:p>
    <w:p w14:paraId="13A9DB9F">
      <w:pPr>
        <w:bidi w:val="0"/>
        <w:rPr>
          <w:rFonts w:ascii="Times New Roman" w:hAnsi="Times New Roman"/>
          <w:kern w:val="0"/>
          <w:sz w:val="24"/>
        </w:rPr>
      </w:pPr>
      <w:r>
        <w:rPr>
          <w:rFonts w:hint="eastAsia" w:ascii="宋体" w:hAnsi="宋体" w:eastAsia="宋体" w:cs="宋体"/>
          <w:kern w:val="0"/>
          <w:sz w:val="24"/>
          <w:szCs w:val="24"/>
          <w:lang w:val="en-US" w:eastAsia="zh-CN" w:bidi="ar-SA"/>
        </w:rPr>
        <w:t>4.2.2.2.11</w:t>
      </w:r>
      <w:r>
        <w:rPr>
          <w:rFonts w:hint="eastAsia" w:ascii="Times New Roman" w:hAnsi="Times New Roman"/>
          <w:kern w:val="0"/>
          <w:sz w:val="24"/>
        </w:rPr>
        <w:t>履职线索</w:t>
      </w:r>
    </w:p>
    <w:p w14:paraId="539FC4CF">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支持征集履职线索的上报、进入界别群组交流、年度计划的查看。</w:t>
      </w:r>
    </w:p>
    <w:p w14:paraId="24CA0C29">
      <w:pPr>
        <w:bidi w:val="0"/>
        <w:rPr>
          <w:rFonts w:hint="eastAsia"/>
          <w:lang w:val="en-US" w:eastAsia="zh-CN"/>
        </w:rPr>
      </w:pPr>
      <w:r>
        <w:rPr>
          <w:rFonts w:hint="eastAsia" w:ascii="宋体" w:hAnsi="宋体" w:eastAsia="宋体" w:cstheme="minorBidi"/>
          <w:b/>
          <w:kern w:val="2"/>
          <w:sz w:val="24"/>
          <w:szCs w:val="24"/>
          <w:lang w:val="en-US" w:eastAsia="zh-CN" w:bidi="ar-SA"/>
        </w:rPr>
        <w:t>4.2.2.3</w:t>
      </w:r>
      <w:r>
        <w:rPr>
          <w:rFonts w:hint="eastAsia"/>
          <w:lang w:val="en-US" w:eastAsia="zh-CN"/>
        </w:rPr>
        <w:t>履职在线移动管理端功能</w:t>
      </w:r>
    </w:p>
    <w:p w14:paraId="34879289">
      <w:pPr>
        <w:bidi w:val="0"/>
        <w:rPr>
          <w:kern w:val="0"/>
        </w:rPr>
      </w:pPr>
      <w:r>
        <w:rPr>
          <w:rFonts w:hint="eastAsia" w:ascii="宋体" w:hAnsi="宋体" w:eastAsia="宋体" w:cs="宋体"/>
          <w:kern w:val="0"/>
          <w:sz w:val="24"/>
          <w:szCs w:val="24"/>
          <w:lang w:val="en-US" w:eastAsia="zh-CN" w:bidi="ar-SA"/>
        </w:rPr>
        <w:t>4.2.2.3.1</w:t>
      </w:r>
      <w:r>
        <w:rPr>
          <w:rFonts w:hint="eastAsia"/>
          <w:kern w:val="0"/>
        </w:rPr>
        <w:t>活动管理</w:t>
      </w:r>
    </w:p>
    <w:p w14:paraId="0D62C34F">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履职形式包括，委员视察、专题调研、民主监督，界别组活动，委员培训、学习座谈等。各类履职根据自己特性配置及管理履职活动全过程信息。</w:t>
      </w:r>
    </w:p>
    <w:p w14:paraId="4EA47DDE">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履职活动管理包括活动新增/补录、人员管理、活动归档功能。</w:t>
      </w:r>
    </w:p>
    <w:p w14:paraId="5D36BFDB">
      <w:pPr>
        <w:keepNext w:val="0"/>
        <w:keepLines w:val="0"/>
        <w:pageBreakBefore w:val="0"/>
        <w:widowControl/>
        <w:numPr>
          <w:ilvl w:val="0"/>
          <w:numId w:val="1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履职活动新增/补录</w:t>
      </w:r>
    </w:p>
    <w:p w14:paraId="0DF13255">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可对履职活动进行新增或补录。通过输入履职类型、名称、活动开始时间、结束时间、活动地点、组织部门、联系人、联系电话、内容等信息新增活动。</w:t>
      </w:r>
    </w:p>
    <w:p w14:paraId="6F2400E3">
      <w:pPr>
        <w:keepNext w:val="0"/>
        <w:keepLines w:val="0"/>
        <w:pageBreakBefore w:val="0"/>
        <w:widowControl/>
        <w:numPr>
          <w:ilvl w:val="0"/>
          <w:numId w:val="1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人员管理</w:t>
      </w:r>
    </w:p>
    <w:p w14:paraId="285D73F4">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可对人员进行删除、批量签到、选择新增人员。</w:t>
      </w:r>
    </w:p>
    <w:p w14:paraId="24A4DBD3">
      <w:pPr>
        <w:keepNext w:val="0"/>
        <w:keepLines w:val="0"/>
        <w:pageBreakBefore w:val="0"/>
        <w:widowControl/>
        <w:numPr>
          <w:ilvl w:val="0"/>
          <w:numId w:val="1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活动归档</w:t>
      </w:r>
    </w:p>
    <w:p w14:paraId="1F192D5B">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管理员可对活动进行归档操作，归档后不可修改、删除，支持有权限的人员进行取消归档操作。</w:t>
      </w:r>
    </w:p>
    <w:p w14:paraId="00328DCD">
      <w:pPr>
        <w:bidi w:val="0"/>
        <w:rPr>
          <w:rFonts w:hint="eastAsia"/>
          <w:kern w:val="0"/>
        </w:rPr>
      </w:pPr>
      <w:r>
        <w:rPr>
          <w:rFonts w:hint="eastAsia" w:ascii="宋体" w:hAnsi="宋体" w:eastAsia="宋体" w:cs="宋体"/>
          <w:kern w:val="0"/>
          <w:sz w:val="24"/>
          <w:szCs w:val="24"/>
          <w:lang w:val="en-US" w:eastAsia="zh-CN" w:bidi="ar-SA"/>
        </w:rPr>
        <w:t>4.2.2.3.2</w:t>
      </w:r>
      <w:r>
        <w:rPr>
          <w:rFonts w:hint="eastAsia"/>
          <w:kern w:val="0"/>
        </w:rPr>
        <w:t>会议管理</w:t>
      </w:r>
    </w:p>
    <w:p w14:paraId="00880515">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本模块主要为政协机关工作人员、管理员提供会议管理的功能，包括对会议进行新增或补录，人员管理、会议发言上传、会议活动归档。</w:t>
      </w:r>
    </w:p>
    <w:p w14:paraId="2F63E3E2">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会议类型包括全体会议、常委会议、主席会议、专题协商会议、座谈会等；根据会议大小和形式不一样，对每种会议的特殊管理。</w:t>
      </w:r>
    </w:p>
    <w:p w14:paraId="271BD73D">
      <w:pPr>
        <w:keepNext w:val="0"/>
        <w:keepLines w:val="0"/>
        <w:pageBreakBefore w:val="0"/>
        <w:widowControl/>
        <w:numPr>
          <w:ilvl w:val="0"/>
          <w:numId w:val="1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政协会议新增/补录</w:t>
      </w:r>
    </w:p>
    <w:p w14:paraId="1982DFCB">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对政协会议进行新增或补录，通过输入履职类型、名称、会议开始时间、结束时间、活动地点、组织部门、联系人、联系电话、内容等信息新增会议。</w:t>
      </w:r>
    </w:p>
    <w:p w14:paraId="4EC8D0F2">
      <w:pPr>
        <w:keepNext w:val="0"/>
        <w:keepLines w:val="0"/>
        <w:pageBreakBefore w:val="0"/>
        <w:widowControl/>
        <w:numPr>
          <w:ilvl w:val="0"/>
          <w:numId w:val="1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会议人员管理</w:t>
      </w:r>
    </w:p>
    <w:p w14:paraId="3240ACA2">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可对人员进行删除、缺席、批量签到、选择新增人员。</w:t>
      </w:r>
    </w:p>
    <w:p w14:paraId="69EE97FD">
      <w:pPr>
        <w:keepNext w:val="0"/>
        <w:keepLines w:val="0"/>
        <w:pageBreakBefore w:val="0"/>
        <w:widowControl/>
        <w:numPr>
          <w:ilvl w:val="0"/>
          <w:numId w:val="1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上传会议发言</w:t>
      </w:r>
    </w:p>
    <w:p w14:paraId="5CDB3D22">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管理员可上传本次会议的会议发言。包括会议名称、履职类型、所属会议、名称、届、次等信息。</w:t>
      </w:r>
    </w:p>
    <w:p w14:paraId="3BCE9148">
      <w:pPr>
        <w:keepNext w:val="0"/>
        <w:keepLines w:val="0"/>
        <w:pageBreakBefore w:val="0"/>
        <w:widowControl/>
        <w:numPr>
          <w:ilvl w:val="0"/>
          <w:numId w:val="1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会议活动归档</w:t>
      </w:r>
    </w:p>
    <w:p w14:paraId="71807844">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管理员可对活动进行归档操作，归档后不可修改、删除，支持有权限的人员进行取消归档操作。</w:t>
      </w:r>
    </w:p>
    <w:p w14:paraId="055C9F34">
      <w:pPr>
        <w:bidi w:val="0"/>
        <w:rPr>
          <w:rFonts w:hint="eastAsia"/>
          <w:kern w:val="0"/>
        </w:rPr>
      </w:pPr>
      <w:r>
        <w:rPr>
          <w:rFonts w:hint="eastAsia" w:ascii="宋体" w:hAnsi="宋体" w:eastAsia="宋体" w:cs="宋体"/>
          <w:kern w:val="0"/>
          <w:sz w:val="24"/>
          <w:szCs w:val="24"/>
          <w:lang w:val="en-US" w:eastAsia="zh-CN" w:bidi="ar-SA"/>
        </w:rPr>
        <w:t>4.2.2.3.3</w:t>
      </w:r>
      <w:r>
        <w:rPr>
          <w:rFonts w:hint="eastAsia"/>
          <w:kern w:val="0"/>
        </w:rPr>
        <w:t>履职反馈</w:t>
      </w:r>
    </w:p>
    <w:p w14:paraId="3A45056D">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面向管理员提供查看委员反馈履职积分问题和详情。可查看有情况反馈的委员以及确认无误的委员，点击列表可直接查看委员的履职积分详情。</w:t>
      </w:r>
    </w:p>
    <w:p w14:paraId="6A23B7A4">
      <w:pPr>
        <w:bidi w:val="0"/>
        <w:rPr>
          <w:rFonts w:hint="eastAsia"/>
          <w:kern w:val="0"/>
        </w:rPr>
      </w:pPr>
      <w:r>
        <w:rPr>
          <w:rFonts w:hint="eastAsia" w:ascii="宋体" w:hAnsi="宋体" w:eastAsia="宋体" w:cs="宋体"/>
          <w:kern w:val="0"/>
          <w:sz w:val="24"/>
          <w:szCs w:val="24"/>
          <w:lang w:val="en-US" w:eastAsia="zh-CN" w:bidi="ar-SA"/>
        </w:rPr>
        <w:t>4.2.2.3.4</w:t>
      </w:r>
      <w:r>
        <w:rPr>
          <w:rFonts w:hint="eastAsia"/>
          <w:kern w:val="0"/>
        </w:rPr>
        <w:t>委员信息审核</w:t>
      </w:r>
    </w:p>
    <w:p w14:paraId="5966C174">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面向管理员提供委员修改的信息审核功能。可查看待审核，已审核列表。</w:t>
      </w:r>
    </w:p>
    <w:p w14:paraId="472E40C4">
      <w:pPr>
        <w:bidi w:val="0"/>
        <w:rPr>
          <w:rFonts w:hint="eastAsia"/>
          <w:kern w:val="0"/>
        </w:rPr>
      </w:pPr>
      <w:r>
        <w:rPr>
          <w:rFonts w:hint="eastAsia" w:ascii="宋体" w:hAnsi="宋体" w:eastAsia="宋体" w:cs="宋体"/>
          <w:kern w:val="0"/>
          <w:sz w:val="24"/>
          <w:szCs w:val="24"/>
          <w:lang w:val="en-US" w:eastAsia="zh-CN" w:bidi="ar-SA"/>
        </w:rPr>
        <w:t>4.2.2.3.5</w:t>
      </w:r>
      <w:r>
        <w:rPr>
          <w:rFonts w:hint="eastAsia"/>
          <w:kern w:val="0"/>
        </w:rPr>
        <w:t>履职排名</w:t>
      </w:r>
    </w:p>
    <w:p w14:paraId="5F2BE802">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可查看本政协内所有委员的积分排行和履职详情，可通过多维度条件进行查询。</w:t>
      </w:r>
    </w:p>
    <w:p w14:paraId="417FE779">
      <w:pPr>
        <w:bidi w:val="0"/>
        <w:rPr>
          <w:rFonts w:hint="eastAsia"/>
          <w:kern w:val="0"/>
        </w:rPr>
      </w:pPr>
      <w:r>
        <w:rPr>
          <w:rFonts w:hint="eastAsia" w:ascii="宋体" w:hAnsi="宋体" w:eastAsia="宋体" w:cs="宋体"/>
          <w:kern w:val="0"/>
          <w:sz w:val="24"/>
          <w:szCs w:val="24"/>
          <w:lang w:val="en-US" w:eastAsia="zh-CN" w:bidi="ar-SA"/>
        </w:rPr>
        <w:t>4.2.2.3.6</w:t>
      </w:r>
      <w:r>
        <w:rPr>
          <w:rFonts w:hint="eastAsia"/>
          <w:kern w:val="0"/>
        </w:rPr>
        <w:t>履职统计</w:t>
      </w:r>
    </w:p>
    <w:p w14:paraId="3605DAD7">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提供履职类型的基本统计，查看统计详情，包括履职类型、次数、参加人数、发言总数。支持履职检索。</w:t>
      </w:r>
    </w:p>
    <w:p w14:paraId="4DA0D780">
      <w:pPr>
        <w:bidi w:val="0"/>
        <w:rPr>
          <w:rFonts w:hint="eastAsia"/>
          <w:kern w:val="0"/>
        </w:rPr>
      </w:pPr>
      <w:r>
        <w:rPr>
          <w:rFonts w:hint="eastAsia" w:ascii="宋体" w:hAnsi="宋体" w:eastAsia="宋体" w:cs="宋体"/>
          <w:kern w:val="0"/>
          <w:sz w:val="24"/>
          <w:szCs w:val="24"/>
          <w:lang w:val="en-US" w:eastAsia="zh-CN" w:bidi="ar-SA"/>
        </w:rPr>
        <w:t>4.2.2.3.7</w:t>
      </w:r>
      <w:r>
        <w:rPr>
          <w:rFonts w:hint="eastAsia"/>
          <w:kern w:val="0"/>
        </w:rPr>
        <w:t>基本概况</w:t>
      </w:r>
    </w:p>
    <w:p w14:paraId="38ED91C2">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可查看政协的基本信息统计，包括委员数量、常委数量、界别活动组数量、专委会数量等。</w:t>
      </w:r>
    </w:p>
    <w:p w14:paraId="0296033B">
      <w:pPr>
        <w:bidi w:val="0"/>
        <w:rPr>
          <w:rFonts w:hint="eastAsia"/>
          <w:kern w:val="0"/>
        </w:rPr>
      </w:pPr>
      <w:r>
        <w:rPr>
          <w:rFonts w:hint="eastAsia" w:ascii="宋体" w:hAnsi="宋体" w:eastAsia="宋体" w:cs="宋体"/>
          <w:kern w:val="0"/>
          <w:sz w:val="24"/>
          <w:szCs w:val="24"/>
          <w:lang w:val="en-US" w:eastAsia="zh-CN" w:bidi="ar-SA"/>
        </w:rPr>
        <w:t>4.2.2.3.8</w:t>
      </w:r>
      <w:r>
        <w:rPr>
          <w:rFonts w:hint="eastAsia"/>
          <w:kern w:val="0"/>
        </w:rPr>
        <w:t>委员特长信息</w:t>
      </w:r>
    </w:p>
    <w:p w14:paraId="31AE9940">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面向管理员提供相关特长的委员信息查看，可查看具体委员。</w:t>
      </w:r>
    </w:p>
    <w:p w14:paraId="13C2F67B">
      <w:pPr>
        <w:pStyle w:val="6"/>
        <w:numPr>
          <w:ilvl w:val="4"/>
          <w:numId w:val="0"/>
        </w:numPr>
        <w:bidi w:val="0"/>
        <w:ind w:leftChars="0"/>
        <w:rPr>
          <w:lang w:val="en-US" w:eastAsia="zh-CN"/>
        </w:rPr>
      </w:pPr>
      <w:r>
        <w:rPr>
          <w:rFonts w:hint="eastAsia" w:ascii="黑体" w:hAnsi="黑体" w:eastAsia="黑体" w:cstheme="minorBidi"/>
          <w:kern w:val="2"/>
          <w:sz w:val="28"/>
          <w:szCs w:val="24"/>
          <w:lang w:val="en-US" w:eastAsia="zh-CN" w:bidi="ar-SA"/>
        </w:rPr>
        <w:t>4.2.3</w:t>
      </w:r>
      <w:r>
        <w:rPr>
          <w:rFonts w:hint="eastAsia"/>
          <w:lang w:val="en-US" w:eastAsia="zh-CN"/>
        </w:rPr>
        <w:t>提案在线</w:t>
      </w:r>
      <w:bookmarkEnd w:id="103"/>
      <w:bookmarkEnd w:id="104"/>
      <w:bookmarkEnd w:id="105"/>
      <w:bookmarkEnd w:id="110"/>
    </w:p>
    <w:p w14:paraId="17570FFE">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hint="eastAsia" w:ascii="Times New Roman" w:hAnsi="Times New Roman" w:eastAsia="宋体" w:cs="宋体"/>
          <w:kern w:val="0"/>
          <w:sz w:val="24"/>
        </w:rPr>
        <w:t>提案在线应用围绕政协提案提出的质量高、审查准</w:t>
      </w:r>
      <w:r>
        <w:rPr>
          <w:rFonts w:ascii="Times New Roman" w:hAnsi="Times New Roman" w:eastAsia="宋体" w:cs="宋体"/>
          <w:kern w:val="0"/>
          <w:sz w:val="24"/>
        </w:rPr>
        <w:t>、</w:t>
      </w:r>
      <w:r>
        <w:rPr>
          <w:rFonts w:hint="eastAsia" w:ascii="Times New Roman" w:hAnsi="Times New Roman" w:eastAsia="宋体" w:cs="宋体"/>
          <w:kern w:val="0"/>
          <w:sz w:val="24"/>
        </w:rPr>
        <w:t>商得深、办得好构建全流程综合场景应用体系。主要包括提案提出、提案审查和处理、提案办理、重点提案协办督办、评议和表彰、服务管理等功能模块，充分发挥委员参政议政的积极性，推动提案质量和提案办理质量双提升，同时根据市政协提案委、政协委员、各级办理部门的不同角色，进行细分，提供个性化的服务</w:t>
      </w:r>
      <w:r>
        <w:rPr>
          <w:rFonts w:ascii="Times New Roman" w:hAnsi="Times New Roman" w:eastAsia="宋体" w:cs="宋体"/>
          <w:kern w:val="0"/>
          <w:sz w:val="24"/>
        </w:rPr>
        <w:t>，</w:t>
      </w:r>
      <w:r>
        <w:rPr>
          <w:rFonts w:hint="eastAsia" w:ascii="Times New Roman" w:hAnsi="Times New Roman" w:eastAsia="宋体" w:cs="宋体"/>
          <w:kern w:val="0"/>
          <w:sz w:val="24"/>
        </w:rPr>
        <w:t>不断提升提案系统的科学化水平</w:t>
      </w:r>
      <w:r>
        <w:rPr>
          <w:rFonts w:ascii="Times New Roman" w:hAnsi="Times New Roman" w:eastAsia="宋体" w:cs="宋体"/>
          <w:kern w:val="0"/>
          <w:sz w:val="24"/>
        </w:rPr>
        <w:t>。</w:t>
      </w:r>
    </w:p>
    <w:p w14:paraId="17D5163D">
      <w:pPr>
        <w:widowControl/>
        <w:adjustRightInd w:val="0"/>
        <w:spacing w:line="360" w:lineRule="auto"/>
        <w:ind w:firstLine="372" w:firstLineChars="150"/>
        <w:rPr>
          <w:rFonts w:hint="eastAsia" w:ascii="Times New Roman" w:hAnsi="Times New Roman" w:eastAsia="宋体" w:cs="宋体"/>
          <w:kern w:val="0"/>
          <w:sz w:val="24"/>
        </w:rPr>
      </w:pPr>
      <w:r>
        <w:rPr>
          <w:rFonts w:hint="eastAsia" w:ascii="Times New Roman" w:hAnsi="Times New Roman" w:eastAsia="宋体" w:cs="宋体"/>
          <w:kern w:val="0"/>
          <w:sz w:val="24"/>
        </w:rPr>
        <w:t>提案在线应用主要包括提案提出、提案审查和处理、提案办理、评议和表彰、重点提案协办和督办、服务管理功能。</w:t>
      </w:r>
    </w:p>
    <w:p w14:paraId="3DE54380">
      <w:pPr>
        <w:bidi w:val="0"/>
        <w:rPr>
          <w:rFonts w:hint="eastAsia"/>
          <w:lang w:val="en-US" w:eastAsia="zh-CN"/>
        </w:rPr>
      </w:pPr>
      <w:r>
        <w:rPr>
          <w:rFonts w:hint="eastAsia" w:ascii="宋体" w:hAnsi="宋体" w:eastAsia="宋体" w:cstheme="minorBidi"/>
          <w:b/>
          <w:kern w:val="2"/>
          <w:sz w:val="24"/>
          <w:szCs w:val="24"/>
          <w:lang w:val="en-US" w:eastAsia="zh-CN" w:bidi="ar-SA"/>
        </w:rPr>
        <w:t>4.2.3.1</w:t>
      </w:r>
      <w:r>
        <w:rPr>
          <w:rFonts w:hint="eastAsia"/>
          <w:lang w:val="en-US" w:eastAsia="zh-CN"/>
        </w:rPr>
        <w:t>提案在线PC端功能</w:t>
      </w:r>
    </w:p>
    <w:p w14:paraId="1E6D5305">
      <w:pPr>
        <w:bidi w:val="0"/>
        <w:rPr>
          <w:kern w:val="0"/>
        </w:rPr>
      </w:pPr>
      <w:r>
        <w:rPr>
          <w:rFonts w:hint="eastAsia" w:ascii="宋体" w:hAnsi="宋体" w:eastAsia="宋体" w:cs="宋体"/>
          <w:kern w:val="0"/>
          <w:sz w:val="24"/>
          <w:szCs w:val="24"/>
          <w:lang w:val="en-US" w:eastAsia="zh-CN" w:bidi="ar-SA"/>
        </w:rPr>
        <w:t>4.2.3.1.1</w:t>
      </w:r>
      <w:r>
        <w:rPr>
          <w:kern w:val="0"/>
        </w:rPr>
        <w:t>提案工作台</w:t>
      </w:r>
    </w:p>
    <w:p w14:paraId="3FA7C423">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对提案者、提案委、承办单位三类用户PC端工作台分别进行设计，包括提案情况、各类文件展示；深化我的提案，提案展示等模块的交互体验。</w:t>
      </w:r>
    </w:p>
    <w:p w14:paraId="331E43CC">
      <w:pPr>
        <w:keepNext w:val="0"/>
        <w:keepLines w:val="0"/>
        <w:pageBreakBefore w:val="0"/>
        <w:widowControl/>
        <w:numPr>
          <w:ilvl w:val="0"/>
          <w:numId w:val="1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提案者工作台</w:t>
      </w:r>
    </w:p>
    <w:p w14:paraId="215BE739">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提案者工作台集成提案者各届次的提案信息，主要包括个人或团体的个人信息；</w:t>
      </w:r>
    </w:p>
    <w:p w14:paraId="72E92F5A">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eastAsia" w:ascii="Times New Roman" w:hAnsi="Times New Roman"/>
          <w:sz w:val="24"/>
          <w:lang w:val="en-US" w:eastAsia="zh-CN"/>
        </w:rPr>
        <w:t>提供</w:t>
      </w:r>
      <w:r>
        <w:rPr>
          <w:rFonts w:hint="default" w:ascii="Times New Roman" w:hAnsi="Times New Roman"/>
          <w:sz w:val="24"/>
          <w:lang w:val="en-US" w:eastAsia="zh-CN"/>
        </w:rPr>
        <w:t>提交提案快捷入口；</w:t>
      </w:r>
    </w:p>
    <w:p w14:paraId="5E2E4F6E">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eastAsia" w:ascii="Times New Roman" w:hAnsi="Times New Roman"/>
          <w:sz w:val="24"/>
          <w:lang w:val="en-US" w:eastAsia="zh-CN"/>
        </w:rPr>
        <w:t>提供</w:t>
      </w:r>
      <w:r>
        <w:rPr>
          <w:rFonts w:hint="default" w:ascii="Times New Roman" w:hAnsi="Times New Roman"/>
          <w:sz w:val="24"/>
          <w:lang w:val="en-US" w:eastAsia="zh-CN"/>
        </w:rPr>
        <w:t>提案基本统计概况，主要包括提案提交数量、立案提案数量、领衔提案数量、附议提案数量、办结提案数量等；</w:t>
      </w:r>
    </w:p>
    <w:p w14:paraId="0ADE9372">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eastAsia" w:ascii="Times New Roman" w:hAnsi="Times New Roman"/>
          <w:sz w:val="24"/>
          <w:lang w:val="en-US" w:eastAsia="zh-CN"/>
        </w:rPr>
        <w:t>提供</w:t>
      </w:r>
      <w:r>
        <w:rPr>
          <w:rFonts w:hint="default" w:ascii="Times New Roman" w:hAnsi="Times New Roman"/>
          <w:sz w:val="24"/>
          <w:lang w:val="en-US" w:eastAsia="zh-CN"/>
        </w:rPr>
        <w:t>我的提案列表、全部提案列表，可直接在列表进行相关操作；</w:t>
      </w:r>
    </w:p>
    <w:p w14:paraId="08419FB5">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eastAsia" w:ascii="Times New Roman" w:hAnsi="Times New Roman"/>
          <w:sz w:val="24"/>
          <w:lang w:val="en-US" w:eastAsia="zh-CN"/>
        </w:rPr>
        <w:t>提供</w:t>
      </w:r>
      <w:r>
        <w:rPr>
          <w:rFonts w:hint="default" w:ascii="Times New Roman" w:hAnsi="Times New Roman"/>
          <w:sz w:val="24"/>
          <w:lang w:val="en-US" w:eastAsia="zh-CN"/>
        </w:rPr>
        <w:t>知情明政文件、制度规定文件等功能模块，支持提案者在工作台进行综合操作。</w:t>
      </w:r>
    </w:p>
    <w:p w14:paraId="1B387360">
      <w:pPr>
        <w:keepNext w:val="0"/>
        <w:keepLines w:val="0"/>
        <w:pageBreakBefore w:val="0"/>
        <w:widowControl/>
        <w:numPr>
          <w:ilvl w:val="0"/>
          <w:numId w:val="1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提案委工作台</w:t>
      </w:r>
    </w:p>
    <w:p w14:paraId="56F8B35E">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提案委工作台综合集成各届次提案总体情况，主要包括当前登录人员信息；</w:t>
      </w:r>
    </w:p>
    <w:p w14:paraId="645892BC">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提供文件管理快捷入口；</w:t>
      </w:r>
    </w:p>
    <w:p w14:paraId="55CE8FB2">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提供提案基本统计概况，展示提交提案总数、立案提案总数、办结提案数量、办理中提案数量、已反馈提案数量等；</w:t>
      </w:r>
    </w:p>
    <w:p w14:paraId="3AEA46FE">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提供展示全部提案列表、待处理提案列表、已立案提案列表、转来信列表、作废列表等；可直接在列表进行相关操作；</w:t>
      </w:r>
    </w:p>
    <w:p w14:paraId="60E465C0">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提供知情明政文件、制度规定文件等功能模块。</w:t>
      </w:r>
    </w:p>
    <w:p w14:paraId="32B0D2F1">
      <w:pPr>
        <w:keepNext w:val="0"/>
        <w:keepLines w:val="0"/>
        <w:pageBreakBefore w:val="0"/>
        <w:widowControl/>
        <w:numPr>
          <w:ilvl w:val="0"/>
          <w:numId w:val="1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lang w:eastAsia="zh-Hans"/>
        </w:rPr>
        <w:t>两办</w:t>
      </w:r>
      <w:r>
        <w:rPr>
          <w:rFonts w:hint="eastAsia" w:ascii="Times New Roman" w:hAnsi="Times New Roman" w:eastAsia="宋体" w:cs="宋体"/>
          <w:kern w:val="0"/>
          <w:sz w:val="24"/>
          <w:szCs w:val="22"/>
        </w:rPr>
        <w:t>单位工作台</w:t>
      </w:r>
    </w:p>
    <w:p w14:paraId="60CDDCB1">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lang w:eastAsia="zh-Hans"/>
        </w:rPr>
        <w:t>两</w:t>
      </w:r>
      <w:r>
        <w:rPr>
          <w:rFonts w:ascii="Times New Roman" w:hAnsi="Times New Roman" w:eastAsia="宋体" w:cs="宋体"/>
          <w:kern w:val="0"/>
          <w:sz w:val="24"/>
        </w:rPr>
        <w:t>办单位工作台综合集成各届次提案</w:t>
      </w:r>
      <w:r>
        <w:rPr>
          <w:rFonts w:hint="eastAsia" w:ascii="Times New Roman" w:hAnsi="Times New Roman" w:eastAsia="宋体" w:cs="宋体"/>
          <w:kern w:val="0"/>
          <w:sz w:val="24"/>
          <w:lang w:eastAsia="zh-Hans"/>
        </w:rPr>
        <w:t>交办</w:t>
      </w:r>
      <w:r>
        <w:rPr>
          <w:rFonts w:ascii="Times New Roman" w:hAnsi="Times New Roman" w:eastAsia="宋体" w:cs="宋体"/>
          <w:kern w:val="0"/>
          <w:sz w:val="24"/>
        </w:rPr>
        <w:t>情况，主要包括</w:t>
      </w:r>
      <w:r>
        <w:rPr>
          <w:rFonts w:hint="eastAsia" w:ascii="Times New Roman" w:hAnsi="Times New Roman" w:eastAsia="宋体" w:cs="宋体"/>
          <w:kern w:val="0"/>
          <w:sz w:val="24"/>
          <w:lang w:eastAsia="zh-Hans"/>
        </w:rPr>
        <w:t>两办</w:t>
      </w:r>
      <w:r>
        <w:rPr>
          <w:rFonts w:ascii="Times New Roman" w:hAnsi="Times New Roman" w:eastAsia="宋体" w:cs="宋体"/>
          <w:kern w:val="0"/>
          <w:sz w:val="24"/>
        </w:rPr>
        <w:t>单位的基本信息；</w:t>
      </w:r>
    </w:p>
    <w:p w14:paraId="6CB86454">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提供文件管理快捷入口；</w:t>
      </w:r>
    </w:p>
    <w:p w14:paraId="7F0C6BB6">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提供提案基本统计概况，展示</w:t>
      </w:r>
      <w:r>
        <w:rPr>
          <w:rFonts w:hint="eastAsia" w:ascii="Times New Roman" w:hAnsi="Times New Roman"/>
          <w:sz w:val="24"/>
          <w:lang w:val="en-US" w:eastAsia="zh-Hans"/>
        </w:rPr>
        <w:t>交办提案数量、已办结提案数量、已反馈提案数量</w:t>
      </w:r>
      <w:r>
        <w:rPr>
          <w:rFonts w:hint="eastAsia" w:ascii="Times New Roman" w:hAnsi="Times New Roman"/>
          <w:sz w:val="24"/>
          <w:lang w:val="en-US" w:eastAsia="zh-CN"/>
        </w:rPr>
        <w:t>等；</w:t>
      </w:r>
    </w:p>
    <w:p w14:paraId="26AA662A">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提供展示全部提案列表、</w:t>
      </w:r>
      <w:r>
        <w:rPr>
          <w:rFonts w:hint="eastAsia" w:ascii="Times New Roman" w:hAnsi="Times New Roman"/>
          <w:sz w:val="24"/>
          <w:lang w:val="en-US" w:eastAsia="zh-Hans"/>
        </w:rPr>
        <w:t>未交办</w:t>
      </w:r>
      <w:r>
        <w:rPr>
          <w:rFonts w:hint="eastAsia" w:ascii="Times New Roman" w:hAnsi="Times New Roman"/>
          <w:sz w:val="24"/>
          <w:lang w:val="en-US" w:eastAsia="zh-CN"/>
        </w:rPr>
        <w:t>提案列表、已</w:t>
      </w:r>
      <w:r>
        <w:rPr>
          <w:rFonts w:hint="eastAsia" w:ascii="Times New Roman" w:hAnsi="Times New Roman"/>
          <w:sz w:val="24"/>
          <w:lang w:val="en-US" w:eastAsia="zh-Hans"/>
        </w:rPr>
        <w:t>交办</w:t>
      </w:r>
      <w:r>
        <w:rPr>
          <w:rFonts w:hint="eastAsia" w:ascii="Times New Roman" w:hAnsi="Times New Roman"/>
          <w:sz w:val="24"/>
          <w:lang w:val="en-US" w:eastAsia="zh-CN"/>
        </w:rPr>
        <w:t>提案列表、</w:t>
      </w:r>
      <w:r>
        <w:rPr>
          <w:rFonts w:hint="eastAsia" w:ascii="Times New Roman" w:hAnsi="Times New Roman"/>
          <w:sz w:val="24"/>
          <w:lang w:val="en-US" w:eastAsia="zh-Hans"/>
        </w:rPr>
        <w:t>办理超期提案</w:t>
      </w:r>
      <w:r>
        <w:rPr>
          <w:rFonts w:hint="eastAsia" w:ascii="Times New Roman" w:hAnsi="Times New Roman"/>
          <w:sz w:val="24"/>
          <w:lang w:val="en-US" w:eastAsia="zh-CN"/>
        </w:rPr>
        <w:t>列表等；可直接在列表进行相关操作；</w:t>
      </w:r>
    </w:p>
    <w:p w14:paraId="37BC5558">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提供知情明政文件、制度规定文件等功能模块。</w:t>
      </w:r>
    </w:p>
    <w:p w14:paraId="491C4248">
      <w:pPr>
        <w:keepNext w:val="0"/>
        <w:keepLines w:val="0"/>
        <w:pageBreakBefore w:val="0"/>
        <w:widowControl/>
        <w:numPr>
          <w:ilvl w:val="0"/>
          <w:numId w:val="1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承办单位工作台</w:t>
      </w:r>
    </w:p>
    <w:p w14:paraId="7E022F28">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承办单位工作台综合集成各届次提案总体办理情况，主要包括办理单位的基本信息；</w:t>
      </w:r>
    </w:p>
    <w:p w14:paraId="755C0387">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提供文件上传快捷入口；</w:t>
      </w:r>
    </w:p>
    <w:p w14:paraId="7E85AB88">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提供提案基本统计概况，办理提案数、已办结提案数、已反馈提案数等；</w:t>
      </w:r>
    </w:p>
    <w:p w14:paraId="712C183D">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提供展示主办提案列表、会办提案列表、重点提案列表；可直接在列表进行相关操作；</w:t>
      </w:r>
    </w:p>
    <w:p w14:paraId="3E0CC807">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提供知情明政文件、制度规定文件等功能模块。</w:t>
      </w:r>
    </w:p>
    <w:p w14:paraId="68BAA77B">
      <w:pPr>
        <w:bidi w:val="0"/>
        <w:rPr>
          <w:kern w:val="0"/>
        </w:rPr>
      </w:pPr>
      <w:r>
        <w:rPr>
          <w:rFonts w:hint="eastAsia" w:ascii="宋体" w:hAnsi="宋体" w:eastAsia="宋体" w:cs="宋体"/>
          <w:kern w:val="0"/>
          <w:sz w:val="24"/>
          <w:szCs w:val="24"/>
          <w:lang w:val="en-US" w:eastAsia="zh-CN" w:bidi="ar-SA"/>
        </w:rPr>
        <w:t>4.2.3.1.2</w:t>
      </w:r>
      <w:r>
        <w:rPr>
          <w:kern w:val="0"/>
        </w:rPr>
        <w:t>提案提出</w:t>
      </w:r>
    </w:p>
    <w:p w14:paraId="653B1B29">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知情明政文件</w:t>
      </w:r>
    </w:p>
    <w:p w14:paraId="69C646B0">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展示厅局的相关提案线索、党政文件、厅局工作等文件供委员查看，为委员</w:t>
      </w:r>
      <w:r>
        <w:rPr>
          <w:rFonts w:hint="eastAsia" w:ascii="Times New Roman" w:hAnsi="Times New Roman" w:eastAsia="宋体" w:cs="宋体"/>
          <w:kern w:val="0"/>
          <w:sz w:val="24"/>
          <w:lang w:val="en-US" w:eastAsia="zh-CN"/>
        </w:rPr>
        <w:t>撰写</w:t>
      </w:r>
      <w:r>
        <w:rPr>
          <w:rFonts w:ascii="Times New Roman" w:hAnsi="Times New Roman" w:eastAsia="宋体" w:cs="宋体"/>
          <w:kern w:val="0"/>
          <w:sz w:val="24"/>
        </w:rPr>
        <w:t>提案提供思路。分政治、经济、文化、社会、生态文明五类展示知情明政资料库，提供资料查看和查询功能。</w:t>
      </w:r>
    </w:p>
    <w:p w14:paraId="1332EF64">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在线协商</w:t>
      </w:r>
    </w:p>
    <w:p w14:paraId="6DE5ADA5">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通讯录</w:t>
      </w:r>
    </w:p>
    <w:p w14:paraId="055FDCC7">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展示政协委员、承办单位、党派、界别小组、专委会通讯录，可针对具体的人员发送协商消息。</w:t>
      </w:r>
    </w:p>
    <w:p w14:paraId="3167FA27">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在线协商</w:t>
      </w:r>
    </w:p>
    <w:p w14:paraId="04873621">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可以针对政协委员、承办单位、党派、界别小组、专委会发送站内消息，也可收到他人的消息，并可进行回复。</w:t>
      </w:r>
    </w:p>
    <w:p w14:paraId="0BAD315A">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展示我收到的、我发送的协商内容。</w:t>
      </w:r>
    </w:p>
    <w:p w14:paraId="38C414C5">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协商内容</w:t>
      </w:r>
    </w:p>
    <w:p w14:paraId="1D00E144">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支持按标题、状态（已读/未读）、发送时间（开始时间至结束时间</w:t>
      </w:r>
      <w:r>
        <w:rPr>
          <w:rFonts w:hint="eastAsia" w:ascii="Times New Roman" w:hAnsi="Times New Roman" w:eastAsia="宋体" w:cs="宋体"/>
          <w:kern w:val="0"/>
          <w:sz w:val="24"/>
          <w:lang w:eastAsia="zh-CN"/>
        </w:rPr>
        <w:t>）</w:t>
      </w:r>
      <w:r>
        <w:rPr>
          <w:rFonts w:ascii="Times New Roman" w:hAnsi="Times New Roman" w:eastAsia="宋体" w:cs="宋体"/>
          <w:kern w:val="0"/>
          <w:sz w:val="24"/>
        </w:rPr>
        <w:t>进行查询。</w:t>
      </w:r>
    </w:p>
    <w:p w14:paraId="1FE259FF">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提案培育</w:t>
      </w:r>
    </w:p>
    <w:p w14:paraId="2ADE1882">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提案主题观点汇聚</w:t>
      </w:r>
    </w:p>
    <w:p w14:paraId="78BF471C">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委员可通过发起提案主题观点汇聚，由委员进行讨论交流、汇总。委员可以选择其他人员进入参与，也可以公开提案主题群；其他委员可查看可主动参与。</w:t>
      </w:r>
    </w:p>
    <w:p w14:paraId="3F10BA56">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提案培育界别交流群</w:t>
      </w:r>
    </w:p>
    <w:p w14:paraId="389F3440">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可通过建立常态化提案工作界别群，在界别交流群进行提案培育。包括界别群管理及界别群交流内容管理。</w:t>
      </w:r>
    </w:p>
    <w:p w14:paraId="3FC0D9A3">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制度规定文件</w:t>
      </w:r>
    </w:p>
    <w:p w14:paraId="1901ADA8">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展示提案委对提案制度的规范产出的文件内容，为委员编写提案提供来信，提供资料查看和查询功能。</w:t>
      </w:r>
    </w:p>
    <w:p w14:paraId="7983A8A0">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提案</w:t>
      </w:r>
      <w:r>
        <w:rPr>
          <w:rFonts w:hint="eastAsia" w:ascii="Times New Roman" w:hAnsi="Times New Roman" w:eastAsia="宋体" w:cs="宋体"/>
          <w:kern w:val="0"/>
          <w:sz w:val="24"/>
          <w:szCs w:val="22"/>
          <w:lang w:eastAsia="zh-Hans"/>
        </w:rPr>
        <w:t>线索</w:t>
      </w:r>
    </w:p>
    <w:p w14:paraId="025FC361">
      <w:pPr>
        <w:widowControl/>
        <w:numPr>
          <w:ilvl w:val="0"/>
          <w:numId w:val="27"/>
        </w:numPr>
        <w:spacing w:line="360" w:lineRule="auto"/>
        <w:ind w:firstLine="496" w:firstLineChars="200"/>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线索征集</w:t>
      </w:r>
    </w:p>
    <w:p w14:paraId="0D24476F">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面向群众提供线索征集功能</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群众可上报线索标题</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姓名</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联系方式</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类别</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职业</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通讯地址</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附件</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线索内容等信息</w:t>
      </w:r>
      <w:r>
        <w:rPr>
          <w:rFonts w:ascii="Times New Roman" w:hAnsi="Times New Roman" w:eastAsia="宋体" w:cs="宋体"/>
          <w:kern w:val="0"/>
          <w:sz w:val="24"/>
          <w:lang w:eastAsia="zh-Hans"/>
        </w:rPr>
        <w:t>。</w:t>
      </w:r>
    </w:p>
    <w:p w14:paraId="40A6C5C3">
      <w:pPr>
        <w:widowControl/>
        <w:numPr>
          <w:ilvl w:val="0"/>
          <w:numId w:val="27"/>
        </w:numPr>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提案线索采纳</w:t>
      </w:r>
    </w:p>
    <w:p w14:paraId="41DF33FE">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委员可查看群众上报的线索</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并对线索进行采用操作</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每条线索仅可采纳一次</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被采纳的线索可查看采纳人及线索详情</w:t>
      </w:r>
      <w:r>
        <w:rPr>
          <w:rFonts w:ascii="Times New Roman" w:hAnsi="Times New Roman" w:eastAsia="宋体" w:cs="宋体"/>
          <w:kern w:val="0"/>
          <w:sz w:val="24"/>
          <w:lang w:eastAsia="zh-Hans"/>
        </w:rPr>
        <w:t>。</w:t>
      </w:r>
    </w:p>
    <w:p w14:paraId="2B3BBEF8">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提案提交</w:t>
      </w:r>
    </w:p>
    <w:p w14:paraId="331F8417">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提案人</w:t>
      </w:r>
      <w:r>
        <w:rPr>
          <w:rFonts w:ascii="Times New Roman" w:hAnsi="Times New Roman" w:eastAsia="宋体" w:cs="宋体"/>
          <w:kern w:val="0"/>
          <w:sz w:val="24"/>
        </w:rPr>
        <w:t>可在本模块对提案进行提交操作，支持提案纸下载。提交提案内容包括提案案由、附议人、集体提案包括参与人、执笔人、</w:t>
      </w:r>
      <w:r>
        <w:rPr>
          <w:rFonts w:hint="eastAsia" w:ascii="Times New Roman" w:hAnsi="Times New Roman" w:eastAsia="宋体" w:cs="宋体"/>
          <w:kern w:val="0"/>
          <w:sz w:val="24"/>
          <w:lang w:eastAsia="zh-Hans"/>
        </w:rPr>
        <w:t>同时集体提案可推荐本提案为重点</w:t>
      </w:r>
      <w:r>
        <w:rPr>
          <w:rFonts w:hint="eastAsia" w:ascii="Times New Roman" w:hAnsi="Times New Roman" w:eastAsia="宋体" w:cs="宋体"/>
          <w:kern w:val="0"/>
          <w:sz w:val="24"/>
          <w:lang w:val="en-US" w:eastAsia="zh-CN"/>
        </w:rPr>
        <w:t>提案</w:t>
      </w:r>
      <w:r>
        <w:rPr>
          <w:rFonts w:ascii="Times New Roman" w:hAnsi="Times New Roman" w:eastAsia="宋体" w:cs="宋体"/>
          <w:kern w:val="0"/>
          <w:sz w:val="24"/>
        </w:rPr>
        <w:t>领域、提案类别、选择提案情况、建议承办单位、关键政策需求或意见建议、正文内容等信息；</w:t>
      </w:r>
      <w:r>
        <w:rPr>
          <w:rFonts w:hint="eastAsia" w:ascii="Times New Roman" w:hAnsi="Times New Roman" w:eastAsia="宋体" w:cs="宋体"/>
          <w:kern w:val="0"/>
          <w:sz w:val="24"/>
          <w:lang w:eastAsia="zh-Hans"/>
        </w:rPr>
        <w:t>可上传附件支持Word</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PDF</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图片等格式</w:t>
      </w:r>
      <w:r>
        <w:rPr>
          <w:rFonts w:ascii="Times New Roman" w:hAnsi="Times New Roman" w:eastAsia="宋体" w:cs="宋体"/>
          <w:kern w:val="0"/>
          <w:sz w:val="24"/>
          <w:lang w:eastAsia="zh-Hans"/>
        </w:rPr>
        <w:t>。</w:t>
      </w:r>
      <w:r>
        <w:rPr>
          <w:rFonts w:ascii="Times New Roman" w:hAnsi="Times New Roman" w:eastAsia="宋体" w:cs="宋体"/>
          <w:kern w:val="0"/>
          <w:sz w:val="24"/>
        </w:rPr>
        <w:t>可直接提交提案，也可暂存草稿箱，修改完成后再进行提交。</w:t>
      </w:r>
    </w:p>
    <w:p w14:paraId="4A6A56A7">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相似提案查重</w:t>
      </w:r>
    </w:p>
    <w:p w14:paraId="40ADC46C">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提案提交时可对本提案进行查重操作，查重范围为本届次本政协的提案内容，对案由和正文进行检索，查重结果可查看相似度、相似提案详情、相似提案对比等信息，也可设置相似度比例，相似度超过一定的百分比不可提交提案。有效减少委员提交重复提案，保证提案质量。</w:t>
      </w:r>
    </w:p>
    <w:p w14:paraId="573CC3AD">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我的提案</w:t>
      </w:r>
    </w:p>
    <w:p w14:paraId="14AEDFA0">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我的提案追踪</w:t>
      </w:r>
    </w:p>
    <w:p w14:paraId="6F3D2C8E">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在提案提交之后，本模块即可查看到提交提案的进度，对进度进行追踪，包括提案审查、提案交办、提案办理、提案反馈等。</w:t>
      </w:r>
    </w:p>
    <w:p w14:paraId="02EF3BD6">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提案办理协商</w:t>
      </w:r>
    </w:p>
    <w:p w14:paraId="7BF37C5D">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在提案办理的过程中，提案者可以发起与承办单位的协商，输入对应的提案号后系统会自动拉入相应的承办单位，建立与承办单位的群聊后，可以点击进入群聊按钮进群发送消息实现跟承办单位的实时交流。</w:t>
      </w:r>
    </w:p>
    <w:p w14:paraId="043CF5B1">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提案办理评价</w:t>
      </w:r>
    </w:p>
    <w:p w14:paraId="1BFACBEE">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若提案办理完成后，可在本模块对办理情况进行反馈评价。</w:t>
      </w:r>
    </w:p>
    <w:p w14:paraId="4A882B00">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委员在对承办单位答复反馈后可以进行提案办理质量评价。</w:t>
      </w:r>
    </w:p>
    <w:p w14:paraId="2D08036F">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委员除对主办单位进行评议外，也可以对会办单位进行评议，分别办理的分别评议。委员反馈不满意，要填写不满意的原因。</w:t>
      </w:r>
    </w:p>
    <w:p w14:paraId="7AC05EB6">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提案代报</w:t>
      </w:r>
    </w:p>
    <w:p w14:paraId="0E85E2C7">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提供提案代报功能，有此权限的用户可通过此功能为其他不方便操作的委员或团体进行提案的代报。</w:t>
      </w:r>
    </w:p>
    <w:p w14:paraId="0B0C2D17">
      <w:pPr>
        <w:keepNext w:val="0"/>
        <w:keepLines w:val="0"/>
        <w:pageBreakBefore w:val="0"/>
        <w:widowControl/>
        <w:numPr>
          <w:ilvl w:val="0"/>
          <w:numId w:val="2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提案草稿箱</w:t>
      </w:r>
    </w:p>
    <w:p w14:paraId="69EFED77">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可存储未编辑好的提案，在草稿箱内进行编辑。</w:t>
      </w:r>
    </w:p>
    <w:p w14:paraId="69C9AD28">
      <w:pPr>
        <w:bidi w:val="0"/>
        <w:rPr>
          <w:kern w:val="0"/>
        </w:rPr>
      </w:pPr>
      <w:r>
        <w:rPr>
          <w:rFonts w:hint="eastAsia" w:ascii="宋体" w:hAnsi="宋体" w:eastAsia="宋体" w:cs="宋体"/>
          <w:kern w:val="0"/>
          <w:sz w:val="24"/>
          <w:szCs w:val="24"/>
          <w:lang w:val="en-US" w:eastAsia="zh-CN" w:bidi="ar-SA"/>
        </w:rPr>
        <w:t>4.2.3.1.3</w:t>
      </w:r>
      <w:r>
        <w:rPr>
          <w:kern w:val="0"/>
        </w:rPr>
        <w:t>提案审查和处理</w:t>
      </w:r>
    </w:p>
    <w:p w14:paraId="640E2B17">
      <w:pPr>
        <w:keepNext w:val="0"/>
        <w:keepLines w:val="0"/>
        <w:pageBreakBefore w:val="0"/>
        <w:widowControl/>
        <w:numPr>
          <w:ilvl w:val="0"/>
          <w:numId w:val="2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lang w:eastAsia="zh-Hans"/>
        </w:rPr>
        <w:t>社情民意转提案</w:t>
      </w:r>
    </w:p>
    <w:p w14:paraId="4061A88C">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lang w:eastAsia="zh-Hans"/>
        </w:rPr>
        <w:t>可在本模块查看由社情民意转交过来的内容</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转交要求为社情民意的提交者必须为提案者</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提案委可在本模块查看社情民意系统转交的内容</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由提案委点击是否转交为正式提案</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转交后通知到领衔人</w:t>
      </w:r>
      <w:r>
        <w:rPr>
          <w:rFonts w:ascii="Times New Roman" w:hAnsi="Times New Roman" w:eastAsia="宋体" w:cs="宋体"/>
          <w:kern w:val="0"/>
          <w:sz w:val="24"/>
        </w:rPr>
        <w:t>。</w:t>
      </w:r>
    </w:p>
    <w:p w14:paraId="04EBDA47">
      <w:pPr>
        <w:keepNext w:val="0"/>
        <w:keepLines w:val="0"/>
        <w:pageBreakBefore w:val="0"/>
        <w:widowControl/>
        <w:numPr>
          <w:ilvl w:val="0"/>
          <w:numId w:val="2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提案审查</w:t>
      </w:r>
    </w:p>
    <w:p w14:paraId="562698C0">
      <w:pPr>
        <w:widowControl/>
        <w:spacing w:line="360" w:lineRule="auto"/>
        <w:ind w:left="492" w:firstLine="0" w:firstLineChars="0"/>
        <w:rPr>
          <w:rFonts w:ascii="Times New Roman" w:hAnsi="Times New Roman" w:eastAsia="宋体" w:cs="宋体"/>
          <w:kern w:val="0"/>
          <w:sz w:val="24"/>
        </w:rPr>
      </w:pPr>
      <w:r>
        <w:rPr>
          <w:rFonts w:ascii="Times New Roman" w:hAnsi="Times New Roman" w:eastAsia="宋体" w:cs="宋体"/>
          <w:kern w:val="0"/>
          <w:sz w:val="24"/>
        </w:rPr>
        <w:t>可在本模块对提案进行审查操作。</w:t>
      </w:r>
    </w:p>
    <w:p w14:paraId="762F52CE">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提案导出</w:t>
      </w:r>
    </w:p>
    <w:p w14:paraId="5F975E9B">
      <w:pPr>
        <w:widowControl/>
        <w:spacing w:line="360" w:lineRule="auto"/>
        <w:ind w:firstLine="496" w:firstLineChars="200"/>
        <w:rPr>
          <w:rFonts w:ascii="Times New Roman" w:hAnsi="Times New Roman" w:eastAsia="宋体" w:cs="宋体"/>
          <w:kern w:val="0"/>
          <w:sz w:val="24"/>
          <w:lang w:eastAsia="zh-Hans"/>
        </w:rPr>
      </w:pPr>
      <w:r>
        <w:rPr>
          <w:rFonts w:ascii="Times New Roman" w:hAnsi="Times New Roman" w:eastAsia="宋体" w:cs="宋体"/>
          <w:kern w:val="0"/>
          <w:sz w:val="24"/>
        </w:rPr>
        <w:t>支持提案目录导出、提案基本信息导出等。</w:t>
      </w:r>
      <w:r>
        <w:rPr>
          <w:rFonts w:hint="eastAsia" w:ascii="Times New Roman" w:hAnsi="Times New Roman" w:eastAsia="宋体" w:cs="宋体"/>
          <w:kern w:val="0"/>
          <w:sz w:val="24"/>
          <w:lang w:eastAsia="zh-Hans"/>
        </w:rPr>
        <w:t>批量导出支持导出多个文件或单个文件</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字段内容支持自定义</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后期单位的办理答复内容</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委员反馈内容支持导出</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可选择文件类型</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包括</w:t>
      </w:r>
      <w:r>
        <w:rPr>
          <w:rFonts w:ascii="Times New Roman" w:hAnsi="Times New Roman" w:eastAsia="宋体" w:cs="宋体"/>
          <w:kern w:val="0"/>
          <w:sz w:val="24"/>
          <w:lang w:eastAsia="zh-Hans"/>
        </w:rPr>
        <w:t>P</w:t>
      </w:r>
      <w:r>
        <w:rPr>
          <w:rFonts w:hint="eastAsia" w:ascii="Times New Roman" w:hAnsi="Times New Roman" w:eastAsia="宋体" w:cs="宋体"/>
          <w:kern w:val="0"/>
          <w:sz w:val="24"/>
          <w:lang w:eastAsia="zh-Hans"/>
        </w:rPr>
        <w:t>DF</w:t>
      </w:r>
      <w:r>
        <w:rPr>
          <w:rFonts w:ascii="Times New Roman" w:hAnsi="Times New Roman" w:eastAsia="宋体" w:cs="宋体"/>
          <w:kern w:val="0"/>
          <w:sz w:val="24"/>
          <w:lang w:eastAsia="zh-Hans"/>
        </w:rPr>
        <w:t>、W</w:t>
      </w:r>
      <w:r>
        <w:rPr>
          <w:rFonts w:hint="eastAsia" w:ascii="Times New Roman" w:hAnsi="Times New Roman" w:eastAsia="宋体" w:cs="宋体"/>
          <w:kern w:val="0"/>
          <w:sz w:val="24"/>
          <w:lang w:eastAsia="zh-Hans"/>
        </w:rPr>
        <w:t>ord格式</w:t>
      </w:r>
      <w:r>
        <w:rPr>
          <w:rFonts w:ascii="Times New Roman" w:hAnsi="Times New Roman" w:eastAsia="宋体" w:cs="宋体"/>
          <w:kern w:val="0"/>
          <w:sz w:val="24"/>
          <w:lang w:eastAsia="zh-Hans"/>
        </w:rPr>
        <w:t>。</w:t>
      </w:r>
    </w:p>
    <w:p w14:paraId="13DD1AD0">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提案查询</w:t>
      </w:r>
    </w:p>
    <w:p w14:paraId="79D0D437">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提供多维度查询条件对提案进行综合查询，方便审查人员快捷查找提案。</w:t>
      </w:r>
    </w:p>
    <w:p w14:paraId="75569BC2">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提案号设置</w:t>
      </w:r>
    </w:p>
    <w:p w14:paraId="0C4B6D7B">
      <w:pPr>
        <w:widowControl/>
        <w:spacing w:line="360" w:lineRule="auto"/>
        <w:ind w:firstLine="496" w:firstLineChars="200"/>
        <w:rPr>
          <w:rFonts w:ascii="Times New Roman" w:hAnsi="Times New Roman" w:eastAsia="宋体" w:cs="宋体"/>
          <w:kern w:val="0"/>
          <w:sz w:val="24"/>
          <w:lang w:eastAsia="zh-Hans"/>
        </w:rPr>
      </w:pPr>
      <w:r>
        <w:rPr>
          <w:rFonts w:ascii="Times New Roman" w:hAnsi="Times New Roman" w:eastAsia="宋体" w:cs="宋体"/>
          <w:kern w:val="0"/>
          <w:sz w:val="24"/>
        </w:rPr>
        <w:t>可按本政协需求设置提案号规则，按照规则对提案进行编号，</w:t>
      </w:r>
      <w:r>
        <w:rPr>
          <w:rFonts w:hint="eastAsia" w:ascii="Times New Roman" w:hAnsi="Times New Roman" w:eastAsia="宋体" w:cs="宋体"/>
          <w:kern w:val="0"/>
          <w:sz w:val="24"/>
          <w:lang w:eastAsia="zh-Hans"/>
        </w:rPr>
        <w:t>支持获取置空的提案号</w:t>
      </w:r>
      <w:r>
        <w:rPr>
          <w:rFonts w:ascii="Times New Roman" w:hAnsi="Times New Roman" w:eastAsia="宋体" w:cs="宋体"/>
          <w:kern w:val="0"/>
          <w:sz w:val="24"/>
          <w:lang w:eastAsia="zh-Hans"/>
        </w:rPr>
        <w:t>。</w:t>
      </w:r>
    </w:p>
    <w:p w14:paraId="188C13A1">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提案内容修改</w:t>
      </w:r>
    </w:p>
    <w:p w14:paraId="4442166E">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审查过程中支持修改提案号、修改提案内容、确定提案类别、提案领域、确定承办单位。</w:t>
      </w:r>
    </w:p>
    <w:p w14:paraId="46DDC475">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智能推荐承办单位</w:t>
      </w:r>
    </w:p>
    <w:p w14:paraId="172E7F34">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可根据提案内容对该提案推荐办理单位，供审查参考。</w:t>
      </w:r>
    </w:p>
    <w:p w14:paraId="6B1ED411">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并案</w:t>
      </w:r>
    </w:p>
    <w:p w14:paraId="01823BDD">
      <w:pPr>
        <w:widowControl/>
        <w:spacing w:line="360" w:lineRule="auto"/>
        <w:ind w:firstLine="496" w:firstLineChars="200"/>
        <w:rPr>
          <w:rFonts w:ascii="Times New Roman" w:hAnsi="Times New Roman" w:eastAsia="宋体" w:cs="宋体"/>
          <w:kern w:val="0"/>
          <w:sz w:val="24"/>
          <w:lang w:eastAsia="zh-Hans"/>
        </w:rPr>
      </w:pPr>
      <w:r>
        <w:rPr>
          <w:rFonts w:ascii="Times New Roman" w:hAnsi="Times New Roman" w:eastAsia="宋体" w:cs="宋体"/>
          <w:kern w:val="0"/>
          <w:sz w:val="24"/>
        </w:rPr>
        <w:t>系统可智能推荐相似提案识别，经过现场评估后，可对相似的多件提案进行并案等操作；</w:t>
      </w:r>
      <w:r>
        <w:rPr>
          <w:rFonts w:hint="eastAsia" w:ascii="Times New Roman" w:hAnsi="Times New Roman" w:eastAsia="宋体" w:cs="宋体"/>
          <w:kern w:val="0"/>
          <w:sz w:val="24"/>
          <w:lang w:eastAsia="zh-Hans"/>
        </w:rPr>
        <w:t>并案后置空原有提案号</w:t>
      </w:r>
      <w:r>
        <w:rPr>
          <w:rFonts w:ascii="Times New Roman" w:hAnsi="Times New Roman" w:eastAsia="宋体" w:cs="宋体"/>
          <w:kern w:val="0"/>
          <w:sz w:val="24"/>
          <w:lang w:eastAsia="zh-Hans"/>
        </w:rPr>
        <w:t>。</w:t>
      </w:r>
    </w:p>
    <w:p w14:paraId="2D91AF49">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default" w:ascii="Times New Roman" w:hAnsi="Times New Roman"/>
          <w:sz w:val="24"/>
          <w:lang w:val="en-US" w:eastAsia="zh-CN"/>
        </w:rPr>
        <w:t>立案/不立案</w:t>
      </w:r>
    </w:p>
    <w:p w14:paraId="17FEC42A">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可在本菜单对提案直接进行立案、不立案（需选择不立案类别）；</w:t>
      </w:r>
    </w:p>
    <w:p w14:paraId="23AB4881">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增加多种智能功能为审查助力，提高提案审查准确性。</w:t>
      </w:r>
    </w:p>
    <w:p w14:paraId="645785EC">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审查结束后支持批量立案、批量一键交办。</w:t>
      </w:r>
    </w:p>
    <w:p w14:paraId="5A078671">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eastAsia" w:ascii="Times New Roman" w:hAnsi="Times New Roman"/>
          <w:sz w:val="24"/>
          <w:lang w:val="en-US" w:eastAsia="zh-CN"/>
        </w:rPr>
        <w:t>转来信</w:t>
      </w:r>
    </w:p>
    <w:p w14:paraId="4961D1F8">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本功能</w:t>
      </w:r>
      <w:r>
        <w:rPr>
          <w:rFonts w:ascii="Times New Roman" w:hAnsi="Times New Roman" w:eastAsia="宋体" w:cs="宋体"/>
          <w:kern w:val="0"/>
          <w:sz w:val="24"/>
        </w:rPr>
        <w:t>对</w:t>
      </w:r>
      <w:r>
        <w:rPr>
          <w:rFonts w:hint="eastAsia" w:ascii="Times New Roman" w:hAnsi="Times New Roman" w:eastAsia="宋体" w:cs="宋体"/>
          <w:kern w:val="0"/>
          <w:sz w:val="24"/>
        </w:rPr>
        <w:t>不能立案的</w:t>
      </w:r>
      <w:r>
        <w:rPr>
          <w:rFonts w:ascii="Times New Roman" w:hAnsi="Times New Roman" w:eastAsia="宋体" w:cs="宋体"/>
          <w:kern w:val="0"/>
          <w:sz w:val="24"/>
        </w:rPr>
        <w:t>提案</w:t>
      </w:r>
      <w:r>
        <w:rPr>
          <w:rFonts w:hint="eastAsia" w:ascii="Times New Roman" w:hAnsi="Times New Roman" w:eastAsia="宋体" w:cs="宋体"/>
          <w:kern w:val="0"/>
          <w:sz w:val="24"/>
        </w:rPr>
        <w:t>，符合来信标准的直接转来信处理</w:t>
      </w:r>
    </w:p>
    <w:p w14:paraId="5C6BC57D">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eastAsia" w:ascii="Times New Roman" w:hAnsi="Times New Roman"/>
          <w:sz w:val="24"/>
          <w:lang w:val="en-US" w:eastAsia="zh-CN"/>
        </w:rPr>
        <w:t>转社情民意</w:t>
      </w:r>
    </w:p>
    <w:p w14:paraId="5B7B273B">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本功能</w:t>
      </w:r>
      <w:r>
        <w:rPr>
          <w:rFonts w:ascii="Times New Roman" w:hAnsi="Times New Roman" w:eastAsia="宋体" w:cs="宋体"/>
          <w:kern w:val="0"/>
          <w:sz w:val="24"/>
        </w:rPr>
        <w:t>对</w:t>
      </w:r>
      <w:r>
        <w:rPr>
          <w:rFonts w:hint="eastAsia" w:ascii="Times New Roman" w:hAnsi="Times New Roman" w:eastAsia="宋体" w:cs="宋体"/>
          <w:kern w:val="0"/>
          <w:sz w:val="24"/>
        </w:rPr>
        <w:t>不能立案的</w:t>
      </w:r>
      <w:r>
        <w:rPr>
          <w:rFonts w:ascii="Times New Roman" w:hAnsi="Times New Roman" w:eastAsia="宋体" w:cs="宋体"/>
          <w:kern w:val="0"/>
          <w:sz w:val="24"/>
        </w:rPr>
        <w:t>提案</w:t>
      </w:r>
      <w:r>
        <w:rPr>
          <w:rFonts w:hint="eastAsia" w:ascii="Times New Roman" w:hAnsi="Times New Roman" w:eastAsia="宋体" w:cs="宋体"/>
          <w:kern w:val="0"/>
          <w:sz w:val="24"/>
        </w:rPr>
        <w:t>，符合社情民意信息标准的直接转社情民意处理</w:t>
      </w:r>
    </w:p>
    <w:p w14:paraId="7389A797">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sz w:val="24"/>
          <w:lang w:val="en-US" w:eastAsia="zh-CN"/>
        </w:rPr>
      </w:pPr>
      <w:r>
        <w:rPr>
          <w:rFonts w:hint="eastAsia" w:ascii="Times New Roman" w:hAnsi="Times New Roman"/>
          <w:sz w:val="24"/>
          <w:lang w:val="en-US" w:eastAsia="zh-Hans"/>
        </w:rPr>
        <w:t>批量打印</w:t>
      </w:r>
    </w:p>
    <w:p w14:paraId="07E6ECB5">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lang w:eastAsia="zh-Hans"/>
        </w:rPr>
        <w:t>本</w:t>
      </w:r>
      <w:r>
        <w:rPr>
          <w:rFonts w:hint="eastAsia" w:ascii="Times New Roman" w:hAnsi="Times New Roman" w:eastAsia="宋体" w:cs="宋体"/>
          <w:kern w:val="0"/>
          <w:sz w:val="24"/>
        </w:rPr>
        <w:t>功能</w:t>
      </w:r>
      <w:r>
        <w:rPr>
          <w:rFonts w:hint="eastAsia" w:ascii="Times New Roman" w:hAnsi="Times New Roman" w:eastAsia="宋体" w:cs="宋体"/>
          <w:kern w:val="0"/>
          <w:sz w:val="24"/>
          <w:lang w:eastAsia="zh-Hans"/>
        </w:rPr>
        <w:t>支持对提案进行批量打印</w:t>
      </w:r>
    </w:p>
    <w:p w14:paraId="5DAE0720">
      <w:pPr>
        <w:keepNext w:val="0"/>
        <w:keepLines w:val="0"/>
        <w:pageBreakBefore w:val="0"/>
        <w:widowControl/>
        <w:numPr>
          <w:ilvl w:val="0"/>
          <w:numId w:val="2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来信</w:t>
      </w:r>
    </w:p>
    <w:p w14:paraId="5257FC4F">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可在本模块查看审查结果为转来信的信息，支持来信目录导出、基本信息导出等；</w:t>
      </w:r>
    </w:p>
    <w:p w14:paraId="71E5D25B">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提供多维度查询条件进行综合查询，方便审查人员快捷查找；</w:t>
      </w:r>
    </w:p>
    <w:p w14:paraId="64F38534">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支持对来信进行编号、修改来信内容、确定类别、领域、确定承办单位、对相似的</w:t>
      </w:r>
      <w:r>
        <w:rPr>
          <w:rFonts w:hint="eastAsia" w:ascii="Times New Roman" w:hAnsi="Times New Roman" w:eastAsia="宋体" w:cs="宋体"/>
          <w:kern w:val="0"/>
          <w:sz w:val="24"/>
          <w:lang w:val="en-US" w:eastAsia="zh-CN"/>
        </w:rPr>
        <w:t>多封</w:t>
      </w:r>
      <w:r>
        <w:rPr>
          <w:rFonts w:ascii="Times New Roman" w:hAnsi="Times New Roman" w:eastAsia="宋体" w:cs="宋体"/>
          <w:kern w:val="0"/>
          <w:sz w:val="24"/>
        </w:rPr>
        <w:t>来信进行合并等操作；</w:t>
      </w:r>
    </w:p>
    <w:p w14:paraId="68645A11">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可对来信进行一键交办。</w:t>
      </w:r>
    </w:p>
    <w:p w14:paraId="450CE3E2">
      <w:pPr>
        <w:keepNext w:val="0"/>
        <w:keepLines w:val="0"/>
        <w:pageBreakBefore w:val="0"/>
        <w:widowControl/>
        <w:numPr>
          <w:ilvl w:val="0"/>
          <w:numId w:val="2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转社情民意信息</w:t>
      </w:r>
    </w:p>
    <w:p w14:paraId="27D41D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sz w:val="24"/>
          <w:lang w:val="en-US" w:eastAsia="zh-CN"/>
        </w:rPr>
      </w:pPr>
      <w:r>
        <w:rPr>
          <w:rFonts w:hint="default" w:ascii="Times New Roman" w:hAnsi="Times New Roman"/>
          <w:sz w:val="24"/>
          <w:lang w:val="en-US" w:eastAsia="zh-CN"/>
        </w:rPr>
        <w:t>可在本模块查看审查结果</w:t>
      </w:r>
      <w:r>
        <w:rPr>
          <w:rFonts w:hint="eastAsia" w:ascii="Times New Roman" w:hAnsi="Times New Roman"/>
          <w:sz w:val="24"/>
          <w:lang w:val="en-US" w:eastAsia="zh-CN"/>
        </w:rPr>
        <w:t>为转社情民意的</w:t>
      </w:r>
      <w:r>
        <w:rPr>
          <w:rFonts w:hint="default" w:ascii="Times New Roman" w:hAnsi="Times New Roman"/>
          <w:sz w:val="24"/>
          <w:lang w:val="en-US" w:eastAsia="zh-CN"/>
        </w:rPr>
        <w:t>信息，支持目录导出、基本信息导出等；</w:t>
      </w:r>
    </w:p>
    <w:p w14:paraId="45A3B82D">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提供多维度查询条件进行综合查询，方便审查人员快捷查找；</w:t>
      </w:r>
    </w:p>
    <w:p w14:paraId="3301DABC">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w:t>
      </w:r>
      <w:r>
        <w:rPr>
          <w:rFonts w:hint="eastAsia" w:ascii="Times New Roman" w:hAnsi="Times New Roman" w:eastAsia="宋体" w:cs="宋体"/>
          <w:kern w:val="0"/>
          <w:sz w:val="24"/>
        </w:rPr>
        <w:t>数据转化格式，一键同步到社情民意系统中</w:t>
      </w:r>
      <w:r>
        <w:rPr>
          <w:rFonts w:ascii="Times New Roman" w:hAnsi="Times New Roman" w:eastAsia="宋体" w:cs="宋体"/>
          <w:kern w:val="0"/>
          <w:sz w:val="24"/>
        </w:rPr>
        <w:t>。</w:t>
      </w:r>
    </w:p>
    <w:p w14:paraId="5AB1D393">
      <w:pPr>
        <w:keepNext w:val="0"/>
        <w:keepLines w:val="0"/>
        <w:pageBreakBefore w:val="0"/>
        <w:widowControl/>
        <w:numPr>
          <w:ilvl w:val="0"/>
          <w:numId w:val="2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提案交办</w:t>
      </w:r>
    </w:p>
    <w:p w14:paraId="692F4695">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提案委/两办单位可在本模块查看所有已立案待交办的提案，同时提供多维度查询条件进行综合查询，方便审查人员快捷查找，</w:t>
      </w:r>
      <w:r>
        <w:rPr>
          <w:rFonts w:hint="eastAsia" w:ascii="Times New Roman" w:hAnsi="Times New Roman" w:eastAsia="宋体" w:cs="宋体"/>
          <w:kern w:val="0"/>
          <w:sz w:val="24"/>
          <w:lang w:eastAsia="zh-Hans"/>
        </w:rPr>
        <w:t>确定主办单位</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分办单位</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协办单位</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其中主办单位只可单选</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分办单位和协办单位支持多选</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三类单位必填一项</w:t>
      </w:r>
      <w:r>
        <w:rPr>
          <w:rFonts w:ascii="Times New Roman" w:hAnsi="Times New Roman" w:eastAsia="宋体" w:cs="宋体"/>
          <w:kern w:val="0"/>
          <w:sz w:val="24"/>
          <w:lang w:eastAsia="zh-Hans"/>
        </w:rPr>
        <w:t>，</w:t>
      </w:r>
      <w:r>
        <w:rPr>
          <w:rFonts w:ascii="Times New Roman" w:hAnsi="Times New Roman" w:eastAsia="宋体" w:cs="宋体"/>
          <w:kern w:val="0"/>
          <w:sz w:val="24"/>
        </w:rPr>
        <w:t>支持一键交办给相应的承办单位进行办理。</w:t>
      </w:r>
    </w:p>
    <w:p w14:paraId="0DBA650C">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对申请调整承办单位的提案进行审核处理</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根据实际情况判断是否需要更换单位</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更改后可再次进行交办</w:t>
      </w:r>
      <w:r>
        <w:rPr>
          <w:rFonts w:ascii="Times New Roman" w:hAnsi="Times New Roman" w:eastAsia="宋体" w:cs="宋体"/>
          <w:kern w:val="0"/>
          <w:sz w:val="24"/>
          <w:lang w:eastAsia="zh-Hans"/>
        </w:rPr>
        <w:t>。</w:t>
      </w:r>
    </w:p>
    <w:p w14:paraId="155CAD7E">
      <w:pPr>
        <w:keepNext w:val="0"/>
        <w:keepLines w:val="0"/>
        <w:pageBreakBefore w:val="0"/>
        <w:widowControl/>
        <w:numPr>
          <w:ilvl w:val="0"/>
          <w:numId w:val="2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提案预交办</w:t>
      </w:r>
    </w:p>
    <w:p w14:paraId="550B14D5">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提案委/两办单位可在正式交办之前对提案进行预交办，承办单位可对是否办理该提案进行反馈意见，交办人员查看后经评估后再进行正式交办。</w:t>
      </w:r>
    </w:p>
    <w:p w14:paraId="4EF83241">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支持批量预交办。</w:t>
      </w:r>
    </w:p>
    <w:p w14:paraId="092A9D9C">
      <w:pPr>
        <w:bidi w:val="0"/>
        <w:rPr>
          <w:kern w:val="0"/>
        </w:rPr>
      </w:pPr>
      <w:r>
        <w:rPr>
          <w:rFonts w:hint="eastAsia" w:ascii="宋体" w:hAnsi="宋体" w:eastAsia="宋体" w:cs="宋体"/>
          <w:kern w:val="0"/>
          <w:sz w:val="24"/>
          <w:szCs w:val="24"/>
          <w:lang w:val="en-US" w:eastAsia="zh-CN" w:bidi="ar-SA"/>
        </w:rPr>
        <w:t>4.2.3.1.4</w:t>
      </w:r>
      <w:r>
        <w:rPr>
          <w:kern w:val="0"/>
        </w:rPr>
        <w:t>提案办理</w:t>
      </w:r>
    </w:p>
    <w:p w14:paraId="156B854F">
      <w:pPr>
        <w:keepNext w:val="0"/>
        <w:keepLines w:val="0"/>
        <w:pageBreakBefore w:val="0"/>
        <w:widowControl/>
        <w:numPr>
          <w:ilvl w:val="0"/>
          <w:numId w:val="3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提案办理</w:t>
      </w:r>
    </w:p>
    <w:p w14:paraId="7540E533">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承办单位可查看本单位主办、</w:t>
      </w:r>
      <w:r>
        <w:rPr>
          <w:rFonts w:hint="eastAsia" w:ascii="Times New Roman" w:hAnsi="Times New Roman" w:eastAsia="宋体" w:cs="宋体"/>
          <w:kern w:val="0"/>
          <w:sz w:val="24"/>
          <w:lang w:eastAsia="zh-Hans"/>
        </w:rPr>
        <w:t>分办</w:t>
      </w:r>
      <w:r>
        <w:rPr>
          <w:rFonts w:ascii="Times New Roman" w:hAnsi="Times New Roman" w:eastAsia="宋体" w:cs="宋体"/>
          <w:kern w:val="0"/>
          <w:sz w:val="24"/>
          <w:lang w:eastAsia="zh-Hans"/>
        </w:rPr>
        <w:t>、</w:t>
      </w:r>
      <w:r>
        <w:rPr>
          <w:rFonts w:ascii="Times New Roman" w:hAnsi="Times New Roman" w:eastAsia="宋体" w:cs="宋体"/>
          <w:kern w:val="0"/>
          <w:sz w:val="24"/>
        </w:rPr>
        <w:t>协办的所有提案，包括需要办理的来信、重点提案信息，同时提供多维度查询条件对提案进行综合查询，方便单位人员快捷查找提案；设置了提案目录导出、提案基本信息导出等功能。</w:t>
      </w:r>
    </w:p>
    <w:p w14:paraId="57E9CE4C">
      <w:pPr>
        <w:keepNext w:val="0"/>
        <w:keepLines w:val="0"/>
        <w:pageBreakBefore w:val="0"/>
        <w:widowControl/>
        <w:numPr>
          <w:ilvl w:val="0"/>
          <w:numId w:val="3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预交办反馈</w:t>
      </w:r>
    </w:p>
    <w:p w14:paraId="68167897">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承办单位可在本模块查看预交办过来提案，可对是否本单位办理这件提案进行意见反馈，反馈后再等待交办人员的正式交办。</w:t>
      </w:r>
    </w:p>
    <w:p w14:paraId="3A1434D0">
      <w:pPr>
        <w:keepNext w:val="0"/>
        <w:keepLines w:val="0"/>
        <w:pageBreakBefore w:val="0"/>
        <w:widowControl/>
        <w:numPr>
          <w:ilvl w:val="0"/>
          <w:numId w:val="3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提案办理协商</w:t>
      </w:r>
    </w:p>
    <w:p w14:paraId="1177080C">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支持针对提案的所有相关人员建立协商群，进行办理协商</w:t>
      </w:r>
      <w:r>
        <w:rPr>
          <w:rFonts w:hint="eastAsia" w:ascii="Times New Roman" w:hAnsi="Times New Roman" w:eastAsia="宋体" w:cs="宋体"/>
          <w:kern w:val="0"/>
          <w:sz w:val="24"/>
        </w:rPr>
        <w:t>；</w:t>
      </w:r>
      <w:r>
        <w:rPr>
          <w:rFonts w:ascii="Times New Roman" w:hAnsi="Times New Roman" w:eastAsia="宋体" w:cs="宋体"/>
          <w:kern w:val="0"/>
          <w:sz w:val="24"/>
        </w:rPr>
        <w:t>支持通过输入协商题目进行查询。</w:t>
      </w:r>
    </w:p>
    <w:p w14:paraId="1C750A2B">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承办单位可设置管理经办人，进行协商</w:t>
      </w:r>
      <w:r>
        <w:rPr>
          <w:rFonts w:hint="eastAsia" w:ascii="Times New Roman" w:hAnsi="Times New Roman" w:eastAsia="宋体" w:cs="宋体"/>
          <w:kern w:val="0"/>
          <w:sz w:val="24"/>
        </w:rPr>
        <w:t>，</w:t>
      </w:r>
      <w:r>
        <w:rPr>
          <w:rFonts w:ascii="Times New Roman" w:hAnsi="Times New Roman" w:eastAsia="宋体" w:cs="宋体"/>
          <w:kern w:val="0"/>
          <w:sz w:val="24"/>
        </w:rPr>
        <w:t>承办单位签收之后，可默认生成协商群。</w:t>
      </w:r>
    </w:p>
    <w:p w14:paraId="57F761A9">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提案人参与协商，可通过“我的提案”列表中登入</w:t>
      </w:r>
      <w:r>
        <w:rPr>
          <w:rFonts w:hint="eastAsia" w:ascii="Times New Roman" w:hAnsi="Times New Roman" w:eastAsia="宋体" w:cs="宋体"/>
          <w:kern w:val="0"/>
          <w:sz w:val="24"/>
        </w:rPr>
        <w:t>，</w:t>
      </w:r>
      <w:r>
        <w:rPr>
          <w:rFonts w:ascii="Times New Roman" w:hAnsi="Times New Roman" w:eastAsia="宋体" w:cs="宋体"/>
          <w:kern w:val="0"/>
          <w:sz w:val="24"/>
        </w:rPr>
        <w:t>承办单位参与协商，可通过“提案办理”列表中登入。</w:t>
      </w:r>
    </w:p>
    <w:p w14:paraId="062F889A">
      <w:pPr>
        <w:keepNext w:val="0"/>
        <w:keepLines w:val="0"/>
        <w:pageBreakBefore w:val="0"/>
        <w:widowControl/>
        <w:numPr>
          <w:ilvl w:val="0"/>
          <w:numId w:val="3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办理协商管理</w:t>
      </w:r>
    </w:p>
    <w:p w14:paraId="14D39350">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支持对提案协商群的人员进行管理，同时对协商群的基本信息进行管理。</w:t>
      </w:r>
    </w:p>
    <w:p w14:paraId="206083EC">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支持通过输入提案号、协商题目进行查询。</w:t>
      </w:r>
    </w:p>
    <w:p w14:paraId="4435C2A3">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支持敏感词屏蔽</w:t>
      </w:r>
    </w:p>
    <w:p w14:paraId="0AC560E3">
      <w:pPr>
        <w:keepNext w:val="0"/>
        <w:keepLines w:val="0"/>
        <w:pageBreakBefore w:val="0"/>
        <w:widowControl/>
        <w:numPr>
          <w:ilvl w:val="0"/>
          <w:numId w:val="3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提案经办人</w:t>
      </w:r>
    </w:p>
    <w:p w14:paraId="4B868AB1">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支持承办单位针对某个提案设置提案经办人，对提案人进行协商交流。</w:t>
      </w:r>
    </w:p>
    <w:p w14:paraId="18118E53">
      <w:pPr>
        <w:keepNext w:val="0"/>
        <w:keepLines w:val="0"/>
        <w:pageBreakBefore w:val="0"/>
        <w:widowControl/>
        <w:numPr>
          <w:ilvl w:val="0"/>
          <w:numId w:val="3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提案催办</w:t>
      </w:r>
    </w:p>
    <w:p w14:paraId="34010FF3">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可对长时间未签收、未办理提案的承办单位以及办理完成后长时间未反馈的提案者发送短信进行提醒。</w:t>
      </w:r>
    </w:p>
    <w:p w14:paraId="276DBB45">
      <w:pPr>
        <w:keepNext w:val="0"/>
        <w:keepLines w:val="0"/>
        <w:pageBreakBefore w:val="0"/>
        <w:widowControl/>
        <w:numPr>
          <w:ilvl w:val="0"/>
          <w:numId w:val="3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催办</w:t>
      </w:r>
      <w:r>
        <w:rPr>
          <w:rFonts w:hint="eastAsia" w:ascii="Times New Roman" w:hAnsi="Times New Roman" w:eastAsia="宋体" w:cs="宋体"/>
          <w:kern w:val="0"/>
          <w:sz w:val="24"/>
          <w:szCs w:val="22"/>
          <w:lang w:val="en-US" w:eastAsia="zh-CN"/>
        </w:rPr>
        <w:t>模板</w:t>
      </w:r>
    </w:p>
    <w:p w14:paraId="3D9B6CEA">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可对长时间未签收、未办理提案的主办单位、会办单位以及办理完成后长时间未反馈的提案者的催办</w:t>
      </w:r>
      <w:r>
        <w:rPr>
          <w:rFonts w:hint="eastAsia" w:ascii="Times New Roman" w:hAnsi="Times New Roman" w:eastAsia="宋体" w:cs="宋体"/>
          <w:kern w:val="0"/>
          <w:sz w:val="24"/>
          <w:lang w:val="en-US" w:eastAsia="zh-CN"/>
        </w:rPr>
        <w:t>信息模板</w:t>
      </w:r>
      <w:r>
        <w:rPr>
          <w:rFonts w:ascii="Times New Roman" w:hAnsi="Times New Roman" w:eastAsia="宋体" w:cs="宋体"/>
          <w:kern w:val="0"/>
          <w:sz w:val="24"/>
        </w:rPr>
        <w:t>进行配置。</w:t>
      </w:r>
    </w:p>
    <w:p w14:paraId="405F8528">
      <w:pPr>
        <w:keepNext w:val="0"/>
        <w:keepLines w:val="0"/>
        <w:pageBreakBefore w:val="0"/>
        <w:widowControl/>
        <w:numPr>
          <w:ilvl w:val="0"/>
          <w:numId w:val="3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历史催办信息</w:t>
      </w:r>
    </w:p>
    <w:p w14:paraId="37997BA6">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查看历史催办记录，支持时间查询。</w:t>
      </w:r>
    </w:p>
    <w:p w14:paraId="21D9E783">
      <w:pPr>
        <w:keepNext w:val="0"/>
        <w:keepLines w:val="0"/>
        <w:pageBreakBefore w:val="0"/>
        <w:widowControl/>
        <w:numPr>
          <w:ilvl w:val="0"/>
          <w:numId w:val="3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委员反馈</w:t>
      </w:r>
    </w:p>
    <w:p w14:paraId="45D71116">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承办单位可查看本单位已办结提案的反馈情况，包括反馈人、反馈时间、办理态度反馈、办理结果反馈等信息。</w:t>
      </w:r>
    </w:p>
    <w:p w14:paraId="3E7E8551">
      <w:pPr>
        <w:bidi w:val="0"/>
        <w:rPr>
          <w:kern w:val="0"/>
        </w:rPr>
      </w:pPr>
      <w:r>
        <w:rPr>
          <w:rFonts w:hint="eastAsia" w:ascii="宋体" w:hAnsi="宋体" w:eastAsia="宋体" w:cs="宋体"/>
          <w:kern w:val="0"/>
          <w:sz w:val="24"/>
          <w:szCs w:val="24"/>
          <w:lang w:val="en-US" w:eastAsia="zh-CN" w:bidi="ar-SA"/>
        </w:rPr>
        <w:t>4.2.3.1.5</w:t>
      </w:r>
      <w:r>
        <w:rPr>
          <w:kern w:val="0"/>
        </w:rPr>
        <w:t>评议和表彰</w:t>
      </w:r>
    </w:p>
    <w:p w14:paraId="0609C6A2">
      <w:pPr>
        <w:keepNext w:val="0"/>
        <w:keepLines w:val="0"/>
        <w:pageBreakBefore w:val="0"/>
        <w:widowControl/>
        <w:numPr>
          <w:ilvl w:val="0"/>
          <w:numId w:val="3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质量评价</w:t>
      </w:r>
    </w:p>
    <w:p w14:paraId="3595394F">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lang w:eastAsia="zh-Hans"/>
        </w:rPr>
        <w:t>承办单位上传答复意见时</w:t>
      </w:r>
      <w:r>
        <w:rPr>
          <w:rFonts w:ascii="Times New Roman" w:hAnsi="Times New Roman" w:eastAsia="宋体" w:cs="宋体"/>
          <w:kern w:val="0"/>
          <w:sz w:val="24"/>
        </w:rPr>
        <w:t>，</w:t>
      </w:r>
      <w:r>
        <w:rPr>
          <w:rFonts w:hint="eastAsia" w:ascii="Times New Roman" w:hAnsi="Times New Roman" w:eastAsia="宋体" w:cs="宋体"/>
          <w:kern w:val="0"/>
          <w:sz w:val="24"/>
          <w:lang w:eastAsia="zh-Hans"/>
        </w:rPr>
        <w:t>需</w:t>
      </w:r>
      <w:r>
        <w:rPr>
          <w:rFonts w:ascii="Times New Roman" w:hAnsi="Times New Roman" w:eastAsia="宋体" w:cs="宋体"/>
          <w:kern w:val="0"/>
          <w:sz w:val="24"/>
        </w:rPr>
        <w:t>对提案质量进行</w:t>
      </w:r>
      <w:r>
        <w:rPr>
          <w:rFonts w:hint="eastAsia" w:ascii="Times New Roman" w:hAnsi="Times New Roman" w:eastAsia="宋体" w:cs="宋体"/>
          <w:kern w:val="0"/>
          <w:sz w:val="24"/>
          <w:lang w:eastAsia="zh-Hans"/>
        </w:rPr>
        <w:t>评价</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提交提案质量评价表</w:t>
      </w:r>
      <w:r>
        <w:rPr>
          <w:rFonts w:ascii="Times New Roman" w:hAnsi="Times New Roman" w:eastAsia="宋体" w:cs="宋体"/>
          <w:kern w:val="0"/>
          <w:sz w:val="24"/>
        </w:rPr>
        <w:t>，</w:t>
      </w:r>
      <w:r>
        <w:rPr>
          <w:rFonts w:hint="eastAsia" w:ascii="Times New Roman" w:hAnsi="Times New Roman" w:eastAsia="宋体" w:cs="宋体"/>
          <w:kern w:val="0"/>
          <w:sz w:val="24"/>
          <w:lang w:eastAsia="zh-Hans"/>
        </w:rPr>
        <w:t>完成双向评价</w:t>
      </w:r>
      <w:r>
        <w:rPr>
          <w:rFonts w:ascii="Times New Roman" w:hAnsi="Times New Roman" w:eastAsia="宋体" w:cs="宋体"/>
          <w:kern w:val="0"/>
          <w:sz w:val="24"/>
        </w:rPr>
        <w:t>。</w:t>
      </w:r>
    </w:p>
    <w:p w14:paraId="1266A809">
      <w:pPr>
        <w:keepNext w:val="0"/>
        <w:keepLines w:val="0"/>
        <w:pageBreakBefore w:val="0"/>
        <w:widowControl/>
        <w:numPr>
          <w:ilvl w:val="0"/>
          <w:numId w:val="3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优秀提案评选</w:t>
      </w:r>
    </w:p>
    <w:p w14:paraId="4E7FB403">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提案者可在本模块参与优秀提案评选，包括问卷、投票等，同时提供每个参与优秀评选提案的统计功能，方便查看统计结果。</w:t>
      </w:r>
    </w:p>
    <w:p w14:paraId="1700D38E">
      <w:pPr>
        <w:keepNext w:val="0"/>
        <w:keepLines w:val="0"/>
        <w:pageBreakBefore w:val="0"/>
        <w:widowControl/>
        <w:numPr>
          <w:ilvl w:val="0"/>
          <w:numId w:val="3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重点提案遴选</w:t>
      </w:r>
    </w:p>
    <w:p w14:paraId="4441F739">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提案者可在本模块参与重点提案评选，包括问卷、投票等，同时提供每个参与重点提案遴选提案的统计功能，方便查看统计结果。</w:t>
      </w:r>
    </w:p>
    <w:p w14:paraId="401D433C">
      <w:pPr>
        <w:bidi w:val="0"/>
        <w:rPr>
          <w:kern w:val="0"/>
        </w:rPr>
      </w:pPr>
      <w:r>
        <w:rPr>
          <w:rFonts w:hint="eastAsia" w:ascii="宋体" w:hAnsi="宋体" w:eastAsia="宋体" w:cs="宋体"/>
          <w:kern w:val="0"/>
          <w:sz w:val="24"/>
          <w:szCs w:val="24"/>
          <w:lang w:val="en-US" w:eastAsia="zh-CN" w:bidi="ar-SA"/>
        </w:rPr>
        <w:t>4.2.3.1.6</w:t>
      </w:r>
      <w:r>
        <w:rPr>
          <w:kern w:val="0"/>
        </w:rPr>
        <w:t>重点提案协办督办</w:t>
      </w:r>
    </w:p>
    <w:p w14:paraId="12DCE108">
      <w:pPr>
        <w:keepNext w:val="0"/>
        <w:keepLines w:val="0"/>
        <w:pageBreakBefore w:val="0"/>
        <w:widowControl/>
        <w:numPr>
          <w:ilvl w:val="0"/>
          <w:numId w:val="3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重点提案推荐</w:t>
      </w:r>
    </w:p>
    <w:p w14:paraId="0BCC4949">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提案推荐：通过设置，提案者，提案办理单位可以对</w:t>
      </w:r>
      <w:r>
        <w:rPr>
          <w:rFonts w:hint="eastAsia" w:ascii="Times New Roman" w:hAnsi="Times New Roman" w:eastAsia="宋体" w:cs="宋体"/>
          <w:kern w:val="0"/>
          <w:sz w:val="24"/>
          <w:lang w:val="en-US" w:eastAsia="zh-CN"/>
        </w:rPr>
        <w:t>本</w:t>
      </w:r>
      <w:r>
        <w:rPr>
          <w:rFonts w:ascii="Times New Roman" w:hAnsi="Times New Roman" w:eastAsia="宋体" w:cs="宋体"/>
          <w:kern w:val="0"/>
          <w:sz w:val="24"/>
        </w:rPr>
        <w:t>次提案进行投票表决。每人限投件数，限投件数可以配置。</w:t>
      </w:r>
    </w:p>
    <w:p w14:paraId="74AF99F2">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投票结果统计：系统统计投票人数及每件投票的情况。</w:t>
      </w:r>
    </w:p>
    <w:p w14:paraId="372992D2">
      <w:pPr>
        <w:keepNext w:val="0"/>
        <w:keepLines w:val="0"/>
        <w:pageBreakBefore w:val="0"/>
        <w:widowControl/>
        <w:numPr>
          <w:ilvl w:val="0"/>
          <w:numId w:val="3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重点提案组设置</w:t>
      </w:r>
    </w:p>
    <w:p w14:paraId="0665CC0A">
      <w:pPr>
        <w:widowControl/>
        <w:spacing w:line="360" w:lineRule="auto"/>
        <w:ind w:firstLine="496" w:firstLineChars="200"/>
        <w:rPr>
          <w:rFonts w:hint="eastAsia" w:ascii="Times New Roman" w:hAnsi="Times New Roman" w:eastAsia="宋体" w:cs="宋体"/>
          <w:kern w:val="0"/>
          <w:sz w:val="24"/>
        </w:rPr>
      </w:pPr>
      <w:r>
        <w:rPr>
          <w:rFonts w:ascii="Times New Roman" w:hAnsi="Times New Roman" w:eastAsia="宋体" w:cs="宋体"/>
          <w:kern w:val="0"/>
          <w:sz w:val="24"/>
        </w:rPr>
        <w:t>把重点提案按照领办督办组设置，类似提案合并处理。同时设置领办、协办领导信息。</w:t>
      </w:r>
    </w:p>
    <w:p w14:paraId="74A32ADC">
      <w:pPr>
        <w:keepNext w:val="0"/>
        <w:keepLines w:val="0"/>
        <w:pageBreakBefore w:val="0"/>
        <w:widowControl/>
        <w:numPr>
          <w:ilvl w:val="0"/>
          <w:numId w:val="3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重点领办督办</w:t>
      </w:r>
    </w:p>
    <w:p w14:paraId="09F8D132">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办理方案管理</w:t>
      </w:r>
    </w:p>
    <w:p w14:paraId="5CA46E1F">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办理方案管理功能包含标题，方案内容，支持PDF附件上传。</w:t>
      </w:r>
    </w:p>
    <w:p w14:paraId="2206CE92">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新增调研和办理情况管理</w:t>
      </w:r>
    </w:p>
    <w:p w14:paraId="2B374B11">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调研和办理情况功能包含标题，现场风采，办理简讯（宣传报道）等内容。</w:t>
      </w:r>
    </w:p>
    <w:p w14:paraId="7ACFEA1C">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新增办理会汇报相关资料</w:t>
      </w:r>
    </w:p>
    <w:p w14:paraId="7603A710">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包括资料标题</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内容</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附件等信息</w:t>
      </w:r>
      <w:r>
        <w:rPr>
          <w:rFonts w:ascii="Times New Roman" w:hAnsi="Times New Roman" w:eastAsia="宋体" w:cs="宋体"/>
          <w:kern w:val="0"/>
          <w:sz w:val="24"/>
          <w:lang w:eastAsia="zh-Hans"/>
        </w:rPr>
        <w:t>。</w:t>
      </w:r>
    </w:p>
    <w:p w14:paraId="267F9653">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领导讲话稿</w:t>
      </w:r>
    </w:p>
    <w:p w14:paraId="171AB1A4">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包括标题</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内容</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附件等信息</w:t>
      </w:r>
    </w:p>
    <w:p w14:paraId="42668F36">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重点提案详细信息</w:t>
      </w:r>
    </w:p>
    <w:p w14:paraId="2CE9FF9B">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PC端可通过进度条展示重点提案详细信息，可查看重点提案的进度：提案提交、审查立案、提案交办、提案办理、提案评价。在重点提案详情PC端页面中，新增重点提案办理流程，承办单位按照可根据本流程上传办理的相关信息。</w:t>
      </w:r>
    </w:p>
    <w:p w14:paraId="04572FF2">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重点提案办理流程</w:t>
      </w:r>
    </w:p>
    <w:p w14:paraId="37BA06DA">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在重点提案详情移动端页面中，新增重点提案办理流程，先出办理方案，上传调研和办理情况，最后上传办理结果。</w:t>
      </w:r>
    </w:p>
    <w:p w14:paraId="41447FA6">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lang w:eastAsia="zh-Hans"/>
        </w:rPr>
        <w:t>办理方案</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调研情况</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办理会汇报相关资料</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领导讲话稿</w:t>
      </w:r>
      <w:r>
        <w:rPr>
          <w:rFonts w:ascii="Times New Roman" w:hAnsi="Times New Roman" w:eastAsia="宋体" w:cs="宋体"/>
          <w:kern w:val="0"/>
          <w:sz w:val="24"/>
          <w:lang w:eastAsia="zh-Hans"/>
        </w:rPr>
        <w:t>、</w:t>
      </w:r>
      <w:r>
        <w:rPr>
          <w:rFonts w:hint="eastAsia" w:ascii="Times New Roman" w:hAnsi="Times New Roman" w:eastAsia="宋体" w:cs="宋体"/>
          <w:kern w:val="0"/>
          <w:sz w:val="24"/>
          <w:lang w:eastAsia="zh-Hans"/>
        </w:rPr>
        <w:t>办理答复意见等内</w:t>
      </w:r>
    </w:p>
    <w:p w14:paraId="6CB72DAC">
      <w:pPr>
        <w:keepNext w:val="0"/>
        <w:keepLines w:val="0"/>
        <w:pageBreakBefore w:val="0"/>
        <w:widowControl/>
        <w:numPr>
          <w:ilvl w:val="0"/>
          <w:numId w:val="3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协办督办文件管理</w:t>
      </w:r>
    </w:p>
    <w:p w14:paraId="28EBFEF8">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对协办督办文件进行管理，支持新增、修改、删除操作</w:t>
      </w:r>
    </w:p>
    <w:p w14:paraId="684429BC">
      <w:pPr>
        <w:keepNext w:val="0"/>
        <w:keepLines w:val="0"/>
        <w:pageBreakBefore w:val="0"/>
        <w:widowControl/>
        <w:numPr>
          <w:ilvl w:val="0"/>
          <w:numId w:val="3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跟踪督办</w:t>
      </w:r>
    </w:p>
    <w:p w14:paraId="579CCBA4">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对某些重点提案进行跟踪设置，支持取消跟踪操作。</w:t>
      </w:r>
    </w:p>
    <w:p w14:paraId="79257C29">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支持通过开始届次、结束届次、提案号、案由、承办单位身份、承办单位、提案类型进行查询，并列表展示。</w:t>
      </w:r>
    </w:p>
    <w:p w14:paraId="7C365C21">
      <w:pPr>
        <w:keepNext w:val="0"/>
        <w:keepLines w:val="0"/>
        <w:pageBreakBefore w:val="0"/>
        <w:widowControl/>
        <w:numPr>
          <w:ilvl w:val="0"/>
          <w:numId w:val="3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历史重点提案</w:t>
      </w:r>
    </w:p>
    <w:p w14:paraId="2A4D02E0">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重点提案信息查询功能，可通过开始和结束届次、提案组、领办领导等进行查询。</w:t>
      </w:r>
    </w:p>
    <w:p w14:paraId="7A3C1914">
      <w:pPr>
        <w:bidi w:val="0"/>
        <w:rPr>
          <w:kern w:val="0"/>
        </w:rPr>
      </w:pPr>
      <w:r>
        <w:rPr>
          <w:rFonts w:hint="eastAsia" w:ascii="宋体" w:hAnsi="宋体" w:eastAsia="宋体" w:cs="宋体"/>
          <w:kern w:val="0"/>
          <w:sz w:val="24"/>
          <w:szCs w:val="24"/>
          <w:lang w:val="en-US" w:eastAsia="zh-CN" w:bidi="ar-SA"/>
        </w:rPr>
        <w:t>4.2.3.1.7</w:t>
      </w:r>
      <w:r>
        <w:rPr>
          <w:kern w:val="0"/>
        </w:rPr>
        <w:t>服务管理</w:t>
      </w:r>
    </w:p>
    <w:p w14:paraId="0C6FAA81">
      <w:pPr>
        <w:keepNext w:val="0"/>
        <w:keepLines w:val="0"/>
        <w:pageBreakBefore w:val="0"/>
        <w:widowControl/>
        <w:numPr>
          <w:ilvl w:val="0"/>
          <w:numId w:val="3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提案评定</w:t>
      </w:r>
    </w:p>
    <w:p w14:paraId="7D0F570D">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对优秀提案、重点提案，进行评定，标记设置。同时可以对优秀提案、重点提案，</w:t>
      </w:r>
      <w:r>
        <w:rPr>
          <w:rFonts w:hint="eastAsia" w:ascii="Times New Roman" w:hAnsi="Times New Roman" w:eastAsia="宋体" w:cs="宋体"/>
          <w:kern w:val="0"/>
          <w:sz w:val="24"/>
          <w:lang w:eastAsia="zh-Hans"/>
        </w:rPr>
        <w:t>并案后的新</w:t>
      </w:r>
      <w:r>
        <w:rPr>
          <w:rFonts w:ascii="Times New Roman" w:hAnsi="Times New Roman" w:eastAsia="宋体" w:cs="宋体"/>
          <w:kern w:val="0"/>
          <w:sz w:val="24"/>
        </w:rPr>
        <w:t>提案进行查询。</w:t>
      </w:r>
    </w:p>
    <w:p w14:paraId="738305EC">
      <w:pPr>
        <w:keepNext w:val="0"/>
        <w:keepLines w:val="0"/>
        <w:pageBreakBefore w:val="0"/>
        <w:widowControl/>
        <w:numPr>
          <w:ilvl w:val="0"/>
          <w:numId w:val="3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提案归档</w:t>
      </w:r>
    </w:p>
    <w:p w14:paraId="08315BD5">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对</w:t>
      </w:r>
      <w:r>
        <w:rPr>
          <w:rFonts w:hint="eastAsia" w:ascii="Times New Roman" w:hAnsi="Times New Roman" w:eastAsia="宋体" w:cs="宋体"/>
          <w:kern w:val="0"/>
          <w:sz w:val="24"/>
          <w:lang w:val="en-US" w:eastAsia="zh-CN"/>
        </w:rPr>
        <w:t>历届</w:t>
      </w:r>
      <w:r>
        <w:rPr>
          <w:rFonts w:ascii="Times New Roman" w:hAnsi="Times New Roman" w:eastAsia="宋体" w:cs="宋体"/>
          <w:kern w:val="0"/>
          <w:sz w:val="24"/>
        </w:rPr>
        <w:t>办结的提案进行归档。归档之后的提案将不能进行操作。</w:t>
      </w:r>
    </w:p>
    <w:p w14:paraId="5B7BC7B3">
      <w:pPr>
        <w:keepNext w:val="0"/>
        <w:keepLines w:val="0"/>
        <w:pageBreakBefore w:val="0"/>
        <w:widowControl/>
        <w:numPr>
          <w:ilvl w:val="0"/>
          <w:numId w:val="3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提案评选配置</w:t>
      </w:r>
    </w:p>
    <w:p w14:paraId="6B0E1CE8">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评选设置包括重点提案评选设置和优秀提案评选设置。</w:t>
      </w:r>
    </w:p>
    <w:p w14:paraId="2E89AEF3">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新增评选设置，配置评选主题，评选范围，评选起止时间，评选说明，评选方式包括投票方式，问卷方式。</w:t>
      </w:r>
    </w:p>
    <w:p w14:paraId="629E0CC4">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评选设置管理，对评选设置进行查询，修改，删除等。</w:t>
      </w:r>
    </w:p>
    <w:p w14:paraId="585A889B">
      <w:pPr>
        <w:keepNext w:val="0"/>
        <w:keepLines w:val="0"/>
        <w:pageBreakBefore w:val="0"/>
        <w:widowControl/>
        <w:numPr>
          <w:ilvl w:val="0"/>
          <w:numId w:val="3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大会提案设置</w:t>
      </w:r>
    </w:p>
    <w:p w14:paraId="44F928C6">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大会提案提交时间段设置，可以精确到小时。</w:t>
      </w:r>
    </w:p>
    <w:p w14:paraId="2E4796DF">
      <w:pPr>
        <w:keepNext w:val="0"/>
        <w:keepLines w:val="0"/>
        <w:pageBreakBefore w:val="0"/>
        <w:widowControl/>
        <w:numPr>
          <w:ilvl w:val="0"/>
          <w:numId w:val="3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提案全局配置</w:t>
      </w:r>
    </w:p>
    <w:p w14:paraId="15281D52">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对提交交办方式设置，提案号规则设置，拒签设置，退办设置，协商群设置等。</w:t>
      </w:r>
    </w:p>
    <w:p w14:paraId="178B4F12">
      <w:pPr>
        <w:keepNext w:val="0"/>
        <w:keepLines w:val="0"/>
        <w:pageBreakBefore w:val="0"/>
        <w:widowControl/>
        <w:numPr>
          <w:ilvl w:val="0"/>
          <w:numId w:val="3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提案总体情况</w:t>
      </w:r>
    </w:p>
    <w:p w14:paraId="16A30AF4">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提案总体情况列表，通过届次，提案号，案由，提案类型，提案状态，提案者，承办单位等信息查询提案，参与提案情况，办理情况，反馈情况。</w:t>
      </w:r>
    </w:p>
    <w:p w14:paraId="714D1C2B">
      <w:pPr>
        <w:bidi w:val="0"/>
        <w:rPr>
          <w:kern w:val="0"/>
        </w:rPr>
      </w:pPr>
      <w:r>
        <w:rPr>
          <w:rFonts w:hint="eastAsia" w:ascii="宋体" w:hAnsi="宋体" w:eastAsia="宋体" w:cs="宋体"/>
          <w:kern w:val="0"/>
          <w:sz w:val="24"/>
          <w:szCs w:val="24"/>
          <w:lang w:val="en-US" w:eastAsia="zh-CN" w:bidi="ar-SA"/>
        </w:rPr>
        <w:t>4.2.3.1.8</w:t>
      </w:r>
      <w:r>
        <w:rPr>
          <w:kern w:val="0"/>
        </w:rPr>
        <w:t>提案查询统计</w:t>
      </w:r>
    </w:p>
    <w:p w14:paraId="28C69C2F">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提案查询</w:t>
      </w:r>
    </w:p>
    <w:p w14:paraId="7CC9ACF6">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提供多种查询条件组合查询提案数据，列表展示提案基本信息，包括提案号、案由、领衔人、届次、提案领域、提案类别、主办单位、会办单位，支持点击查看提案详情。同时提案目录可直接导出。</w:t>
      </w:r>
    </w:p>
    <w:p w14:paraId="3DF7D9E9">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提案查看</w:t>
      </w:r>
    </w:p>
    <w:p w14:paraId="678BA9B3">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提供多种查询条件组合查询公开的提案数据，列表展示提案基本信息，包括案由、领衔人、届次、提案领域、提案类别。</w:t>
      </w:r>
    </w:p>
    <w:p w14:paraId="1D658D25">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提案总体情况统计</w:t>
      </w:r>
    </w:p>
    <w:p w14:paraId="2D900563">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从提案者、提案领域、提案类别三个维度出发，统计每届次提案的提交、审查件数以及所占比例情况。</w:t>
      </w:r>
    </w:p>
    <w:p w14:paraId="640397E8">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提案审核情况统计</w:t>
      </w:r>
    </w:p>
    <w:p w14:paraId="5432C439">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提案审核情况</w:t>
      </w:r>
    </w:p>
    <w:p w14:paraId="73860B61">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按照提案类型统计每届次提案提交数量、待审核数量、立案数量、转来信数量、作废数量，支持导出。</w:t>
      </w:r>
    </w:p>
    <w:p w14:paraId="0CFFBC7F">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提案交办情况</w:t>
      </w:r>
    </w:p>
    <w:p w14:paraId="6D7B0009">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统计展示每届次各办理单位需要办理的提案总数、需要办理主办数量、需要办理会办数量、主办签收数量、主办未签收数量、会办签收数量、会办未签收数量，支持导出。</w:t>
      </w:r>
    </w:p>
    <w:p w14:paraId="220C5108">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办理单位提案统计</w:t>
      </w:r>
    </w:p>
    <w:p w14:paraId="7073817F">
      <w:pPr>
        <w:widowControl/>
        <w:spacing w:line="360" w:lineRule="auto"/>
        <w:ind w:firstLine="496" w:firstLineChars="200"/>
        <w:rPr>
          <w:rFonts w:hint="eastAsia" w:ascii="Times New Roman" w:hAnsi="Times New Roman" w:eastAsia="宋体" w:cs="宋体"/>
          <w:kern w:val="0"/>
          <w:sz w:val="24"/>
        </w:rPr>
      </w:pPr>
      <w:r>
        <w:rPr>
          <w:rFonts w:ascii="Times New Roman" w:hAnsi="Times New Roman" w:eastAsia="宋体" w:cs="宋体"/>
          <w:kern w:val="0"/>
          <w:sz w:val="24"/>
        </w:rPr>
        <w:t>统计展示每届次各办理单位主办数，已办理的主办件总数、已办理的主办件提案号、待办主办总件数、待办主办件提案号、会办件总数、会办件提案号、会办待办提案数量、会办单位待办提案号；支持查询具体单位的办理统计信息，同时支持按照查询结果导出。</w:t>
      </w:r>
    </w:p>
    <w:p w14:paraId="74C1064F">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提案办理情况统计</w:t>
      </w:r>
    </w:p>
    <w:p w14:paraId="576CF815">
      <w:pPr>
        <w:widowControl/>
        <w:spacing w:line="360" w:lineRule="auto"/>
        <w:ind w:firstLine="496" w:firstLineChars="200"/>
        <w:rPr>
          <w:rFonts w:hint="eastAsia" w:ascii="Times New Roman" w:hAnsi="Times New Roman" w:eastAsia="宋体" w:cs="宋体"/>
          <w:kern w:val="0"/>
          <w:sz w:val="24"/>
          <w:lang w:eastAsia="zh-CN"/>
        </w:rPr>
      </w:pPr>
      <w:r>
        <w:rPr>
          <w:rFonts w:ascii="Times New Roman" w:hAnsi="Times New Roman" w:eastAsia="宋体" w:cs="宋体"/>
          <w:kern w:val="0"/>
          <w:sz w:val="24"/>
        </w:rPr>
        <w:t>针对提案领域</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lang w:val="en-US" w:eastAsia="zh-CN"/>
        </w:rPr>
        <w:t>类别</w:t>
      </w:r>
      <w:r>
        <w:rPr>
          <w:rFonts w:hint="eastAsia" w:ascii="Times New Roman" w:hAnsi="Times New Roman" w:eastAsia="宋体" w:cs="宋体"/>
          <w:kern w:val="0"/>
          <w:sz w:val="24"/>
          <w:lang w:eastAsia="zh-CN"/>
        </w:rPr>
        <w:t>，</w:t>
      </w:r>
      <w:r>
        <w:rPr>
          <w:rFonts w:ascii="Times New Roman" w:hAnsi="Times New Roman" w:eastAsia="宋体" w:cs="宋体"/>
          <w:kern w:val="0"/>
          <w:sz w:val="24"/>
        </w:rPr>
        <w:t>统计展示每届次不同提案采纳情况下的提案数量、占比情况，颗粒度最细至各领域的提案数量及占比情况</w:t>
      </w:r>
      <w:r>
        <w:rPr>
          <w:rFonts w:hint="eastAsia" w:ascii="Times New Roman" w:hAnsi="Times New Roman" w:eastAsia="宋体" w:cs="宋体"/>
          <w:kern w:val="0"/>
          <w:sz w:val="24"/>
          <w:lang w:eastAsia="zh-CN"/>
        </w:rPr>
        <w:t>。</w:t>
      </w:r>
    </w:p>
    <w:p w14:paraId="4CEA8F0A">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提案反馈情况统计</w:t>
      </w:r>
    </w:p>
    <w:p w14:paraId="4533243D">
      <w:pPr>
        <w:widowControl/>
        <w:spacing w:line="360" w:lineRule="auto"/>
        <w:ind w:firstLine="496" w:firstLineChars="200"/>
        <w:rPr>
          <w:rFonts w:hint="eastAsia" w:ascii="Times New Roman" w:hAnsi="Times New Roman" w:eastAsia="宋体" w:cs="宋体"/>
          <w:kern w:val="0"/>
          <w:sz w:val="24"/>
          <w:lang w:eastAsia="zh-CN"/>
        </w:rPr>
      </w:pPr>
      <w:r>
        <w:rPr>
          <w:rFonts w:ascii="Times New Roman" w:hAnsi="Times New Roman" w:eastAsia="宋体" w:cs="宋体"/>
          <w:kern w:val="0"/>
          <w:sz w:val="24"/>
        </w:rPr>
        <w:t>针对提案领域</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lang w:val="en-US" w:eastAsia="zh-CN"/>
        </w:rPr>
        <w:t>类别，</w:t>
      </w:r>
      <w:r>
        <w:rPr>
          <w:rFonts w:ascii="Times New Roman" w:hAnsi="Times New Roman" w:eastAsia="宋体" w:cs="宋体"/>
          <w:kern w:val="0"/>
          <w:sz w:val="24"/>
        </w:rPr>
        <w:t>统计展示每届次不同提案反馈情况下的提案数量、占比情况，颗粒度最细至各领域的提案数量及占比情况</w:t>
      </w:r>
      <w:r>
        <w:rPr>
          <w:rFonts w:hint="eastAsia" w:ascii="Times New Roman" w:hAnsi="Times New Roman" w:eastAsia="宋体" w:cs="宋体"/>
          <w:kern w:val="0"/>
          <w:sz w:val="24"/>
          <w:lang w:eastAsia="zh-CN"/>
        </w:rPr>
        <w:t>。</w:t>
      </w:r>
    </w:p>
    <w:p w14:paraId="574DA711">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提案人提案统计</w:t>
      </w:r>
    </w:p>
    <w:p w14:paraId="48E66622">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统计展示每届次各提案者的领衔、附议提案数及提案号支持查询具体提案者的提案统计信息，同时支持按照查询结果导出。</w:t>
      </w:r>
    </w:p>
    <w:p w14:paraId="78C456C7">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委员提交统计</w:t>
      </w:r>
    </w:p>
    <w:p w14:paraId="5CF62974">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按照界别、专委会、党派三个维度来统计展示每届次各委员的提案数、提案占比及提案号，支持导出统计结果。</w:t>
      </w:r>
    </w:p>
    <w:p w14:paraId="0421B39C">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团体提交统计</w:t>
      </w:r>
    </w:p>
    <w:p w14:paraId="305F0BD7">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按照界别组、专委会、党派三个维度来统计展示每届次各团体的提案数、提案占比及提案号，支持导出统计结果。</w:t>
      </w:r>
    </w:p>
    <w:p w14:paraId="1D3132E4">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办理单位情况统计</w:t>
      </w:r>
    </w:p>
    <w:p w14:paraId="394FA733">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统计展示每届次各办理单位主办数，主办签收率，主办答复率，主办办结率，主办满意率，会办提案数，会办签收率；</w:t>
      </w:r>
    </w:p>
    <w:p w14:paraId="24E5C6C3">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支持查询具体单位的办理统计信息。</w:t>
      </w:r>
    </w:p>
    <w:p w14:paraId="407B6958">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委员反馈统计</w:t>
      </w:r>
    </w:p>
    <w:p w14:paraId="12CA27F7">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统计展示每届次各提案的办理反馈情况，包括办理结果反馈，办理态度反馈，反馈意见</w:t>
      </w:r>
    </w:p>
    <w:p w14:paraId="3AD61DBF">
      <w:pPr>
        <w:keepNext w:val="0"/>
        <w:keepLines w:val="0"/>
        <w:pageBreakBefore w:val="0"/>
        <w:widowControl/>
        <w:numPr>
          <w:ilvl w:val="0"/>
          <w:numId w:val="3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办理单位反馈统计</w:t>
      </w:r>
    </w:p>
    <w:p w14:paraId="492DB1C6">
      <w:pPr>
        <w:widowControl/>
        <w:spacing w:line="360" w:lineRule="auto"/>
        <w:ind w:firstLine="496" w:firstLineChars="200"/>
        <w:rPr>
          <w:rFonts w:hint="eastAsia" w:ascii="Times New Roman" w:hAnsi="Times New Roman" w:eastAsia="宋体" w:cs="宋体"/>
          <w:kern w:val="0"/>
          <w:sz w:val="24"/>
          <w:lang w:eastAsia="zh-CN"/>
        </w:rPr>
      </w:pPr>
      <w:r>
        <w:rPr>
          <w:rFonts w:ascii="Times New Roman" w:hAnsi="Times New Roman" w:eastAsia="宋体" w:cs="宋体"/>
          <w:kern w:val="0"/>
          <w:sz w:val="24"/>
        </w:rPr>
        <w:t>统计展示每届次各提案的办理反馈情况，包括不同办理结果反馈，办理态度反馈的提案数量</w:t>
      </w:r>
      <w:r>
        <w:rPr>
          <w:rFonts w:hint="eastAsia" w:ascii="Times New Roman" w:hAnsi="Times New Roman" w:eastAsia="宋体" w:cs="宋体"/>
          <w:kern w:val="0"/>
          <w:sz w:val="24"/>
          <w:lang w:eastAsia="zh-CN"/>
        </w:rPr>
        <w:t>。</w:t>
      </w:r>
    </w:p>
    <w:p w14:paraId="5410B0D8">
      <w:pPr>
        <w:bidi w:val="0"/>
        <w:rPr>
          <w:lang w:val="en-US" w:eastAsia="zh-CN"/>
        </w:rPr>
      </w:pPr>
      <w:r>
        <w:rPr>
          <w:rFonts w:hint="eastAsia" w:ascii="宋体" w:hAnsi="宋体" w:eastAsia="宋体" w:cstheme="minorBidi"/>
          <w:b/>
          <w:kern w:val="2"/>
          <w:sz w:val="24"/>
          <w:szCs w:val="24"/>
          <w:lang w:val="en-US" w:eastAsia="zh-CN" w:bidi="ar-SA"/>
        </w:rPr>
        <w:t>4.2.3.2</w:t>
      </w:r>
      <w:r>
        <w:rPr>
          <w:rFonts w:hint="eastAsia"/>
          <w:lang w:val="en-US" w:eastAsia="zh-CN"/>
        </w:rPr>
        <w:t>提案在线移动端功能</w:t>
      </w:r>
    </w:p>
    <w:p w14:paraId="5FFA7CEE">
      <w:pPr>
        <w:widowControl/>
        <w:adjustRightInd w:val="0"/>
        <w:spacing w:line="360" w:lineRule="auto"/>
        <w:ind w:firstLine="468" w:firstLineChars="0"/>
        <w:rPr>
          <w:rFonts w:ascii="Times New Roman" w:hAnsi="Times New Roman" w:eastAsia="宋体" w:cs="宋体"/>
          <w:kern w:val="0"/>
          <w:sz w:val="24"/>
          <w:szCs w:val="22"/>
        </w:rPr>
      </w:pPr>
      <w:r>
        <w:rPr>
          <w:rFonts w:hint="eastAsia" w:ascii="Times New Roman" w:hAnsi="Times New Roman" w:eastAsia="宋体" w:cs="宋体"/>
          <w:kern w:val="0"/>
          <w:sz w:val="24"/>
          <w:szCs w:val="22"/>
        </w:rPr>
        <w:t>为提高用户操作体验</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按不同的角色展示不同的功能模块</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根据角色分配不同的功能权限</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主要包括提案者端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提案委管理端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两办单位端</w:t>
      </w:r>
      <w:r>
        <w:rPr>
          <w:rFonts w:ascii="Times New Roman" w:hAnsi="Times New Roman" w:eastAsia="宋体" w:cs="宋体"/>
          <w:kern w:val="0"/>
          <w:sz w:val="24"/>
          <w:szCs w:val="22"/>
        </w:rPr>
        <w:t>、</w:t>
      </w:r>
      <w:r>
        <w:rPr>
          <w:rFonts w:hint="eastAsia" w:ascii="Times New Roman" w:hAnsi="Times New Roman" w:eastAsia="宋体" w:cs="宋体"/>
          <w:kern w:val="0"/>
          <w:sz w:val="24"/>
          <w:szCs w:val="22"/>
        </w:rPr>
        <w:t>承办单位端等</w:t>
      </w:r>
      <w:r>
        <w:rPr>
          <w:rFonts w:ascii="Times New Roman" w:hAnsi="Times New Roman" w:eastAsia="宋体" w:cs="宋体"/>
          <w:kern w:val="0"/>
          <w:sz w:val="24"/>
          <w:szCs w:val="22"/>
        </w:rPr>
        <w:t>。</w:t>
      </w:r>
    </w:p>
    <w:p w14:paraId="5B39A605">
      <w:pPr>
        <w:bidi w:val="0"/>
        <w:rPr>
          <w:kern w:val="0"/>
        </w:rPr>
      </w:pPr>
      <w:r>
        <w:rPr>
          <w:rFonts w:hint="eastAsia" w:ascii="宋体" w:hAnsi="宋体" w:eastAsia="宋体" w:cs="宋体"/>
          <w:kern w:val="0"/>
          <w:sz w:val="24"/>
          <w:szCs w:val="24"/>
          <w:lang w:val="en-US" w:eastAsia="zh-CN" w:bidi="ar-SA"/>
        </w:rPr>
        <w:t>4.2.3.2.1</w:t>
      </w:r>
      <w:r>
        <w:rPr>
          <w:rFonts w:hint="eastAsia"/>
          <w:kern w:val="0"/>
        </w:rPr>
        <w:t>提案者功能</w:t>
      </w:r>
    </w:p>
    <w:p w14:paraId="53745CE8">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主要包括提案者个人信息</w:t>
      </w:r>
      <w:r>
        <w:rPr>
          <w:rFonts w:ascii="Times New Roman" w:hAnsi="Times New Roman" w:eastAsia="宋体" w:cs="宋体"/>
          <w:kern w:val="0"/>
          <w:sz w:val="24"/>
        </w:rPr>
        <w:t>、</w:t>
      </w:r>
      <w:r>
        <w:rPr>
          <w:rFonts w:hint="eastAsia" w:ascii="Times New Roman" w:hAnsi="Times New Roman" w:eastAsia="宋体" w:cs="宋体"/>
          <w:kern w:val="0"/>
          <w:sz w:val="24"/>
        </w:rPr>
        <w:t>统计概况</w:t>
      </w:r>
      <w:r>
        <w:rPr>
          <w:rFonts w:ascii="Times New Roman" w:hAnsi="Times New Roman" w:eastAsia="宋体" w:cs="宋体"/>
          <w:kern w:val="0"/>
          <w:sz w:val="24"/>
        </w:rPr>
        <w:t>、</w:t>
      </w:r>
      <w:r>
        <w:rPr>
          <w:rFonts w:hint="eastAsia" w:ascii="Times New Roman" w:hAnsi="Times New Roman" w:eastAsia="宋体" w:cs="宋体"/>
          <w:kern w:val="0"/>
          <w:sz w:val="24"/>
        </w:rPr>
        <w:t>知情明政</w:t>
      </w:r>
      <w:r>
        <w:rPr>
          <w:rFonts w:ascii="Times New Roman" w:hAnsi="Times New Roman" w:eastAsia="宋体" w:cs="宋体"/>
          <w:kern w:val="0"/>
          <w:sz w:val="24"/>
        </w:rPr>
        <w:t>、</w:t>
      </w:r>
      <w:r>
        <w:rPr>
          <w:rFonts w:hint="eastAsia" w:ascii="Times New Roman" w:hAnsi="Times New Roman" w:eastAsia="宋体" w:cs="宋体"/>
          <w:kern w:val="0"/>
          <w:sz w:val="24"/>
        </w:rPr>
        <w:t>制度规定</w:t>
      </w:r>
      <w:r>
        <w:rPr>
          <w:rFonts w:ascii="Times New Roman" w:hAnsi="Times New Roman" w:eastAsia="宋体" w:cs="宋体"/>
          <w:kern w:val="0"/>
          <w:sz w:val="24"/>
        </w:rPr>
        <w:t>、</w:t>
      </w:r>
      <w:r>
        <w:rPr>
          <w:rFonts w:hint="eastAsia" w:ascii="Times New Roman" w:hAnsi="Times New Roman" w:eastAsia="宋体" w:cs="宋体"/>
          <w:kern w:val="0"/>
          <w:sz w:val="24"/>
        </w:rPr>
        <w:t>酝酿讨论</w:t>
      </w:r>
      <w:r>
        <w:rPr>
          <w:rFonts w:ascii="Times New Roman" w:hAnsi="Times New Roman" w:eastAsia="宋体" w:cs="宋体"/>
          <w:kern w:val="0"/>
          <w:sz w:val="24"/>
        </w:rPr>
        <w:t>、</w:t>
      </w:r>
      <w:r>
        <w:rPr>
          <w:rFonts w:hint="eastAsia" w:ascii="Times New Roman" w:hAnsi="Times New Roman" w:eastAsia="宋体" w:cs="宋体"/>
          <w:kern w:val="0"/>
          <w:sz w:val="24"/>
        </w:rPr>
        <w:t>提案提交</w:t>
      </w:r>
      <w:r>
        <w:rPr>
          <w:rFonts w:ascii="Times New Roman" w:hAnsi="Times New Roman" w:eastAsia="宋体" w:cs="宋体"/>
          <w:kern w:val="0"/>
          <w:sz w:val="24"/>
        </w:rPr>
        <w:t>、</w:t>
      </w:r>
      <w:r>
        <w:rPr>
          <w:rFonts w:hint="eastAsia" w:ascii="Times New Roman" w:hAnsi="Times New Roman" w:eastAsia="宋体" w:cs="宋体"/>
          <w:kern w:val="0"/>
          <w:sz w:val="24"/>
        </w:rPr>
        <w:t>我的提案</w:t>
      </w:r>
      <w:r>
        <w:rPr>
          <w:rFonts w:ascii="Times New Roman" w:hAnsi="Times New Roman" w:eastAsia="宋体" w:cs="宋体"/>
          <w:kern w:val="0"/>
          <w:sz w:val="24"/>
        </w:rPr>
        <w:t>、</w:t>
      </w:r>
      <w:r>
        <w:rPr>
          <w:rFonts w:hint="eastAsia" w:ascii="Times New Roman" w:hAnsi="Times New Roman" w:eastAsia="宋体" w:cs="宋体"/>
          <w:kern w:val="0"/>
          <w:sz w:val="24"/>
        </w:rPr>
        <w:t>提案查看</w:t>
      </w:r>
      <w:r>
        <w:rPr>
          <w:rFonts w:ascii="Times New Roman" w:hAnsi="Times New Roman" w:eastAsia="宋体" w:cs="宋体"/>
          <w:kern w:val="0"/>
          <w:sz w:val="24"/>
        </w:rPr>
        <w:t>、</w:t>
      </w:r>
      <w:r>
        <w:rPr>
          <w:rFonts w:hint="eastAsia" w:ascii="Times New Roman" w:hAnsi="Times New Roman" w:eastAsia="宋体" w:cs="宋体"/>
          <w:kern w:val="0"/>
          <w:sz w:val="24"/>
        </w:rPr>
        <w:t>办理协商等功能</w:t>
      </w:r>
      <w:r>
        <w:rPr>
          <w:rFonts w:ascii="Times New Roman" w:hAnsi="Times New Roman" w:eastAsia="宋体" w:cs="宋体"/>
          <w:kern w:val="0"/>
          <w:sz w:val="24"/>
        </w:rPr>
        <w:t>。</w:t>
      </w:r>
    </w:p>
    <w:p w14:paraId="28B40691">
      <w:pPr>
        <w:keepNext w:val="0"/>
        <w:keepLines w:val="0"/>
        <w:pageBreakBefore w:val="0"/>
        <w:widowControl/>
        <w:numPr>
          <w:ilvl w:val="0"/>
          <w:numId w:val="3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提案者个人信息:当前提案者人员信息</w:t>
      </w:r>
    </w:p>
    <w:p w14:paraId="64CDE5A1">
      <w:pPr>
        <w:keepNext w:val="0"/>
        <w:keepLines w:val="0"/>
        <w:pageBreakBefore w:val="0"/>
        <w:widowControl/>
        <w:numPr>
          <w:ilvl w:val="0"/>
          <w:numId w:val="3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统计概况:主要包括提案提交数量、立案提案数量、领衔提案数量、附议提案数量、办结提案数量等。</w:t>
      </w:r>
    </w:p>
    <w:p w14:paraId="10E702D0">
      <w:pPr>
        <w:keepNext w:val="0"/>
        <w:keepLines w:val="0"/>
        <w:pageBreakBefore w:val="0"/>
        <w:widowControl/>
        <w:numPr>
          <w:ilvl w:val="0"/>
          <w:numId w:val="3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知情明政:展示厅局的相关提案线索、党政文件、厅局工作等文件供委员查看，为委员编写提案提供思路。</w:t>
      </w:r>
    </w:p>
    <w:p w14:paraId="6B513B79">
      <w:pPr>
        <w:keepNext w:val="0"/>
        <w:keepLines w:val="0"/>
        <w:pageBreakBefore w:val="0"/>
        <w:widowControl/>
        <w:numPr>
          <w:ilvl w:val="0"/>
          <w:numId w:val="3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制度规定:展示提案委对提案制度的规范产出的文件内容，为委员编写提案提供来信，提供资料查看和查询功能。</w:t>
      </w:r>
    </w:p>
    <w:p w14:paraId="2FF879DC">
      <w:pPr>
        <w:keepNext w:val="0"/>
        <w:keepLines w:val="0"/>
        <w:pageBreakBefore w:val="0"/>
        <w:widowControl/>
        <w:numPr>
          <w:ilvl w:val="0"/>
          <w:numId w:val="3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酝酿讨论:委员可通过发起提案酝酿讨论，由委员进行讨论交流、汇总</w:t>
      </w:r>
    </w:p>
    <w:p w14:paraId="0F2CD178">
      <w:pPr>
        <w:keepNext w:val="0"/>
        <w:keepLines w:val="0"/>
        <w:pageBreakBefore w:val="0"/>
        <w:widowControl/>
        <w:numPr>
          <w:ilvl w:val="0"/>
          <w:numId w:val="3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提案提交:可在提案提交前进行相似提案差重，有效减少委员在提交过程中的提重现象发生，保证提案的提交质量。</w:t>
      </w:r>
    </w:p>
    <w:p w14:paraId="423DCC72">
      <w:pPr>
        <w:keepNext w:val="0"/>
        <w:keepLines w:val="0"/>
        <w:pageBreakBefore w:val="0"/>
        <w:widowControl/>
        <w:numPr>
          <w:ilvl w:val="0"/>
          <w:numId w:val="3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我的提案:我的提案列表、全部提案列表，可直接在列表进行相关操作</w:t>
      </w:r>
    </w:p>
    <w:p w14:paraId="3157FC71">
      <w:pPr>
        <w:keepNext w:val="0"/>
        <w:keepLines w:val="0"/>
        <w:pageBreakBefore w:val="0"/>
        <w:widowControl/>
        <w:numPr>
          <w:ilvl w:val="0"/>
          <w:numId w:val="3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提案查看:展示提案基本信息，包括案由、领衔人、届次、提案领域、提案类别。</w:t>
      </w:r>
    </w:p>
    <w:p w14:paraId="220AB8FF">
      <w:pPr>
        <w:keepNext w:val="0"/>
        <w:keepLines w:val="0"/>
        <w:pageBreakBefore w:val="0"/>
        <w:widowControl/>
        <w:numPr>
          <w:ilvl w:val="0"/>
          <w:numId w:val="3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办理协商:可以针对政协委员、承办单位、党派、界别小组、专委会发送站内消息，也可收到他人的消息，并可进行回复。</w:t>
      </w:r>
    </w:p>
    <w:p w14:paraId="73D2F8AD">
      <w:pPr>
        <w:bidi w:val="0"/>
        <w:rPr>
          <w:kern w:val="0"/>
        </w:rPr>
      </w:pPr>
      <w:r>
        <w:rPr>
          <w:rFonts w:hint="eastAsia" w:ascii="宋体" w:hAnsi="宋体" w:eastAsia="宋体" w:cs="宋体"/>
          <w:kern w:val="0"/>
          <w:sz w:val="24"/>
          <w:szCs w:val="24"/>
          <w:lang w:val="en-US" w:eastAsia="zh-CN" w:bidi="ar-SA"/>
        </w:rPr>
        <w:t>4.2.3.2.2</w:t>
      </w:r>
      <w:r>
        <w:rPr>
          <w:rFonts w:hint="eastAsia"/>
          <w:kern w:val="0"/>
        </w:rPr>
        <w:t>提案委功能</w:t>
      </w:r>
    </w:p>
    <w:p w14:paraId="1E060FBE">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主要包括提案委个人信息</w:t>
      </w:r>
      <w:r>
        <w:rPr>
          <w:rFonts w:ascii="Times New Roman" w:hAnsi="Times New Roman" w:eastAsia="宋体" w:cs="宋体"/>
          <w:kern w:val="0"/>
          <w:sz w:val="24"/>
        </w:rPr>
        <w:t>、</w:t>
      </w:r>
      <w:r>
        <w:rPr>
          <w:rFonts w:hint="eastAsia" w:ascii="Times New Roman" w:hAnsi="Times New Roman" w:eastAsia="宋体" w:cs="宋体"/>
          <w:kern w:val="0"/>
          <w:sz w:val="24"/>
        </w:rPr>
        <w:t>统计概况</w:t>
      </w:r>
      <w:r>
        <w:rPr>
          <w:rFonts w:ascii="Times New Roman" w:hAnsi="Times New Roman" w:eastAsia="宋体" w:cs="宋体"/>
          <w:kern w:val="0"/>
          <w:sz w:val="24"/>
        </w:rPr>
        <w:t>、</w:t>
      </w:r>
      <w:r>
        <w:rPr>
          <w:rFonts w:hint="eastAsia" w:ascii="Times New Roman" w:hAnsi="Times New Roman" w:eastAsia="宋体" w:cs="宋体"/>
          <w:kern w:val="0"/>
          <w:sz w:val="24"/>
        </w:rPr>
        <w:t>知情明政</w:t>
      </w:r>
      <w:r>
        <w:rPr>
          <w:rFonts w:ascii="Times New Roman" w:hAnsi="Times New Roman" w:eastAsia="宋体" w:cs="宋体"/>
          <w:kern w:val="0"/>
          <w:sz w:val="24"/>
        </w:rPr>
        <w:t>、</w:t>
      </w:r>
      <w:r>
        <w:rPr>
          <w:rFonts w:hint="eastAsia" w:ascii="Times New Roman" w:hAnsi="Times New Roman" w:eastAsia="宋体" w:cs="宋体"/>
          <w:kern w:val="0"/>
          <w:sz w:val="24"/>
        </w:rPr>
        <w:t>制度规定</w:t>
      </w:r>
      <w:r>
        <w:rPr>
          <w:rFonts w:ascii="Times New Roman" w:hAnsi="Times New Roman" w:eastAsia="宋体" w:cs="宋体"/>
          <w:kern w:val="0"/>
          <w:sz w:val="24"/>
        </w:rPr>
        <w:t>、</w:t>
      </w:r>
      <w:r>
        <w:rPr>
          <w:rFonts w:hint="eastAsia" w:ascii="Times New Roman" w:hAnsi="Times New Roman" w:eastAsia="宋体" w:cs="宋体"/>
          <w:kern w:val="0"/>
          <w:sz w:val="24"/>
        </w:rPr>
        <w:t>提案审查</w:t>
      </w:r>
      <w:r>
        <w:rPr>
          <w:rFonts w:ascii="Times New Roman" w:hAnsi="Times New Roman" w:eastAsia="宋体" w:cs="宋体"/>
          <w:kern w:val="0"/>
          <w:sz w:val="24"/>
        </w:rPr>
        <w:t>、</w:t>
      </w:r>
      <w:r>
        <w:rPr>
          <w:rFonts w:hint="eastAsia" w:ascii="Times New Roman" w:hAnsi="Times New Roman" w:eastAsia="宋体" w:cs="宋体"/>
          <w:kern w:val="0"/>
          <w:sz w:val="24"/>
        </w:rPr>
        <w:t>办理协商</w:t>
      </w:r>
      <w:r>
        <w:rPr>
          <w:rFonts w:ascii="Times New Roman" w:hAnsi="Times New Roman" w:eastAsia="宋体" w:cs="宋体"/>
          <w:kern w:val="0"/>
          <w:sz w:val="24"/>
        </w:rPr>
        <w:t>、</w:t>
      </w:r>
      <w:r>
        <w:rPr>
          <w:rFonts w:hint="eastAsia" w:ascii="Times New Roman" w:hAnsi="Times New Roman" w:eastAsia="宋体" w:cs="宋体"/>
          <w:kern w:val="0"/>
          <w:sz w:val="24"/>
        </w:rPr>
        <w:t>委员反馈情况</w:t>
      </w:r>
      <w:r>
        <w:rPr>
          <w:rFonts w:ascii="Times New Roman" w:hAnsi="Times New Roman" w:eastAsia="宋体" w:cs="宋体"/>
          <w:kern w:val="0"/>
          <w:sz w:val="24"/>
        </w:rPr>
        <w:t>、</w:t>
      </w:r>
      <w:r>
        <w:rPr>
          <w:rFonts w:hint="eastAsia" w:ascii="Times New Roman" w:hAnsi="Times New Roman" w:eastAsia="宋体" w:cs="宋体"/>
          <w:kern w:val="0"/>
          <w:sz w:val="24"/>
        </w:rPr>
        <w:t>人员信息</w:t>
      </w:r>
      <w:r>
        <w:rPr>
          <w:rFonts w:ascii="Times New Roman" w:hAnsi="Times New Roman" w:eastAsia="宋体" w:cs="宋体"/>
          <w:kern w:val="0"/>
          <w:sz w:val="24"/>
        </w:rPr>
        <w:t>、</w:t>
      </w:r>
      <w:r>
        <w:rPr>
          <w:rFonts w:hint="eastAsia" w:ascii="Times New Roman" w:hAnsi="Times New Roman" w:eastAsia="宋体" w:cs="宋体"/>
          <w:kern w:val="0"/>
          <w:sz w:val="24"/>
        </w:rPr>
        <w:t>提案评定</w:t>
      </w:r>
      <w:r>
        <w:rPr>
          <w:rFonts w:ascii="Times New Roman" w:hAnsi="Times New Roman" w:eastAsia="宋体" w:cs="宋体"/>
          <w:kern w:val="0"/>
          <w:sz w:val="24"/>
        </w:rPr>
        <w:t>、</w:t>
      </w:r>
      <w:r>
        <w:rPr>
          <w:rFonts w:hint="eastAsia" w:ascii="Times New Roman" w:hAnsi="Times New Roman" w:eastAsia="宋体" w:cs="宋体"/>
          <w:kern w:val="0"/>
          <w:sz w:val="24"/>
        </w:rPr>
        <w:t>提案统计等功能</w:t>
      </w:r>
      <w:r>
        <w:rPr>
          <w:rFonts w:ascii="Times New Roman" w:hAnsi="Times New Roman" w:eastAsia="宋体" w:cs="宋体"/>
          <w:kern w:val="0"/>
          <w:sz w:val="24"/>
        </w:rPr>
        <w:t>。</w:t>
      </w:r>
    </w:p>
    <w:p w14:paraId="187D29E6">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提案委个人信息：当前提案委人员信息</w:t>
      </w:r>
    </w:p>
    <w:p w14:paraId="2CF91B31">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统计概况：展示提交提案总数、立案提案总数、办结提案数量、办理中提案数量、已反馈提案数量等</w:t>
      </w:r>
    </w:p>
    <w:p w14:paraId="32373E64">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知情明政：展示厅局的相关提案线索、党政文件、厅局工作等文件供委员查看，为委员编写提案提供思路。</w:t>
      </w:r>
    </w:p>
    <w:p w14:paraId="3AD96DC8">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制度规定：展示提案委对提案制度的规范产出的文件内容，为委员编写提案提供来信，提供资料查看和查询功能。</w:t>
      </w:r>
    </w:p>
    <w:p w14:paraId="055F6442">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提案审查：对提案进行审查操作</w:t>
      </w:r>
    </w:p>
    <w:p w14:paraId="69343DB0">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办理协商：可以针对政协委员、承办单位、党派、界别小组、专委会发送站内消息，也可收到他人的消息，并可进行回复。</w:t>
      </w:r>
    </w:p>
    <w:p w14:paraId="5C5433AA">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委员反馈情况：展示委员反馈情况</w:t>
      </w:r>
    </w:p>
    <w:p w14:paraId="3DCF226D">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人员信息：查看人员信息</w:t>
      </w:r>
    </w:p>
    <w:p w14:paraId="1018E44B">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提案评定：在对每个提案答复之后可以对该案件进行提案质量评价</w:t>
      </w:r>
    </w:p>
    <w:p w14:paraId="6BAC2848">
      <w:pPr>
        <w:keepNext w:val="0"/>
        <w:keepLines w:val="0"/>
        <w:pageBreakBefore w:val="0"/>
        <w:widowControl/>
        <w:numPr>
          <w:ilvl w:val="0"/>
          <w:numId w:val="3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提案统计：按照提案类型统计每届次提案提交数量、待审核数量、立案数量、转来信数量、作废数量，支持导出。</w:t>
      </w:r>
    </w:p>
    <w:p w14:paraId="1EE0CBA7">
      <w:pPr>
        <w:bidi w:val="0"/>
        <w:rPr>
          <w:rFonts w:hint="eastAsia"/>
          <w:kern w:val="0"/>
        </w:rPr>
      </w:pPr>
      <w:r>
        <w:rPr>
          <w:rFonts w:hint="eastAsia" w:ascii="宋体" w:hAnsi="宋体" w:eastAsia="宋体" w:cs="宋体"/>
          <w:kern w:val="0"/>
          <w:sz w:val="24"/>
          <w:szCs w:val="24"/>
          <w:lang w:val="en-US" w:eastAsia="zh-CN" w:bidi="ar-SA"/>
        </w:rPr>
        <w:t>4.2.3.2.3</w:t>
      </w:r>
      <w:r>
        <w:rPr>
          <w:rFonts w:hint="eastAsia"/>
          <w:kern w:val="0"/>
        </w:rPr>
        <w:t>两办单位功能</w:t>
      </w:r>
    </w:p>
    <w:p w14:paraId="398BC7A1">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主要包括两办单位信息</w:t>
      </w:r>
      <w:r>
        <w:rPr>
          <w:rFonts w:ascii="Times New Roman" w:hAnsi="Times New Roman" w:eastAsia="宋体" w:cs="宋体"/>
          <w:kern w:val="0"/>
          <w:sz w:val="24"/>
        </w:rPr>
        <w:t>、</w:t>
      </w:r>
      <w:r>
        <w:rPr>
          <w:rFonts w:hint="eastAsia" w:ascii="Times New Roman" w:hAnsi="Times New Roman" w:eastAsia="宋体" w:cs="宋体"/>
          <w:kern w:val="0"/>
          <w:sz w:val="24"/>
        </w:rPr>
        <w:t>统计概况</w:t>
      </w:r>
      <w:r>
        <w:rPr>
          <w:rFonts w:ascii="Times New Roman" w:hAnsi="Times New Roman" w:eastAsia="宋体" w:cs="宋体"/>
          <w:kern w:val="0"/>
          <w:sz w:val="24"/>
        </w:rPr>
        <w:t>、</w:t>
      </w:r>
      <w:r>
        <w:rPr>
          <w:rFonts w:hint="eastAsia" w:ascii="Times New Roman" w:hAnsi="Times New Roman" w:eastAsia="宋体" w:cs="宋体"/>
          <w:kern w:val="0"/>
          <w:sz w:val="24"/>
        </w:rPr>
        <w:t>知情明政</w:t>
      </w:r>
      <w:r>
        <w:rPr>
          <w:rFonts w:ascii="Times New Roman" w:hAnsi="Times New Roman" w:eastAsia="宋体" w:cs="宋体"/>
          <w:kern w:val="0"/>
          <w:sz w:val="24"/>
        </w:rPr>
        <w:t>、</w:t>
      </w:r>
      <w:r>
        <w:rPr>
          <w:rFonts w:hint="eastAsia" w:ascii="Times New Roman" w:hAnsi="Times New Roman" w:eastAsia="宋体" w:cs="宋体"/>
          <w:kern w:val="0"/>
          <w:sz w:val="24"/>
        </w:rPr>
        <w:t>制度规定</w:t>
      </w:r>
      <w:r>
        <w:rPr>
          <w:rFonts w:ascii="Times New Roman" w:hAnsi="Times New Roman" w:eastAsia="宋体" w:cs="宋体"/>
          <w:kern w:val="0"/>
          <w:sz w:val="24"/>
        </w:rPr>
        <w:t>、</w:t>
      </w:r>
      <w:r>
        <w:rPr>
          <w:rFonts w:hint="eastAsia" w:ascii="Times New Roman" w:hAnsi="Times New Roman" w:eastAsia="宋体" w:cs="宋体"/>
          <w:kern w:val="0"/>
          <w:sz w:val="24"/>
        </w:rPr>
        <w:t>办理协商</w:t>
      </w:r>
      <w:r>
        <w:rPr>
          <w:rFonts w:ascii="Times New Roman" w:hAnsi="Times New Roman" w:eastAsia="宋体" w:cs="宋体"/>
          <w:kern w:val="0"/>
          <w:sz w:val="24"/>
        </w:rPr>
        <w:t>、</w:t>
      </w:r>
      <w:r>
        <w:rPr>
          <w:rFonts w:hint="eastAsia" w:ascii="Times New Roman" w:hAnsi="Times New Roman" w:eastAsia="宋体" w:cs="宋体"/>
          <w:kern w:val="0"/>
          <w:sz w:val="24"/>
        </w:rPr>
        <w:t>提案交办情况</w:t>
      </w:r>
      <w:r>
        <w:rPr>
          <w:rFonts w:ascii="Times New Roman" w:hAnsi="Times New Roman" w:eastAsia="宋体" w:cs="宋体"/>
          <w:kern w:val="0"/>
          <w:sz w:val="24"/>
        </w:rPr>
        <w:t>、</w:t>
      </w:r>
      <w:r>
        <w:rPr>
          <w:rFonts w:hint="eastAsia" w:ascii="Times New Roman" w:hAnsi="Times New Roman" w:eastAsia="宋体" w:cs="宋体"/>
          <w:kern w:val="0"/>
          <w:sz w:val="24"/>
        </w:rPr>
        <w:t>提案统计等功能</w:t>
      </w:r>
      <w:r>
        <w:rPr>
          <w:rFonts w:ascii="Times New Roman" w:hAnsi="Times New Roman" w:eastAsia="宋体" w:cs="宋体"/>
          <w:kern w:val="0"/>
          <w:sz w:val="24"/>
        </w:rPr>
        <w:t>。</w:t>
      </w:r>
    </w:p>
    <w:p w14:paraId="0437B630">
      <w:pPr>
        <w:keepNext w:val="0"/>
        <w:keepLines w:val="0"/>
        <w:pageBreakBefore w:val="0"/>
        <w:widowControl/>
        <w:numPr>
          <w:ilvl w:val="0"/>
          <w:numId w:val="4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两办单位信息：当前两办单位人员信息</w:t>
      </w:r>
    </w:p>
    <w:p w14:paraId="07C72375">
      <w:pPr>
        <w:keepNext w:val="0"/>
        <w:keepLines w:val="0"/>
        <w:pageBreakBefore w:val="0"/>
        <w:widowControl/>
        <w:numPr>
          <w:ilvl w:val="0"/>
          <w:numId w:val="4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统计概况：办理提案数、已办结提案数、已反馈提案数等；</w:t>
      </w:r>
    </w:p>
    <w:p w14:paraId="05CDE315">
      <w:pPr>
        <w:keepNext w:val="0"/>
        <w:keepLines w:val="0"/>
        <w:pageBreakBefore w:val="0"/>
        <w:widowControl/>
        <w:numPr>
          <w:ilvl w:val="0"/>
          <w:numId w:val="4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知情明政：展示厅局的相关提案线索、党政文件、厅局工作等文件供委员查看，为委员编写提案提供思路。</w:t>
      </w:r>
    </w:p>
    <w:p w14:paraId="35D6B574">
      <w:pPr>
        <w:keepNext w:val="0"/>
        <w:keepLines w:val="0"/>
        <w:pageBreakBefore w:val="0"/>
        <w:widowControl/>
        <w:numPr>
          <w:ilvl w:val="0"/>
          <w:numId w:val="4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制度规定：展示提案委对提案制度的规范产出的文件内容，为委员编写提案提供来信，提供资料查看和查询功能。</w:t>
      </w:r>
    </w:p>
    <w:p w14:paraId="09C29BB3">
      <w:pPr>
        <w:keepNext w:val="0"/>
        <w:keepLines w:val="0"/>
        <w:pageBreakBefore w:val="0"/>
        <w:widowControl/>
        <w:numPr>
          <w:ilvl w:val="0"/>
          <w:numId w:val="4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办理协商：可以针对政协委员、两办单位、党派、界别小组、专委会发送站内消息，也可收到他人的消息，并可进行回复。</w:t>
      </w:r>
    </w:p>
    <w:p w14:paraId="4CB58D55">
      <w:pPr>
        <w:keepNext w:val="0"/>
        <w:keepLines w:val="0"/>
        <w:pageBreakBefore w:val="0"/>
        <w:widowControl/>
        <w:numPr>
          <w:ilvl w:val="0"/>
          <w:numId w:val="4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提案交办情况：查看</w:t>
      </w:r>
      <w:r>
        <w:rPr>
          <w:rFonts w:hint="eastAsia" w:ascii="Times New Roman" w:hAnsi="Times New Roman" w:eastAsia="宋体" w:cs="宋体"/>
          <w:kern w:val="0"/>
          <w:sz w:val="24"/>
          <w:szCs w:val="22"/>
          <w:lang w:val="en-US" w:eastAsia="zh-CN"/>
        </w:rPr>
        <w:t>提案</w:t>
      </w:r>
      <w:r>
        <w:rPr>
          <w:rFonts w:hint="eastAsia" w:ascii="Times New Roman" w:hAnsi="Times New Roman" w:eastAsia="宋体" w:cs="宋体"/>
          <w:kern w:val="0"/>
          <w:sz w:val="24"/>
          <w:szCs w:val="22"/>
          <w:lang w:eastAsia="zh-Hans"/>
        </w:rPr>
        <w:t>交办情况</w:t>
      </w:r>
    </w:p>
    <w:p w14:paraId="282AB05C">
      <w:pPr>
        <w:keepNext w:val="0"/>
        <w:keepLines w:val="0"/>
        <w:pageBreakBefore w:val="0"/>
        <w:widowControl/>
        <w:numPr>
          <w:ilvl w:val="0"/>
          <w:numId w:val="4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提案统计：统计办理提案数、已办结提案数、已反馈提案数等；</w:t>
      </w:r>
    </w:p>
    <w:p w14:paraId="1C5979CC">
      <w:pPr>
        <w:bidi w:val="0"/>
        <w:rPr>
          <w:rFonts w:hint="eastAsia"/>
          <w:kern w:val="0"/>
        </w:rPr>
      </w:pPr>
      <w:r>
        <w:rPr>
          <w:rFonts w:hint="eastAsia" w:ascii="宋体" w:hAnsi="宋体" w:eastAsia="宋体" w:cs="宋体"/>
          <w:kern w:val="0"/>
          <w:sz w:val="24"/>
          <w:szCs w:val="24"/>
          <w:lang w:val="en-US" w:eastAsia="zh-CN" w:bidi="ar-SA"/>
        </w:rPr>
        <w:t>4.2.3.2.4</w:t>
      </w:r>
      <w:r>
        <w:rPr>
          <w:rFonts w:hint="eastAsia"/>
          <w:kern w:val="0"/>
        </w:rPr>
        <w:t>承办单位功能</w:t>
      </w:r>
    </w:p>
    <w:p w14:paraId="28F999CA">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主要包括承办单位信息</w:t>
      </w:r>
      <w:r>
        <w:rPr>
          <w:rFonts w:ascii="Times New Roman" w:hAnsi="Times New Roman" w:eastAsia="宋体" w:cs="宋体"/>
          <w:kern w:val="0"/>
          <w:sz w:val="24"/>
        </w:rPr>
        <w:t>、</w:t>
      </w:r>
      <w:r>
        <w:rPr>
          <w:rFonts w:hint="eastAsia" w:ascii="Times New Roman" w:hAnsi="Times New Roman" w:eastAsia="宋体" w:cs="宋体"/>
          <w:kern w:val="0"/>
          <w:sz w:val="24"/>
        </w:rPr>
        <w:t>统计概况</w:t>
      </w:r>
      <w:r>
        <w:rPr>
          <w:rFonts w:ascii="Times New Roman" w:hAnsi="Times New Roman" w:eastAsia="宋体" w:cs="宋体"/>
          <w:kern w:val="0"/>
          <w:sz w:val="24"/>
        </w:rPr>
        <w:t>、</w:t>
      </w:r>
      <w:r>
        <w:rPr>
          <w:rFonts w:hint="eastAsia" w:ascii="Times New Roman" w:hAnsi="Times New Roman" w:eastAsia="宋体" w:cs="宋体"/>
          <w:kern w:val="0"/>
          <w:sz w:val="24"/>
        </w:rPr>
        <w:t>知情明政</w:t>
      </w:r>
      <w:r>
        <w:rPr>
          <w:rFonts w:ascii="Times New Roman" w:hAnsi="Times New Roman" w:eastAsia="宋体" w:cs="宋体"/>
          <w:kern w:val="0"/>
          <w:sz w:val="24"/>
        </w:rPr>
        <w:t>、</w:t>
      </w:r>
      <w:r>
        <w:rPr>
          <w:rFonts w:hint="eastAsia" w:ascii="Times New Roman" w:hAnsi="Times New Roman" w:eastAsia="宋体" w:cs="宋体"/>
          <w:kern w:val="0"/>
          <w:sz w:val="24"/>
        </w:rPr>
        <w:t>制度规定</w:t>
      </w:r>
      <w:r>
        <w:rPr>
          <w:rFonts w:ascii="Times New Roman" w:hAnsi="Times New Roman" w:eastAsia="宋体" w:cs="宋体"/>
          <w:kern w:val="0"/>
          <w:sz w:val="24"/>
        </w:rPr>
        <w:t>、</w:t>
      </w:r>
      <w:r>
        <w:rPr>
          <w:rFonts w:hint="eastAsia" w:ascii="Times New Roman" w:hAnsi="Times New Roman" w:eastAsia="宋体" w:cs="宋体"/>
          <w:kern w:val="0"/>
          <w:sz w:val="24"/>
        </w:rPr>
        <w:t>提案查看</w:t>
      </w:r>
      <w:r>
        <w:rPr>
          <w:rFonts w:ascii="Times New Roman" w:hAnsi="Times New Roman" w:eastAsia="宋体" w:cs="宋体"/>
          <w:kern w:val="0"/>
          <w:sz w:val="24"/>
        </w:rPr>
        <w:t>、</w:t>
      </w:r>
      <w:r>
        <w:rPr>
          <w:rFonts w:hint="eastAsia" w:ascii="Times New Roman" w:hAnsi="Times New Roman" w:eastAsia="宋体" w:cs="宋体"/>
          <w:kern w:val="0"/>
          <w:sz w:val="24"/>
        </w:rPr>
        <w:t>主办提案</w:t>
      </w:r>
      <w:r>
        <w:rPr>
          <w:rFonts w:ascii="Times New Roman" w:hAnsi="Times New Roman" w:eastAsia="宋体" w:cs="宋体"/>
          <w:kern w:val="0"/>
          <w:sz w:val="24"/>
        </w:rPr>
        <w:t>、</w:t>
      </w:r>
      <w:r>
        <w:rPr>
          <w:rFonts w:hint="eastAsia" w:ascii="Times New Roman" w:hAnsi="Times New Roman" w:eastAsia="宋体" w:cs="宋体"/>
          <w:kern w:val="0"/>
          <w:sz w:val="24"/>
        </w:rPr>
        <w:t>会办提案</w:t>
      </w:r>
      <w:r>
        <w:rPr>
          <w:rFonts w:ascii="Times New Roman" w:hAnsi="Times New Roman" w:eastAsia="宋体" w:cs="宋体"/>
          <w:kern w:val="0"/>
          <w:sz w:val="24"/>
        </w:rPr>
        <w:t>、</w:t>
      </w:r>
      <w:r>
        <w:rPr>
          <w:rFonts w:hint="eastAsia" w:ascii="Times New Roman" w:hAnsi="Times New Roman" w:eastAsia="宋体" w:cs="宋体"/>
          <w:kern w:val="0"/>
          <w:sz w:val="24"/>
        </w:rPr>
        <w:t>重点提案办理</w:t>
      </w:r>
      <w:r>
        <w:rPr>
          <w:rFonts w:ascii="Times New Roman" w:hAnsi="Times New Roman" w:eastAsia="宋体" w:cs="宋体"/>
          <w:kern w:val="0"/>
          <w:sz w:val="24"/>
        </w:rPr>
        <w:t>、</w:t>
      </w:r>
      <w:r>
        <w:rPr>
          <w:rFonts w:hint="eastAsia" w:ascii="Times New Roman" w:hAnsi="Times New Roman" w:eastAsia="宋体" w:cs="宋体"/>
          <w:kern w:val="0"/>
          <w:sz w:val="24"/>
        </w:rPr>
        <w:t>办理协商</w:t>
      </w:r>
      <w:r>
        <w:rPr>
          <w:rFonts w:ascii="Times New Roman" w:hAnsi="Times New Roman" w:eastAsia="宋体" w:cs="宋体"/>
          <w:kern w:val="0"/>
          <w:sz w:val="24"/>
        </w:rPr>
        <w:t>、</w:t>
      </w:r>
      <w:r>
        <w:rPr>
          <w:rFonts w:hint="eastAsia" w:ascii="Times New Roman" w:hAnsi="Times New Roman" w:eastAsia="宋体" w:cs="宋体"/>
          <w:kern w:val="0"/>
          <w:sz w:val="24"/>
        </w:rPr>
        <w:t>提案统计等功能</w:t>
      </w:r>
      <w:r>
        <w:rPr>
          <w:rFonts w:ascii="Times New Roman" w:hAnsi="Times New Roman" w:eastAsia="宋体" w:cs="宋体"/>
          <w:kern w:val="0"/>
          <w:sz w:val="24"/>
        </w:rPr>
        <w:t>。</w:t>
      </w:r>
    </w:p>
    <w:p w14:paraId="6750EF31">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承办单位信息：当前承办单位人员信息</w:t>
      </w:r>
    </w:p>
    <w:p w14:paraId="2483C0D7">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统计概况：提案基本统计概况，办理提案数、已办结提案数、已反馈提案数等；</w:t>
      </w:r>
    </w:p>
    <w:p w14:paraId="4BA76E6D">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知情明政：展示厅局的相关提案线索、党政文件、厅局工作等文件供委员查看，为委员编写提案提供思路。</w:t>
      </w:r>
    </w:p>
    <w:p w14:paraId="150A11CF">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制度规定：展示提案委对提案制度的规范产出的文件内容，为委员编写提案提供来信，提供资料查看和查询功能。</w:t>
      </w:r>
    </w:p>
    <w:p w14:paraId="18410041">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提案查看：查看提案基本信息，包括案由、领衔人、届次、提案领域、提案类别。</w:t>
      </w:r>
    </w:p>
    <w:p w14:paraId="6E4D8274">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主办提案：可查看本单位主办的所有提案，包括需要办理的来信、重点提案信息</w:t>
      </w:r>
      <w:r>
        <w:rPr>
          <w:rFonts w:hint="eastAsia" w:ascii="Times New Roman" w:hAnsi="Times New Roman" w:eastAsia="宋体" w:cs="宋体"/>
          <w:kern w:val="0"/>
          <w:sz w:val="24"/>
          <w:szCs w:val="22"/>
          <w:lang w:eastAsia="zh-CN"/>
        </w:rPr>
        <w:t>。</w:t>
      </w:r>
    </w:p>
    <w:p w14:paraId="68B4873B">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会办提案：可查看本单位协办的所有提案，包括需要办理的来信、重点提案信息</w:t>
      </w:r>
      <w:r>
        <w:rPr>
          <w:rFonts w:hint="eastAsia" w:ascii="Times New Roman" w:hAnsi="Times New Roman" w:eastAsia="宋体" w:cs="宋体"/>
          <w:kern w:val="0"/>
          <w:sz w:val="24"/>
          <w:szCs w:val="22"/>
          <w:lang w:eastAsia="zh-CN"/>
        </w:rPr>
        <w:t>。</w:t>
      </w:r>
    </w:p>
    <w:p w14:paraId="7743F99E">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重点提案办理：承办单位</w:t>
      </w:r>
      <w:r>
        <w:rPr>
          <w:rFonts w:hint="eastAsia" w:ascii="Times New Roman" w:hAnsi="Times New Roman" w:eastAsia="宋体" w:cs="宋体"/>
          <w:kern w:val="0"/>
          <w:sz w:val="24"/>
          <w:szCs w:val="22"/>
          <w:lang w:val="en-US" w:eastAsia="zh-CN"/>
        </w:rPr>
        <w:t>可登录系统</w:t>
      </w:r>
      <w:r>
        <w:rPr>
          <w:rFonts w:hint="eastAsia" w:ascii="Times New Roman" w:hAnsi="Times New Roman" w:eastAsia="宋体" w:cs="宋体"/>
          <w:kern w:val="0"/>
          <w:sz w:val="24"/>
          <w:szCs w:val="22"/>
          <w:lang w:eastAsia="zh-Hans"/>
        </w:rPr>
        <w:t>进行重点提案案件办理</w:t>
      </w:r>
      <w:r>
        <w:rPr>
          <w:rFonts w:hint="eastAsia" w:ascii="Times New Roman" w:hAnsi="Times New Roman" w:eastAsia="宋体" w:cs="宋体"/>
          <w:kern w:val="0"/>
          <w:sz w:val="24"/>
          <w:szCs w:val="22"/>
          <w:lang w:eastAsia="zh-CN"/>
        </w:rPr>
        <w:t>。</w:t>
      </w:r>
    </w:p>
    <w:p w14:paraId="7E5A134A">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办理协商：可以针对政协委员、承办单位、党派、界别小组、专委会发送站内消息，也可收到他人的消息，并可进行回复。</w:t>
      </w:r>
    </w:p>
    <w:p w14:paraId="7843F3A3">
      <w:pPr>
        <w:keepNext w:val="0"/>
        <w:keepLines w:val="0"/>
        <w:pageBreakBefore w:val="0"/>
        <w:widowControl/>
        <w:numPr>
          <w:ilvl w:val="0"/>
          <w:numId w:val="4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提案统计：统计办理提案数、已办结提案数、已反馈提案数等</w:t>
      </w:r>
      <w:r>
        <w:rPr>
          <w:rFonts w:hint="eastAsia" w:ascii="Times New Roman" w:hAnsi="Times New Roman" w:eastAsia="宋体" w:cs="宋体"/>
          <w:kern w:val="0"/>
          <w:sz w:val="24"/>
          <w:szCs w:val="22"/>
          <w:lang w:eastAsia="zh-CN"/>
        </w:rPr>
        <w:t>。</w:t>
      </w:r>
    </w:p>
    <w:p w14:paraId="0CE0686F">
      <w:pPr>
        <w:pStyle w:val="6"/>
        <w:numPr>
          <w:ilvl w:val="4"/>
          <w:numId w:val="0"/>
        </w:numPr>
        <w:bidi w:val="0"/>
        <w:ind w:leftChars="0"/>
        <w:rPr>
          <w:rFonts w:hint="eastAsia"/>
          <w:lang w:val="en-US" w:eastAsia="zh-CN"/>
        </w:rPr>
      </w:pPr>
      <w:bookmarkStart w:id="111" w:name="_Toc161418618"/>
      <w:bookmarkStart w:id="112" w:name="_Toc5566"/>
      <w:bookmarkStart w:id="113" w:name="_Toc16671"/>
      <w:bookmarkStart w:id="114" w:name="_Toc437"/>
      <w:r>
        <w:rPr>
          <w:rFonts w:hint="eastAsia" w:ascii="黑体" w:hAnsi="黑体" w:eastAsia="黑体" w:cstheme="minorBidi"/>
          <w:kern w:val="2"/>
          <w:sz w:val="28"/>
          <w:szCs w:val="24"/>
          <w:lang w:val="en-US" w:eastAsia="zh-CN" w:bidi="ar-SA"/>
        </w:rPr>
        <w:t>4.2.4</w:t>
      </w:r>
      <w:r>
        <w:rPr>
          <w:rFonts w:hint="eastAsia"/>
          <w:lang w:val="en-US" w:eastAsia="zh-CN"/>
        </w:rPr>
        <w:t>社情民意在线</w:t>
      </w:r>
      <w:bookmarkEnd w:id="111"/>
      <w:bookmarkEnd w:id="112"/>
      <w:bookmarkEnd w:id="113"/>
      <w:bookmarkEnd w:id="114"/>
    </w:p>
    <w:p w14:paraId="2C996DBC">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社情民意在线是为满足政协用户推出的智能化平台，旨在收集、处理、分析和展示社情民意信息。该系统的主要功能包括稿件上报、编辑审核、采用反馈、二级贯通、积分配置赋分、统计分析等。</w:t>
      </w:r>
    </w:p>
    <w:p w14:paraId="7D01B17F">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通过稿件上报功能，用户可以提交稿件并可选择填入参与人、领域、类别等数据。系统支持查重，可减少重复稿件。编辑审核功能允许审核人进行线上编辑和保存，并可设置多个审核环节和流程流转。采用反馈和二级贯通功能使上报的稿件可以向上级单位转报，实现市、县区政协二级贯通。领导的反馈内容会同步下达到上报人和转交单位，也可设置公开范围限制。积分配置赋分功能根据积分制规则自动对每个上报者进行赋分，提高工作效率。统计分析功能可以对系统数据进行多维度统计和分析，用户可以根据需要筛选统计数据。</w:t>
      </w:r>
    </w:p>
    <w:p w14:paraId="088948A3">
      <w:pPr>
        <w:bidi w:val="0"/>
        <w:rPr>
          <w:rFonts w:hint="eastAsia"/>
          <w:lang w:val="en-US" w:eastAsia="zh-CN"/>
        </w:rPr>
      </w:pPr>
      <w:r>
        <w:rPr>
          <w:rFonts w:hint="eastAsia" w:ascii="宋体" w:hAnsi="宋体" w:eastAsia="宋体" w:cstheme="minorBidi"/>
          <w:b/>
          <w:kern w:val="2"/>
          <w:sz w:val="24"/>
          <w:szCs w:val="24"/>
          <w:lang w:val="en-US" w:eastAsia="zh-CN" w:bidi="ar-SA"/>
        </w:rPr>
        <w:t>4.2.4.1</w:t>
      </w:r>
      <w:r>
        <w:rPr>
          <w:rFonts w:hint="eastAsia"/>
          <w:lang w:val="en-US" w:eastAsia="zh-CN"/>
        </w:rPr>
        <w:t>社情民意在线P</w:t>
      </w:r>
      <w:r>
        <w:rPr>
          <w:lang w:val="en-US" w:eastAsia="zh-CN"/>
        </w:rPr>
        <w:t>C</w:t>
      </w:r>
      <w:r>
        <w:rPr>
          <w:rFonts w:hint="eastAsia"/>
          <w:lang w:val="en-US" w:eastAsia="zh-CN"/>
        </w:rPr>
        <w:t>端功能</w:t>
      </w:r>
    </w:p>
    <w:p w14:paraId="011396CC">
      <w:pPr>
        <w:bidi w:val="0"/>
        <w:rPr>
          <w:rFonts w:hint="eastAsia"/>
          <w:kern w:val="0"/>
        </w:rPr>
      </w:pPr>
      <w:r>
        <w:rPr>
          <w:rFonts w:hint="eastAsia" w:ascii="宋体" w:hAnsi="宋体" w:eastAsia="宋体" w:cs="宋体"/>
          <w:kern w:val="0"/>
          <w:sz w:val="24"/>
          <w:szCs w:val="24"/>
          <w:lang w:val="en-US" w:eastAsia="zh-CN" w:bidi="ar-SA"/>
        </w:rPr>
        <w:t>4.2.4.1.1</w:t>
      </w:r>
      <w:r>
        <w:rPr>
          <w:rFonts w:hint="eastAsia"/>
          <w:kern w:val="0"/>
        </w:rPr>
        <w:t>社情民意工作台</w:t>
      </w:r>
    </w:p>
    <w:p w14:paraId="272531A2">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Times New Roman"/>
          <w:kern w:val="0"/>
          <w:sz w:val="24"/>
        </w:rPr>
        <w:t>对</w:t>
      </w:r>
      <w:r>
        <w:rPr>
          <w:rFonts w:hint="eastAsia" w:ascii="Times New Roman" w:hAnsi="Times New Roman" w:eastAsia="宋体" w:cs="Times New Roman"/>
          <w:kern w:val="0"/>
          <w:sz w:val="24"/>
        </w:rPr>
        <w:t>上报者和审核人两</w:t>
      </w:r>
      <w:r>
        <w:rPr>
          <w:rFonts w:ascii="Times New Roman" w:hAnsi="Times New Roman" w:eastAsia="宋体" w:cs="Times New Roman"/>
          <w:kern w:val="0"/>
          <w:sz w:val="24"/>
        </w:rPr>
        <w:t>类用户PC端工作台分别</w:t>
      </w:r>
      <w:r>
        <w:rPr>
          <w:rFonts w:hint="eastAsia" w:ascii="Times New Roman" w:hAnsi="Times New Roman" w:eastAsia="宋体" w:cs="Times New Roman"/>
          <w:kern w:val="0"/>
          <w:sz w:val="24"/>
          <w:lang w:eastAsia="zh-Hans"/>
        </w:rPr>
        <w:t>进行深化</w:t>
      </w:r>
      <w:r>
        <w:rPr>
          <w:rFonts w:ascii="Times New Roman" w:hAnsi="Times New Roman" w:eastAsia="宋体" w:cs="Times New Roman"/>
          <w:kern w:val="0"/>
          <w:sz w:val="24"/>
        </w:rPr>
        <w:t>设计，包括新增</w:t>
      </w:r>
      <w:r>
        <w:rPr>
          <w:rFonts w:hint="eastAsia" w:ascii="Times New Roman" w:hAnsi="Times New Roman" w:eastAsia="宋体" w:cs="Times New Roman"/>
          <w:kern w:val="0"/>
          <w:sz w:val="24"/>
        </w:rPr>
        <w:t>工作量、个人信息</w:t>
      </w:r>
      <w:r>
        <w:rPr>
          <w:rFonts w:ascii="Times New Roman" w:hAnsi="Times New Roman" w:eastAsia="宋体" w:cs="Times New Roman"/>
          <w:kern w:val="0"/>
          <w:sz w:val="24"/>
        </w:rPr>
        <w:t>展示</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eastAsia="zh-Hans"/>
        </w:rPr>
        <w:t>深</w:t>
      </w:r>
      <w:r>
        <w:rPr>
          <w:rFonts w:ascii="Times New Roman" w:hAnsi="Times New Roman" w:eastAsia="宋体" w:cs="Times New Roman"/>
          <w:kern w:val="0"/>
          <w:sz w:val="24"/>
        </w:rPr>
        <w:t>化</w:t>
      </w:r>
      <w:r>
        <w:rPr>
          <w:rFonts w:hint="eastAsia" w:ascii="Times New Roman" w:hAnsi="Times New Roman" w:eastAsia="宋体" w:cs="Times New Roman"/>
          <w:kern w:val="0"/>
          <w:sz w:val="24"/>
        </w:rPr>
        <w:t>社情民意稿件处理</w:t>
      </w:r>
      <w:r>
        <w:rPr>
          <w:rFonts w:ascii="Times New Roman" w:hAnsi="Times New Roman" w:eastAsia="宋体" w:cs="Times New Roman"/>
          <w:kern w:val="0"/>
          <w:sz w:val="24"/>
        </w:rPr>
        <w:t>等</w:t>
      </w:r>
      <w:r>
        <w:rPr>
          <w:rFonts w:hint="eastAsia" w:ascii="Times New Roman" w:hAnsi="Times New Roman" w:eastAsia="宋体" w:cs="Times New Roman"/>
          <w:kern w:val="0"/>
          <w:sz w:val="24"/>
        </w:rPr>
        <w:t>模块</w:t>
      </w:r>
      <w:r>
        <w:rPr>
          <w:rFonts w:hint="eastAsia" w:ascii="Times New Roman" w:hAnsi="Times New Roman" w:eastAsia="宋体" w:cs="Times New Roman"/>
          <w:kern w:val="0"/>
          <w:sz w:val="24"/>
          <w:lang w:eastAsia="zh-Hans"/>
        </w:rPr>
        <w:t>的交互体验</w:t>
      </w:r>
      <w:r>
        <w:rPr>
          <w:rFonts w:hint="eastAsia" w:ascii="Times New Roman" w:hAnsi="Times New Roman" w:eastAsia="宋体" w:cs="Times New Roman"/>
          <w:kern w:val="0"/>
          <w:sz w:val="24"/>
        </w:rPr>
        <w:t>。</w:t>
      </w:r>
    </w:p>
    <w:p w14:paraId="44262AC6">
      <w:pPr>
        <w:keepNext w:val="0"/>
        <w:keepLines w:val="0"/>
        <w:pageBreakBefore w:val="0"/>
        <w:widowControl/>
        <w:numPr>
          <w:ilvl w:val="0"/>
          <w:numId w:val="4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上报者工作台</w:t>
      </w:r>
    </w:p>
    <w:p w14:paraId="6A5BA7DD">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上报者工作台集成上报者个人或团体信息，提交社情民意快捷入口、社情民意基本统计概况。上报者可查看得分、上报稿件、采用稿件和批示稿件数及明细。同时为上报者提供参考信息，主要包括社情民意线索库和信息约稿模块，可在工作台浏览。</w:t>
      </w:r>
    </w:p>
    <w:p w14:paraId="32697E72">
      <w:pPr>
        <w:keepNext w:val="0"/>
        <w:keepLines w:val="0"/>
        <w:pageBreakBefore w:val="0"/>
        <w:widowControl/>
        <w:numPr>
          <w:ilvl w:val="0"/>
          <w:numId w:val="4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审核人工作台</w:t>
      </w:r>
    </w:p>
    <w:p w14:paraId="1FA684BD">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eastAsia="zh-Hans"/>
        </w:rPr>
      </w:pPr>
      <w:r>
        <w:rPr>
          <w:rFonts w:hint="eastAsia" w:ascii="Times New Roman" w:hAnsi="Times New Roman" w:eastAsia="宋体" w:cs="宋体"/>
          <w:kern w:val="0"/>
          <w:sz w:val="24"/>
          <w:lang w:eastAsia="zh-Hans"/>
        </w:rPr>
        <w:t>审核人工作台统计当前用户工作量，社情民意处理基本信息。显示信息编辑的四个阶段快捷处理入口。报送概览以图形的方式展示上报稿件的趋势以及不同类别的情况。</w:t>
      </w:r>
    </w:p>
    <w:p w14:paraId="09DB3483">
      <w:pPr>
        <w:bidi w:val="0"/>
        <w:rPr>
          <w:rFonts w:hint="eastAsia"/>
          <w:kern w:val="0"/>
        </w:rPr>
      </w:pPr>
      <w:r>
        <w:rPr>
          <w:rFonts w:hint="eastAsia" w:ascii="宋体" w:hAnsi="宋体" w:eastAsia="宋体" w:cs="宋体"/>
          <w:kern w:val="0"/>
          <w:sz w:val="24"/>
          <w:szCs w:val="24"/>
          <w:lang w:val="en-US" w:eastAsia="zh-CN" w:bidi="ar-SA"/>
        </w:rPr>
        <w:t>4.2.4.1.2</w:t>
      </w:r>
      <w:r>
        <w:rPr>
          <w:rFonts w:hint="eastAsia"/>
          <w:kern w:val="0"/>
        </w:rPr>
        <w:t>信息征集</w:t>
      </w:r>
    </w:p>
    <w:p w14:paraId="15F4B121">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信息征集包含信息报送、信息代报、社情民意线索库。</w:t>
      </w:r>
    </w:p>
    <w:p w14:paraId="1E078771">
      <w:pPr>
        <w:keepNext w:val="0"/>
        <w:keepLines w:val="0"/>
        <w:pageBreakBefore w:val="0"/>
        <w:widowControl/>
        <w:numPr>
          <w:ilvl w:val="0"/>
          <w:numId w:val="4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信息报送</w:t>
      </w:r>
    </w:p>
    <w:p w14:paraId="5EECB9C1">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社情民意报送要素包含标题、领域、类别、参与人、正文、附件等信息。用户填写必要信息及正文完成上报。提交稿件时会自动查重，重合度高于阈值的稿件无法提交，并提示稿件重合度过高。系统为用户提供查重功能，用户在提交前可先点击查重功能查看稿件的相似度，稿件重复部分会有高亮显示，用户将相似度高的稿件进行重新修改</w:t>
      </w:r>
      <w:r>
        <w:rPr>
          <w:rFonts w:hint="eastAsia" w:ascii="Times New Roman" w:hAnsi="Times New Roman" w:eastAsia="宋体" w:cs="Times New Roman"/>
          <w:kern w:val="0"/>
          <w:sz w:val="24"/>
          <w:lang w:val="en-US" w:eastAsia="zh-CN"/>
        </w:rPr>
        <w:t>后</w:t>
      </w:r>
      <w:r>
        <w:rPr>
          <w:rFonts w:hint="eastAsia" w:ascii="Times New Roman" w:hAnsi="Times New Roman" w:eastAsia="宋体" w:cs="Times New Roman"/>
          <w:kern w:val="0"/>
          <w:sz w:val="24"/>
        </w:rPr>
        <w:t>提交。</w:t>
      </w:r>
    </w:p>
    <w:p w14:paraId="5C07EE38">
      <w:pPr>
        <w:keepNext w:val="0"/>
        <w:keepLines w:val="0"/>
        <w:pageBreakBefore w:val="0"/>
        <w:widowControl/>
        <w:numPr>
          <w:ilvl w:val="0"/>
          <w:numId w:val="4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信息代报</w:t>
      </w:r>
    </w:p>
    <w:p w14:paraId="4E3F3BE2">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对不方便使用系统人员或特殊情况提供代报功能，需选择上报人，其他要素同信息报送。</w:t>
      </w:r>
    </w:p>
    <w:p w14:paraId="529B626C">
      <w:pPr>
        <w:keepNext w:val="0"/>
        <w:keepLines w:val="0"/>
        <w:pageBreakBefore w:val="0"/>
        <w:widowControl/>
        <w:numPr>
          <w:ilvl w:val="0"/>
          <w:numId w:val="4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社情民意线索库</w:t>
      </w:r>
    </w:p>
    <w:p w14:paraId="0C3F066E">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展示社情民意线索内容。可根据不同条件包括线索内容、数据来源、领域类别等进行筛选。委员、特邀信息员可参考群众提供的社情民意线索上报稿件，反映民意。</w:t>
      </w:r>
    </w:p>
    <w:p w14:paraId="5B82AAB4">
      <w:pPr>
        <w:bidi w:val="0"/>
        <w:rPr>
          <w:rFonts w:hint="eastAsia"/>
          <w:kern w:val="0"/>
        </w:rPr>
      </w:pPr>
      <w:r>
        <w:rPr>
          <w:rFonts w:hint="eastAsia" w:ascii="宋体" w:hAnsi="宋体" w:eastAsia="宋体" w:cs="宋体"/>
          <w:kern w:val="0"/>
          <w:sz w:val="24"/>
          <w:szCs w:val="24"/>
          <w:lang w:val="en-US" w:eastAsia="zh-CN" w:bidi="ar-SA"/>
        </w:rPr>
        <w:t>4.2.4.1.3</w:t>
      </w:r>
      <w:r>
        <w:rPr>
          <w:rFonts w:hint="eastAsia"/>
          <w:kern w:val="0"/>
        </w:rPr>
        <w:t>信息编辑</w:t>
      </w:r>
    </w:p>
    <w:p w14:paraId="66670E3D">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信息编辑包含原稿件库、待编稿件库、在编稿件库、审签管理。</w:t>
      </w:r>
    </w:p>
    <w:p w14:paraId="2406C91F">
      <w:pPr>
        <w:keepNext w:val="0"/>
        <w:keepLines w:val="0"/>
        <w:pageBreakBefore w:val="0"/>
        <w:widowControl/>
        <w:numPr>
          <w:ilvl w:val="0"/>
          <w:numId w:val="4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原稿件库</w:t>
      </w:r>
    </w:p>
    <w:p w14:paraId="73777367">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用户查看所有提交的原始稿件并对稿件进行初步处理。以列表形式展示原稿件信息，用户查看稿件内容并进行初选、退回、已阅删除等操作，可通过查看退回记录对比修改后稿件与修改前稿件。</w:t>
      </w:r>
    </w:p>
    <w:p w14:paraId="7F9C02B2">
      <w:pPr>
        <w:keepNext w:val="0"/>
        <w:keepLines w:val="0"/>
        <w:pageBreakBefore w:val="0"/>
        <w:widowControl/>
        <w:numPr>
          <w:ilvl w:val="0"/>
          <w:numId w:val="4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待编稿件库</w:t>
      </w:r>
    </w:p>
    <w:p w14:paraId="71472CFD">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以列表形式展示待编的稿件。用户查看待编的稿件，选择是否要转入在编稿件库中去编辑。稿件记录指派人和编辑人，实现稿件的全流程留痕记录。</w:t>
      </w:r>
    </w:p>
    <w:p w14:paraId="00C3D5B9">
      <w:pPr>
        <w:keepNext w:val="0"/>
        <w:keepLines w:val="0"/>
        <w:pageBreakBefore w:val="0"/>
        <w:widowControl/>
        <w:numPr>
          <w:ilvl w:val="0"/>
          <w:numId w:val="4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在编稿件库</w:t>
      </w:r>
    </w:p>
    <w:p w14:paraId="01A1FA62">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以列表形式显示所有稿件，可根据编辑人列的名字查找自己需编辑的稿件，也可一键筛选与我相关的稿件，对稿件在线编辑。系统支持撤回操作，可重新修改编辑稿件后再送审。系统支持查询相似稿件功能，智能比对稿件相似度，为合稿提供参考。</w:t>
      </w:r>
    </w:p>
    <w:p w14:paraId="50C6233A">
      <w:pPr>
        <w:keepNext w:val="0"/>
        <w:keepLines w:val="0"/>
        <w:pageBreakBefore w:val="0"/>
        <w:widowControl/>
        <w:numPr>
          <w:ilvl w:val="0"/>
          <w:numId w:val="4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审签管理</w:t>
      </w:r>
    </w:p>
    <w:p w14:paraId="54757D96">
      <w:pPr>
        <w:widowControl/>
        <w:spacing w:line="360" w:lineRule="auto"/>
        <w:ind w:firstLine="496" w:firstLineChars="200"/>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rPr>
        <w:t>用户编辑稿件并送审。系统支持目录导出、在线编辑、条件查询、退回重改</w:t>
      </w:r>
      <w:r>
        <w:rPr>
          <w:rFonts w:hint="eastAsia" w:ascii="Times New Roman" w:hAnsi="Times New Roman" w:eastAsia="宋体" w:cs="Times New Roman"/>
          <w:kern w:val="0"/>
          <w:sz w:val="24"/>
          <w:lang w:val="en-US" w:eastAsia="zh-CN"/>
        </w:rPr>
        <w:t>等操作。审核包括二审和审签两个流程。审核人填写审核意见进入下一流程。若两个流程的审核人相同系统会自动合并，便于用户操作，减少工作量。</w:t>
      </w:r>
    </w:p>
    <w:p w14:paraId="3B18967E">
      <w:pPr>
        <w:bidi w:val="0"/>
        <w:rPr>
          <w:kern w:val="0"/>
        </w:rPr>
      </w:pPr>
      <w:r>
        <w:rPr>
          <w:rFonts w:hint="eastAsia" w:ascii="宋体" w:hAnsi="宋体" w:eastAsia="宋体" w:cs="宋体"/>
          <w:kern w:val="0"/>
          <w:sz w:val="24"/>
          <w:szCs w:val="24"/>
          <w:lang w:val="en-US" w:eastAsia="zh-CN" w:bidi="ar-SA"/>
        </w:rPr>
        <w:t>4.2.4.1.4</w:t>
      </w:r>
      <w:r>
        <w:rPr>
          <w:rFonts w:hint="eastAsia"/>
          <w:kern w:val="0"/>
        </w:rPr>
        <w:t>采用反馈</w:t>
      </w:r>
    </w:p>
    <w:p w14:paraId="3B88E74D">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用户可查看审批完成的稿件、录入反馈意见。反馈意见分为采用情况、领导批示、部门采纳三种，稿件的积分根据此反馈以及积分规则赋分。稿件批示可设置公开范围，分为不可见、仅本人可见，公开三种形式。批示等级分为省政协、市委/市政府、市级部门，全国政协四种等级。稿件有需要再修改的地方可再编辑，可设置稿件公开，公开的稿件会显示在相对应的公共目录中、县区可在已印发稿件中对稿件进行上报报送上一级单位，实现市、县区二级联动。</w:t>
      </w:r>
    </w:p>
    <w:p w14:paraId="35960816">
      <w:pPr>
        <w:bidi w:val="0"/>
        <w:rPr>
          <w:rFonts w:hint="eastAsia"/>
          <w:kern w:val="0"/>
        </w:rPr>
      </w:pPr>
      <w:r>
        <w:rPr>
          <w:rFonts w:hint="eastAsia" w:ascii="宋体" w:hAnsi="宋体" w:eastAsia="宋体" w:cs="宋体"/>
          <w:kern w:val="0"/>
          <w:sz w:val="24"/>
          <w:szCs w:val="24"/>
          <w:lang w:val="en-US" w:eastAsia="zh-CN" w:bidi="ar-SA"/>
        </w:rPr>
        <w:t>4.2.4.1.5</w:t>
      </w:r>
      <w:r>
        <w:rPr>
          <w:rFonts w:hint="eastAsia"/>
          <w:kern w:val="0"/>
        </w:rPr>
        <w:t>转提案线索信息</w:t>
      </w:r>
    </w:p>
    <w:p w14:paraId="2F981B77">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本功能</w:t>
      </w:r>
      <w:r>
        <w:rPr>
          <w:rFonts w:ascii="Times New Roman" w:hAnsi="Times New Roman" w:eastAsia="宋体" w:cs="宋体"/>
          <w:kern w:val="0"/>
          <w:sz w:val="24"/>
        </w:rPr>
        <w:t>对提案</w:t>
      </w:r>
      <w:r>
        <w:rPr>
          <w:rFonts w:hint="eastAsia" w:ascii="Times New Roman" w:hAnsi="Times New Roman" w:eastAsia="宋体" w:cs="宋体"/>
          <w:kern w:val="0"/>
          <w:sz w:val="24"/>
        </w:rPr>
        <w:t>写作有用的社情民意信息，有</w:t>
      </w:r>
      <w:r>
        <w:rPr>
          <w:rFonts w:hint="eastAsia" w:ascii="Times New Roman" w:hAnsi="Times New Roman" w:eastAsia="宋体" w:cs="宋体"/>
          <w:kern w:val="0"/>
          <w:sz w:val="24"/>
          <w:lang w:val="en-US" w:eastAsia="zh-CN"/>
        </w:rPr>
        <w:t>符合</w:t>
      </w:r>
      <w:r>
        <w:rPr>
          <w:rFonts w:hint="eastAsia" w:ascii="Times New Roman" w:hAnsi="Times New Roman" w:eastAsia="宋体" w:cs="宋体"/>
          <w:kern w:val="0"/>
          <w:sz w:val="24"/>
        </w:rPr>
        <w:t>提案</w:t>
      </w:r>
      <w:r>
        <w:rPr>
          <w:rFonts w:hint="eastAsia" w:ascii="Times New Roman" w:hAnsi="Times New Roman" w:eastAsia="宋体" w:cs="宋体"/>
          <w:kern w:val="0"/>
          <w:sz w:val="24"/>
          <w:lang w:val="en-US" w:eastAsia="zh-CN"/>
        </w:rPr>
        <w:t>线索</w:t>
      </w:r>
      <w:r>
        <w:rPr>
          <w:rFonts w:hint="eastAsia" w:ascii="Times New Roman" w:hAnsi="Times New Roman" w:eastAsia="宋体" w:cs="宋体"/>
          <w:kern w:val="0"/>
          <w:sz w:val="24"/>
        </w:rPr>
        <w:t>标准的直接转提案线索</w:t>
      </w:r>
    </w:p>
    <w:p w14:paraId="3B72F1A2">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可在本模块查看审查结果为转</w:t>
      </w:r>
      <w:r>
        <w:rPr>
          <w:rFonts w:hint="eastAsia" w:ascii="Times New Roman" w:hAnsi="Times New Roman" w:eastAsia="宋体" w:cs="宋体"/>
          <w:kern w:val="0"/>
          <w:sz w:val="24"/>
        </w:rPr>
        <w:t>提案</w:t>
      </w:r>
      <w:r>
        <w:rPr>
          <w:rFonts w:hint="eastAsia" w:ascii="Times New Roman" w:hAnsi="Times New Roman" w:eastAsia="宋体" w:cs="宋体"/>
          <w:kern w:val="0"/>
          <w:sz w:val="24"/>
          <w:lang w:val="en-US" w:eastAsia="zh-CN"/>
        </w:rPr>
        <w:t>线索</w:t>
      </w:r>
      <w:r>
        <w:rPr>
          <w:rFonts w:ascii="Times New Roman" w:hAnsi="Times New Roman" w:eastAsia="宋体" w:cs="宋体"/>
          <w:kern w:val="0"/>
          <w:sz w:val="24"/>
        </w:rPr>
        <w:t>信息，支持来信目录导出、基本信息导出等；</w:t>
      </w:r>
    </w:p>
    <w:p w14:paraId="40B54E66">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提供多维度查询条件进行综合查询，方便审查人员快捷查找；</w:t>
      </w:r>
    </w:p>
    <w:p w14:paraId="43ED4892">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支持</w:t>
      </w:r>
      <w:r>
        <w:rPr>
          <w:rFonts w:hint="eastAsia" w:ascii="Times New Roman" w:hAnsi="Times New Roman" w:eastAsia="宋体" w:cs="宋体"/>
          <w:kern w:val="0"/>
          <w:sz w:val="24"/>
        </w:rPr>
        <w:t>数据转化格式，一键同步到提案系统中</w:t>
      </w:r>
      <w:r>
        <w:rPr>
          <w:rFonts w:ascii="Times New Roman" w:hAnsi="Times New Roman" w:eastAsia="宋体" w:cs="宋体"/>
          <w:kern w:val="0"/>
          <w:sz w:val="24"/>
        </w:rPr>
        <w:t>。</w:t>
      </w:r>
    </w:p>
    <w:p w14:paraId="35097AC5">
      <w:pPr>
        <w:bidi w:val="0"/>
        <w:rPr>
          <w:rFonts w:hint="eastAsia"/>
          <w:kern w:val="0"/>
        </w:rPr>
      </w:pPr>
      <w:r>
        <w:rPr>
          <w:rFonts w:hint="eastAsia" w:ascii="宋体" w:hAnsi="宋体" w:eastAsia="宋体" w:cs="宋体"/>
          <w:kern w:val="0"/>
          <w:sz w:val="24"/>
          <w:szCs w:val="24"/>
          <w:lang w:val="en-US" w:eastAsia="zh-CN" w:bidi="ar-SA"/>
        </w:rPr>
        <w:t>4.2.4.1.6</w:t>
      </w:r>
      <w:r>
        <w:rPr>
          <w:rFonts w:hint="eastAsia"/>
          <w:kern w:val="0"/>
        </w:rPr>
        <w:t>查询统计</w:t>
      </w:r>
    </w:p>
    <w:p w14:paraId="27631CAB">
      <w:pPr>
        <w:widowControl/>
        <w:spacing w:line="360" w:lineRule="auto"/>
        <w:ind w:firstLine="496" w:firstLineChars="200"/>
        <w:rPr>
          <w:rFonts w:hint="default"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统计查询包含公共目录、综合查询、全文检索、综合统计。</w:t>
      </w:r>
    </w:p>
    <w:p w14:paraId="2CC6DF2F">
      <w:pPr>
        <w:keepNext w:val="0"/>
        <w:keepLines w:val="0"/>
        <w:pageBreakBefore w:val="0"/>
        <w:widowControl/>
        <w:numPr>
          <w:ilvl w:val="0"/>
          <w:numId w:val="4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公共目录</w:t>
      </w:r>
    </w:p>
    <w:p w14:paraId="68FE41AD">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展示公开的稿件，为上报者提供稿件参考。公共目录分为市政协、县政协公开的稿件，可根据条件查询。</w:t>
      </w:r>
    </w:p>
    <w:p w14:paraId="5218592F">
      <w:pPr>
        <w:keepNext w:val="0"/>
        <w:keepLines w:val="0"/>
        <w:pageBreakBefore w:val="0"/>
        <w:widowControl/>
        <w:numPr>
          <w:ilvl w:val="0"/>
          <w:numId w:val="4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综合查询</w:t>
      </w:r>
    </w:p>
    <w:p w14:paraId="085AE9BF">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根据条件查询已印发稿件。</w:t>
      </w:r>
    </w:p>
    <w:p w14:paraId="1C917E2E">
      <w:pPr>
        <w:keepNext w:val="0"/>
        <w:keepLines w:val="0"/>
        <w:pageBreakBefore w:val="0"/>
        <w:widowControl/>
        <w:numPr>
          <w:ilvl w:val="0"/>
          <w:numId w:val="4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全文检索</w:t>
      </w:r>
    </w:p>
    <w:p w14:paraId="07BC4315">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根据文章内容查询稿件。</w:t>
      </w:r>
    </w:p>
    <w:p w14:paraId="77D8C083">
      <w:pPr>
        <w:keepNext w:val="0"/>
        <w:keepLines w:val="0"/>
        <w:pageBreakBefore w:val="0"/>
        <w:widowControl/>
        <w:numPr>
          <w:ilvl w:val="0"/>
          <w:numId w:val="4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综合统计</w:t>
      </w:r>
    </w:p>
    <w:p w14:paraId="5D8B274F">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综合统计包括用稿统计、批示统计、来源统计、领域类别统计、概述统计。用稿</w:t>
      </w:r>
      <w:r>
        <w:rPr>
          <w:rFonts w:hint="eastAsia" w:ascii="Times New Roman" w:hAnsi="Times New Roman" w:eastAsia="宋体" w:cs="Times New Roman"/>
          <w:kern w:val="0"/>
          <w:sz w:val="24"/>
          <w:lang w:val="en-US" w:eastAsia="zh-CN"/>
        </w:rPr>
        <w:t>统计统计</w:t>
      </w:r>
      <w:r>
        <w:rPr>
          <w:rFonts w:hint="eastAsia" w:ascii="Times New Roman" w:hAnsi="Times New Roman" w:eastAsia="宋体" w:cs="Times New Roman"/>
          <w:kern w:val="0"/>
          <w:sz w:val="24"/>
        </w:rPr>
        <w:t>已印发稿件的采用情况；批示统计统计稿件的批示情况；</w:t>
      </w:r>
      <w:r>
        <w:rPr>
          <w:rFonts w:hint="eastAsia" w:ascii="Times New Roman" w:hAnsi="Times New Roman" w:eastAsia="宋体" w:cs="Times New Roman"/>
          <w:kern w:val="0"/>
          <w:sz w:val="24"/>
          <w:lang w:val="en-US" w:eastAsia="zh-CN"/>
        </w:rPr>
        <w:t>来源统计统计</w:t>
      </w:r>
      <w:r>
        <w:rPr>
          <w:rFonts w:hint="eastAsia" w:ascii="Times New Roman" w:hAnsi="Times New Roman" w:eastAsia="宋体" w:cs="Times New Roman"/>
          <w:kern w:val="0"/>
          <w:sz w:val="24"/>
        </w:rPr>
        <w:t>各账号的稿件情况，包括总来稿、总用稿、精编数量和得分；领域类别统计统计上报稿件的领域和类别的稿件数据，点击某一数据可查看单位上报的趋势图、领域占比以及稿件列表；概述统计概述性</w:t>
      </w:r>
      <w:r>
        <w:rPr>
          <w:rFonts w:hint="eastAsia" w:ascii="Times New Roman" w:hAnsi="Times New Roman" w:eastAsia="宋体" w:cs="Times New Roman"/>
          <w:kern w:val="0"/>
          <w:sz w:val="24"/>
          <w:lang w:val="en-US" w:eastAsia="zh-CN"/>
        </w:rPr>
        <w:t>的</w:t>
      </w:r>
      <w:r>
        <w:rPr>
          <w:rFonts w:hint="eastAsia" w:ascii="Times New Roman" w:hAnsi="Times New Roman" w:eastAsia="宋体" w:cs="Times New Roman"/>
          <w:kern w:val="0"/>
          <w:sz w:val="24"/>
        </w:rPr>
        <w:t>统计稿件情况。从不同的角度对社情民意信息统计，展示不同角度的统计数据，为用户决策提供支持。</w:t>
      </w:r>
    </w:p>
    <w:p w14:paraId="2699952F">
      <w:pPr>
        <w:bidi w:val="0"/>
        <w:rPr>
          <w:rFonts w:hint="eastAsia"/>
          <w:kern w:val="0"/>
        </w:rPr>
      </w:pPr>
      <w:r>
        <w:rPr>
          <w:rFonts w:hint="eastAsia" w:ascii="宋体" w:hAnsi="宋体" w:eastAsia="宋体" w:cs="宋体"/>
          <w:kern w:val="0"/>
          <w:sz w:val="24"/>
          <w:szCs w:val="24"/>
          <w:lang w:val="en-US" w:eastAsia="zh-CN" w:bidi="ar-SA"/>
        </w:rPr>
        <w:t>4.2.4.1.7</w:t>
      </w:r>
      <w:r>
        <w:rPr>
          <w:rFonts w:hint="eastAsia"/>
          <w:kern w:val="0"/>
        </w:rPr>
        <w:t>社情民意期刊</w:t>
      </w:r>
    </w:p>
    <w:p w14:paraId="4BBAFF8F">
      <w:pPr>
        <w:keepNext w:val="0"/>
        <w:keepLines w:val="0"/>
        <w:pageBreakBefore w:val="0"/>
        <w:widowControl/>
        <w:numPr>
          <w:ilvl w:val="0"/>
          <w:numId w:val="4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自动生成</w:t>
      </w:r>
    </w:p>
    <w:p w14:paraId="51FCE99F">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社情民意期刊报告现支持自动生成功能。该功能可按照季度，从多个维度，如委员、各政协、各民主党派、工商联、各专委会以及特邀信息员等，进行详尽的数据统计。统计内容涵盖了市政协社情民意业务通讯的多个关键方面，包括市政协办公厅的采纳情况、省政协办公厅的采纳情况、全国政协信息局的反馈、省级政协的反馈以及市级政协的反馈等。系统不仅可以统计出各维度下的通讯篇数，还可以自动生成相应的分数统计。通过这一自动化功能，政协人员将能够从繁琐的统计工作中解脱出来，大大提高工作效率。此功能的实施，不仅实现了智能生成，还确保了统计数据的准确性和时效性，为政协工作提供了有力的数据支持。</w:t>
      </w:r>
    </w:p>
    <w:p w14:paraId="2472222A">
      <w:pPr>
        <w:keepNext w:val="0"/>
        <w:keepLines w:val="0"/>
        <w:pageBreakBefore w:val="0"/>
        <w:widowControl/>
        <w:numPr>
          <w:ilvl w:val="0"/>
          <w:numId w:val="4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审核派发</w:t>
      </w:r>
    </w:p>
    <w:p w14:paraId="57C0B947">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生成的期刊报告统计表可通过送审，到社情民意处机关人员进行审核。机关人员可以人工修正业务统计表，填写审核意见。这一流程可提高期刊报告的权威性和准确性。审核通过后即可下发季度社情民意期刊报告。</w:t>
      </w:r>
    </w:p>
    <w:p w14:paraId="100C372C">
      <w:pPr>
        <w:bidi w:val="0"/>
        <w:rPr>
          <w:kern w:val="0"/>
        </w:rPr>
      </w:pPr>
      <w:r>
        <w:rPr>
          <w:rFonts w:hint="eastAsia" w:ascii="宋体" w:hAnsi="宋体" w:eastAsia="宋体" w:cs="宋体"/>
          <w:kern w:val="0"/>
          <w:sz w:val="24"/>
          <w:szCs w:val="24"/>
          <w:lang w:val="en-US" w:eastAsia="zh-CN" w:bidi="ar-SA"/>
        </w:rPr>
        <w:t>4.2.4.1.8</w:t>
      </w:r>
      <w:r>
        <w:rPr>
          <w:rFonts w:hint="eastAsia"/>
          <w:kern w:val="0"/>
        </w:rPr>
        <w:t>交流互动</w:t>
      </w:r>
    </w:p>
    <w:p w14:paraId="566F0EA2">
      <w:pPr>
        <w:widowControl/>
        <w:spacing w:line="360" w:lineRule="auto"/>
        <w:ind w:firstLine="496" w:firstLineChars="200"/>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包含交流互动、交流互动群管理、交流互动内容管理。</w:t>
      </w:r>
    </w:p>
    <w:p w14:paraId="7B74C3F2">
      <w:pPr>
        <w:keepNext w:val="0"/>
        <w:keepLines w:val="0"/>
        <w:pageBreakBefore w:val="0"/>
        <w:widowControl/>
        <w:numPr>
          <w:ilvl w:val="0"/>
          <w:numId w:val="4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交流互动</w:t>
      </w:r>
    </w:p>
    <w:p w14:paraId="10376CC4">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为用户提供交流互动的群聊。用户在群中参与交流，讨论社情，反映民意。</w:t>
      </w:r>
    </w:p>
    <w:p w14:paraId="55D76438">
      <w:pPr>
        <w:keepNext w:val="0"/>
        <w:keepLines w:val="0"/>
        <w:pageBreakBefore w:val="0"/>
        <w:widowControl/>
        <w:numPr>
          <w:ilvl w:val="0"/>
          <w:numId w:val="4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交流互动群管理</w:t>
      </w:r>
    </w:p>
    <w:p w14:paraId="72FF2CB2">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管理员可对群成员进行管理。支持新增交流互动，交流互动名称、起止时间、发言模式、内容过滤、群说明信息。可通过输入交流互动进行查询统计。</w:t>
      </w:r>
    </w:p>
    <w:p w14:paraId="540DC8C3">
      <w:pPr>
        <w:keepNext w:val="0"/>
        <w:keepLines w:val="0"/>
        <w:pageBreakBefore w:val="0"/>
        <w:widowControl/>
        <w:numPr>
          <w:ilvl w:val="0"/>
          <w:numId w:val="4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交流互动内容管理</w:t>
      </w:r>
    </w:p>
    <w:p w14:paraId="5C204936">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管理员可对交流互动内容进行管理。</w:t>
      </w:r>
    </w:p>
    <w:p w14:paraId="1661B84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支持通过交流互动名称、发帖人、关键字、类型、发送时间等条件进行搜索查询。</w:t>
      </w:r>
    </w:p>
    <w:p w14:paraId="76270ABA">
      <w:pPr>
        <w:bidi w:val="0"/>
        <w:rPr>
          <w:kern w:val="0"/>
        </w:rPr>
      </w:pPr>
      <w:r>
        <w:rPr>
          <w:rFonts w:hint="eastAsia" w:ascii="宋体" w:hAnsi="宋体" w:eastAsia="宋体" w:cs="宋体"/>
          <w:kern w:val="0"/>
          <w:sz w:val="24"/>
          <w:szCs w:val="24"/>
          <w:lang w:val="en-US" w:eastAsia="zh-CN" w:bidi="ar-SA"/>
        </w:rPr>
        <w:t>4.2.4.1.9</w:t>
      </w:r>
      <w:r>
        <w:rPr>
          <w:rFonts w:hint="eastAsia"/>
          <w:kern w:val="0"/>
        </w:rPr>
        <w:t>系统设置</w:t>
      </w:r>
    </w:p>
    <w:p w14:paraId="3D56C5B3">
      <w:pPr>
        <w:keepNext w:val="0"/>
        <w:keepLines w:val="0"/>
        <w:pageBreakBefore w:val="0"/>
        <w:widowControl/>
        <w:numPr>
          <w:ilvl w:val="0"/>
          <w:numId w:val="4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年度设置</w:t>
      </w:r>
    </w:p>
    <w:p w14:paraId="257D70AA">
      <w:pPr>
        <w:widowControl/>
        <w:spacing w:line="360" w:lineRule="auto"/>
        <w:ind w:firstLine="496" w:firstLineChars="200"/>
        <w:rPr>
          <w:rFonts w:ascii="Times New Roman" w:hAnsi="Times New Roman" w:eastAsia="宋体" w:cs="Times New Roman"/>
          <w:kern w:val="0"/>
          <w:sz w:val="24"/>
        </w:rPr>
      </w:pPr>
      <w:r>
        <w:rPr>
          <w:rFonts w:ascii="Times New Roman" w:hAnsi="Times New Roman" w:eastAsia="宋体" w:cs="Times New Roman"/>
          <w:kern w:val="0"/>
          <w:sz w:val="24"/>
        </w:rPr>
        <w:t>设置年份的开始时间和结束时间</w:t>
      </w:r>
      <w:r>
        <w:rPr>
          <w:rFonts w:hint="eastAsia" w:ascii="Times New Roman" w:hAnsi="Times New Roman" w:eastAsia="宋体" w:cs="Times New Roman"/>
          <w:kern w:val="0"/>
          <w:sz w:val="24"/>
        </w:rPr>
        <w:t>。</w:t>
      </w:r>
    </w:p>
    <w:p w14:paraId="2B68AB06">
      <w:pPr>
        <w:keepNext w:val="0"/>
        <w:keepLines w:val="0"/>
        <w:pageBreakBefore w:val="0"/>
        <w:widowControl/>
        <w:numPr>
          <w:ilvl w:val="0"/>
          <w:numId w:val="4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审批人设置</w:t>
      </w:r>
    </w:p>
    <w:p w14:paraId="38373A47">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设置一审、二审、审签的审批人，可新增删除修改查询操作。</w:t>
      </w:r>
    </w:p>
    <w:p w14:paraId="230CA6FE">
      <w:pPr>
        <w:keepNext w:val="0"/>
        <w:keepLines w:val="0"/>
        <w:pageBreakBefore w:val="0"/>
        <w:widowControl/>
        <w:numPr>
          <w:ilvl w:val="0"/>
          <w:numId w:val="4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批示领导设置</w:t>
      </w:r>
    </w:p>
    <w:p w14:paraId="38136ED3">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设置批示领导，录入的领导可在录入反馈时选择。</w:t>
      </w:r>
    </w:p>
    <w:p w14:paraId="577F57E0">
      <w:pPr>
        <w:keepNext w:val="0"/>
        <w:keepLines w:val="0"/>
        <w:pageBreakBefore w:val="0"/>
        <w:widowControl/>
        <w:numPr>
          <w:ilvl w:val="0"/>
          <w:numId w:val="4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积分规则</w:t>
      </w:r>
    </w:p>
    <w:p w14:paraId="02F62F0E">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根据积分规则文件录入积分的名称、类型、分值等信息。</w:t>
      </w:r>
    </w:p>
    <w:p w14:paraId="032ADC0A">
      <w:pPr>
        <w:keepNext w:val="0"/>
        <w:keepLines w:val="0"/>
        <w:pageBreakBefore w:val="0"/>
        <w:widowControl/>
        <w:numPr>
          <w:ilvl w:val="0"/>
          <w:numId w:val="4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积分方案</w:t>
      </w:r>
    </w:p>
    <w:p w14:paraId="5DD7AE0B">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选择积分规则形成积分方案并启用。</w:t>
      </w:r>
    </w:p>
    <w:p w14:paraId="203CC4CE">
      <w:pPr>
        <w:bidi w:val="0"/>
        <w:rPr>
          <w:lang w:val="en-US" w:eastAsia="zh-CN"/>
        </w:rPr>
      </w:pPr>
      <w:r>
        <w:rPr>
          <w:rFonts w:hint="eastAsia" w:ascii="宋体" w:hAnsi="宋体" w:eastAsia="宋体" w:cstheme="minorBidi"/>
          <w:b/>
          <w:kern w:val="2"/>
          <w:sz w:val="24"/>
          <w:szCs w:val="24"/>
          <w:lang w:val="en-US" w:eastAsia="zh-CN" w:bidi="ar-SA"/>
        </w:rPr>
        <w:t>4.2.4.2</w:t>
      </w:r>
      <w:r>
        <w:rPr>
          <w:rFonts w:hint="eastAsia"/>
          <w:lang w:val="en-US" w:eastAsia="zh-CN"/>
        </w:rPr>
        <w:t>社情民意在线移动端功能</w:t>
      </w:r>
    </w:p>
    <w:p w14:paraId="3C643772">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社情民意在线移动端可面向政协委员、政协机关和政协领导，分别提供社情民意上报、社情民意管理和领导端功能。</w:t>
      </w:r>
    </w:p>
    <w:p w14:paraId="5DB41B10">
      <w:pPr>
        <w:bidi w:val="0"/>
        <w:rPr>
          <w:rFonts w:hint="eastAsia"/>
        </w:rPr>
      </w:pPr>
      <w:r>
        <w:rPr>
          <w:rFonts w:hint="eastAsia" w:ascii="宋体" w:hAnsi="宋体" w:eastAsia="宋体" w:cs="宋体"/>
          <w:sz w:val="24"/>
          <w:szCs w:val="24"/>
          <w:lang w:val="en-US" w:eastAsia="zh-CN" w:bidi="ar-SA"/>
        </w:rPr>
        <w:t>4.2.4.2.1</w:t>
      </w:r>
      <w:r>
        <w:rPr>
          <w:rFonts w:hint="eastAsia"/>
        </w:rPr>
        <w:t>上报端功能</w:t>
      </w:r>
    </w:p>
    <w:p w14:paraId="6A515A4B">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1.概况</w:t>
      </w:r>
    </w:p>
    <w:p w14:paraId="1D1BDD38">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统计上报者的上报稿件数、采用稿件数、批示稿件数以及得分。便于上报者了解自己的基本情况。</w:t>
      </w:r>
    </w:p>
    <w:p w14:paraId="788DE6DD">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2.我的稿件</w:t>
      </w:r>
    </w:p>
    <w:p w14:paraId="7EC462E6">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显示最近两条上报的稿件，以进度条方式显示稿件目前状态。可查看更多进入稿件列表，点击具体稿件查看详情。</w:t>
      </w:r>
    </w:p>
    <w:p w14:paraId="3A81ED34">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3.上报排名</w:t>
      </w:r>
    </w:p>
    <w:p w14:paraId="3E0871E4">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可切换本月、本季度查看单位报送稿件排名靠前的人或者单位以及稿件数。</w:t>
      </w:r>
    </w:p>
    <w:p w14:paraId="14258907">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稿件趋势图：以月份为单位的形式展示上报数据的曲线图，了解上报趋势。</w:t>
      </w:r>
    </w:p>
    <w:p w14:paraId="571EF176">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4.公共目录</w:t>
      </w:r>
    </w:p>
    <w:p w14:paraId="44FAE67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展示公开的稿件，为上报者提供稿件参考。公共目录分为市政协、县政协公开的稿件，可根据条件查询。</w:t>
      </w:r>
    </w:p>
    <w:p w14:paraId="35AB8EB3">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5.社情民意线索库</w:t>
      </w:r>
    </w:p>
    <w:p w14:paraId="13D106F2">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展示社情民意线索内容。点击更多查看线索库列表，可根据不同条件进行筛选。</w:t>
      </w:r>
    </w:p>
    <w:p w14:paraId="362A70FF">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4.2.4.2.2</w:t>
      </w:r>
      <w:r>
        <w:rPr>
          <w:rFonts w:hint="eastAsia" w:ascii="Times New Roman" w:hAnsi="Times New Roman" w:eastAsia="宋体"/>
          <w:b w:val="0"/>
        </w:rPr>
        <w:t>管理端功能</w:t>
      </w:r>
    </w:p>
    <w:p w14:paraId="5D81E87F">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1.月份工作数据</w:t>
      </w:r>
    </w:p>
    <w:p w14:paraId="4B4EEAB0">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显示本月份初选、已阅、退回、待编、在编、已印发稿件数，可切换月份查看不同时期的数据，便于用户统计自己的工作量。</w:t>
      </w:r>
    </w:p>
    <w:p w14:paraId="23ADE8E8">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2.稿件编辑</w:t>
      </w:r>
    </w:p>
    <w:p w14:paraId="4D4BB56A">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稿件编辑模块包括原稿件库、待编稿件库、在编稿件库、审签库和已印发稿件库。用户可在手机端进行部分基础操作。包括初选、已阅、退回、查看稿件详情、审核等。实现随时随地办公。</w:t>
      </w:r>
    </w:p>
    <w:p w14:paraId="5B7A263B">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3.公共目录</w:t>
      </w:r>
    </w:p>
    <w:p w14:paraId="5E64906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展示公开的稿件，为上报者提供稿件参考。公共目录分为市政协、县政协公开的稿件，可根据条件查询。</w:t>
      </w:r>
    </w:p>
    <w:p w14:paraId="219BA5B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4.统计分析</w:t>
      </w:r>
    </w:p>
    <w:p w14:paraId="3573DD6C">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统计分析的维度包括概述统计、来源统计、领域统计和积分考核统计。可切换时间统计和地市查看不同信息。</w:t>
      </w:r>
    </w:p>
    <w:p w14:paraId="21DD9536">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4.2.4.2.3</w:t>
      </w:r>
      <w:r>
        <w:rPr>
          <w:rFonts w:hint="eastAsia" w:ascii="Times New Roman" w:hAnsi="Times New Roman" w:eastAsia="宋体"/>
          <w:b w:val="0"/>
        </w:rPr>
        <w:t>.领导端功能</w:t>
      </w:r>
    </w:p>
    <w:p w14:paraId="672FA45E">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1.概况</w:t>
      </w:r>
    </w:p>
    <w:p w14:paraId="33995B58">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领导端概况统计今日待处理、本周已处理、本月上报稿件以及本年度上报稿件数据。并显示同比上一时期数据。</w:t>
      </w:r>
    </w:p>
    <w:p w14:paraId="559FD35A">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2.统计分析</w:t>
      </w:r>
    </w:p>
    <w:p w14:paraId="12A596D2">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统计分析模块包括数据统计、稿件趋势图、统计概况以及领域统计。数据统计主要包括上报稿件、已印发稿件、批示稿件数据。稿件趋势图展示上报稿件数和采用率的趋势。概况统计以饼状图的方式显示各个上报类型报送的稿件数及占比，领域统计以饼状图的方式展示各个领域下的稿件数及占比。</w:t>
      </w:r>
    </w:p>
    <w:p w14:paraId="0D224C5D">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3.稿件编辑</w:t>
      </w:r>
    </w:p>
    <w:p w14:paraId="38D9E2C3">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稿件编辑模块包括原稿件库、待编稿件库、在编稿件库、审签库和已印发稿件库。用户可在手机端进行部分基础操作。包括初选、已阅、退回、查看稿件详情、审核等。实现随时随地办公。</w:t>
      </w:r>
    </w:p>
    <w:p w14:paraId="323753EE">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4.社情民意线索库</w:t>
      </w:r>
    </w:p>
    <w:p w14:paraId="01FFFD69">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展示社情民意线索内容。点击更多查看线索库列表，可根据不同条件进行筛选。</w:t>
      </w:r>
    </w:p>
    <w:p w14:paraId="4357DD3C">
      <w:pPr>
        <w:pStyle w:val="6"/>
        <w:numPr>
          <w:ilvl w:val="4"/>
          <w:numId w:val="0"/>
        </w:numPr>
        <w:bidi w:val="0"/>
        <w:ind w:leftChars="0"/>
        <w:rPr>
          <w:lang w:val="en-US" w:eastAsia="zh-CN"/>
        </w:rPr>
      </w:pPr>
      <w:bookmarkStart w:id="115" w:name="_Toc161418619"/>
      <w:bookmarkStart w:id="116" w:name="_Toc23080"/>
      <w:bookmarkStart w:id="117" w:name="_Toc8455"/>
      <w:bookmarkStart w:id="118" w:name="_Toc10898"/>
      <w:r>
        <w:rPr>
          <w:rFonts w:hint="eastAsia" w:ascii="黑体" w:hAnsi="黑体" w:eastAsia="黑体" w:cstheme="minorBidi"/>
          <w:kern w:val="2"/>
          <w:sz w:val="28"/>
          <w:szCs w:val="24"/>
          <w:lang w:val="en-US" w:eastAsia="zh-CN" w:bidi="ar-SA"/>
        </w:rPr>
        <w:t>4.2.5</w:t>
      </w:r>
      <w:r>
        <w:rPr>
          <w:rFonts w:hint="eastAsia"/>
          <w:lang w:val="en-US" w:eastAsia="zh-CN"/>
        </w:rPr>
        <w:t>协商在线</w:t>
      </w:r>
      <w:bookmarkEnd w:id="115"/>
      <w:bookmarkEnd w:id="116"/>
      <w:bookmarkEnd w:id="117"/>
      <w:bookmarkEnd w:id="118"/>
    </w:p>
    <w:p w14:paraId="3C8DFF01">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协商在线综合应用紧扣政协专门协商机构定位和协商主责主业，围绕年度协商工作计划及界别协商、专家协商、专题协商等主要协商形式，融数据流、业务流、</w:t>
      </w:r>
      <w:r>
        <w:rPr>
          <w:rFonts w:hint="eastAsia" w:ascii="Times New Roman" w:hAnsi="Times New Roman" w:eastAsia="宋体" w:cs="Times New Roman"/>
          <w:kern w:val="0"/>
          <w:sz w:val="24"/>
          <w:lang w:val="en-US" w:eastAsia="zh-CN"/>
        </w:rPr>
        <w:t>聚识</w:t>
      </w:r>
      <w:r>
        <w:rPr>
          <w:rFonts w:hint="eastAsia" w:ascii="Times New Roman" w:hAnsi="Times New Roman" w:eastAsia="宋体" w:cs="Times New Roman"/>
          <w:kern w:val="0"/>
          <w:sz w:val="24"/>
        </w:rPr>
        <w:t>流于一体，实现“一码通商、一图通览、一平台通用”的在线协商平台。从协商计划制定、调研活动组织、月度协商会召开到协商成果运用、推动落实，各环节均在系统中推进，实现各类协商活动的全流程闭环管理。</w:t>
      </w:r>
    </w:p>
    <w:p w14:paraId="316D3016">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平台可以依据市政协实际业务流程、协商形式的差异灵活配置、选择协商模型。预置协商前、协商中、协商后的“三步法”</w:t>
      </w:r>
      <w:r>
        <w:rPr>
          <w:rFonts w:hint="eastAsia" w:ascii="Times New Roman" w:hAnsi="Times New Roman" w:eastAsia="宋体" w:cs="Times New Roman"/>
          <w:kern w:val="0"/>
          <w:sz w:val="24"/>
          <w:lang w:val="en-US" w:eastAsia="zh-CN"/>
        </w:rPr>
        <w:t>模板</w:t>
      </w:r>
      <w:r>
        <w:rPr>
          <w:rFonts w:hint="eastAsia" w:ascii="Times New Roman" w:hAnsi="Times New Roman" w:eastAsia="宋体" w:cs="Times New Roman"/>
          <w:kern w:val="0"/>
          <w:sz w:val="24"/>
        </w:rPr>
        <w:t>，可自由选择，以更好服务委员，服务公众，服务机关工作人员。全面、精细、动态配置，使得协商工作的各个环节管理更加灵活实用，能够更好地提升协商的开放度、活跃度、融合度。</w:t>
      </w:r>
    </w:p>
    <w:p w14:paraId="495B41E0">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建设视频、音频、图文直播等协商新载体，集成“秦商量”平台，实现委员线上建言资政、协商议政；对接市政府政务、高校、智库等公开数据，聚焦政策解读，服务人民群众，实现各级政协、广大委员、各界群众的全面覆盖、全时连线。</w:t>
      </w:r>
    </w:p>
    <w:p w14:paraId="56153C00">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协商在线综合应用涵盖智能会议管理系统、协商议政系统以及视频会议系统，为协商会议提供全面的智能化服务。</w:t>
      </w:r>
    </w:p>
    <w:p w14:paraId="619797A7">
      <w:pPr>
        <w:bidi w:val="0"/>
        <w:rPr>
          <w:rFonts w:hint="eastAsia"/>
          <w:lang w:val="en-US" w:eastAsia="zh-CN"/>
        </w:rPr>
      </w:pPr>
      <w:r>
        <w:rPr>
          <w:rFonts w:hint="eastAsia" w:ascii="宋体" w:hAnsi="宋体" w:eastAsia="宋体" w:cstheme="minorBidi"/>
          <w:b/>
          <w:kern w:val="2"/>
          <w:sz w:val="24"/>
          <w:szCs w:val="24"/>
          <w:lang w:val="en-US" w:eastAsia="zh-CN" w:bidi="ar-SA"/>
        </w:rPr>
        <w:t>4.2.5.1</w:t>
      </w:r>
      <w:r>
        <w:rPr>
          <w:rFonts w:hint="eastAsia"/>
          <w:lang w:val="en-US" w:eastAsia="zh-CN"/>
        </w:rPr>
        <w:t>智能会议管理系统</w:t>
      </w:r>
    </w:p>
    <w:p w14:paraId="467722E7">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实现全会数字化、智能化，全面提升会议签到、</w:t>
      </w:r>
      <w:r>
        <w:rPr>
          <w:rFonts w:hint="eastAsia" w:ascii="Times New Roman" w:hAnsi="Times New Roman" w:eastAsia="宋体" w:cs="Times New Roman"/>
          <w:kern w:val="0"/>
          <w:sz w:val="24"/>
          <w:lang w:val="en-US" w:eastAsia="zh-CN"/>
        </w:rPr>
        <w:t>坐次</w:t>
      </w:r>
      <w:r>
        <w:rPr>
          <w:rFonts w:hint="eastAsia" w:ascii="Times New Roman" w:hAnsi="Times New Roman" w:eastAsia="宋体" w:cs="Times New Roman"/>
          <w:kern w:val="0"/>
          <w:sz w:val="24"/>
        </w:rPr>
        <w:t>排序、入驻宾馆、会中阅文、会议发言等体验。其中主要功能栏提供会议文件、参阅资料、座位安排、车辆安排等功能，参会信息栏能够根据委员类型精准推送所需参加的会议活动、时间、地点，以及签到功能。</w:t>
      </w:r>
    </w:p>
    <w:p w14:paraId="1ADADEC7">
      <w:pPr>
        <w:bidi w:val="0"/>
        <w:rPr>
          <w:rFonts w:hint="eastAsia"/>
        </w:rPr>
      </w:pPr>
      <w:r>
        <w:rPr>
          <w:rFonts w:hint="eastAsia" w:ascii="宋体" w:hAnsi="宋体" w:eastAsia="宋体" w:cs="宋体"/>
          <w:sz w:val="24"/>
          <w:szCs w:val="24"/>
          <w:lang w:val="en-US" w:eastAsia="zh-CN" w:bidi="ar-SA"/>
        </w:rPr>
        <w:t>4.2.5.1.1</w:t>
      </w:r>
      <w:r>
        <w:rPr>
          <w:rFonts w:hint="eastAsia"/>
        </w:rPr>
        <w:t>PC端工作台</w:t>
      </w:r>
    </w:p>
    <w:p w14:paraId="242993E7">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PC端数字全会通工作台有我的安排信息，还有会议要闻、议程日程、通知公告、大会发言、会议文件、会议简报，参阅资料等信息展示。</w:t>
      </w:r>
    </w:p>
    <w:p w14:paraId="4FE2B26B">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4.2.5.1.2</w:t>
      </w:r>
      <w:r>
        <w:rPr>
          <w:rFonts w:hint="eastAsia" w:ascii="Times New Roman" w:hAnsi="Times New Roman" w:eastAsia="宋体"/>
          <w:b w:val="0"/>
        </w:rPr>
        <w:t>移动端工作台</w:t>
      </w:r>
    </w:p>
    <w:p w14:paraId="42E9B7AA">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主要分为我的安排、会议要闻、议程日程、通知公告、大会发言、会议文件、提案提交、会议简报，参阅资料等模块。主页会显示委员的今日安排，可对当日政协会议活动签到扫码等。</w:t>
      </w:r>
    </w:p>
    <w:p w14:paraId="465DED3E">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4.2.5.1.3</w:t>
      </w:r>
      <w:r>
        <w:rPr>
          <w:rFonts w:hint="eastAsia" w:ascii="Times New Roman" w:hAnsi="Times New Roman" w:eastAsia="宋体"/>
          <w:b w:val="0"/>
        </w:rPr>
        <w:t>数字全会通信息</w:t>
      </w:r>
    </w:p>
    <w:p w14:paraId="7AF85408">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1.今日安排</w:t>
      </w:r>
    </w:p>
    <w:p w14:paraId="31E3288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显示与我相关的当天的会议活动信息，会议开始的时候并可以对该会议进行签到。</w:t>
      </w:r>
    </w:p>
    <w:p w14:paraId="024C1BB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2.我的安排</w:t>
      </w:r>
    </w:p>
    <w:p w14:paraId="4106021C">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我的安排页面显示委员的基本信息、今日安排，以及与委员相关的所有信息，包括通知、会议等。委员可清楚地了解到自己的信息，防止错漏。</w:t>
      </w:r>
    </w:p>
    <w:p w14:paraId="7EE3537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3.住宿信息</w:t>
      </w:r>
    </w:p>
    <w:p w14:paraId="58CB7493">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住宿信息包括出席、列席人员、工作人员住宿的酒店及房间号。</w:t>
      </w:r>
    </w:p>
    <w:p w14:paraId="6754BDEB">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4.联络信息</w:t>
      </w:r>
    </w:p>
    <w:p w14:paraId="510B8AD5">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联络信息展示与会人员所在的界别组，小组联系人及联系电话。</w:t>
      </w:r>
    </w:p>
    <w:p w14:paraId="25A96AC4">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5.会议活动</w:t>
      </w:r>
    </w:p>
    <w:p w14:paraId="36991D4C">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展示与我有关的会议活动信息，具体包括会议活动的名称，时间，地点及大会的座位号。</w:t>
      </w:r>
    </w:p>
    <w:p w14:paraId="1129F38A">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6.会议要闻</w:t>
      </w:r>
    </w:p>
    <w:p w14:paraId="6E6C8016">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通过两会信息可查看关于两会的会议要闻。</w:t>
      </w:r>
    </w:p>
    <w:p w14:paraId="613202E9">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7.议程日程</w:t>
      </w:r>
    </w:p>
    <w:p w14:paraId="508B8D74">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该模块包括两会中的议程及活动安排，可查看具体的议程文件和安排时间。</w:t>
      </w:r>
    </w:p>
    <w:p w14:paraId="57083BC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8.通知公告</w:t>
      </w:r>
    </w:p>
    <w:p w14:paraId="4F5E7B06">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该模块展示两会期间的通知和公告，可查看详细信息。</w:t>
      </w:r>
    </w:p>
    <w:p w14:paraId="063EAC7D">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9.大会发言</w:t>
      </w:r>
    </w:p>
    <w:p w14:paraId="2BB5F27E">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该模块展示委员在两会期间进行的发言稿件，可查看具体发言内容。</w:t>
      </w:r>
    </w:p>
    <w:p w14:paraId="0C52BF38">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10.会议文件</w:t>
      </w:r>
    </w:p>
    <w:p w14:paraId="54E4E52F">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该模块展示两会期间产生的会议文件，可查看具体的报告内容。</w:t>
      </w:r>
    </w:p>
    <w:p w14:paraId="5F0DB4B8">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11.提案提交</w:t>
      </w:r>
    </w:p>
    <w:p w14:paraId="4A5CA0E7">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委员可进行提案提交。</w:t>
      </w:r>
    </w:p>
    <w:p w14:paraId="761E8FD8">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12.会议简报</w:t>
      </w:r>
    </w:p>
    <w:p w14:paraId="3AD34B8F">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该模块展示两会期间产生的会议简报，可查看具体的简报内容。</w:t>
      </w:r>
    </w:p>
    <w:p w14:paraId="6663FA8B">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13.参阅资料</w:t>
      </w:r>
    </w:p>
    <w:p w14:paraId="2B63505D">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该模块展示与两会相关的资料文件，可查看详细信息。</w:t>
      </w:r>
    </w:p>
    <w:p w14:paraId="0B29FEF4">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4.2.5.1.4</w:t>
      </w:r>
      <w:r>
        <w:rPr>
          <w:rFonts w:hint="eastAsia" w:ascii="Times New Roman" w:hAnsi="Times New Roman" w:eastAsia="宋体"/>
          <w:b w:val="0"/>
        </w:rPr>
        <w:t>全会服务站管理</w:t>
      </w:r>
    </w:p>
    <w:p w14:paraId="2F76302A">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1.两会服务专题创建</w:t>
      </w:r>
    </w:p>
    <w:p w14:paraId="2C38CEE6">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创建两会服务专题包括届、次、专题名称、两会专题起止时间、专题风格、选择专题栏目。</w:t>
      </w:r>
    </w:p>
    <w:p w14:paraId="33C9AD6A">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2.两会服务站管理</w:t>
      </w:r>
    </w:p>
    <w:p w14:paraId="72887805">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通过届和次对两会专题信息查询。列表展示届次、两会时间、页面风格等；</w:t>
      </w:r>
    </w:p>
    <w:p w14:paraId="1310ED3E">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两会专题修改、删除；两会专题二维码生成，并提供下载功能。</w:t>
      </w:r>
    </w:p>
    <w:p w14:paraId="2FC3D162">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4.2.5.1.5</w:t>
      </w:r>
      <w:r>
        <w:rPr>
          <w:rFonts w:hint="eastAsia" w:ascii="Times New Roman" w:hAnsi="Times New Roman" w:eastAsia="宋体"/>
          <w:b w:val="0"/>
        </w:rPr>
        <w:t>通知管理</w:t>
      </w:r>
    </w:p>
    <w:p w14:paraId="2B3313B2">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1.通知公告发布</w:t>
      </w:r>
    </w:p>
    <w:p w14:paraId="5864AE8B">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新增通知公告包括输入标题，发布时间，截止时间，文本框输入通知内容，附件，选定通知人员。</w:t>
      </w:r>
    </w:p>
    <w:p w14:paraId="72883562">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2.通知公告管理</w:t>
      </w:r>
    </w:p>
    <w:p w14:paraId="3CC52743">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通过时间，标题等条件查询通知公告；用列表方式展示；预览通知明细信息。</w:t>
      </w:r>
    </w:p>
    <w:p w14:paraId="3E6480B6">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还可对通知公告信息进行修改、删除或撤销功能。</w:t>
      </w:r>
    </w:p>
    <w:p w14:paraId="1B16A0E8">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3.通知查阅情况</w:t>
      </w:r>
    </w:p>
    <w:p w14:paraId="28E25550">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通知公告在公告列表中，每条通知公告可以看到查看已读和未读的用户信息。</w:t>
      </w:r>
    </w:p>
    <w:p w14:paraId="22714C0F">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4.2.5.1.6</w:t>
      </w:r>
      <w:r>
        <w:rPr>
          <w:rFonts w:hint="eastAsia" w:ascii="Times New Roman" w:hAnsi="Times New Roman" w:eastAsia="宋体"/>
          <w:b w:val="0"/>
        </w:rPr>
        <w:t>全体会议管理</w:t>
      </w:r>
    </w:p>
    <w:p w14:paraId="4E3E80FD">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1.会议活动管理</w:t>
      </w:r>
    </w:p>
    <w:p w14:paraId="52A913F1">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会议活动创建</w:t>
      </w:r>
    </w:p>
    <w:p w14:paraId="103FD37E">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全会中的大会与小组讨论会议的创建。具体包括会议名称，时间，会议地点、会议类型、签到方式、会议内容、参与人员等。录入的会议信息展示专题中的我的安排中</w:t>
      </w:r>
    </w:p>
    <w:p w14:paraId="5E41EDD3">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会议活动管理</w:t>
      </w:r>
    </w:p>
    <w:p w14:paraId="251E8B83">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对全体会议子会议进行管理，包括查询、修改、删除。</w:t>
      </w:r>
    </w:p>
    <w:p w14:paraId="42729DE2">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签到码管理</w:t>
      </w:r>
    </w:p>
    <w:p w14:paraId="78D7D4C5">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每场会议都生成签到码；参与人员在规定时间内就可以扫码签到参与会议。</w:t>
      </w:r>
    </w:p>
    <w:p w14:paraId="4255F15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2.与会人员情况管理</w:t>
      </w:r>
    </w:p>
    <w:p w14:paraId="564B6C9F">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Times New Roman"/>
          <w:kern w:val="0"/>
          <w:sz w:val="24"/>
        </w:rPr>
      </w:pPr>
      <w:r>
        <w:rPr>
          <w:rFonts w:hint="eastAsia" w:ascii="Times New Roman" w:hAnsi="Times New Roman"/>
          <w:sz w:val="24"/>
          <w:lang w:val="en-US" w:eastAsia="zh-Hans"/>
        </w:rPr>
        <w:t>会议人员新增</w:t>
      </w:r>
    </w:p>
    <w:p w14:paraId="7B81D8E2">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新增会议的出席人员和列席人员。可通过单个人员加入也可以选择批量人员加入。</w:t>
      </w:r>
    </w:p>
    <w:p w14:paraId="611BCD36">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与会人员签到</w:t>
      </w:r>
    </w:p>
    <w:p w14:paraId="13119C4C">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出席人员和列席人员列表形式展示，如果部分参与人员未签到；管理员可以代替单个签到，也可以批量签到。</w:t>
      </w:r>
    </w:p>
    <w:p w14:paraId="04B36CF0">
      <w:pPr>
        <w:keepNext w:val="0"/>
        <w:keepLines w:val="0"/>
        <w:pageBreakBefore w:val="0"/>
        <w:widowControl w:val="0"/>
        <w:numPr>
          <w:ilvl w:val="0"/>
          <w:numId w:val="5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与会人员请假缺席</w:t>
      </w:r>
    </w:p>
    <w:p w14:paraId="05AEEAC5">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出席人员和列席人员列表形式展示，线下请假人员管理员可以录入请假信息，包括请假类型、请假原因等。未请假缺席人员管理员手动输入缺席状态。</w:t>
      </w:r>
    </w:p>
    <w:p w14:paraId="4B44C920">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3.座位管理</w:t>
      </w:r>
    </w:p>
    <w:p w14:paraId="1320AF60">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给每一场全体会议中的大会安排座位，出列席人员信息录入之后，可以单个给参与人员安排座位号；也可以在模板excle中编辑好，一次性导入系统中。</w:t>
      </w:r>
    </w:p>
    <w:p w14:paraId="6C750BC0">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4.会议情况统计</w:t>
      </w:r>
    </w:p>
    <w:p w14:paraId="5E34E5D8">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每场会议统计与会人员总数量，签到数量，请假数量，缺席数量。</w:t>
      </w:r>
    </w:p>
    <w:p w14:paraId="2DEABA98">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4.2.5.1.7</w:t>
      </w:r>
      <w:r>
        <w:rPr>
          <w:rFonts w:hint="eastAsia" w:ascii="Times New Roman" w:hAnsi="Times New Roman" w:eastAsia="宋体"/>
          <w:b w:val="0"/>
        </w:rPr>
        <w:t>酒店住宿管理</w:t>
      </w:r>
    </w:p>
    <w:p w14:paraId="0A922B37">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1.酒店管理</w:t>
      </w:r>
    </w:p>
    <w:p w14:paraId="2650AA10">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提供酒店管理功能，支持数据导入。支持酒店名称、酒店地点、酒店就餐区域，早餐、中餐、晚餐就餐时间等内容的新增、查询、修改、查看。</w:t>
      </w:r>
    </w:p>
    <w:p w14:paraId="66AA297E">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2.住宿管理</w:t>
      </w:r>
    </w:p>
    <w:p w14:paraId="667070A2">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住宿管理是安排与会人员的住宿信息。住宿人员包括出席人员、列席人员、工作人员；给每个酒店安排住宿信息，也可以在excle中编辑好入住信息，再一次性导入。</w:t>
      </w:r>
    </w:p>
    <w:p w14:paraId="427D9C33">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每个组的人员安排小组秘书及联系方式。</w:t>
      </w:r>
    </w:p>
    <w:p w14:paraId="231BE3EC">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4.2.5.1.8</w:t>
      </w:r>
      <w:r>
        <w:rPr>
          <w:rFonts w:hint="eastAsia" w:ascii="Times New Roman" w:hAnsi="Times New Roman" w:eastAsia="宋体"/>
          <w:b w:val="0"/>
        </w:rPr>
        <w:t>会议资料管理</w:t>
      </w:r>
    </w:p>
    <w:p w14:paraId="7339218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1.栏目管理</w:t>
      </w:r>
    </w:p>
    <w:p w14:paraId="2F19B8AF">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可以每个两会专题自定义自己的资料栏目，栏目类型可以分为文本、视频、图片及pdf展示模型。</w:t>
      </w:r>
    </w:p>
    <w:p w14:paraId="3942BBD6">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2.资料新增</w:t>
      </w:r>
    </w:p>
    <w:p w14:paraId="3FAFCF72">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资料类型包括会议文件、议程日程、简报信息、参阅资料等；资料新增需要选择所属栏目、填写标题、关键字、文章来源、文本、作者、发布日期。上传图片、附件等。</w:t>
      </w:r>
    </w:p>
    <w:p w14:paraId="7263B46D">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3.资料管理</w:t>
      </w:r>
    </w:p>
    <w:p w14:paraId="3EA797B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通过栏目、标题、发布时间的组合条件查询资料，查询到的信息表按成文日期倒序分页排序。</w:t>
      </w:r>
    </w:p>
    <w:p w14:paraId="47F7F901">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资料信息可以修改，删除等。</w:t>
      </w:r>
    </w:p>
    <w:p w14:paraId="326AC266">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4.2.5.1.9</w:t>
      </w:r>
      <w:r>
        <w:rPr>
          <w:rFonts w:hint="eastAsia" w:ascii="Times New Roman" w:hAnsi="Times New Roman" w:eastAsia="宋体"/>
          <w:b w:val="0"/>
        </w:rPr>
        <w:t>酒店住宿管理</w:t>
      </w:r>
    </w:p>
    <w:p w14:paraId="07831F2B">
      <w:pPr>
        <w:keepNext w:val="0"/>
        <w:keepLines w:val="0"/>
        <w:pageBreakBefore w:val="0"/>
        <w:widowControl/>
        <w:numPr>
          <w:ilvl w:val="0"/>
          <w:numId w:val="5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酒店管理</w:t>
      </w:r>
    </w:p>
    <w:p w14:paraId="6E5466BC">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提供酒店管理功能，支持数据导入。支持酒店名称、酒店地点、酒店就餐区域，早餐、中餐、晚餐就餐时间等内容的新增、查询、修改、查看。</w:t>
      </w:r>
    </w:p>
    <w:p w14:paraId="5DEB93B1">
      <w:pPr>
        <w:keepNext w:val="0"/>
        <w:keepLines w:val="0"/>
        <w:pageBreakBefore w:val="0"/>
        <w:widowControl/>
        <w:numPr>
          <w:ilvl w:val="0"/>
          <w:numId w:val="5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住宿管理</w:t>
      </w:r>
    </w:p>
    <w:p w14:paraId="166F2A6A">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住宿管理是安排与会人员的住宿信息。住宿人员包括出席人员、列席人员、工作人员；给每个酒店安排住宿信息，也可以在excle中编辑好入住信息，</w:t>
      </w:r>
      <w:r>
        <w:rPr>
          <w:rFonts w:hint="eastAsia" w:ascii="Times New Roman" w:hAnsi="Times New Roman" w:eastAsia="宋体" w:cs="宋体"/>
          <w:kern w:val="0"/>
          <w:sz w:val="24"/>
          <w:lang w:val="en-US" w:eastAsia="zh-CN"/>
        </w:rPr>
        <w:t>再</w:t>
      </w:r>
      <w:r>
        <w:rPr>
          <w:rFonts w:ascii="Times New Roman" w:hAnsi="Times New Roman" w:eastAsia="宋体" w:cs="宋体"/>
          <w:kern w:val="0"/>
          <w:sz w:val="24"/>
        </w:rPr>
        <w:t>一次性导入。</w:t>
      </w:r>
    </w:p>
    <w:p w14:paraId="17D421F6">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每个组的人员安排小组秘书及联系方式。</w:t>
      </w:r>
    </w:p>
    <w:p w14:paraId="6F320C14">
      <w:pPr>
        <w:bidi w:val="0"/>
        <w:rPr>
          <w:rFonts w:hint="eastAsia" w:ascii="Times New Roman" w:hAnsi="Times New Roman" w:eastAsia="宋体"/>
          <w:b w:val="0"/>
        </w:rPr>
      </w:pPr>
      <w:r>
        <w:rPr>
          <w:rFonts w:hint="eastAsia" w:ascii="宋体" w:hAnsi="宋体" w:eastAsia="宋体" w:cs="宋体"/>
          <w:b w:val="0"/>
          <w:sz w:val="24"/>
          <w:szCs w:val="24"/>
          <w:lang w:val="en-US" w:eastAsia="zh-CN" w:bidi="ar-SA"/>
        </w:rPr>
        <w:t>4.2.5.1.10</w:t>
      </w:r>
      <w:r>
        <w:rPr>
          <w:rFonts w:hint="eastAsia" w:ascii="Times New Roman" w:hAnsi="Times New Roman" w:eastAsia="宋体"/>
          <w:b w:val="0"/>
        </w:rPr>
        <w:t>会议资料管理</w:t>
      </w:r>
    </w:p>
    <w:p w14:paraId="057DA8D2">
      <w:pPr>
        <w:keepNext w:val="0"/>
        <w:keepLines w:val="0"/>
        <w:pageBreakBefore w:val="0"/>
        <w:widowControl/>
        <w:numPr>
          <w:ilvl w:val="0"/>
          <w:numId w:val="5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栏目管理</w:t>
      </w:r>
    </w:p>
    <w:p w14:paraId="4D6C7177">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可以每个两会专题自定义自己的资料栏目，栏目类型可以分为文本、视频、图片及pdf展示模型。</w:t>
      </w:r>
    </w:p>
    <w:p w14:paraId="16B206D1">
      <w:pPr>
        <w:keepNext w:val="0"/>
        <w:keepLines w:val="0"/>
        <w:pageBreakBefore w:val="0"/>
        <w:widowControl/>
        <w:numPr>
          <w:ilvl w:val="0"/>
          <w:numId w:val="5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资料新增</w:t>
      </w:r>
    </w:p>
    <w:p w14:paraId="3E1EBF6F">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资料类型包括会议文件、议程日程、简报信息、参阅资料等；资料新增需要选择所属栏目、填写标题、关键字、文章来源、文本、作者、发布日期。上传图片、附件等。</w:t>
      </w:r>
    </w:p>
    <w:p w14:paraId="57EBEE56">
      <w:pPr>
        <w:keepNext w:val="0"/>
        <w:keepLines w:val="0"/>
        <w:pageBreakBefore w:val="0"/>
        <w:widowControl/>
        <w:numPr>
          <w:ilvl w:val="0"/>
          <w:numId w:val="5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资料管理</w:t>
      </w:r>
    </w:p>
    <w:p w14:paraId="4E906EFB">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通过栏目、标题、发布时间的组合条件查询资料，查询到的信息表按成文日期倒序分页排序。</w:t>
      </w:r>
    </w:p>
    <w:p w14:paraId="4F1B97AB">
      <w:pPr>
        <w:widowControl/>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资料信息可以修改，删除等。</w:t>
      </w:r>
    </w:p>
    <w:p w14:paraId="46463BBD">
      <w:pPr>
        <w:bidi w:val="0"/>
        <w:rPr>
          <w:lang w:val="en-US" w:eastAsia="zh-CN"/>
        </w:rPr>
      </w:pPr>
      <w:r>
        <w:rPr>
          <w:rFonts w:hint="eastAsia" w:ascii="宋体" w:hAnsi="宋体" w:eastAsia="宋体" w:cstheme="minorBidi"/>
          <w:b/>
          <w:kern w:val="2"/>
          <w:sz w:val="24"/>
          <w:szCs w:val="24"/>
          <w:lang w:val="en-US" w:eastAsia="zh-CN" w:bidi="ar-SA"/>
        </w:rPr>
        <w:t>4.2.5.2</w:t>
      </w:r>
      <w:r>
        <w:rPr>
          <w:rFonts w:hint="eastAsia"/>
          <w:lang w:val="en-US" w:eastAsia="zh-CN"/>
        </w:rPr>
        <w:t>协商议政系统</w:t>
      </w:r>
    </w:p>
    <w:p w14:paraId="193F5778">
      <w:pPr>
        <w:widowControl/>
        <w:numPr>
          <w:ilvl w:val="0"/>
          <w:numId w:val="0"/>
        </w:numPr>
        <w:adjustRightInd/>
        <w:spacing w:line="360" w:lineRule="auto"/>
        <w:ind w:left="0" w:firstLine="428" w:firstLineChars="173"/>
        <w:rPr>
          <w:rFonts w:hint="eastAsia" w:ascii="Times New Roman" w:hAnsi="Times New Roman" w:eastAsia="宋体" w:cs="宋体"/>
          <w:kern w:val="0"/>
          <w:sz w:val="24"/>
        </w:rPr>
      </w:pPr>
      <w:r>
        <w:rPr>
          <w:rFonts w:hint="eastAsia" w:ascii="Times New Roman" w:hAnsi="Times New Roman" w:eastAsia="宋体" w:cs="宋体"/>
          <w:kern w:val="0"/>
          <w:sz w:val="24"/>
        </w:rPr>
        <w:t>协商在线综合应用紧扣政协专门协商机构定位和协商主责主业，围绕年度协商工作计划及界别协商、专家协商、专题协商等主要协商形式，从协商计划制定、调研活动组织、月度协商会召开到协商成果运用、推动落实，各环节均在系统中推进，实现各类协商活动的全流程闭环管理。</w:t>
      </w:r>
    </w:p>
    <w:p w14:paraId="643FD981">
      <w:pPr>
        <w:bidi w:val="0"/>
        <w:rPr>
          <w:rFonts w:hint="eastAsia"/>
        </w:rPr>
      </w:pPr>
      <w:r>
        <w:rPr>
          <w:rFonts w:hint="eastAsia" w:ascii="宋体" w:hAnsi="宋体" w:eastAsia="宋体" w:cs="宋体"/>
          <w:sz w:val="24"/>
          <w:szCs w:val="24"/>
          <w:lang w:val="en-US" w:eastAsia="zh-CN" w:bidi="ar-SA"/>
        </w:rPr>
        <w:t>4.2.5.2.1</w:t>
      </w:r>
      <w:r>
        <w:t>协商</w:t>
      </w:r>
      <w:r>
        <w:rPr>
          <w:rFonts w:hint="eastAsia"/>
          <w:lang w:val="en-US" w:eastAsia="zh-CN"/>
        </w:rPr>
        <w:t>管理</w:t>
      </w:r>
      <w:r>
        <w:t>PC</w:t>
      </w:r>
      <w:r>
        <w:rPr>
          <w:rFonts w:hint="eastAsia"/>
        </w:rPr>
        <w:t>端功能</w:t>
      </w:r>
    </w:p>
    <w:p w14:paraId="6D663D3D">
      <w:pPr>
        <w:keepNext w:val="0"/>
        <w:keepLines w:val="0"/>
        <w:pageBreakBefore w:val="0"/>
        <w:widowControl/>
        <w:numPr>
          <w:ilvl w:val="0"/>
          <w:numId w:val="5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选定协商议题</w:t>
      </w:r>
    </w:p>
    <w:p w14:paraId="11814986">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根据协商活动议程等相关要求，通过选定协商议题管理模块配置该环节所需要的工作流程和内容。具体包括：</w:t>
      </w:r>
    </w:p>
    <w:p w14:paraId="34FDC699">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征集议题管理</w:t>
      </w:r>
    </w:p>
    <w:p w14:paraId="683A32A5">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支持议题征集的修改操作。支持议题征集新增功能，需采集新增征集方式、征集起止时间和征集说明、新增征集方式包括二维码、委员移动端和群众移动端；</w:t>
      </w:r>
    </w:p>
    <w:p w14:paraId="05D4808F">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筛选审核管理</w:t>
      </w:r>
    </w:p>
    <w:p w14:paraId="70FAFF7F">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支持对征集的议题进行审核；</w:t>
      </w:r>
    </w:p>
    <w:p w14:paraId="44D1C063">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确定议题管理</w:t>
      </w:r>
    </w:p>
    <w:p w14:paraId="6E9B8F56">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可通过主题关键词，征集方式进行搜索，支持议题的列表形式查看和详情查看。</w:t>
      </w:r>
    </w:p>
    <w:p w14:paraId="0E68FFF5">
      <w:pPr>
        <w:keepNext w:val="0"/>
        <w:keepLines w:val="0"/>
        <w:pageBreakBefore w:val="0"/>
        <w:widowControl/>
        <w:numPr>
          <w:ilvl w:val="0"/>
          <w:numId w:val="5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开展调查研究</w:t>
      </w:r>
    </w:p>
    <w:p w14:paraId="0B8EBD6D">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根据协商活动要求，对开展调查研究的方案、组织实施等进行配置管理。具体如下：</w:t>
      </w:r>
    </w:p>
    <w:p w14:paraId="0592D97D">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知情明政管理</w:t>
      </w:r>
    </w:p>
    <w:p w14:paraId="03C4A1BD">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支持市局工作相关资料后台的管理，包括按标题、类别的查询，支持增删改。</w:t>
      </w:r>
    </w:p>
    <w:p w14:paraId="7DABD3C9">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制定方案管理</w:t>
      </w:r>
    </w:p>
    <w:p w14:paraId="7AE54B7E">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方案编辑管理：支持协商方案编辑管理，如创建、修改、删除，可编辑内容包括方案名称，预估人数，方案内容；支持附件上传下载。</w:t>
      </w:r>
    </w:p>
    <w:p w14:paraId="358C429B">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会议安排编辑管理：支持会议安排编辑管理，如创建、修改、删除，可编辑内容包括会议安排名称和内容，支持会议资料上传下载。</w:t>
      </w:r>
    </w:p>
    <w:p w14:paraId="61D71181">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方案审批配置：可单独为方案配置方案审批流程。</w:t>
      </w:r>
    </w:p>
    <w:p w14:paraId="2DF7184E">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组织实施管理</w:t>
      </w:r>
    </w:p>
    <w:p w14:paraId="5CF2E748">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组织人员</w:t>
      </w:r>
      <w:r>
        <w:rPr>
          <w:rFonts w:hint="eastAsia" w:ascii="Times New Roman" w:hAnsi="Times New Roman" w:eastAsia="宋体" w:cs="宋体"/>
          <w:kern w:val="0"/>
          <w:sz w:val="24"/>
        </w:rPr>
        <w:t>：</w:t>
      </w:r>
      <w:r>
        <w:rPr>
          <w:rFonts w:ascii="Times New Roman" w:hAnsi="Times New Roman" w:eastAsia="宋体" w:cs="宋体"/>
          <w:kern w:val="0"/>
          <w:sz w:val="24"/>
        </w:rPr>
        <w:t>对参与协商活动的人员报名提供编辑管理，包括创建、修改和删除，可编辑内容包括：是否允许委员网上报名、是否允许群众报名、网上报名起止时间、是否确认报名信息及人员类型等。</w:t>
      </w:r>
    </w:p>
    <w:p w14:paraId="6C40EEF4">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活动调研</w:t>
      </w:r>
      <w:r>
        <w:rPr>
          <w:rFonts w:hint="eastAsia" w:ascii="Times New Roman" w:hAnsi="Times New Roman" w:eastAsia="宋体" w:cs="宋体"/>
          <w:kern w:val="0"/>
          <w:sz w:val="24"/>
        </w:rPr>
        <w:t>：</w:t>
      </w:r>
      <w:r>
        <w:rPr>
          <w:rFonts w:ascii="Times New Roman" w:hAnsi="Times New Roman" w:eastAsia="宋体" w:cs="宋体"/>
          <w:kern w:val="0"/>
          <w:sz w:val="24"/>
        </w:rPr>
        <w:t>结合协商活动实际需求，支持创建、修改和删除活动调研模块，可自定义编辑活动调研的参数，包括调研信息名称、地点、调研起止时间、人员类型、调研内容、是否允许委员和群众网上报名、调研报名起止时间、确认报名、是否网上签到、签到方式、签到起止时间、是否网上请假、是否审批请假、通知类型、签到范围；</w:t>
      </w:r>
    </w:p>
    <w:p w14:paraId="63FB03AC">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网络调研</w:t>
      </w:r>
      <w:r>
        <w:rPr>
          <w:rFonts w:hint="eastAsia" w:ascii="Times New Roman" w:hAnsi="Times New Roman" w:eastAsia="宋体" w:cs="宋体"/>
          <w:kern w:val="0"/>
          <w:sz w:val="24"/>
        </w:rPr>
        <w:t>：</w:t>
      </w:r>
      <w:r>
        <w:rPr>
          <w:rFonts w:ascii="Times New Roman" w:hAnsi="Times New Roman" w:eastAsia="宋体" w:cs="宋体"/>
          <w:kern w:val="0"/>
          <w:sz w:val="24"/>
        </w:rPr>
        <w:t>通过网络调研的方式进行主题征集。支持创建、修改和删除网络调研模块。可编辑内容包括：主题名称、征集起止时间、简介、征集形式；</w:t>
      </w:r>
    </w:p>
    <w:p w14:paraId="7C55A798">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通知发送管理服务</w:t>
      </w:r>
      <w:r>
        <w:rPr>
          <w:rFonts w:hint="eastAsia" w:ascii="Times New Roman" w:hAnsi="Times New Roman" w:eastAsia="宋体" w:cs="宋体"/>
          <w:kern w:val="0"/>
          <w:sz w:val="24"/>
          <w:lang w:eastAsia="zh-CN"/>
        </w:rPr>
        <w:t>：</w:t>
      </w:r>
      <w:r>
        <w:rPr>
          <w:rFonts w:ascii="Times New Roman" w:hAnsi="Times New Roman" w:eastAsia="宋体" w:cs="宋体"/>
          <w:kern w:val="0"/>
          <w:sz w:val="24"/>
        </w:rPr>
        <w:t>站内短信功能开发，支持站内短信形式的通知发送；</w:t>
      </w:r>
    </w:p>
    <w:p w14:paraId="620F5386">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签到后台管理服务</w:t>
      </w:r>
      <w:r>
        <w:rPr>
          <w:rFonts w:hint="eastAsia" w:ascii="Times New Roman" w:hAnsi="Times New Roman" w:eastAsia="宋体" w:cs="宋体"/>
          <w:kern w:val="0"/>
          <w:sz w:val="24"/>
          <w:lang w:eastAsia="zh-CN"/>
        </w:rPr>
        <w:t>：</w:t>
      </w:r>
      <w:r>
        <w:rPr>
          <w:rFonts w:ascii="Times New Roman" w:hAnsi="Times New Roman" w:eastAsia="宋体" w:cs="宋体"/>
          <w:kern w:val="0"/>
          <w:sz w:val="24"/>
        </w:rPr>
        <w:t>二维码签到：基于二维码扫码方式，后台记录参与人员的签到信息；位置签到：基于后台配置的签到地点、签到范围，通过获取手机位置的定位信息判断是否进入签到范围内，如已在范围内可进行签到。</w:t>
      </w:r>
    </w:p>
    <w:p w14:paraId="5904D8F4">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报告形成管理</w:t>
      </w:r>
      <w:r>
        <w:rPr>
          <w:rFonts w:hint="eastAsia" w:ascii="Times New Roman" w:hAnsi="Times New Roman" w:eastAsia="宋体" w:cs="宋体"/>
          <w:kern w:val="0"/>
          <w:sz w:val="24"/>
          <w:lang w:eastAsia="zh-CN"/>
        </w:rPr>
        <w:t>：</w:t>
      </w:r>
      <w:r>
        <w:rPr>
          <w:rFonts w:ascii="Times New Roman" w:hAnsi="Times New Roman" w:eastAsia="宋体" w:cs="宋体"/>
          <w:kern w:val="0"/>
          <w:sz w:val="24"/>
        </w:rPr>
        <w:t>加载内容包括：资料类型、资料标题、发布时间以及材料内容介绍，支持附件上传。对已生成的会议材料和调研报告，支持按标题和类型进行查询，并可进行详情查看、修改和删除。</w:t>
      </w:r>
    </w:p>
    <w:p w14:paraId="23A48C7B">
      <w:pPr>
        <w:keepNext w:val="0"/>
        <w:keepLines w:val="0"/>
        <w:pageBreakBefore w:val="0"/>
        <w:widowControl/>
        <w:numPr>
          <w:ilvl w:val="0"/>
          <w:numId w:val="5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组织协商活动</w:t>
      </w:r>
    </w:p>
    <w:p w14:paraId="73229509">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可根据协商活动要求，对开展协商讨论的形式和内容进行配置管理。具体如下：</w:t>
      </w:r>
    </w:p>
    <w:p w14:paraId="239F7920">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会议协商管理</w:t>
      </w:r>
    </w:p>
    <w:p w14:paraId="794CBC96">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会议协商管理</w:t>
      </w:r>
      <w:r>
        <w:rPr>
          <w:rFonts w:hint="eastAsia" w:ascii="Times New Roman" w:hAnsi="Times New Roman" w:eastAsia="宋体" w:cs="宋体"/>
          <w:kern w:val="0"/>
          <w:sz w:val="24"/>
          <w:lang w:eastAsia="zh-CN"/>
        </w:rPr>
        <w:t>：</w:t>
      </w:r>
      <w:r>
        <w:rPr>
          <w:rFonts w:ascii="Times New Roman" w:hAnsi="Times New Roman" w:eastAsia="宋体" w:cs="宋体"/>
          <w:kern w:val="0"/>
          <w:sz w:val="24"/>
        </w:rPr>
        <w:t>支持查看会议协商详情，修改和删除；线上活动形式配置，可选择现场会议、主题议政、掌上议政、网络直播和网络议政五大</w:t>
      </w:r>
      <w:r>
        <w:rPr>
          <w:rFonts w:hint="eastAsia" w:ascii="Times New Roman" w:hAnsi="Times New Roman" w:eastAsia="宋体" w:cs="宋体"/>
          <w:kern w:val="0"/>
          <w:sz w:val="24"/>
          <w:lang w:val="en-US" w:eastAsia="zh-CN"/>
        </w:rPr>
        <w:t>类型</w:t>
      </w:r>
      <w:r>
        <w:rPr>
          <w:rFonts w:ascii="Times New Roman" w:hAnsi="Times New Roman" w:eastAsia="宋体" w:cs="宋体"/>
          <w:kern w:val="0"/>
          <w:sz w:val="24"/>
        </w:rPr>
        <w:t>。</w:t>
      </w:r>
    </w:p>
    <w:p w14:paraId="74F40DD6">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交流发言管理</w:t>
      </w:r>
      <w:r>
        <w:rPr>
          <w:rFonts w:hint="eastAsia" w:ascii="Times New Roman" w:hAnsi="Times New Roman" w:eastAsia="宋体" w:cs="宋体"/>
          <w:kern w:val="0"/>
          <w:sz w:val="24"/>
          <w:lang w:eastAsia="zh-CN"/>
        </w:rPr>
        <w:t>：</w:t>
      </w:r>
      <w:r>
        <w:rPr>
          <w:rFonts w:ascii="Times New Roman" w:hAnsi="Times New Roman" w:eastAsia="宋体" w:cs="宋体"/>
          <w:kern w:val="0"/>
          <w:sz w:val="24"/>
        </w:rPr>
        <w:t>可查看到当前协商活动的交流发言记录，包括具体的发言人、所属活动、政协单位、发言时间及相关操作。</w:t>
      </w:r>
    </w:p>
    <w:p w14:paraId="3172DF35">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宣传报道管理</w:t>
      </w:r>
      <w:r>
        <w:rPr>
          <w:rFonts w:hint="eastAsia" w:ascii="Times New Roman" w:hAnsi="Times New Roman" w:eastAsia="宋体" w:cs="宋体"/>
          <w:kern w:val="0"/>
          <w:sz w:val="24"/>
          <w:lang w:eastAsia="zh-CN"/>
        </w:rPr>
        <w:t>：</w:t>
      </w:r>
      <w:r>
        <w:rPr>
          <w:rFonts w:ascii="Times New Roman" w:hAnsi="Times New Roman" w:eastAsia="宋体" w:cs="宋体"/>
          <w:kern w:val="0"/>
          <w:sz w:val="24"/>
        </w:rPr>
        <w:t>可查看到所有媒体的报道信息记录，包括报道名称、来源、发布时间和相关操作。新增宣传报道，可编辑内容包括全媒体类型选择、报道名称、报道链接、来源、作者、发布时间、报道内容、审核配置；支持附件上传。</w:t>
      </w:r>
    </w:p>
    <w:p w14:paraId="70F9067D">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协商建议管理</w:t>
      </w:r>
      <w:r>
        <w:rPr>
          <w:rFonts w:hint="eastAsia" w:ascii="Times New Roman" w:hAnsi="Times New Roman" w:eastAsia="宋体" w:cs="宋体"/>
          <w:kern w:val="0"/>
          <w:sz w:val="24"/>
          <w:lang w:eastAsia="zh-CN"/>
        </w:rPr>
        <w:t>：</w:t>
      </w:r>
      <w:r>
        <w:rPr>
          <w:rFonts w:ascii="Times New Roman" w:hAnsi="Times New Roman" w:eastAsia="宋体" w:cs="宋体"/>
          <w:kern w:val="0"/>
          <w:sz w:val="24"/>
        </w:rPr>
        <w:t>可查看到当前协商活动的协商建议记录，包括具体的建议人、所属活动、政协单位、建议时间及相关操作。新增协商建议，包括所属活动、建议人、建议时间和内容。</w:t>
      </w:r>
    </w:p>
    <w:p w14:paraId="1300C282">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会议资料管理</w:t>
      </w:r>
      <w:r>
        <w:rPr>
          <w:rFonts w:hint="eastAsia" w:ascii="Times New Roman" w:hAnsi="Times New Roman" w:eastAsia="宋体" w:cs="宋体"/>
          <w:kern w:val="0"/>
          <w:sz w:val="24"/>
          <w:lang w:eastAsia="zh-CN"/>
        </w:rPr>
        <w:t>：</w:t>
      </w:r>
      <w:r>
        <w:rPr>
          <w:rFonts w:ascii="Times New Roman" w:hAnsi="Times New Roman" w:eastAsia="宋体" w:cs="宋体"/>
          <w:kern w:val="0"/>
          <w:sz w:val="24"/>
        </w:rPr>
        <w:t>可对协商讨论中的会议资料，如大会发言、会议文件、协商成果及反馈、会议简报、会议日程等进行查询，支持标题和类别条件查询；新增会议资料，包括大会发言、会议文件、协商成果及反馈、会议简报、会议日程五大类，可编辑标题，发布时间和资料内容，支持附件上传。</w:t>
      </w:r>
    </w:p>
    <w:p w14:paraId="254280A4">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协商报名管理</w:t>
      </w:r>
    </w:p>
    <w:p w14:paraId="3758D483">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人员管理：支持出席、列席、发言和调研人员的报名确认；支持邀请人员新增、删除、修改和查询并发送通知、请假操作。</w:t>
      </w:r>
    </w:p>
    <w:p w14:paraId="2CC10652">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现场会议管理</w:t>
      </w:r>
    </w:p>
    <w:p w14:paraId="4E0A1072">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现场会议管理实现对现场会议形式的协商活动进行配置。</w:t>
      </w:r>
    </w:p>
    <w:p w14:paraId="0512D77E">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包括活动名称、活动地点、活动起止时间、参与市局部门、领导和活动内容、人员类型、是否允许委员和群众网上报名、会议签到、网上请假等参数的配置，支持附件上传配置。</w:t>
      </w:r>
    </w:p>
    <w:p w14:paraId="0365DFCF">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主题议政管理</w:t>
      </w:r>
    </w:p>
    <w:p w14:paraId="7FB6A9E6">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主题议政聊天群群管理实现对主题议政形式的协商活动进行配置。</w:t>
      </w:r>
    </w:p>
    <w:p w14:paraId="26EF97C3">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可编辑内容包括主题名称、主题</w:t>
      </w:r>
      <w:r>
        <w:rPr>
          <w:rFonts w:hint="eastAsia" w:ascii="Times New Roman" w:hAnsi="Times New Roman" w:eastAsia="宋体" w:cs="宋体"/>
          <w:kern w:val="0"/>
          <w:sz w:val="24"/>
          <w:lang w:val="en-US" w:eastAsia="zh-CN"/>
        </w:rPr>
        <w:t>议政</w:t>
      </w:r>
      <w:r>
        <w:rPr>
          <w:rFonts w:ascii="Times New Roman" w:hAnsi="Times New Roman" w:eastAsia="宋体" w:cs="宋体"/>
          <w:kern w:val="0"/>
          <w:sz w:val="24"/>
        </w:rPr>
        <w:t>选择、主题起止时间、主题简介；支持直播展示、直播地址的配置；也可以通过新增主题议政模块，添加主题议政内容，包括主题议名称、起止时间、发言模式、内容过滤、通知建言人、管理员和浏览人员，群说明。</w:t>
      </w:r>
    </w:p>
    <w:p w14:paraId="704FACE7">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掌上议政管理</w:t>
      </w:r>
    </w:p>
    <w:p w14:paraId="0A837D9F">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主题议政管理实现对掌上议政形式的协商活动进行配置。</w:t>
      </w:r>
    </w:p>
    <w:p w14:paraId="14A052CA">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可编辑内容包括主题名称、起止时间、直播地址、回放地址和主题简介。</w:t>
      </w:r>
    </w:p>
    <w:p w14:paraId="72C7D4CE">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网络直播管理</w:t>
      </w:r>
    </w:p>
    <w:p w14:paraId="2E4A9A7B">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提供网络直播形式的协商活动配置功能，实现对直播名称、直播链接及附件的编辑。</w:t>
      </w:r>
    </w:p>
    <w:p w14:paraId="75E238C1">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网络直播服务：通过直播服务链接，供网络直播功能调用。</w:t>
      </w:r>
    </w:p>
    <w:p w14:paraId="18D99ECF">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网上议政管理</w:t>
      </w:r>
    </w:p>
    <w:p w14:paraId="33CB2946">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支持对议政名称、链接的配置管理。</w:t>
      </w:r>
    </w:p>
    <w:p w14:paraId="72D9CA03">
      <w:pPr>
        <w:keepNext w:val="0"/>
        <w:keepLines w:val="0"/>
        <w:pageBreakBefore w:val="0"/>
        <w:widowControl/>
        <w:numPr>
          <w:ilvl w:val="0"/>
          <w:numId w:val="5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综合运用成果</w:t>
      </w:r>
    </w:p>
    <w:p w14:paraId="49480D48">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集成建议管理</w:t>
      </w:r>
    </w:p>
    <w:p w14:paraId="15A8C7E8">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查看报送成果详情：支持查看报送的协商成果，包括成果类型、名称、发布时间、所属活动、内容及附件；</w:t>
      </w:r>
    </w:p>
    <w:p w14:paraId="28DD3E00">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列表形式展现当前活动下的报送成果信息，支持对报送成果的修改、删除。</w:t>
      </w:r>
    </w:p>
    <w:p w14:paraId="798E41E9">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共识形成管理</w:t>
      </w:r>
    </w:p>
    <w:p w14:paraId="0580B5AB">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协商成果新增：经协商讨论达成共识，以各</w:t>
      </w:r>
      <w:r>
        <w:rPr>
          <w:rFonts w:hint="eastAsia" w:ascii="Times New Roman" w:hAnsi="Times New Roman" w:eastAsia="宋体" w:cs="宋体"/>
          <w:kern w:val="0"/>
          <w:sz w:val="24"/>
          <w:lang w:val="en-US" w:eastAsia="zh-CN"/>
        </w:rPr>
        <w:t>类形式</w:t>
      </w:r>
      <w:r>
        <w:rPr>
          <w:rFonts w:ascii="Times New Roman" w:hAnsi="Times New Roman" w:eastAsia="宋体" w:cs="宋体"/>
          <w:kern w:val="0"/>
          <w:sz w:val="24"/>
        </w:rPr>
        <w:t>的协商成果进行记录管理并能进行报送交办。</w:t>
      </w:r>
    </w:p>
    <w:p w14:paraId="0E733F86">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增加协商成果，需编辑内容包括：协商成果类型、名称、发布时间、所属活动、内容；并支持附件上传；其中协商成果类型可选协商纪要、协商报告、大会发言、提案、社情民意、情况报告、专题情况反馈；</w:t>
      </w:r>
    </w:p>
    <w:p w14:paraId="2F01B504">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支持成果审批的配置管理。</w:t>
      </w:r>
    </w:p>
    <w:p w14:paraId="6EEC3FBB">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报送成果管理</w:t>
      </w:r>
    </w:p>
    <w:p w14:paraId="12D77A35">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成果报送：支持将协商讨论的成果通过对接市局相关系统路径报送到相关部门。可选择主办和会办单位，提交交办说明并上传附件；</w:t>
      </w:r>
    </w:p>
    <w:p w14:paraId="090A5B30">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成果转交：支持将协商成果转提案或社情民意。</w:t>
      </w:r>
    </w:p>
    <w:p w14:paraId="7EE8E8E8">
      <w:pPr>
        <w:keepNext w:val="0"/>
        <w:keepLines w:val="0"/>
        <w:pageBreakBefore w:val="0"/>
        <w:widowControl/>
        <w:numPr>
          <w:ilvl w:val="0"/>
          <w:numId w:val="5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促进成果转化</w:t>
      </w:r>
    </w:p>
    <w:p w14:paraId="0D5FE50A">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领导批示管理</w:t>
      </w:r>
    </w:p>
    <w:p w14:paraId="581854B0">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支持查看领导批示信息，并新增、修改和删除。</w:t>
      </w:r>
    </w:p>
    <w:p w14:paraId="0C4694A9">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跟踪反馈管理</w:t>
      </w:r>
    </w:p>
    <w:p w14:paraId="3A39738C">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协商成果跟踪：列表形式展示各报送的成果信息，如成果名称、类型、所属活动、发布时间和成果状态；</w:t>
      </w:r>
    </w:p>
    <w:p w14:paraId="302A7F6F">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支持查看报送成果详情；</w:t>
      </w:r>
    </w:p>
    <w:p w14:paraId="3A4E0F00">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支持查看报送成果的反馈信息，如交办时间、路径、主办单位等</w:t>
      </w:r>
    </w:p>
    <w:p w14:paraId="501DBC5E">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支持新增采纳反馈信息，可编辑内容包括：反馈类型、采纳情况、落实情况、沟通方式、办理方式、部门级别、部门名称、反馈时间、处理内容；并支持上传附件。</w:t>
      </w:r>
    </w:p>
    <w:p w14:paraId="30343AFC">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传播共识管理</w:t>
      </w:r>
    </w:p>
    <w:p w14:paraId="73AAB7CA">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列表形式展现当前协商活动相关的成果宣传情况，</w:t>
      </w:r>
      <w:r>
        <w:rPr>
          <w:rFonts w:hint="eastAsia" w:ascii="Times New Roman" w:hAnsi="Times New Roman" w:eastAsia="宋体" w:cs="宋体"/>
          <w:kern w:val="0"/>
          <w:sz w:val="24"/>
          <w:lang w:val="en-US" w:eastAsia="zh-CN"/>
        </w:rPr>
        <w:t>包括</w:t>
      </w:r>
      <w:r>
        <w:rPr>
          <w:rFonts w:ascii="Times New Roman" w:hAnsi="Times New Roman" w:eastAsia="宋体" w:cs="宋体"/>
          <w:kern w:val="0"/>
          <w:sz w:val="24"/>
        </w:rPr>
        <w:t>报道名称、来源、发布时间等；</w:t>
      </w:r>
    </w:p>
    <w:p w14:paraId="37B963BC">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可新增报道信息，包括报道名称、类型、报道链接、来源、作者、发布时间、报道内容、审批设置；以及附件上传配置；支持修改和删除相应的成果宣传内容。</w:t>
      </w:r>
    </w:p>
    <w:p w14:paraId="2C2BBAA9">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协商评价管理</w:t>
      </w:r>
    </w:p>
    <w:p w14:paraId="1BC3542F">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履职综合评价</w:t>
      </w:r>
      <w:r>
        <w:rPr>
          <w:rFonts w:hint="eastAsia" w:ascii="Times New Roman" w:hAnsi="Times New Roman" w:eastAsia="宋体" w:cs="宋体"/>
          <w:kern w:val="0"/>
          <w:sz w:val="24"/>
          <w:lang w:eastAsia="zh-CN"/>
        </w:rPr>
        <w:t>：</w:t>
      </w:r>
      <w:r>
        <w:rPr>
          <w:rFonts w:ascii="Times New Roman" w:hAnsi="Times New Roman" w:eastAsia="宋体" w:cs="宋体"/>
          <w:kern w:val="0"/>
          <w:sz w:val="24"/>
        </w:rPr>
        <w:t>列表形式展现当前协商活动相关的评价信息，包括评价人、选题评价、现场协商评价、协商活动组织评价、整体满意度评价、评价时间等内容；</w:t>
      </w:r>
    </w:p>
    <w:p w14:paraId="75335E8B">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综合评价统计</w:t>
      </w:r>
      <w:r>
        <w:rPr>
          <w:rFonts w:hint="eastAsia" w:ascii="Times New Roman" w:hAnsi="Times New Roman" w:eastAsia="宋体" w:cs="宋体"/>
          <w:kern w:val="0"/>
          <w:sz w:val="24"/>
          <w:lang w:eastAsia="zh-CN"/>
        </w:rPr>
        <w:t>：</w:t>
      </w:r>
      <w:r>
        <w:rPr>
          <w:rFonts w:ascii="Times New Roman" w:hAnsi="Times New Roman" w:eastAsia="宋体" w:cs="宋体"/>
          <w:kern w:val="0"/>
          <w:sz w:val="24"/>
        </w:rPr>
        <w:t>支持对选题评价、现场协商评价、协商活动组织评价、整体满意度评价的不同满意数进行统计排序。</w:t>
      </w:r>
    </w:p>
    <w:p w14:paraId="06E81DAF">
      <w:pPr>
        <w:keepNext w:val="0"/>
        <w:keepLines w:val="0"/>
        <w:pageBreakBefore w:val="0"/>
        <w:widowControl/>
        <w:numPr>
          <w:ilvl w:val="0"/>
          <w:numId w:val="5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协商配置管理</w:t>
      </w:r>
    </w:p>
    <w:p w14:paraId="279C5985">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协商形式配置管理</w:t>
      </w:r>
    </w:p>
    <w:p w14:paraId="06408A67">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协商计划配置管理</w:t>
      </w:r>
      <w:r>
        <w:rPr>
          <w:rFonts w:hint="eastAsia" w:ascii="Times New Roman" w:hAnsi="Times New Roman" w:eastAsia="宋体" w:cs="宋体"/>
          <w:kern w:val="0"/>
          <w:sz w:val="24"/>
          <w:lang w:eastAsia="zh-CN"/>
        </w:rPr>
        <w:t>：</w:t>
      </w:r>
      <w:r>
        <w:rPr>
          <w:rFonts w:ascii="Times New Roman" w:hAnsi="Times New Roman" w:eastAsia="宋体" w:cs="宋体"/>
          <w:kern w:val="0"/>
          <w:sz w:val="24"/>
        </w:rPr>
        <w:t>支持通过名称和年度搜索查询协商计划，并以列表形式展现年度计划信息如年度计划名称、年度；可</w:t>
      </w:r>
      <w:r>
        <w:rPr>
          <w:rFonts w:hint="eastAsia" w:ascii="Times New Roman" w:hAnsi="Times New Roman" w:eastAsia="宋体" w:cs="宋体"/>
          <w:kern w:val="0"/>
          <w:sz w:val="24"/>
          <w:lang w:val="en-US" w:eastAsia="zh-CN"/>
        </w:rPr>
        <w:t>对</w:t>
      </w:r>
      <w:r>
        <w:rPr>
          <w:rFonts w:ascii="Times New Roman" w:hAnsi="Times New Roman" w:eastAsia="宋体" w:cs="宋体"/>
          <w:kern w:val="0"/>
          <w:sz w:val="24"/>
        </w:rPr>
        <w:t>年度计划进行修改和删除；</w:t>
      </w:r>
    </w:p>
    <w:p w14:paraId="7A065397">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协商活动配置管理</w:t>
      </w:r>
      <w:r>
        <w:rPr>
          <w:rFonts w:hint="eastAsia" w:ascii="Times New Roman" w:hAnsi="Times New Roman" w:eastAsia="宋体" w:cs="宋体"/>
          <w:kern w:val="0"/>
          <w:sz w:val="24"/>
          <w:lang w:eastAsia="zh-CN"/>
        </w:rPr>
        <w:t>：</w:t>
      </w:r>
      <w:r>
        <w:rPr>
          <w:rFonts w:ascii="Times New Roman" w:hAnsi="Times New Roman" w:eastAsia="宋体" w:cs="宋体"/>
          <w:kern w:val="0"/>
          <w:sz w:val="24"/>
        </w:rPr>
        <w:t>实现对已配置的协商活动形式进行查询、修改和删除；支持对其所有流程、指标进行修改。实现通过活动名称、届次、类型、牵头单位、参与单位等条件进行查询协商活动。</w:t>
      </w:r>
    </w:p>
    <w:p w14:paraId="0FB90CEF">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协商活动模板生成</w:t>
      </w:r>
    </w:p>
    <w:p w14:paraId="6A517678">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根据协商形式具体流程要求，通过协商活动模板流程化组件配置，自动生成协商活动管理模板。</w:t>
      </w:r>
    </w:p>
    <w:p w14:paraId="7C8BA1D8">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活动步骤配置</w:t>
      </w:r>
    </w:p>
    <w:p w14:paraId="624AC084">
      <w:pPr>
        <w:widowControl/>
        <w:spacing w:line="360" w:lineRule="auto"/>
        <w:ind w:firstLine="428" w:firstLineChars="173"/>
        <w:rPr>
          <w:rFonts w:hint="eastAsia" w:ascii="Times New Roman" w:hAnsi="Times New Roman" w:eastAsia="宋体" w:cs="宋体"/>
          <w:kern w:val="0"/>
          <w:sz w:val="24"/>
        </w:rPr>
      </w:pPr>
      <w:r>
        <w:rPr>
          <w:rFonts w:ascii="Times New Roman" w:hAnsi="Times New Roman" w:eastAsia="宋体" w:cs="宋体"/>
          <w:kern w:val="0"/>
          <w:sz w:val="24"/>
        </w:rPr>
        <w:t>在模板中，实现对协商活动的每个步骤进行可视化配置，具体包括如下步骤：开展调查研究管理</w:t>
      </w:r>
      <w:r>
        <w:rPr>
          <w:rFonts w:hint="eastAsia" w:ascii="Times New Roman" w:hAnsi="Times New Roman" w:eastAsia="宋体" w:cs="宋体"/>
          <w:kern w:val="0"/>
          <w:sz w:val="24"/>
          <w:lang w:eastAsia="zh-CN"/>
        </w:rPr>
        <w:t>、</w:t>
      </w:r>
      <w:r>
        <w:rPr>
          <w:rFonts w:ascii="Times New Roman" w:hAnsi="Times New Roman" w:eastAsia="宋体" w:cs="宋体"/>
          <w:kern w:val="0"/>
          <w:sz w:val="24"/>
        </w:rPr>
        <w:t>组织协商活动</w:t>
      </w:r>
      <w:r>
        <w:rPr>
          <w:rFonts w:hint="eastAsia" w:ascii="Times New Roman" w:hAnsi="Times New Roman" w:eastAsia="宋体" w:cs="宋体"/>
          <w:kern w:val="0"/>
          <w:sz w:val="24"/>
          <w:lang w:eastAsia="zh-CN"/>
        </w:rPr>
        <w:t>、</w:t>
      </w:r>
      <w:r>
        <w:rPr>
          <w:rFonts w:ascii="Times New Roman" w:hAnsi="Times New Roman" w:eastAsia="宋体" w:cs="宋体"/>
          <w:kern w:val="0"/>
          <w:sz w:val="24"/>
        </w:rPr>
        <w:t>综合运用成果</w:t>
      </w:r>
      <w:r>
        <w:rPr>
          <w:rFonts w:hint="eastAsia" w:ascii="Times New Roman" w:hAnsi="Times New Roman" w:eastAsia="宋体" w:cs="宋体"/>
          <w:kern w:val="0"/>
          <w:sz w:val="24"/>
          <w:lang w:eastAsia="zh-CN"/>
        </w:rPr>
        <w:t>、</w:t>
      </w:r>
      <w:r>
        <w:rPr>
          <w:rFonts w:ascii="Times New Roman" w:hAnsi="Times New Roman" w:eastAsia="宋体" w:cs="宋体"/>
          <w:kern w:val="0"/>
          <w:sz w:val="24"/>
        </w:rPr>
        <w:t>促进成果转化</w:t>
      </w:r>
      <w:r>
        <w:rPr>
          <w:rFonts w:hint="eastAsia" w:ascii="Times New Roman" w:hAnsi="Times New Roman" w:eastAsia="宋体" w:cs="宋体"/>
          <w:kern w:val="0"/>
          <w:sz w:val="24"/>
          <w:lang w:eastAsia="zh-CN"/>
        </w:rPr>
        <w:t>。</w:t>
      </w:r>
    </w:p>
    <w:p w14:paraId="5E5D58B8">
      <w:pPr>
        <w:keepNext w:val="0"/>
        <w:keepLines w:val="0"/>
        <w:pageBreakBefore w:val="0"/>
        <w:widowControl w:val="0"/>
        <w:numPr>
          <w:ilvl w:val="0"/>
          <w:numId w:val="5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活动参数配置</w:t>
      </w:r>
    </w:p>
    <w:p w14:paraId="12EE3366">
      <w:pPr>
        <w:widowControl/>
        <w:spacing w:line="360" w:lineRule="auto"/>
        <w:ind w:firstLine="428" w:firstLineChars="173"/>
        <w:rPr>
          <w:rFonts w:hint="eastAsia" w:ascii="Times New Roman" w:hAnsi="Times New Roman" w:eastAsia="宋体" w:cs="宋体"/>
          <w:kern w:val="0"/>
          <w:sz w:val="24"/>
        </w:rPr>
      </w:pPr>
      <w:r>
        <w:rPr>
          <w:rFonts w:ascii="Times New Roman" w:hAnsi="Times New Roman" w:eastAsia="宋体" w:cs="宋体"/>
          <w:kern w:val="0"/>
          <w:sz w:val="24"/>
        </w:rPr>
        <w:t>支持对每个步骤中每个环节的参数进行设置。</w:t>
      </w:r>
    </w:p>
    <w:p w14:paraId="26B42271">
      <w:pPr>
        <w:bidi w:val="0"/>
        <w:rPr>
          <w:kern w:val="0"/>
        </w:rPr>
      </w:pPr>
      <w:r>
        <w:rPr>
          <w:rFonts w:hint="eastAsia" w:ascii="宋体" w:hAnsi="宋体" w:eastAsia="宋体" w:cs="宋体"/>
          <w:kern w:val="0"/>
          <w:sz w:val="24"/>
          <w:szCs w:val="24"/>
          <w:lang w:val="en-US" w:eastAsia="zh-CN" w:bidi="ar-SA"/>
        </w:rPr>
        <w:t>4.2.5.2.2</w:t>
      </w:r>
      <w:r>
        <w:rPr>
          <w:kern w:val="0"/>
        </w:rPr>
        <w:t>协商</w:t>
      </w:r>
      <w:r>
        <w:rPr>
          <w:rFonts w:hint="eastAsia"/>
          <w:kern w:val="0"/>
          <w:lang w:val="en-US" w:eastAsia="zh-CN"/>
        </w:rPr>
        <w:t>管理维护端</w:t>
      </w:r>
    </w:p>
    <w:p w14:paraId="707D8705">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提供市局部门办理单位的维护功能，可设置是否选为承办机构，可以为承办机构生成唯一账号，绑定用户。</w:t>
      </w:r>
    </w:p>
    <w:p w14:paraId="333A50E1">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支持将协商在线需要办理的协商成果信息推送到市局部门相关系统；同时上传的办理结果也同步至协商在线应用，形成协商闭环。</w:t>
      </w:r>
    </w:p>
    <w:p w14:paraId="58EDD28C">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市局部门参与协商，可通过对接市局部门相关系统推送协商成果，包括我的待办、我的已办信息，提供签收、办理功能。</w:t>
      </w:r>
    </w:p>
    <w:p w14:paraId="6B783534">
      <w:pPr>
        <w:keepNext w:val="0"/>
        <w:keepLines w:val="0"/>
        <w:pageBreakBefore w:val="0"/>
        <w:widowControl/>
        <w:numPr>
          <w:ilvl w:val="0"/>
          <w:numId w:val="6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我的待办</w:t>
      </w:r>
    </w:p>
    <w:p w14:paraId="37C97780">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可查看我的待办协商成果信息列表，包括协商成果的名称、成果类型、所属活动、发布时间、状态（未签收、待办理、已办理）、紧急程度（普通、紧急）。</w:t>
      </w:r>
    </w:p>
    <w:p w14:paraId="5DEC5DD1">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可查看每个协商成果详情：发布单位、交办时间、领域、紧急程度、类别以及正文内容，支持附件查阅。</w:t>
      </w:r>
    </w:p>
    <w:p w14:paraId="3F4A3E1E">
      <w:pPr>
        <w:keepNext w:val="0"/>
        <w:keepLines w:val="0"/>
        <w:pageBreakBefore w:val="0"/>
        <w:widowControl/>
        <w:numPr>
          <w:ilvl w:val="0"/>
          <w:numId w:val="6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我的已办</w:t>
      </w:r>
    </w:p>
    <w:p w14:paraId="7BB87C91">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可查看我的已办协商成果信息列表，包括发布单位、交办时间、领域、紧急程度、类别以及正文内容，支持附件查阅。</w:t>
      </w:r>
    </w:p>
    <w:p w14:paraId="7523BA6C">
      <w:pPr>
        <w:keepNext w:val="0"/>
        <w:keepLines w:val="0"/>
        <w:pageBreakBefore w:val="0"/>
        <w:widowControl/>
        <w:numPr>
          <w:ilvl w:val="0"/>
          <w:numId w:val="6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签收</w:t>
      </w:r>
    </w:p>
    <w:p w14:paraId="4E08DA9D">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针对待办的协商成果，提供协商成果的签收、拒签功能。</w:t>
      </w:r>
    </w:p>
    <w:p w14:paraId="13DCB915">
      <w:pPr>
        <w:keepNext w:val="0"/>
        <w:keepLines w:val="0"/>
        <w:pageBreakBefore w:val="0"/>
        <w:widowControl/>
        <w:numPr>
          <w:ilvl w:val="0"/>
          <w:numId w:val="6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办理</w:t>
      </w:r>
    </w:p>
    <w:p w14:paraId="33ECCB79">
      <w:pPr>
        <w:widowControl/>
        <w:spacing w:line="360" w:lineRule="auto"/>
        <w:ind w:firstLine="428" w:firstLineChars="173"/>
        <w:rPr>
          <w:rFonts w:hint="eastAsia" w:ascii="Times New Roman" w:hAnsi="Times New Roman" w:eastAsia="宋体" w:cs="宋体"/>
          <w:kern w:val="0"/>
          <w:sz w:val="24"/>
        </w:rPr>
      </w:pPr>
      <w:r>
        <w:rPr>
          <w:rFonts w:ascii="Times New Roman" w:hAnsi="Times New Roman" w:eastAsia="宋体" w:cs="宋体"/>
          <w:kern w:val="0"/>
          <w:sz w:val="24"/>
        </w:rPr>
        <w:t>市局部门可对协商成果进行办理，录入部门名称、办理时间、采纳情况、落实情况、沟通方式、办理方式、办理意见，支持上传附件，并将办理结果推送到本应用</w:t>
      </w:r>
    </w:p>
    <w:p w14:paraId="49A766CC">
      <w:pPr>
        <w:bidi w:val="0"/>
        <w:rPr>
          <w:kern w:val="0"/>
        </w:rPr>
      </w:pPr>
      <w:r>
        <w:rPr>
          <w:rFonts w:hint="eastAsia" w:ascii="宋体" w:hAnsi="宋体" w:eastAsia="宋体" w:cs="宋体"/>
          <w:kern w:val="0"/>
          <w:sz w:val="24"/>
          <w:szCs w:val="24"/>
          <w:lang w:val="en-US" w:eastAsia="zh-CN" w:bidi="ar-SA"/>
        </w:rPr>
        <w:t>4.2.5.2.3</w:t>
      </w:r>
      <w:r>
        <w:rPr>
          <w:kern w:val="0"/>
        </w:rPr>
        <w:t>协商</w:t>
      </w:r>
      <w:r>
        <w:rPr>
          <w:rFonts w:hint="eastAsia"/>
          <w:kern w:val="0"/>
          <w:lang w:val="en-US" w:eastAsia="zh-CN"/>
        </w:rPr>
        <w:t>工作台</w:t>
      </w:r>
      <w:r>
        <w:rPr>
          <w:kern w:val="0"/>
        </w:rPr>
        <w:t>移动端-委员端</w:t>
      </w:r>
    </w:p>
    <w:p w14:paraId="342DBA84">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主要实现委员参与协商功能。</w:t>
      </w:r>
    </w:p>
    <w:p w14:paraId="559819B6">
      <w:pPr>
        <w:keepNext w:val="0"/>
        <w:keepLines w:val="0"/>
        <w:pageBreakBefore w:val="0"/>
        <w:widowControl/>
        <w:numPr>
          <w:ilvl w:val="0"/>
          <w:numId w:val="6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我的协商概况</w:t>
      </w:r>
    </w:p>
    <w:p w14:paraId="59493523">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可查看当前用户参与活动数量、提出的建议数量、协商计划数量、知情明政数量；点击可查看具体详情。</w:t>
      </w:r>
    </w:p>
    <w:p w14:paraId="1F55BCE5">
      <w:pPr>
        <w:keepNext w:val="0"/>
        <w:keepLines w:val="0"/>
        <w:pageBreakBefore w:val="0"/>
        <w:widowControl/>
        <w:numPr>
          <w:ilvl w:val="0"/>
          <w:numId w:val="6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我的协商活动</w:t>
      </w:r>
    </w:p>
    <w:p w14:paraId="2D012351">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我的协商活动模块能够按年度显示委员自身参与的协商活动。</w:t>
      </w:r>
    </w:p>
    <w:p w14:paraId="75C6EF84">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委员能够通过关键词搜索查询自身参与的协商活动；</w:t>
      </w:r>
    </w:p>
    <w:p w14:paraId="5C5E78BF">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支持通过列表查看，选择具体协商活动，可查看具体协商活动的</w:t>
      </w:r>
      <w:r>
        <w:rPr>
          <w:rFonts w:hint="eastAsia" w:ascii="Times New Roman" w:hAnsi="Times New Roman" w:eastAsia="宋体" w:cs="宋体"/>
          <w:kern w:val="0"/>
          <w:sz w:val="24"/>
          <w:lang w:val="en-US" w:eastAsia="zh-CN"/>
        </w:rPr>
        <w:t>详情</w:t>
      </w:r>
      <w:r>
        <w:rPr>
          <w:rFonts w:ascii="Times New Roman" w:hAnsi="Times New Roman" w:eastAsia="宋体" w:cs="宋体"/>
          <w:kern w:val="0"/>
          <w:sz w:val="24"/>
        </w:rPr>
        <w:t>；</w:t>
      </w:r>
    </w:p>
    <w:p w14:paraId="4B605FFD">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协商活动类型包括：全体会议、专题议政性常委会会议、专题协商会、主席会议、专家协商会、专题调研、民主监督。</w:t>
      </w:r>
    </w:p>
    <w:p w14:paraId="5F59FE8A">
      <w:pPr>
        <w:keepNext w:val="0"/>
        <w:keepLines w:val="0"/>
        <w:pageBreakBefore w:val="0"/>
        <w:widowControl/>
        <w:numPr>
          <w:ilvl w:val="0"/>
          <w:numId w:val="6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协商活动</w:t>
      </w:r>
    </w:p>
    <w:p w14:paraId="706C49D1">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活动分类展现</w:t>
      </w:r>
    </w:p>
    <w:p w14:paraId="7DE06D4F">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包括但不仅限于全体会议、专题议政性常委会会议、专题协商会、月度协商、网络议政、主题议政集成展示。</w:t>
      </w:r>
    </w:p>
    <w:p w14:paraId="43DA7E2B">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展示权限内可查看的所有协商活动类型，可通过图标选择或关键词查询查看具体的协商活动。</w:t>
      </w:r>
    </w:p>
    <w:p w14:paraId="78172EB7">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通过列表形式展现各类协商形式活动内容。</w:t>
      </w:r>
    </w:p>
    <w:p w14:paraId="0A74E0D8">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活动详情查看</w:t>
      </w:r>
    </w:p>
    <w:p w14:paraId="51199B29">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具体活动可下钻查看协商活动详情，活动详情按照调查研究、协商活动、成果转化进行展现：</w:t>
      </w:r>
    </w:p>
    <w:p w14:paraId="25333E8A">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调查研究：提供包括但不仅限于全体会议、专题议政性常委会会议、专题协商会中的协商方案、知情明政、调研报告、问卷调查、实地调研、线下会议、网络直播、主题议政等相关信息。</w:t>
      </w:r>
    </w:p>
    <w:p w14:paraId="46528296">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ab/>
      </w:r>
      <w:r>
        <w:rPr>
          <w:rFonts w:ascii="Times New Roman" w:hAnsi="Times New Roman" w:eastAsia="宋体" w:cs="宋体"/>
          <w:kern w:val="0"/>
          <w:sz w:val="24"/>
        </w:rPr>
        <w:t>协商活动：提供协商报名、会议协商、远程协商、网络直播、主题议政、网上议政厅、掌上议政厅等协商方式的集成。</w:t>
      </w:r>
    </w:p>
    <w:p w14:paraId="17E44409">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ab/>
      </w:r>
      <w:r>
        <w:rPr>
          <w:rFonts w:ascii="Times New Roman" w:hAnsi="Times New Roman" w:eastAsia="宋体" w:cs="宋体"/>
          <w:kern w:val="0"/>
          <w:sz w:val="24"/>
        </w:rPr>
        <w:t>成果转化：提供全体会议、专题议政性常委会会议、专题协商会、提案办理协商、月度协商等协商形式中的办理反馈、宣传报道、协商评价等。</w:t>
      </w:r>
    </w:p>
    <w:p w14:paraId="3BFF131D">
      <w:pPr>
        <w:keepNext w:val="0"/>
        <w:keepLines w:val="0"/>
        <w:pageBreakBefore w:val="0"/>
        <w:widowControl/>
        <w:numPr>
          <w:ilvl w:val="0"/>
          <w:numId w:val="6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协商计划</w:t>
      </w:r>
      <w:r>
        <w:rPr>
          <w:rFonts w:hint="eastAsia" w:ascii="Times New Roman" w:hAnsi="Times New Roman" w:eastAsia="宋体" w:cs="宋体"/>
          <w:kern w:val="0"/>
          <w:sz w:val="24"/>
          <w:szCs w:val="22"/>
          <w:lang w:eastAsia="zh-Hans"/>
        </w:rPr>
        <w:tab/>
      </w:r>
    </w:p>
    <w:p w14:paraId="4AD4EF1E">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支持根据协商计划名称关键词进行搜索查询；</w:t>
      </w:r>
    </w:p>
    <w:p w14:paraId="1630B8A3">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可下钻查看协商计划详情。</w:t>
      </w:r>
    </w:p>
    <w:p w14:paraId="5EFC48B4">
      <w:pPr>
        <w:keepNext w:val="0"/>
        <w:keepLines w:val="0"/>
        <w:pageBreakBefore w:val="0"/>
        <w:widowControl/>
        <w:numPr>
          <w:ilvl w:val="0"/>
          <w:numId w:val="6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参与议题征集、投票</w:t>
      </w:r>
    </w:p>
    <w:p w14:paraId="5CEBF361">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本模块提供上报议题、议题投票功能。</w:t>
      </w:r>
    </w:p>
    <w:p w14:paraId="75CAD639">
      <w:pPr>
        <w:keepNext w:val="0"/>
        <w:keepLines w:val="0"/>
        <w:pageBreakBefore w:val="0"/>
        <w:widowControl/>
        <w:numPr>
          <w:ilvl w:val="0"/>
          <w:numId w:val="6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其他协商应用入口</w:t>
      </w:r>
    </w:p>
    <w:p w14:paraId="3F6BD269">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可展示其他协商模块快捷入口。</w:t>
      </w:r>
    </w:p>
    <w:p w14:paraId="1C3DF12D">
      <w:pPr>
        <w:bidi w:val="0"/>
        <w:rPr>
          <w:kern w:val="0"/>
        </w:rPr>
      </w:pPr>
      <w:r>
        <w:rPr>
          <w:rFonts w:hint="eastAsia" w:ascii="宋体" w:hAnsi="宋体" w:eastAsia="宋体" w:cs="宋体"/>
          <w:kern w:val="0"/>
          <w:sz w:val="24"/>
          <w:szCs w:val="24"/>
          <w:lang w:val="en-US" w:eastAsia="zh-CN" w:bidi="ar-SA"/>
        </w:rPr>
        <w:t>4.2.5.2.4</w:t>
      </w:r>
      <w:r>
        <w:rPr>
          <w:kern w:val="0"/>
        </w:rPr>
        <w:t>协商</w:t>
      </w:r>
      <w:r>
        <w:rPr>
          <w:rFonts w:hint="eastAsia"/>
          <w:kern w:val="0"/>
          <w:lang w:val="en-US" w:eastAsia="zh-CN"/>
        </w:rPr>
        <w:t>工作台</w:t>
      </w:r>
      <w:r>
        <w:rPr>
          <w:kern w:val="0"/>
        </w:rPr>
        <w:t>移动端-群众端</w:t>
      </w:r>
    </w:p>
    <w:p w14:paraId="17D99736">
      <w:pPr>
        <w:keepNext w:val="0"/>
        <w:keepLines w:val="0"/>
        <w:pageBreakBefore w:val="0"/>
        <w:widowControl/>
        <w:numPr>
          <w:ilvl w:val="0"/>
          <w:numId w:val="6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政协信息动态</w:t>
      </w:r>
    </w:p>
    <w:p w14:paraId="13FA6A21">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展示政协近期新闻动态，点击可查看动态详情。</w:t>
      </w:r>
    </w:p>
    <w:p w14:paraId="10308A75">
      <w:pPr>
        <w:keepNext w:val="0"/>
        <w:keepLines w:val="0"/>
        <w:pageBreakBefore w:val="0"/>
        <w:widowControl/>
        <w:numPr>
          <w:ilvl w:val="0"/>
          <w:numId w:val="6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提案线索征集</w:t>
      </w:r>
    </w:p>
    <w:p w14:paraId="3A91F1E2">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提供提案线索征集入口，群众可上报相关提案线索供委员查看，主要包括标题、姓名、联系方式、类别、职业、通讯地址、内容、附件等信息。</w:t>
      </w:r>
    </w:p>
    <w:p w14:paraId="2AA94166">
      <w:pPr>
        <w:keepNext w:val="0"/>
        <w:keepLines w:val="0"/>
        <w:pageBreakBefore w:val="0"/>
        <w:widowControl/>
        <w:numPr>
          <w:ilvl w:val="0"/>
          <w:numId w:val="6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社情民意线索征集</w:t>
      </w:r>
    </w:p>
    <w:p w14:paraId="6AD37D76">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提供社情民意线索征集入口，群众可上报相关社情民意线索供委员查看，主要包括标题、姓名、联系方式、类别、职业、通讯地址、内容、附件等信息。</w:t>
      </w:r>
    </w:p>
    <w:p w14:paraId="7059C696">
      <w:pPr>
        <w:keepNext w:val="0"/>
        <w:keepLines w:val="0"/>
        <w:pageBreakBefore w:val="0"/>
        <w:widowControl/>
        <w:numPr>
          <w:ilvl w:val="0"/>
          <w:numId w:val="6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直播互动留言</w:t>
      </w:r>
    </w:p>
    <w:p w14:paraId="0ADE7127">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为群众提供直播互动留言入口，可查看已结束或进行中的协商议题，包括协商直播内容，可针对协商进行留言互动，查看他人留言内容，发表个人意见看法，支持点赞、评论功能。</w:t>
      </w:r>
    </w:p>
    <w:p w14:paraId="66EC4CF4">
      <w:pPr>
        <w:keepNext w:val="0"/>
        <w:keepLines w:val="0"/>
        <w:pageBreakBefore w:val="0"/>
        <w:widowControl/>
        <w:numPr>
          <w:ilvl w:val="0"/>
          <w:numId w:val="6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政协协商码</w:t>
      </w:r>
    </w:p>
    <w:p w14:paraId="77609998">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提供政协协商的设计、生成、预览、下载等管理。通过一码实现入口统一、界面统一、标识统一，便于基层和群众使用。</w:t>
      </w:r>
    </w:p>
    <w:p w14:paraId="3161FE95">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ascii="Times New Roman" w:hAnsi="Times New Roman" w:eastAsia="宋体" w:cs="宋体"/>
          <w:kern w:val="0"/>
          <w:sz w:val="24"/>
        </w:rPr>
      </w:pPr>
      <w:r>
        <w:rPr>
          <w:rFonts w:ascii="Times New Roman" w:hAnsi="Times New Roman" w:eastAsia="宋体" w:cs="宋体"/>
          <w:kern w:val="0"/>
          <w:sz w:val="24"/>
        </w:rPr>
        <w:t>实现</w:t>
      </w:r>
      <w:r>
        <w:rPr>
          <w:rFonts w:hint="eastAsia" w:ascii="Times New Roman" w:hAnsi="Times New Roman" w:eastAsia="宋体" w:cs="宋体"/>
          <w:kern w:val="0"/>
          <w:sz w:val="24"/>
          <w:lang w:val="en-US" w:eastAsia="zh-CN"/>
        </w:rPr>
        <w:t>i西安App、</w:t>
      </w:r>
      <w:r>
        <w:rPr>
          <w:rFonts w:ascii="Times New Roman" w:hAnsi="Times New Roman" w:eastAsia="宋体" w:cs="宋体"/>
          <w:kern w:val="0"/>
          <w:sz w:val="24"/>
        </w:rPr>
        <w:t>浏览器扫码登录和应用登录进入。</w:t>
      </w:r>
    </w:p>
    <w:p w14:paraId="74C01154">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rPr>
      </w:pPr>
      <w:r>
        <w:rPr>
          <w:rFonts w:ascii="Times New Roman" w:hAnsi="Times New Roman" w:eastAsia="宋体" w:cs="宋体"/>
          <w:kern w:val="0"/>
          <w:sz w:val="24"/>
        </w:rPr>
        <w:t>群众可参与协商、咨询、反映情况。</w:t>
      </w:r>
    </w:p>
    <w:p w14:paraId="3AB0B7B3">
      <w:pPr>
        <w:bidi w:val="0"/>
        <w:rPr>
          <w:kern w:val="0"/>
        </w:rPr>
      </w:pPr>
      <w:r>
        <w:rPr>
          <w:rFonts w:hint="eastAsia" w:ascii="宋体" w:hAnsi="宋体" w:eastAsia="宋体" w:cs="宋体"/>
          <w:kern w:val="0"/>
          <w:sz w:val="24"/>
          <w:szCs w:val="24"/>
          <w:lang w:val="en-US" w:eastAsia="zh-CN" w:bidi="ar-SA"/>
        </w:rPr>
        <w:t>4.2.5.2.5</w:t>
      </w:r>
      <w:r>
        <w:rPr>
          <w:kern w:val="0"/>
        </w:rPr>
        <w:t>协商在线协商码</w:t>
      </w:r>
    </w:p>
    <w:p w14:paraId="1086A3EC">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基于二维码展现方式，提供政协协商码。提供二维码的设计、生成、预览、下载等管理。</w:t>
      </w:r>
    </w:p>
    <w:p w14:paraId="57C20AC4">
      <w:pPr>
        <w:widowControl/>
        <w:spacing w:line="360" w:lineRule="auto"/>
        <w:ind w:firstLine="428" w:firstLineChars="173"/>
        <w:rPr>
          <w:rFonts w:ascii="Times New Roman" w:hAnsi="Times New Roman" w:eastAsia="宋体" w:cs="宋体"/>
          <w:kern w:val="0"/>
          <w:sz w:val="24"/>
        </w:rPr>
      </w:pPr>
      <w:r>
        <w:rPr>
          <w:rFonts w:ascii="Times New Roman" w:hAnsi="Times New Roman" w:eastAsia="宋体" w:cs="宋体"/>
          <w:kern w:val="0"/>
          <w:sz w:val="24"/>
        </w:rPr>
        <w:t>政协协商码，各个政协活动开展协商活动时使用，可展示或打印，供与会人员扫码签到等用途</w:t>
      </w:r>
      <w:r>
        <w:rPr>
          <w:rFonts w:hint="eastAsia" w:ascii="Times New Roman" w:hAnsi="Times New Roman" w:eastAsia="宋体" w:cs="宋体"/>
          <w:kern w:val="0"/>
          <w:sz w:val="24"/>
        </w:rPr>
        <w:t>。</w:t>
      </w:r>
    </w:p>
    <w:p w14:paraId="3C6D2838">
      <w:pPr>
        <w:bidi w:val="0"/>
        <w:rPr>
          <w:kern w:val="0"/>
        </w:rPr>
      </w:pPr>
      <w:r>
        <w:rPr>
          <w:rFonts w:hint="eastAsia" w:ascii="宋体" w:hAnsi="宋体" w:eastAsia="宋体" w:cs="宋体"/>
          <w:kern w:val="0"/>
          <w:sz w:val="24"/>
          <w:szCs w:val="24"/>
          <w:lang w:val="en-US" w:eastAsia="zh-CN" w:bidi="ar-SA"/>
        </w:rPr>
        <w:t>4.2.5.2.6</w:t>
      </w:r>
      <w:r>
        <w:rPr>
          <w:rFonts w:hint="eastAsia"/>
          <w:kern w:val="0"/>
        </w:rPr>
        <w:t>问卷调查</w:t>
      </w:r>
    </w:p>
    <w:p w14:paraId="7E4E922E">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为收集足够的、真实的和有效的信息为政协机关的其他活动和策略所服务，</w:t>
      </w:r>
      <w:r>
        <w:rPr>
          <w:rFonts w:ascii="Times New Roman" w:hAnsi="Times New Roman" w:eastAsia="宋体" w:cs="Times New Roman"/>
          <w:kern w:val="0"/>
          <w:sz w:val="24"/>
        </w:rPr>
        <w:t>及时发布市政协有关征集履职议题公告，并根据有关专委会需要联合开展网络问卷调查，面向公众征询意见建议。</w:t>
      </w:r>
    </w:p>
    <w:p w14:paraId="4F3E9228">
      <w:pPr>
        <w:keepNext w:val="0"/>
        <w:keepLines w:val="0"/>
        <w:pageBreakBefore w:val="0"/>
        <w:widowControl/>
        <w:numPr>
          <w:ilvl w:val="0"/>
          <w:numId w:val="6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征询题目配置</w:t>
      </w:r>
    </w:p>
    <w:p w14:paraId="3AD02DB3">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题目的配置，可以配置是非题，单选题、多选题、问答题。</w:t>
      </w:r>
    </w:p>
    <w:p w14:paraId="18DE7B4D">
      <w:pPr>
        <w:keepNext w:val="0"/>
        <w:keepLines w:val="0"/>
        <w:pageBreakBefore w:val="0"/>
        <w:widowControl/>
        <w:numPr>
          <w:ilvl w:val="0"/>
          <w:numId w:val="6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征询问题分组</w:t>
      </w:r>
    </w:p>
    <w:p w14:paraId="4D0A604E">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对征询问题进行分组，同一类的归类一组。设定一个用户投票的次数、配定投票的有效期限。</w:t>
      </w:r>
    </w:p>
    <w:p w14:paraId="63213A27">
      <w:pPr>
        <w:keepNext w:val="0"/>
        <w:keepLines w:val="0"/>
        <w:pageBreakBefore w:val="0"/>
        <w:widowControl/>
        <w:numPr>
          <w:ilvl w:val="0"/>
          <w:numId w:val="6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投票范围设定</w:t>
      </w:r>
    </w:p>
    <w:p w14:paraId="29DD46AC">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投票范围可设定，可以配置发布状态，启动、暂停、停止，调查结果多种图形化展示及导出。</w:t>
      </w:r>
    </w:p>
    <w:p w14:paraId="760DB4F2">
      <w:pPr>
        <w:bidi w:val="0"/>
        <w:rPr>
          <w:rFonts w:hint="eastAsia"/>
          <w:lang w:val="en-US" w:eastAsia="zh-CN"/>
        </w:rPr>
      </w:pPr>
      <w:bookmarkStart w:id="119" w:name="_Toc14471"/>
      <w:bookmarkStart w:id="120" w:name="_Toc19765"/>
      <w:bookmarkStart w:id="121" w:name="_Toc161418620"/>
      <w:r>
        <w:rPr>
          <w:rFonts w:hint="eastAsia" w:ascii="宋体" w:hAnsi="宋体" w:eastAsia="宋体" w:cstheme="minorBidi"/>
          <w:b/>
          <w:kern w:val="2"/>
          <w:sz w:val="24"/>
          <w:szCs w:val="24"/>
          <w:lang w:val="en-US" w:eastAsia="zh-CN" w:bidi="ar-SA"/>
        </w:rPr>
        <w:t>4.2.5.3</w:t>
      </w:r>
      <w:r>
        <w:rPr>
          <w:lang w:val="en-US" w:eastAsia="zh-CN"/>
        </w:rPr>
        <w:t>视频会议系统</w:t>
      </w:r>
    </w:p>
    <w:p w14:paraId="02D82A32">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为实现视频会议、视频直播、远程培训等功能，经调研，全国政协、陕西省政协和市政协均已部署相关视频会议系统，本次采购远程协商工具和直播流媒体服务，通过集成实现远程协商和课堂直播。</w:t>
      </w:r>
    </w:p>
    <w:p w14:paraId="62E95C35">
      <w:pPr>
        <w:pStyle w:val="6"/>
        <w:numPr>
          <w:ilvl w:val="4"/>
          <w:numId w:val="0"/>
        </w:numPr>
        <w:bidi w:val="0"/>
        <w:ind w:leftChars="0"/>
        <w:rPr>
          <w:lang w:val="en-US" w:eastAsia="zh-CN"/>
        </w:rPr>
      </w:pPr>
      <w:bookmarkStart w:id="122" w:name="_Toc3855"/>
      <w:r>
        <w:rPr>
          <w:rFonts w:hint="eastAsia" w:ascii="黑体" w:hAnsi="黑体" w:eastAsia="黑体" w:cstheme="minorBidi"/>
          <w:kern w:val="2"/>
          <w:sz w:val="28"/>
          <w:szCs w:val="24"/>
          <w:lang w:val="en-US" w:eastAsia="zh-CN" w:bidi="ar-SA"/>
        </w:rPr>
        <w:t>4.2.6</w:t>
      </w:r>
      <w:r>
        <w:rPr>
          <w:rFonts w:hint="eastAsia"/>
          <w:lang w:val="en-US" w:eastAsia="zh-CN"/>
        </w:rPr>
        <w:t>学习在线</w:t>
      </w:r>
      <w:bookmarkEnd w:id="119"/>
      <w:bookmarkEnd w:id="120"/>
      <w:bookmarkEnd w:id="121"/>
      <w:bookmarkEnd w:id="122"/>
    </w:p>
    <w:p w14:paraId="075124F4">
      <w:pPr>
        <w:widowControl/>
        <w:spacing w:line="360" w:lineRule="auto"/>
        <w:ind w:firstLine="640" w:firstLineChars="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通过建设学习在线综合应用，建设数字文史馆、政协书院等系统，制定特色学习专栏，支持对学习感想进行交流与分享，实现“线上学、跟着学、不间断学”；打造全面互动的文史资料平台</w:t>
      </w:r>
      <w:r>
        <w:rPr>
          <w:rFonts w:hint="eastAsia" w:ascii="Times New Roman" w:hAnsi="Times New Roman" w:eastAsia="宋体" w:cs="Times New Roman"/>
          <w:kern w:val="0"/>
          <w:sz w:val="24"/>
          <w:lang w:eastAsia="zh-CN"/>
        </w:rPr>
        <w:t>，</w:t>
      </w:r>
      <w:r>
        <w:rPr>
          <w:rFonts w:ascii="Times New Roman" w:hAnsi="Times New Roman" w:eastAsia="宋体" w:cs="Times New Roman"/>
          <w:kern w:val="0"/>
          <w:sz w:val="24"/>
        </w:rPr>
        <w:t>利用高清图片等现代技术展示资料，促进学术交流，推动文史传承与发展。</w:t>
      </w:r>
      <w:r>
        <w:rPr>
          <w:rFonts w:hint="eastAsia" w:ascii="Times New Roman" w:hAnsi="Times New Roman" w:eastAsia="宋体" w:cs="Times New Roman"/>
          <w:kern w:val="0"/>
          <w:sz w:val="24"/>
        </w:rPr>
        <w:t>同时通过智能化手段实现宣传资讯的同源发布，推动委员学习线上线下融合互促。</w:t>
      </w:r>
    </w:p>
    <w:p w14:paraId="35BB9133">
      <w:pPr>
        <w:bidi w:val="0"/>
        <w:rPr>
          <w:rFonts w:hint="eastAsia" w:ascii="Arial" w:hAnsi="Arial" w:eastAsia="宋体"/>
          <w:b/>
          <w:lang w:val="en-US" w:eastAsia="zh-CN"/>
        </w:rPr>
      </w:pPr>
      <w:r>
        <w:rPr>
          <w:rFonts w:hint="eastAsia" w:ascii="宋体" w:hAnsi="宋体" w:eastAsia="宋体" w:cstheme="minorBidi"/>
          <w:b/>
          <w:kern w:val="2"/>
          <w:sz w:val="24"/>
          <w:szCs w:val="24"/>
          <w:lang w:val="en-US" w:eastAsia="zh-CN" w:bidi="ar-SA"/>
        </w:rPr>
        <w:t>4.2.6.1</w:t>
      </w:r>
      <w:r>
        <w:rPr>
          <w:rFonts w:hint="eastAsia" w:ascii="Arial" w:hAnsi="Arial" w:eastAsia="宋体"/>
          <w:b/>
          <w:lang w:val="en-US" w:eastAsia="zh-CN"/>
        </w:rPr>
        <w:t>数字文史馆系统</w:t>
      </w:r>
    </w:p>
    <w:p w14:paraId="43B51154">
      <w:pPr>
        <w:bidi w:val="0"/>
        <w:rPr>
          <w:kern w:val="0"/>
        </w:rPr>
      </w:pPr>
      <w:r>
        <w:rPr>
          <w:rFonts w:hint="eastAsia" w:ascii="宋体" w:hAnsi="宋体" w:eastAsia="宋体" w:cs="宋体"/>
          <w:kern w:val="0"/>
          <w:sz w:val="24"/>
          <w:szCs w:val="24"/>
          <w:lang w:val="en-US" w:eastAsia="zh-CN" w:bidi="ar-SA"/>
        </w:rPr>
        <w:t>4.2.6.1.1</w:t>
      </w:r>
      <w:r>
        <w:rPr>
          <w:kern w:val="0"/>
        </w:rPr>
        <w:t>PC</w:t>
      </w:r>
      <w:r>
        <w:rPr>
          <w:rFonts w:hint="eastAsia"/>
          <w:kern w:val="0"/>
        </w:rPr>
        <w:t>端功能模块</w:t>
      </w:r>
    </w:p>
    <w:p w14:paraId="32D1B9C4">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数字文史馆系统致力于为</w:t>
      </w:r>
      <w:r>
        <w:rPr>
          <w:rFonts w:hint="eastAsia" w:ascii="Times New Roman" w:hAnsi="Times New Roman" w:eastAsia="宋体" w:cs="宋体"/>
          <w:kern w:val="0"/>
          <w:sz w:val="24"/>
        </w:rPr>
        <w:t>工作人员</w:t>
      </w:r>
      <w:r>
        <w:rPr>
          <w:rFonts w:hint="eastAsia" w:ascii="Times New Roman" w:hAnsi="Times New Roman" w:eastAsia="宋体" w:cs="Times New Roman"/>
          <w:kern w:val="0"/>
          <w:sz w:val="24"/>
        </w:rPr>
        <w:t>提供丰富、便捷、高效的文史资料体验。系统通过集成展示、查询、信息发布、文物信息管理以及观众信息管理等功能，为</w:t>
      </w:r>
      <w:r>
        <w:rPr>
          <w:rFonts w:hint="eastAsia" w:ascii="Times New Roman" w:hAnsi="Times New Roman" w:eastAsia="宋体" w:cs="宋体"/>
          <w:kern w:val="0"/>
          <w:sz w:val="24"/>
        </w:rPr>
        <w:t>使用者</w:t>
      </w:r>
      <w:r>
        <w:rPr>
          <w:rFonts w:hint="eastAsia" w:ascii="Times New Roman" w:hAnsi="Times New Roman" w:eastAsia="宋体" w:cs="Times New Roman"/>
          <w:kern w:val="0"/>
          <w:sz w:val="24"/>
        </w:rPr>
        <w:t>呈现一个全面、互动的文史资料平台。</w:t>
      </w:r>
    </w:p>
    <w:p w14:paraId="46A13B4B">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通过高清图片、书籍翻阅等现代技术展示文史资料，提供便捷的多维度查询功能，让</w:t>
      </w:r>
      <w:r>
        <w:rPr>
          <w:rFonts w:hint="eastAsia" w:ascii="Times New Roman" w:hAnsi="Times New Roman" w:eastAsia="宋体" w:cs="宋体"/>
          <w:kern w:val="0"/>
          <w:sz w:val="24"/>
        </w:rPr>
        <w:t>使用者</w:t>
      </w:r>
      <w:r>
        <w:rPr>
          <w:rFonts w:hint="eastAsia" w:ascii="Times New Roman" w:hAnsi="Times New Roman" w:eastAsia="宋体" w:cs="Times New Roman"/>
          <w:kern w:val="0"/>
          <w:sz w:val="24"/>
        </w:rPr>
        <w:t>快速获取所需信息。同时，系统还具备信息发布功能，促进学术交流，为</w:t>
      </w:r>
      <w:r>
        <w:rPr>
          <w:rFonts w:hint="eastAsia" w:ascii="Times New Roman" w:hAnsi="Times New Roman" w:eastAsia="宋体" w:cs="宋体"/>
          <w:kern w:val="0"/>
          <w:sz w:val="24"/>
        </w:rPr>
        <w:t>使用者</w:t>
      </w:r>
      <w:r>
        <w:rPr>
          <w:rFonts w:hint="eastAsia" w:ascii="Times New Roman" w:hAnsi="Times New Roman" w:eastAsia="宋体" w:cs="Times New Roman"/>
          <w:kern w:val="0"/>
          <w:sz w:val="24"/>
        </w:rPr>
        <w:t>提供权威资料。重视</w:t>
      </w:r>
      <w:r>
        <w:rPr>
          <w:rFonts w:hint="eastAsia" w:ascii="Times New Roman" w:hAnsi="Times New Roman" w:eastAsia="宋体" w:cs="宋体"/>
          <w:kern w:val="0"/>
          <w:sz w:val="24"/>
        </w:rPr>
        <w:t>使用者</w:t>
      </w:r>
      <w:r>
        <w:rPr>
          <w:rFonts w:hint="eastAsia" w:ascii="Times New Roman" w:hAnsi="Times New Roman" w:eastAsia="宋体" w:cs="Times New Roman"/>
          <w:kern w:val="0"/>
          <w:sz w:val="24"/>
        </w:rPr>
        <w:t>体验的文史在线还收集和分析观众信息，以提供个性化服务，并增强</w:t>
      </w:r>
      <w:r>
        <w:rPr>
          <w:rFonts w:hint="eastAsia" w:ascii="Times New Roman" w:hAnsi="Times New Roman" w:eastAsia="宋体" w:cs="宋体"/>
          <w:kern w:val="0"/>
          <w:sz w:val="24"/>
        </w:rPr>
        <w:t>使用者</w:t>
      </w:r>
      <w:r>
        <w:rPr>
          <w:rFonts w:hint="eastAsia" w:ascii="Times New Roman" w:hAnsi="Times New Roman" w:eastAsia="宋体" w:cs="Times New Roman"/>
          <w:kern w:val="0"/>
          <w:sz w:val="24"/>
        </w:rPr>
        <w:t>参与感和归属感。总之，文史在线通过数字化手段推动文史资料的传承与发展，为</w:t>
      </w:r>
      <w:r>
        <w:rPr>
          <w:rFonts w:hint="eastAsia" w:ascii="Times New Roman" w:hAnsi="Times New Roman" w:eastAsia="宋体" w:cs="宋体"/>
          <w:kern w:val="0"/>
          <w:sz w:val="24"/>
        </w:rPr>
        <w:t>使用者</w:t>
      </w:r>
      <w:r>
        <w:rPr>
          <w:rFonts w:hint="eastAsia" w:ascii="Times New Roman" w:hAnsi="Times New Roman" w:eastAsia="宋体" w:cs="Times New Roman"/>
          <w:kern w:val="0"/>
          <w:sz w:val="24"/>
        </w:rPr>
        <w:t>带来前所未有的文化体验。</w:t>
      </w:r>
    </w:p>
    <w:p w14:paraId="7D258EED">
      <w:pPr>
        <w:keepNext w:val="0"/>
        <w:keepLines w:val="0"/>
        <w:pageBreakBefore w:val="0"/>
        <w:widowControl/>
        <w:numPr>
          <w:ilvl w:val="0"/>
          <w:numId w:val="6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工作信息</w:t>
      </w:r>
    </w:p>
    <w:p w14:paraId="65EA3CA6">
      <w:pPr>
        <w:widowControl/>
        <w:spacing w:line="360" w:lineRule="auto"/>
        <w:ind w:firstLine="496" w:firstLineChars="200"/>
        <w:rPr>
          <w:rFonts w:ascii="Times New Roman" w:hAnsi="Times New Roman" w:eastAsia="宋体" w:cs="宋体"/>
          <w:kern w:val="0"/>
          <w:sz w:val="24"/>
        </w:rPr>
      </w:pPr>
      <w:r>
        <w:rPr>
          <w:rFonts w:hint="eastAsia" w:ascii="仿宋_GB2312" w:hAnsi="仿宋" w:eastAsia="宋体" w:cs="Times New Roman"/>
          <w:bCs/>
          <w:kern w:val="0"/>
          <w:sz w:val="24"/>
          <w:szCs w:val="22"/>
        </w:rPr>
        <w:t>工作信息模块包括两部分：通知公告和主题活动。通知公告下管理员可发布文史征稿通知，文史通知等。用户</w:t>
      </w:r>
      <w:r>
        <w:rPr>
          <w:rFonts w:hint="eastAsia" w:ascii="Times New Roman" w:hAnsi="Times New Roman" w:eastAsia="宋体" w:cs="Times New Roman"/>
          <w:kern w:val="0"/>
          <w:sz w:val="24"/>
        </w:rPr>
        <w:t>可查看最新发布的信息详情，参与投稿。主题活动以图文结合的方式展示文史最近开展的主题活动内容，点击更多可了解更多精彩内容。</w:t>
      </w:r>
    </w:p>
    <w:p w14:paraId="16858C68">
      <w:pPr>
        <w:keepNext w:val="0"/>
        <w:keepLines w:val="0"/>
        <w:pageBreakBefore w:val="0"/>
        <w:widowControl/>
        <w:numPr>
          <w:ilvl w:val="0"/>
          <w:numId w:val="6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西安文史馆</w:t>
      </w:r>
    </w:p>
    <w:p w14:paraId="4EEE0CBD">
      <w:pPr>
        <w:widowControl/>
        <w:spacing w:line="360" w:lineRule="auto"/>
        <w:ind w:firstLine="496" w:firstLineChars="200"/>
        <w:rPr>
          <w:rFonts w:hint="eastAsia" w:ascii="仿宋_GB2312" w:hAnsi="仿宋" w:eastAsia="宋体" w:cs="Times New Roman"/>
          <w:bCs/>
          <w:kern w:val="0"/>
          <w:sz w:val="24"/>
          <w:szCs w:val="22"/>
        </w:rPr>
      </w:pPr>
      <w:r>
        <w:rPr>
          <w:rFonts w:hint="eastAsia" w:ascii="仿宋_GB2312" w:hAnsi="仿宋" w:eastAsia="宋体" w:cs="Times New Roman"/>
          <w:bCs/>
          <w:kern w:val="0"/>
          <w:sz w:val="24"/>
          <w:szCs w:val="22"/>
        </w:rPr>
        <w:t>提供西安文史馆外部链接，方便用户快速跳转查看。</w:t>
      </w:r>
    </w:p>
    <w:p w14:paraId="63D4D862">
      <w:pPr>
        <w:keepNext w:val="0"/>
        <w:keepLines w:val="0"/>
        <w:pageBreakBefore w:val="0"/>
        <w:widowControl/>
        <w:numPr>
          <w:ilvl w:val="0"/>
          <w:numId w:val="6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文史征集</w:t>
      </w:r>
    </w:p>
    <w:p w14:paraId="1735761A">
      <w:pPr>
        <w:widowControl/>
        <w:spacing w:line="360" w:lineRule="auto"/>
        <w:ind w:firstLine="496" w:firstLineChars="200"/>
        <w:rPr>
          <w:rFonts w:hint="eastAsia" w:ascii="仿宋_GB2312" w:hAnsi="仿宋" w:eastAsia="宋体" w:cs="Times New Roman"/>
          <w:bCs/>
          <w:kern w:val="0"/>
          <w:sz w:val="24"/>
          <w:szCs w:val="22"/>
        </w:rPr>
      </w:pPr>
      <w:r>
        <w:rPr>
          <w:rFonts w:hint="eastAsia" w:ascii="仿宋_GB2312" w:hAnsi="仿宋" w:eastAsia="宋体" w:cs="Times New Roman"/>
          <w:bCs/>
          <w:kern w:val="0"/>
          <w:sz w:val="24"/>
          <w:szCs w:val="22"/>
        </w:rPr>
        <w:t>文史征集模块分为平时征集和年度征集，以满足不同时段、不同需求的文史资料收集工作。群众和委员可以进行投稿，作者可增加文史内容进行佐证论点，支持互动评论。设置了留言审核机制。所有的留言都需要经过审核人员审查，确保其内容符合相关规定与标准。只有通过审核的留言才会在平台上显示，为其他读者提供参考和借鉴。</w:t>
      </w:r>
    </w:p>
    <w:p w14:paraId="17AE073D">
      <w:pPr>
        <w:keepNext w:val="0"/>
        <w:keepLines w:val="0"/>
        <w:pageBreakBefore w:val="0"/>
        <w:widowControl/>
        <w:numPr>
          <w:ilvl w:val="0"/>
          <w:numId w:val="6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文史资料</w:t>
      </w:r>
    </w:p>
    <w:p w14:paraId="40BEE087">
      <w:pPr>
        <w:widowControl/>
        <w:spacing w:line="360" w:lineRule="auto"/>
        <w:ind w:firstLine="496" w:firstLineChars="200"/>
        <w:rPr>
          <w:rFonts w:hint="eastAsia" w:ascii="仿宋_GB2312" w:hAnsi="仿宋" w:eastAsia="宋体" w:cs="Times New Roman"/>
          <w:bCs/>
          <w:kern w:val="0"/>
          <w:sz w:val="24"/>
          <w:szCs w:val="22"/>
        </w:rPr>
      </w:pPr>
      <w:r>
        <w:rPr>
          <w:rFonts w:hint="eastAsia" w:ascii="仿宋_GB2312" w:hAnsi="仿宋" w:eastAsia="宋体" w:cs="Times New Roman"/>
          <w:bCs/>
          <w:kern w:val="0"/>
          <w:sz w:val="24"/>
          <w:szCs w:val="22"/>
        </w:rPr>
        <w:t>文史资料模块可查看汇编的文史资料内容。文史资料包括历史文献、名人传记、地方志书等在内的多种文史资料。用户可以通过关键词搜索功能，快速定位到包含特定内容的文史资料。</w:t>
      </w:r>
    </w:p>
    <w:p w14:paraId="77E4345B">
      <w:pPr>
        <w:keepNext w:val="0"/>
        <w:keepLines w:val="0"/>
        <w:pageBreakBefore w:val="0"/>
        <w:widowControl/>
        <w:numPr>
          <w:ilvl w:val="0"/>
          <w:numId w:val="6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书画院</w:t>
      </w:r>
    </w:p>
    <w:p w14:paraId="5EFA1068">
      <w:pPr>
        <w:widowControl/>
        <w:spacing w:line="360" w:lineRule="auto"/>
        <w:ind w:firstLine="496" w:firstLineChars="200"/>
        <w:rPr>
          <w:rFonts w:hint="eastAsia" w:ascii="仿宋_GB2312" w:hAnsi="仿宋" w:eastAsia="宋体" w:cs="Times New Roman"/>
          <w:bCs/>
          <w:kern w:val="0"/>
          <w:sz w:val="24"/>
          <w:szCs w:val="22"/>
        </w:rPr>
      </w:pPr>
      <w:r>
        <w:rPr>
          <w:rFonts w:hint="eastAsia" w:ascii="仿宋_GB2312" w:hAnsi="仿宋" w:eastAsia="宋体" w:cs="Times New Roman"/>
          <w:bCs/>
          <w:kern w:val="0"/>
          <w:sz w:val="24"/>
          <w:szCs w:val="22"/>
        </w:rPr>
        <w:t>展示市政协文化馆的书法和画作电子版。可点击查看大图。点击查看详情可查看作品详情介绍，包括作者、创作背景、艺术特色等信息，帮助用户更深入地了解作品。</w:t>
      </w:r>
    </w:p>
    <w:p w14:paraId="272F9335">
      <w:pPr>
        <w:keepNext w:val="0"/>
        <w:keepLines w:val="0"/>
        <w:pageBreakBefore w:val="0"/>
        <w:widowControl/>
        <w:numPr>
          <w:ilvl w:val="0"/>
          <w:numId w:val="6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栏目管理</w:t>
      </w:r>
    </w:p>
    <w:p w14:paraId="25979322">
      <w:pPr>
        <w:widowControl/>
        <w:spacing w:line="360" w:lineRule="auto"/>
        <w:ind w:firstLine="496" w:firstLineChars="200"/>
        <w:rPr>
          <w:rFonts w:hint="eastAsia" w:ascii="仿宋_GB2312" w:hAnsi="仿宋" w:eastAsia="宋体" w:cs="Times New Roman"/>
          <w:bCs/>
          <w:kern w:val="0"/>
          <w:sz w:val="24"/>
          <w:szCs w:val="22"/>
        </w:rPr>
      </w:pPr>
      <w:r>
        <w:rPr>
          <w:rFonts w:hint="eastAsia" w:ascii="仿宋_GB2312" w:hAnsi="仿宋" w:eastAsia="宋体" w:cs="Times New Roman"/>
          <w:bCs/>
          <w:kern w:val="0"/>
          <w:sz w:val="24"/>
          <w:szCs w:val="22"/>
        </w:rPr>
        <w:t>提供栏目管理功能，栏目包括工作信息、西安文史馆、文史征集、文史资料和书画院等。可以对栏目进行新增，删除，查询，修改，排序。</w:t>
      </w:r>
    </w:p>
    <w:p w14:paraId="31953E87">
      <w:pPr>
        <w:keepNext w:val="0"/>
        <w:keepLines w:val="0"/>
        <w:pageBreakBefore w:val="0"/>
        <w:widowControl/>
        <w:numPr>
          <w:ilvl w:val="0"/>
          <w:numId w:val="6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内容管理</w:t>
      </w:r>
    </w:p>
    <w:p w14:paraId="21D0937C">
      <w:pPr>
        <w:widowControl/>
        <w:spacing w:line="360" w:lineRule="auto"/>
        <w:ind w:firstLine="496" w:firstLineChars="200"/>
        <w:rPr>
          <w:rFonts w:hint="eastAsia" w:ascii="仿宋_GB2312" w:hAnsi="仿宋" w:eastAsia="宋体" w:cs="Times New Roman"/>
          <w:bCs/>
          <w:kern w:val="0"/>
          <w:sz w:val="24"/>
          <w:szCs w:val="22"/>
        </w:rPr>
      </w:pPr>
      <w:r>
        <w:rPr>
          <w:rFonts w:hint="eastAsia" w:ascii="仿宋_GB2312" w:hAnsi="仿宋" w:eastAsia="宋体" w:cs="Times New Roman"/>
          <w:bCs/>
          <w:kern w:val="0"/>
          <w:sz w:val="24"/>
          <w:szCs w:val="22"/>
        </w:rPr>
        <w:t>内容管理依托于栏目管理，在不同栏目下管理文章、图片集、视频、音频等。可对不同栏目内容进行新增，删除，查询，修改，排序。可以新建模板，根据该模板填入内容发布。管理员可以设置标题、来源、作者、发布时间、文章内容、封面、链接地址等。能适配多种不同格式的文章。</w:t>
      </w:r>
    </w:p>
    <w:p w14:paraId="0682C82F">
      <w:pPr>
        <w:keepNext w:val="0"/>
        <w:keepLines w:val="0"/>
        <w:pageBreakBefore w:val="0"/>
        <w:widowControl/>
        <w:numPr>
          <w:ilvl w:val="0"/>
          <w:numId w:val="6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全站检索</w:t>
      </w:r>
    </w:p>
    <w:p w14:paraId="447E624E">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主要是通过关键字在文本资料的标题、作者、全文、关键字进行全文检索并显示相应的资料信息列表。</w:t>
      </w:r>
    </w:p>
    <w:p w14:paraId="621603B4">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高级查询主要是通过新闻资料，文本资料所在的标题、作者、全文、关键字、时期、发表日期等进行全文检索并显示相应的资料信息列表。</w:t>
      </w:r>
    </w:p>
    <w:p w14:paraId="6F25107A">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对于图片资料通过检索单图片的描述进行检索，并显示相应的资料信息列表。对于音频资料通过检索单音频的描述进行检索，并显示相应的资料信息列表。对于视频资料通过检索单视频的描述进行检索，并显示相应的资料信息列表。</w:t>
      </w:r>
    </w:p>
    <w:p w14:paraId="0CF2B12A">
      <w:pPr>
        <w:bidi w:val="0"/>
        <w:rPr>
          <w:kern w:val="0"/>
        </w:rPr>
      </w:pPr>
      <w:r>
        <w:rPr>
          <w:rFonts w:hint="eastAsia" w:ascii="宋体" w:hAnsi="宋体" w:eastAsia="宋体" w:cs="宋体"/>
          <w:kern w:val="0"/>
          <w:sz w:val="24"/>
          <w:szCs w:val="24"/>
          <w:lang w:val="en-US" w:eastAsia="zh-CN" w:bidi="ar-SA"/>
        </w:rPr>
        <w:t>4.2.6.1.2</w:t>
      </w:r>
      <w:r>
        <w:rPr>
          <w:rFonts w:hint="eastAsia"/>
          <w:kern w:val="0"/>
        </w:rPr>
        <w:t>移动端功能模块</w:t>
      </w:r>
    </w:p>
    <w:p w14:paraId="7186605D">
      <w:pPr>
        <w:keepNext w:val="0"/>
        <w:keepLines w:val="0"/>
        <w:pageBreakBefore w:val="0"/>
        <w:widowControl/>
        <w:numPr>
          <w:ilvl w:val="0"/>
          <w:numId w:val="6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首页</w:t>
      </w:r>
    </w:p>
    <w:p w14:paraId="2751C9FA">
      <w:pPr>
        <w:widowControl/>
        <w:spacing w:line="360" w:lineRule="auto"/>
        <w:ind w:firstLine="496"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以轮播图的形式展示近期的活动图片、通知公告、文史资料等，可以点击图片直达信息详情。</w:t>
      </w:r>
    </w:p>
    <w:p w14:paraId="7474984B">
      <w:pPr>
        <w:keepNext w:val="0"/>
        <w:keepLines w:val="0"/>
        <w:pageBreakBefore w:val="0"/>
        <w:widowControl/>
        <w:numPr>
          <w:ilvl w:val="0"/>
          <w:numId w:val="6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文史资料</w:t>
      </w:r>
    </w:p>
    <w:p w14:paraId="0F4D4043">
      <w:pPr>
        <w:widowControl/>
        <w:spacing w:line="360" w:lineRule="auto"/>
        <w:ind w:firstLine="496"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该模块以列表形式展示西安地区历史文化的研究资料。可点击查看文史资料详情，实现随时随地查看。</w:t>
      </w:r>
    </w:p>
    <w:p w14:paraId="73A8D60E">
      <w:pPr>
        <w:keepNext w:val="0"/>
        <w:keepLines w:val="0"/>
        <w:pageBreakBefore w:val="0"/>
        <w:widowControl/>
        <w:numPr>
          <w:ilvl w:val="0"/>
          <w:numId w:val="6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文史征集</w:t>
      </w:r>
    </w:p>
    <w:p w14:paraId="16156DF3">
      <w:pPr>
        <w:widowControl/>
        <w:spacing w:line="360" w:lineRule="auto"/>
        <w:ind w:firstLine="496" w:firstLineChars="200"/>
        <w:rPr>
          <w:rFonts w:ascii="仿宋_GB2312" w:hAnsi="仿宋" w:eastAsia="宋体" w:cs="Times New Roman"/>
          <w:bCs/>
          <w:kern w:val="0"/>
          <w:sz w:val="24"/>
          <w:szCs w:val="22"/>
        </w:rPr>
      </w:pPr>
      <w:r>
        <w:rPr>
          <w:rFonts w:hint="eastAsia" w:ascii="仿宋_GB2312" w:hAnsi="仿宋" w:eastAsia="宋体" w:cs="Times New Roman"/>
          <w:bCs/>
          <w:kern w:val="0"/>
          <w:sz w:val="24"/>
          <w:szCs w:val="22"/>
        </w:rPr>
        <w:t>文史征集模块分为平时征集和年度征集，以满足不同时段、不同需求的文史资料收集工作。群众和委员可以进行投稿，作者可增加文史内容进行佐证论点，支持互动评论，用户可随时随地查看文史稿件参与互动。</w:t>
      </w:r>
    </w:p>
    <w:p w14:paraId="49648EBB">
      <w:pPr>
        <w:keepNext w:val="0"/>
        <w:keepLines w:val="0"/>
        <w:pageBreakBefore w:val="0"/>
        <w:widowControl/>
        <w:numPr>
          <w:ilvl w:val="0"/>
          <w:numId w:val="6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书画院</w:t>
      </w:r>
    </w:p>
    <w:p w14:paraId="5FB7DC24">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Times New Roman"/>
          <w:kern w:val="0"/>
          <w:sz w:val="24"/>
        </w:rPr>
        <w:t>展示市政协文化馆的书法和画作电子版。在移动端可放大细赏名作。可下载进行转发，传播文化，增加交流互动。</w:t>
      </w:r>
    </w:p>
    <w:p w14:paraId="77D10E3E">
      <w:pPr>
        <w:bidi w:val="0"/>
        <w:rPr>
          <w:lang w:val="en-US" w:eastAsia="zh-CN"/>
        </w:rPr>
      </w:pPr>
      <w:r>
        <w:rPr>
          <w:rFonts w:hint="eastAsia" w:ascii="宋体" w:hAnsi="宋体" w:eastAsia="宋体" w:cstheme="minorBidi"/>
          <w:b/>
          <w:kern w:val="2"/>
          <w:sz w:val="24"/>
          <w:szCs w:val="24"/>
          <w:lang w:val="en-US" w:eastAsia="zh-CN" w:bidi="ar-SA"/>
        </w:rPr>
        <w:t>4.2.6.2</w:t>
      </w:r>
      <w:r>
        <w:rPr>
          <w:rFonts w:hint="eastAsia"/>
          <w:lang w:val="en-US" w:eastAsia="zh-CN"/>
        </w:rPr>
        <w:t>政协书院系统</w:t>
      </w:r>
    </w:p>
    <w:p w14:paraId="6AFE57F6">
      <w:pPr>
        <w:widowControl/>
        <w:spacing w:line="360" w:lineRule="auto"/>
        <w:ind w:firstLine="496" w:firstLineChars="200"/>
        <w:rPr>
          <w:rFonts w:hint="eastAsia" w:ascii="Times New Roman" w:hAnsi="Times New Roman" w:eastAsia="宋体" w:cs="仿宋"/>
          <w:kern w:val="0"/>
          <w:sz w:val="24"/>
          <w:lang w:eastAsia="zh-Hans"/>
        </w:rPr>
      </w:pPr>
      <w:r>
        <w:rPr>
          <w:rFonts w:hint="eastAsia" w:ascii="Times New Roman" w:hAnsi="Times New Roman" w:eastAsia="宋体" w:cs="仿宋"/>
          <w:kern w:val="0"/>
          <w:sz w:val="24"/>
        </w:rPr>
        <w:t>市政协可</w:t>
      </w:r>
      <w:r>
        <w:rPr>
          <w:rFonts w:hint="eastAsia" w:ascii="Times New Roman" w:hAnsi="Times New Roman" w:eastAsia="宋体" w:cs="仿宋"/>
          <w:kern w:val="0"/>
          <w:sz w:val="24"/>
          <w:lang w:eastAsia="zh-Hans"/>
        </w:rPr>
        <w:t>在本系统发布工作信息</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查看习近平专栏</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浏览文化大讲堂文件和视频</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查看委员报告会内容</w:t>
      </w:r>
      <w:r>
        <w:rPr>
          <w:rFonts w:ascii="Times New Roman" w:hAnsi="Times New Roman" w:eastAsia="宋体" w:cs="仿宋"/>
          <w:kern w:val="0"/>
          <w:sz w:val="24"/>
          <w:lang w:eastAsia="zh-Hans"/>
        </w:rPr>
        <w:t>、</w:t>
      </w:r>
      <w:r>
        <w:rPr>
          <w:rFonts w:hint="eastAsia" w:ascii="Times New Roman" w:hAnsi="Times New Roman" w:eastAsia="宋体" w:cs="仿宋"/>
          <w:kern w:val="0"/>
          <w:sz w:val="24"/>
        </w:rPr>
        <w:t>发起</w:t>
      </w:r>
      <w:r>
        <w:rPr>
          <w:rFonts w:hint="eastAsia" w:ascii="Times New Roman" w:hAnsi="Times New Roman" w:eastAsia="宋体" w:cs="仿宋"/>
          <w:kern w:val="0"/>
          <w:sz w:val="24"/>
          <w:lang w:eastAsia="zh-Hans"/>
        </w:rPr>
        <w:t>委员学习交流群活动</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查看政协书库内容</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为相关委员提供线上学习交流和相关视频书籍学习。</w:t>
      </w:r>
    </w:p>
    <w:p w14:paraId="1777D6BD">
      <w:pPr>
        <w:bidi w:val="0"/>
        <w:rPr>
          <w:rFonts w:hint="eastAsia"/>
          <w:kern w:val="0"/>
        </w:rPr>
      </w:pPr>
      <w:r>
        <w:rPr>
          <w:rFonts w:hint="eastAsia" w:ascii="宋体" w:hAnsi="宋体" w:eastAsia="宋体" w:cs="宋体"/>
          <w:kern w:val="0"/>
          <w:sz w:val="24"/>
          <w:szCs w:val="24"/>
          <w:lang w:val="en-US" w:eastAsia="zh-CN" w:bidi="ar-SA"/>
        </w:rPr>
        <w:t>4.2.6.2.1</w:t>
      </w:r>
      <w:r>
        <w:rPr>
          <w:rFonts w:hint="eastAsia"/>
          <w:kern w:val="0"/>
        </w:rPr>
        <w:t>政协书院PC端功能</w:t>
      </w:r>
    </w:p>
    <w:p w14:paraId="5C9D596B">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栏目管理</w:t>
      </w:r>
    </w:p>
    <w:p w14:paraId="55A6F31F">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eastAsia="zh-Hans"/>
        </w:rPr>
        <w:t>对</w:t>
      </w:r>
      <w:r>
        <w:rPr>
          <w:rFonts w:hint="eastAsia" w:ascii="Times New Roman" w:hAnsi="Times New Roman" w:eastAsia="宋体" w:cs="仿宋"/>
          <w:kern w:val="0"/>
          <w:sz w:val="24"/>
        </w:rPr>
        <w:t>政协书院</w:t>
      </w:r>
      <w:r>
        <w:rPr>
          <w:rFonts w:hint="eastAsia" w:ascii="Times New Roman" w:hAnsi="Times New Roman" w:eastAsia="宋体" w:cs="仿宋"/>
          <w:kern w:val="0"/>
          <w:sz w:val="24"/>
          <w:lang w:eastAsia="zh-Hans"/>
        </w:rPr>
        <w:t>栏目进行管理</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可创建新栏目</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对栏目进行排序</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修改配置</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栏目删除等</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包括栏目名称</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栏目标识符</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关联上级栏目</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栏目描述</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相关外部链接</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选择栏目模型</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审核流程</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设置评分及</w:t>
      </w:r>
      <w:r>
        <w:rPr>
          <w:rFonts w:hint="eastAsia" w:ascii="Times New Roman" w:hAnsi="Times New Roman" w:eastAsia="宋体" w:cs="仿宋"/>
          <w:kern w:val="0"/>
          <w:sz w:val="24"/>
          <w:lang w:val="en-US" w:eastAsia="zh-CN"/>
        </w:rPr>
        <w:t>模板</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内容打开方式</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列表排序方式</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是否开放评论等</w:t>
      </w:r>
      <w:r>
        <w:rPr>
          <w:rFonts w:ascii="Times New Roman" w:hAnsi="Times New Roman" w:eastAsia="宋体" w:cs="仿宋"/>
          <w:kern w:val="0"/>
          <w:sz w:val="24"/>
          <w:lang w:eastAsia="zh-Hans"/>
        </w:rPr>
        <w:t>。</w:t>
      </w:r>
    </w:p>
    <w:p w14:paraId="387F5BB2">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模型管理</w:t>
      </w:r>
    </w:p>
    <w:p w14:paraId="48B79EF4">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eastAsia="zh-Hans"/>
        </w:rPr>
        <w:t>模型管理主要包括对文章模型</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图集模型</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视频模型进行管理</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可查看模型名称</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数据表名</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状态</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字段管理</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字段名称</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字段描述</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字段类型</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字段类别</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字段长度</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类型参数</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是否允许为空</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可进行修改</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新增</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删除等操作</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等</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并能对其修改和删除操作</w:t>
      </w:r>
      <w:r>
        <w:rPr>
          <w:rFonts w:ascii="Times New Roman" w:hAnsi="Times New Roman" w:eastAsia="宋体" w:cs="仿宋"/>
          <w:kern w:val="0"/>
          <w:sz w:val="24"/>
          <w:lang w:eastAsia="zh-Hans"/>
        </w:rPr>
        <w:t>。</w:t>
      </w:r>
    </w:p>
    <w:p w14:paraId="21B3A869">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模板管理</w:t>
      </w:r>
    </w:p>
    <w:p w14:paraId="210AC370">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val="en-US" w:eastAsia="zh-CN"/>
        </w:rPr>
        <w:t>模板</w:t>
      </w:r>
      <w:r>
        <w:rPr>
          <w:rFonts w:hint="eastAsia" w:ascii="Times New Roman" w:hAnsi="Times New Roman" w:eastAsia="宋体" w:cs="仿宋"/>
          <w:kern w:val="0"/>
          <w:sz w:val="24"/>
          <w:lang w:eastAsia="zh-Hans"/>
        </w:rPr>
        <w:t>管理主要对页面的风格设计进行前端配置</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需展示相关</w:t>
      </w:r>
      <w:r>
        <w:rPr>
          <w:rFonts w:hint="eastAsia" w:ascii="Times New Roman" w:hAnsi="Times New Roman" w:eastAsia="宋体" w:cs="仿宋"/>
          <w:kern w:val="0"/>
          <w:sz w:val="24"/>
          <w:lang w:val="en-US" w:eastAsia="zh-CN"/>
        </w:rPr>
        <w:t>模板</w:t>
      </w:r>
      <w:r>
        <w:rPr>
          <w:rFonts w:hint="eastAsia" w:ascii="Times New Roman" w:hAnsi="Times New Roman" w:eastAsia="宋体" w:cs="仿宋"/>
          <w:kern w:val="0"/>
          <w:sz w:val="24"/>
          <w:lang w:eastAsia="zh-Hans"/>
        </w:rPr>
        <w:t>名称</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选择终端</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设置代码编辑器等</w:t>
      </w:r>
      <w:r>
        <w:rPr>
          <w:rFonts w:ascii="Times New Roman" w:hAnsi="Times New Roman" w:eastAsia="宋体" w:cs="仿宋"/>
          <w:kern w:val="0"/>
          <w:sz w:val="24"/>
          <w:lang w:eastAsia="zh-Hans"/>
        </w:rPr>
        <w:t>。</w:t>
      </w:r>
    </w:p>
    <w:p w14:paraId="2ABFC241">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eastAsia="zh-Hans"/>
        </w:rPr>
        <w:t>通过此模块可以对</w:t>
      </w:r>
      <w:r>
        <w:rPr>
          <w:rFonts w:hint="eastAsia" w:ascii="Times New Roman" w:hAnsi="Times New Roman" w:eastAsia="宋体" w:cs="仿宋"/>
          <w:kern w:val="0"/>
          <w:sz w:val="24"/>
        </w:rPr>
        <w:t>政协书院</w:t>
      </w:r>
      <w:r>
        <w:rPr>
          <w:rFonts w:hint="eastAsia" w:ascii="Times New Roman" w:hAnsi="Times New Roman" w:eastAsia="宋体" w:cs="仿宋"/>
          <w:kern w:val="0"/>
          <w:sz w:val="24"/>
          <w:lang w:eastAsia="zh-Hans"/>
        </w:rPr>
        <w:t>内的不同模型的文章进行在线发布</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需输入标题</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来源</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作者</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文章图片</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文章内容</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上传附件</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外部链接等相关信息</w:t>
      </w:r>
      <w:r>
        <w:rPr>
          <w:rFonts w:ascii="Times New Roman" w:hAnsi="Times New Roman" w:eastAsia="宋体" w:cs="仿宋"/>
          <w:kern w:val="0"/>
          <w:sz w:val="24"/>
          <w:lang w:eastAsia="zh-Hans"/>
        </w:rPr>
        <w:t>）。</w:t>
      </w:r>
    </w:p>
    <w:p w14:paraId="003D75FF">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eastAsia="zh-Hans"/>
        </w:rPr>
        <w:t>审核</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通过</w:t>
      </w:r>
      <w:r>
        <w:rPr>
          <w:rFonts w:hint="eastAsia" w:ascii="Times New Roman" w:hAnsi="Times New Roman" w:eastAsia="宋体" w:cs="仿宋"/>
          <w:kern w:val="0"/>
          <w:sz w:val="24"/>
        </w:rPr>
        <w:t>政协书院</w:t>
      </w:r>
      <w:r>
        <w:rPr>
          <w:rFonts w:hint="eastAsia" w:ascii="Times New Roman" w:hAnsi="Times New Roman" w:eastAsia="宋体" w:cs="仿宋"/>
          <w:kern w:val="0"/>
          <w:sz w:val="24"/>
          <w:lang w:eastAsia="zh-Hans"/>
        </w:rPr>
        <w:t>栏目的栏目配置</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选择审核流程</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审核次数</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每个审批节点的审核角色</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新增文章后</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发布需要按配置好的审核流程去审核</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审核成功后才能顺利发布</w:t>
      </w:r>
      <w:r>
        <w:rPr>
          <w:rFonts w:ascii="Times New Roman" w:hAnsi="Times New Roman" w:eastAsia="宋体" w:cs="仿宋"/>
          <w:kern w:val="0"/>
          <w:sz w:val="24"/>
          <w:lang w:eastAsia="zh-Hans"/>
        </w:rPr>
        <w:t>。</w:t>
      </w:r>
    </w:p>
    <w:p w14:paraId="445BD1ED">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eastAsia="zh-Hans"/>
        </w:rPr>
        <w:t>修改</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修改</w:t>
      </w:r>
      <w:r>
        <w:rPr>
          <w:rFonts w:hint="eastAsia" w:ascii="Times New Roman" w:hAnsi="Times New Roman" w:eastAsia="宋体" w:cs="仿宋"/>
          <w:kern w:val="0"/>
          <w:sz w:val="24"/>
        </w:rPr>
        <w:t>政协书院</w:t>
      </w:r>
      <w:r>
        <w:rPr>
          <w:rFonts w:hint="eastAsia" w:ascii="Times New Roman" w:hAnsi="Times New Roman" w:eastAsia="宋体" w:cs="仿宋"/>
          <w:kern w:val="0"/>
          <w:sz w:val="24"/>
          <w:lang w:eastAsia="zh-Hans"/>
        </w:rPr>
        <w:t>的栏目信息或相关文章详情信息</w:t>
      </w:r>
      <w:r>
        <w:rPr>
          <w:rFonts w:ascii="Times New Roman" w:hAnsi="Times New Roman" w:eastAsia="宋体" w:cs="仿宋"/>
          <w:kern w:val="0"/>
          <w:sz w:val="24"/>
          <w:lang w:eastAsia="zh-Hans"/>
        </w:rPr>
        <w:t>。</w:t>
      </w:r>
    </w:p>
    <w:p w14:paraId="04934677">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eastAsia="zh-Hans"/>
        </w:rPr>
        <w:t>删除</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删除</w:t>
      </w:r>
      <w:r>
        <w:rPr>
          <w:rFonts w:hint="eastAsia" w:ascii="Times New Roman" w:hAnsi="Times New Roman" w:eastAsia="宋体" w:cs="仿宋"/>
          <w:kern w:val="0"/>
          <w:sz w:val="24"/>
        </w:rPr>
        <w:t>政协书院</w:t>
      </w:r>
      <w:r>
        <w:rPr>
          <w:rFonts w:hint="eastAsia" w:ascii="Times New Roman" w:hAnsi="Times New Roman" w:eastAsia="宋体" w:cs="仿宋"/>
          <w:kern w:val="0"/>
          <w:sz w:val="24"/>
          <w:lang w:eastAsia="zh-Hans"/>
        </w:rPr>
        <w:t>的栏目或相关文章</w:t>
      </w:r>
      <w:r>
        <w:rPr>
          <w:rFonts w:ascii="Times New Roman" w:hAnsi="Times New Roman" w:eastAsia="宋体" w:cs="仿宋"/>
          <w:kern w:val="0"/>
          <w:sz w:val="24"/>
          <w:lang w:eastAsia="zh-Hans"/>
        </w:rPr>
        <w:t>。</w:t>
      </w:r>
    </w:p>
    <w:p w14:paraId="78E3632D">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eastAsia="zh-Hans"/>
        </w:rPr>
        <w:t>归档</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对该栏目的文章进行归档操作</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归档后不可进行操作</w:t>
      </w:r>
      <w:r>
        <w:rPr>
          <w:rFonts w:ascii="Times New Roman" w:hAnsi="Times New Roman" w:eastAsia="宋体" w:cs="仿宋"/>
          <w:kern w:val="0"/>
          <w:sz w:val="24"/>
          <w:lang w:eastAsia="zh-Hans"/>
        </w:rPr>
        <w:t>。</w:t>
      </w:r>
    </w:p>
    <w:p w14:paraId="7E26FBA1">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权限管理</w:t>
      </w:r>
    </w:p>
    <w:p w14:paraId="38322D76">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eastAsia="zh-Hans"/>
        </w:rPr>
        <w:t>通过栏目权限配置限制可查看该栏目的委员和机关人员</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限制该栏目的审核人员</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归档人员</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相关文章的操作权限</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文章新增</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文章修改</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文章标记</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文章删除</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文章日志等</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实现信息发布严格的权限控制</w:t>
      </w:r>
      <w:r>
        <w:rPr>
          <w:rFonts w:ascii="Times New Roman" w:hAnsi="Times New Roman" w:eastAsia="宋体" w:cs="仿宋"/>
          <w:kern w:val="0"/>
          <w:sz w:val="24"/>
          <w:lang w:eastAsia="zh-Hans"/>
        </w:rPr>
        <w:t>。</w:t>
      </w:r>
    </w:p>
    <w:p w14:paraId="613D5526">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工作信息管理</w:t>
      </w:r>
    </w:p>
    <w:p w14:paraId="3542C28F">
      <w:pPr>
        <w:widowControl/>
        <w:spacing w:line="360" w:lineRule="auto"/>
        <w:ind w:firstLine="496" w:firstLineChars="200"/>
        <w:rPr>
          <w:rFonts w:ascii="仿宋_GB2312" w:hAnsi="仿宋" w:eastAsia="宋体" w:cs="宋体"/>
          <w:bCs/>
          <w:kern w:val="0"/>
          <w:sz w:val="24"/>
          <w:szCs w:val="22"/>
          <w:lang w:eastAsia="zh-Hans"/>
        </w:rPr>
      </w:pPr>
      <w:r>
        <w:rPr>
          <w:rFonts w:hint="eastAsia" w:ascii="仿宋_GB2312" w:hAnsi="仿宋" w:eastAsia="宋体" w:cs="宋体"/>
          <w:bCs/>
          <w:kern w:val="0"/>
          <w:sz w:val="24"/>
          <w:szCs w:val="22"/>
          <w:lang w:eastAsia="zh-Hans"/>
        </w:rPr>
        <w:t>可在本模块发布工作信息内容</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主要包括通知内容</w:t>
      </w:r>
      <w:r>
        <w:rPr>
          <w:rFonts w:hint="eastAsia" w:ascii="仿宋_GB2312" w:hAnsi="仿宋" w:eastAsia="宋体" w:cs="宋体"/>
          <w:bCs/>
          <w:kern w:val="0"/>
          <w:sz w:val="24"/>
          <w:szCs w:val="22"/>
          <w:lang w:eastAsia="zh-CN"/>
        </w:rPr>
        <w:t>、</w:t>
      </w:r>
      <w:r>
        <w:rPr>
          <w:rFonts w:hint="eastAsia" w:ascii="仿宋_GB2312" w:hAnsi="仿宋" w:eastAsia="宋体" w:cs="宋体"/>
          <w:bCs/>
          <w:kern w:val="0"/>
          <w:sz w:val="24"/>
          <w:szCs w:val="22"/>
          <w:lang w:eastAsia="zh-Hans"/>
        </w:rPr>
        <w:t>学习计划</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读书总结文件等信息</w:t>
      </w:r>
      <w:r>
        <w:rPr>
          <w:rFonts w:ascii="仿宋_GB2312" w:hAnsi="仿宋" w:eastAsia="宋体" w:cs="宋体"/>
          <w:bCs/>
          <w:kern w:val="0"/>
          <w:sz w:val="24"/>
          <w:szCs w:val="22"/>
          <w:lang w:eastAsia="zh-Hans"/>
        </w:rPr>
        <w:t>。</w:t>
      </w:r>
    </w:p>
    <w:p w14:paraId="77E67484">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习近平新时代中国特色社会主义思想学习座谈会专栏</w:t>
      </w:r>
    </w:p>
    <w:p w14:paraId="4ADDF046">
      <w:pPr>
        <w:widowControl/>
        <w:spacing w:line="360" w:lineRule="auto"/>
        <w:ind w:firstLine="496" w:firstLineChars="200"/>
        <w:rPr>
          <w:rFonts w:ascii="仿宋_GB2312" w:hAnsi="仿宋" w:eastAsia="宋体" w:cs="宋体"/>
          <w:bCs/>
          <w:kern w:val="0"/>
          <w:sz w:val="24"/>
          <w:szCs w:val="22"/>
          <w:lang w:eastAsia="zh-Hans"/>
        </w:rPr>
      </w:pPr>
      <w:r>
        <w:rPr>
          <w:rFonts w:hint="eastAsia" w:ascii="仿宋_GB2312" w:hAnsi="仿宋" w:eastAsia="宋体" w:cs="宋体"/>
          <w:bCs/>
          <w:kern w:val="0"/>
          <w:sz w:val="24"/>
          <w:szCs w:val="22"/>
          <w:lang w:eastAsia="zh-Hans"/>
        </w:rPr>
        <w:t>可在本模块管理发布习近平相关的工作专栏情况</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包括制度计划</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学习交流</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重点发言内容等</w:t>
      </w:r>
      <w:r>
        <w:rPr>
          <w:rFonts w:ascii="仿宋_GB2312" w:hAnsi="仿宋" w:eastAsia="宋体" w:cs="宋体"/>
          <w:bCs/>
          <w:kern w:val="0"/>
          <w:sz w:val="24"/>
          <w:szCs w:val="22"/>
          <w:lang w:eastAsia="zh-Hans"/>
        </w:rPr>
        <w:t>。</w:t>
      </w:r>
    </w:p>
    <w:p w14:paraId="7AA36477">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文化大讲堂管理</w:t>
      </w:r>
    </w:p>
    <w:p w14:paraId="55BA08C3">
      <w:pPr>
        <w:widowControl/>
        <w:spacing w:line="360" w:lineRule="auto"/>
        <w:ind w:firstLine="496" w:firstLineChars="200"/>
        <w:rPr>
          <w:rFonts w:ascii="仿宋_GB2312" w:hAnsi="仿宋" w:eastAsia="宋体" w:cs="宋体"/>
          <w:bCs/>
          <w:kern w:val="0"/>
          <w:sz w:val="24"/>
          <w:szCs w:val="22"/>
          <w:lang w:eastAsia="zh-Hans"/>
        </w:rPr>
      </w:pPr>
      <w:r>
        <w:rPr>
          <w:rFonts w:hint="eastAsia" w:ascii="仿宋_GB2312" w:hAnsi="仿宋" w:eastAsia="宋体" w:cs="宋体"/>
          <w:bCs/>
          <w:kern w:val="0"/>
          <w:sz w:val="24"/>
          <w:szCs w:val="22"/>
          <w:lang w:eastAsia="zh-Hans"/>
        </w:rPr>
        <w:t>通过栏目管理</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模型管理</w:t>
      </w:r>
      <w:r>
        <w:rPr>
          <w:rFonts w:ascii="仿宋_GB2312" w:hAnsi="仿宋" w:eastAsia="宋体" w:cs="宋体"/>
          <w:bCs/>
          <w:kern w:val="0"/>
          <w:sz w:val="24"/>
          <w:szCs w:val="22"/>
          <w:lang w:eastAsia="zh-Hans"/>
        </w:rPr>
        <w:t>、</w:t>
      </w:r>
      <w:r>
        <w:rPr>
          <w:rFonts w:hint="eastAsia" w:ascii="Times New Roman" w:hAnsi="Times New Roman" w:eastAsia="宋体" w:cs="仿宋"/>
          <w:kern w:val="0"/>
          <w:sz w:val="24"/>
          <w:lang w:val="en-US" w:eastAsia="zh-CN"/>
        </w:rPr>
        <w:t>模板</w:t>
      </w:r>
      <w:r>
        <w:rPr>
          <w:rFonts w:hint="eastAsia" w:ascii="仿宋_GB2312" w:hAnsi="仿宋" w:eastAsia="宋体" w:cs="宋体"/>
          <w:bCs/>
          <w:kern w:val="0"/>
          <w:sz w:val="24"/>
          <w:szCs w:val="22"/>
          <w:lang w:eastAsia="zh-Hans"/>
        </w:rPr>
        <w:t>管理配置文化大讲堂栏目</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可在本模块加载文化大讲堂文件</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视频等资料供委员查看</w:t>
      </w:r>
      <w:r>
        <w:rPr>
          <w:rFonts w:ascii="仿宋_GB2312" w:hAnsi="仿宋" w:eastAsia="宋体" w:cs="宋体"/>
          <w:bCs/>
          <w:kern w:val="0"/>
          <w:sz w:val="24"/>
          <w:szCs w:val="22"/>
          <w:lang w:eastAsia="zh-Hans"/>
        </w:rPr>
        <w:t>。</w:t>
      </w:r>
    </w:p>
    <w:p w14:paraId="085DBBEA">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委员报告会管理</w:t>
      </w:r>
    </w:p>
    <w:p w14:paraId="7C84F507">
      <w:pPr>
        <w:widowControl/>
        <w:spacing w:line="360" w:lineRule="auto"/>
        <w:ind w:firstLine="496" w:firstLineChars="200"/>
        <w:rPr>
          <w:rFonts w:ascii="仿宋_GB2312" w:hAnsi="仿宋" w:eastAsia="宋体" w:cs="宋体"/>
          <w:bCs/>
          <w:kern w:val="0"/>
          <w:sz w:val="24"/>
          <w:szCs w:val="22"/>
          <w:lang w:eastAsia="zh-Hans"/>
        </w:rPr>
      </w:pPr>
      <w:r>
        <w:rPr>
          <w:rFonts w:hint="eastAsia" w:ascii="仿宋_GB2312" w:hAnsi="仿宋" w:eastAsia="宋体" w:cs="宋体"/>
          <w:bCs/>
          <w:kern w:val="0"/>
          <w:sz w:val="24"/>
          <w:szCs w:val="22"/>
          <w:lang w:eastAsia="zh-Hans"/>
        </w:rPr>
        <w:t>通过栏目管理</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模型管理</w:t>
      </w:r>
      <w:r>
        <w:rPr>
          <w:rFonts w:ascii="仿宋_GB2312" w:hAnsi="仿宋" w:eastAsia="宋体" w:cs="宋体"/>
          <w:bCs/>
          <w:kern w:val="0"/>
          <w:sz w:val="24"/>
          <w:szCs w:val="22"/>
          <w:lang w:eastAsia="zh-Hans"/>
        </w:rPr>
        <w:t>、</w:t>
      </w:r>
      <w:r>
        <w:rPr>
          <w:rFonts w:hint="eastAsia" w:ascii="Times New Roman" w:hAnsi="Times New Roman" w:eastAsia="宋体" w:cs="仿宋"/>
          <w:kern w:val="0"/>
          <w:sz w:val="24"/>
          <w:lang w:val="en-US" w:eastAsia="zh-CN"/>
        </w:rPr>
        <w:t>模板</w:t>
      </w:r>
      <w:r>
        <w:rPr>
          <w:rFonts w:hint="eastAsia" w:ascii="仿宋_GB2312" w:hAnsi="仿宋" w:eastAsia="宋体" w:cs="宋体"/>
          <w:bCs/>
          <w:kern w:val="0"/>
          <w:sz w:val="24"/>
          <w:szCs w:val="22"/>
          <w:lang w:eastAsia="zh-Hans"/>
        </w:rPr>
        <w:t>管理配置委员报告会栏目</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可在本模块加载委员报告会文件</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视频等资料供委员查看</w:t>
      </w:r>
      <w:r>
        <w:rPr>
          <w:rFonts w:ascii="仿宋_GB2312" w:hAnsi="仿宋" w:eastAsia="宋体" w:cs="宋体"/>
          <w:bCs/>
          <w:kern w:val="0"/>
          <w:sz w:val="24"/>
          <w:szCs w:val="22"/>
          <w:lang w:eastAsia="zh-Hans"/>
        </w:rPr>
        <w:t>。</w:t>
      </w:r>
    </w:p>
    <w:p w14:paraId="530BE0D5">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政协书库管理</w:t>
      </w:r>
    </w:p>
    <w:p w14:paraId="5C303C8C">
      <w:pPr>
        <w:widowControl/>
        <w:spacing w:line="360" w:lineRule="auto"/>
        <w:ind w:firstLine="496" w:firstLineChars="200"/>
        <w:rPr>
          <w:rFonts w:ascii="Times New Roman" w:hAnsi="Times New Roman" w:eastAsia="宋体" w:cs="仿宋"/>
          <w:kern w:val="0"/>
          <w:sz w:val="24"/>
          <w:lang w:eastAsia="zh-Hans"/>
        </w:rPr>
      </w:pPr>
      <w:r>
        <w:rPr>
          <w:rFonts w:hint="eastAsia" w:ascii="仿宋_GB2312" w:hAnsi="仿宋" w:eastAsia="宋体" w:cs="宋体"/>
          <w:bCs/>
          <w:kern w:val="0"/>
          <w:sz w:val="24"/>
          <w:szCs w:val="22"/>
          <w:lang w:eastAsia="zh-Hans"/>
        </w:rPr>
        <w:t>通过栏目管理</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模型管理</w:t>
      </w:r>
      <w:r>
        <w:rPr>
          <w:rFonts w:ascii="仿宋_GB2312" w:hAnsi="仿宋" w:eastAsia="宋体" w:cs="宋体"/>
          <w:bCs/>
          <w:kern w:val="0"/>
          <w:sz w:val="24"/>
          <w:szCs w:val="22"/>
          <w:lang w:eastAsia="zh-Hans"/>
        </w:rPr>
        <w:t>、</w:t>
      </w:r>
      <w:r>
        <w:rPr>
          <w:rFonts w:hint="eastAsia" w:ascii="Times New Roman" w:hAnsi="Times New Roman" w:eastAsia="宋体" w:cs="仿宋"/>
          <w:kern w:val="0"/>
          <w:sz w:val="24"/>
          <w:lang w:val="en-US" w:eastAsia="zh-CN"/>
        </w:rPr>
        <w:t>模板</w:t>
      </w:r>
      <w:r>
        <w:rPr>
          <w:rFonts w:hint="eastAsia" w:ascii="仿宋_GB2312" w:hAnsi="仿宋" w:eastAsia="宋体" w:cs="宋体"/>
          <w:bCs/>
          <w:kern w:val="0"/>
          <w:sz w:val="24"/>
          <w:szCs w:val="22"/>
          <w:lang w:eastAsia="zh-Hans"/>
        </w:rPr>
        <w:t>管理配置政协书库栏目</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可在本模块推荐多种类型的书籍</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视频等</w:t>
      </w:r>
      <w:r>
        <w:rPr>
          <w:rFonts w:ascii="仿宋_GB2312" w:hAnsi="仿宋" w:eastAsia="宋体" w:cs="宋体"/>
          <w:bCs/>
          <w:kern w:val="0"/>
          <w:sz w:val="24"/>
          <w:szCs w:val="22"/>
          <w:lang w:eastAsia="zh-Hans"/>
        </w:rPr>
        <w:t>。</w:t>
      </w:r>
    </w:p>
    <w:p w14:paraId="5022EAA6">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委员学习交流群管理</w:t>
      </w:r>
    </w:p>
    <w:p w14:paraId="27311D29">
      <w:pPr>
        <w:widowControl/>
        <w:spacing w:line="360" w:lineRule="auto"/>
        <w:ind w:firstLine="496" w:firstLineChars="200"/>
        <w:rPr>
          <w:rFonts w:ascii="Times New Roman" w:hAnsi="Times New Roman" w:eastAsia="宋体" w:cs="宋体"/>
          <w:kern w:val="0"/>
          <w:sz w:val="24"/>
        </w:rPr>
      </w:pPr>
      <w:r>
        <w:rPr>
          <w:rFonts w:hint="eastAsia" w:ascii="仿宋_GB2312" w:hAnsi="仿宋" w:eastAsia="宋体" w:cs="宋体"/>
          <w:bCs/>
          <w:kern w:val="0"/>
          <w:sz w:val="24"/>
          <w:szCs w:val="22"/>
          <w:lang w:eastAsia="zh-Hans"/>
        </w:rPr>
        <w:t>可在本模块创建各个专委会的委员交流群</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录入群名称</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选择参与人员</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设置群聊的起止时间</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可针对发言情况进行统计查看</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支持对群聊的修改删除功能</w:t>
      </w:r>
      <w:r>
        <w:rPr>
          <w:rFonts w:ascii="仿宋_GB2312" w:hAnsi="仿宋" w:eastAsia="宋体" w:cs="宋体"/>
          <w:bCs/>
          <w:kern w:val="0"/>
          <w:sz w:val="24"/>
          <w:szCs w:val="22"/>
          <w:lang w:eastAsia="zh-Hans"/>
        </w:rPr>
        <w:t>。</w:t>
      </w:r>
    </w:p>
    <w:p w14:paraId="309BD6B5">
      <w:pPr>
        <w:keepNext w:val="0"/>
        <w:keepLines w:val="0"/>
        <w:pageBreakBefore w:val="0"/>
        <w:widowControl/>
        <w:numPr>
          <w:ilvl w:val="0"/>
          <w:numId w:val="6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我的政协书院</w:t>
      </w:r>
    </w:p>
    <w:p w14:paraId="6F9847CA">
      <w:pPr>
        <w:widowControl/>
        <w:spacing w:line="360" w:lineRule="auto"/>
        <w:ind w:firstLine="496" w:firstLineChars="200"/>
        <w:rPr>
          <w:rFonts w:ascii="Times New Roman" w:hAnsi="Times New Roman" w:eastAsia="宋体" w:cs="仿宋"/>
          <w:kern w:val="0"/>
          <w:sz w:val="24"/>
          <w:lang w:eastAsia="zh-Hans"/>
        </w:rPr>
      </w:pPr>
      <w:r>
        <w:rPr>
          <w:rFonts w:hint="eastAsia" w:ascii="Times New Roman" w:hAnsi="Times New Roman" w:eastAsia="宋体" w:cs="仿宋"/>
          <w:kern w:val="0"/>
          <w:sz w:val="24"/>
          <w:lang w:eastAsia="zh-Hans"/>
        </w:rPr>
        <w:t>委员可在本模块查看工作信息内容</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文化大讲堂视频及文件</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委员报告会内容及视频</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查看政协书库内容</w:t>
      </w:r>
      <w:r>
        <w:rPr>
          <w:rFonts w:ascii="Times New Roman" w:hAnsi="Times New Roman" w:eastAsia="宋体" w:cs="仿宋"/>
          <w:kern w:val="0"/>
          <w:sz w:val="24"/>
          <w:lang w:eastAsia="zh-Hans"/>
        </w:rPr>
        <w:t>、</w:t>
      </w:r>
      <w:r>
        <w:rPr>
          <w:rFonts w:hint="eastAsia" w:ascii="Times New Roman" w:hAnsi="Times New Roman" w:eastAsia="宋体" w:cs="仿宋"/>
          <w:kern w:val="0"/>
          <w:sz w:val="24"/>
          <w:lang w:eastAsia="zh-Hans"/>
        </w:rPr>
        <w:t>参与委员学习交流群等</w:t>
      </w:r>
      <w:r>
        <w:rPr>
          <w:rFonts w:ascii="Times New Roman" w:hAnsi="Times New Roman" w:eastAsia="宋体" w:cs="仿宋"/>
          <w:kern w:val="0"/>
          <w:sz w:val="24"/>
          <w:lang w:eastAsia="zh-Hans"/>
        </w:rPr>
        <w:t>。</w:t>
      </w:r>
    </w:p>
    <w:p w14:paraId="747E170A">
      <w:pPr>
        <w:bidi w:val="0"/>
        <w:rPr>
          <w:rFonts w:hint="eastAsia"/>
          <w:kern w:val="0"/>
        </w:rPr>
      </w:pPr>
      <w:r>
        <w:rPr>
          <w:rFonts w:hint="eastAsia" w:ascii="宋体" w:hAnsi="宋体" w:eastAsia="宋体" w:cs="宋体"/>
          <w:kern w:val="0"/>
          <w:sz w:val="24"/>
          <w:szCs w:val="24"/>
          <w:lang w:val="en-US" w:eastAsia="zh-CN" w:bidi="ar-SA"/>
        </w:rPr>
        <w:t>4.2.6.2.2</w:t>
      </w:r>
      <w:r>
        <w:rPr>
          <w:rFonts w:hint="eastAsia"/>
          <w:kern w:val="0"/>
        </w:rPr>
        <w:t>政协书院移动端功能</w:t>
      </w:r>
    </w:p>
    <w:p w14:paraId="6AE41E76">
      <w:pPr>
        <w:keepNext w:val="0"/>
        <w:keepLines w:val="0"/>
        <w:pageBreakBefore w:val="0"/>
        <w:widowControl/>
        <w:numPr>
          <w:ilvl w:val="0"/>
          <w:numId w:val="6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工作信息</w:t>
      </w:r>
    </w:p>
    <w:p w14:paraId="500564F8">
      <w:pPr>
        <w:widowControl/>
        <w:spacing w:line="360" w:lineRule="auto"/>
        <w:ind w:firstLine="496" w:firstLineChars="200"/>
        <w:rPr>
          <w:rFonts w:hint="eastAsia" w:ascii="Times New Roman" w:hAnsi="Times New Roman" w:eastAsia="宋体" w:cs="仿宋"/>
          <w:kern w:val="0"/>
          <w:sz w:val="24"/>
          <w:lang w:eastAsia="zh-Hans"/>
        </w:rPr>
      </w:pPr>
      <w:r>
        <w:rPr>
          <w:rFonts w:hint="eastAsia" w:ascii="Times New Roman" w:hAnsi="Times New Roman" w:eastAsia="宋体" w:cs="仿宋"/>
          <w:kern w:val="0"/>
          <w:sz w:val="24"/>
          <w:lang w:eastAsia="zh-Hans"/>
        </w:rPr>
        <w:t>为各级委员提供相对应的读书计划、读书安排、读书总结及开群计划等通知，设立工作信息模块。该功能主要展示相关通告标题，发布时间，通告详情、电子书籍内容等。</w:t>
      </w:r>
    </w:p>
    <w:p w14:paraId="2EB3E51D">
      <w:pPr>
        <w:keepNext w:val="0"/>
        <w:keepLines w:val="0"/>
        <w:pageBreakBefore w:val="0"/>
        <w:widowControl/>
        <w:numPr>
          <w:ilvl w:val="0"/>
          <w:numId w:val="6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习近平新时代中国特色社会主义思想学习座谈会专栏</w:t>
      </w:r>
    </w:p>
    <w:p w14:paraId="5B06D50E">
      <w:pPr>
        <w:widowControl/>
        <w:spacing w:line="360" w:lineRule="auto"/>
        <w:ind w:firstLine="496" w:firstLineChars="200"/>
        <w:rPr>
          <w:rFonts w:hint="eastAsia" w:ascii="Times New Roman" w:hAnsi="Times New Roman" w:eastAsia="宋体" w:cs="仿宋"/>
          <w:kern w:val="0"/>
          <w:sz w:val="24"/>
          <w:lang w:eastAsia="zh-Hans"/>
        </w:rPr>
      </w:pPr>
      <w:r>
        <w:rPr>
          <w:rFonts w:hint="eastAsia" w:ascii="Times New Roman" w:hAnsi="Times New Roman" w:eastAsia="宋体" w:cs="仿宋"/>
          <w:kern w:val="0"/>
          <w:sz w:val="24"/>
          <w:lang w:eastAsia="zh-Hans"/>
        </w:rPr>
        <w:t>可在本模块查看习近平相关的工作专栏情况，包括制度计划、学习交流、重点发言内容等。</w:t>
      </w:r>
    </w:p>
    <w:p w14:paraId="50E3E7D0">
      <w:pPr>
        <w:keepNext w:val="0"/>
        <w:keepLines w:val="0"/>
        <w:pageBreakBefore w:val="0"/>
        <w:widowControl/>
        <w:numPr>
          <w:ilvl w:val="0"/>
          <w:numId w:val="6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文化大讲堂</w:t>
      </w:r>
    </w:p>
    <w:p w14:paraId="50A21B36">
      <w:pPr>
        <w:widowControl/>
        <w:spacing w:line="360" w:lineRule="auto"/>
        <w:ind w:firstLine="496" w:firstLineChars="200"/>
        <w:rPr>
          <w:rFonts w:ascii="仿宋_GB2312" w:hAnsi="仿宋" w:eastAsia="宋体" w:cs="宋体"/>
          <w:bCs/>
          <w:kern w:val="0"/>
          <w:sz w:val="24"/>
          <w:szCs w:val="22"/>
          <w:lang w:eastAsia="zh-Hans"/>
        </w:rPr>
      </w:pPr>
      <w:r>
        <w:rPr>
          <w:rFonts w:hint="eastAsia" w:ascii="仿宋_GB2312" w:hAnsi="仿宋" w:eastAsia="宋体" w:cs="宋体"/>
          <w:bCs/>
          <w:kern w:val="0"/>
          <w:sz w:val="24"/>
          <w:szCs w:val="22"/>
          <w:lang w:eastAsia="zh-Hans"/>
        </w:rPr>
        <w:t>委员可在本模块查看文化大讲堂的文件和视频内容</w:t>
      </w:r>
      <w:r>
        <w:rPr>
          <w:rFonts w:ascii="仿宋_GB2312" w:hAnsi="仿宋" w:eastAsia="宋体" w:cs="宋体"/>
          <w:bCs/>
          <w:kern w:val="0"/>
          <w:sz w:val="24"/>
          <w:szCs w:val="22"/>
          <w:lang w:eastAsia="zh-Hans"/>
        </w:rPr>
        <w:t>。</w:t>
      </w:r>
    </w:p>
    <w:p w14:paraId="68FCAA78">
      <w:pPr>
        <w:keepNext w:val="0"/>
        <w:keepLines w:val="0"/>
        <w:pageBreakBefore w:val="0"/>
        <w:widowControl/>
        <w:numPr>
          <w:ilvl w:val="0"/>
          <w:numId w:val="6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委员报告会</w:t>
      </w:r>
    </w:p>
    <w:p w14:paraId="0DD65F3A">
      <w:pPr>
        <w:widowControl/>
        <w:spacing w:line="360" w:lineRule="auto"/>
        <w:ind w:firstLine="496" w:firstLineChars="200"/>
        <w:rPr>
          <w:rFonts w:ascii="仿宋_GB2312" w:hAnsi="仿宋" w:eastAsia="宋体" w:cs="宋体"/>
          <w:bCs/>
          <w:kern w:val="0"/>
          <w:sz w:val="24"/>
          <w:szCs w:val="22"/>
          <w:lang w:eastAsia="zh-Hans"/>
        </w:rPr>
      </w:pPr>
      <w:r>
        <w:rPr>
          <w:rFonts w:hint="eastAsia" w:ascii="仿宋_GB2312" w:hAnsi="仿宋" w:eastAsia="宋体" w:cs="宋体"/>
          <w:bCs/>
          <w:kern w:val="0"/>
          <w:sz w:val="24"/>
          <w:szCs w:val="22"/>
          <w:lang w:eastAsia="zh-Hans"/>
        </w:rPr>
        <w:t>委员可在本模块查看委员报告会的文件和视频内容</w:t>
      </w:r>
      <w:r>
        <w:rPr>
          <w:rFonts w:ascii="仿宋_GB2312" w:hAnsi="仿宋" w:eastAsia="宋体" w:cs="宋体"/>
          <w:bCs/>
          <w:kern w:val="0"/>
          <w:sz w:val="24"/>
          <w:szCs w:val="22"/>
          <w:lang w:eastAsia="zh-Hans"/>
        </w:rPr>
        <w:t>。</w:t>
      </w:r>
    </w:p>
    <w:p w14:paraId="6FCF0DFB">
      <w:pPr>
        <w:keepNext w:val="0"/>
        <w:keepLines w:val="0"/>
        <w:pageBreakBefore w:val="0"/>
        <w:widowControl/>
        <w:numPr>
          <w:ilvl w:val="0"/>
          <w:numId w:val="6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政协书库</w:t>
      </w:r>
    </w:p>
    <w:p w14:paraId="760B56BC">
      <w:pPr>
        <w:widowControl/>
        <w:spacing w:line="360" w:lineRule="auto"/>
        <w:ind w:firstLine="496" w:firstLineChars="200"/>
        <w:rPr>
          <w:rFonts w:ascii="Times New Roman" w:hAnsi="Times New Roman" w:eastAsia="宋体" w:cs="仿宋"/>
          <w:kern w:val="0"/>
          <w:sz w:val="24"/>
          <w:lang w:eastAsia="zh-Hans"/>
        </w:rPr>
      </w:pPr>
      <w:r>
        <w:rPr>
          <w:rFonts w:hint="eastAsia" w:ascii="仿宋_GB2312" w:hAnsi="仿宋" w:eastAsia="宋体" w:cs="宋体"/>
          <w:bCs/>
          <w:kern w:val="0"/>
          <w:sz w:val="24"/>
          <w:szCs w:val="22"/>
          <w:lang w:eastAsia="zh-Hans"/>
        </w:rPr>
        <w:t>委员可在本模块查看政协书库推荐的书籍</w:t>
      </w:r>
      <w:r>
        <w:rPr>
          <w:rFonts w:ascii="仿宋_GB2312" w:hAnsi="仿宋" w:eastAsia="宋体" w:cs="宋体"/>
          <w:bCs/>
          <w:kern w:val="0"/>
          <w:sz w:val="24"/>
          <w:szCs w:val="22"/>
          <w:lang w:eastAsia="zh-Hans"/>
        </w:rPr>
        <w:t>、</w:t>
      </w:r>
      <w:r>
        <w:rPr>
          <w:rFonts w:hint="eastAsia" w:ascii="仿宋_GB2312" w:hAnsi="仿宋" w:eastAsia="宋体" w:cs="宋体"/>
          <w:bCs/>
          <w:kern w:val="0"/>
          <w:sz w:val="24"/>
          <w:szCs w:val="22"/>
          <w:lang w:eastAsia="zh-Hans"/>
        </w:rPr>
        <w:t>学习视频</w:t>
      </w:r>
      <w:r>
        <w:rPr>
          <w:rFonts w:ascii="仿宋_GB2312" w:hAnsi="仿宋" w:eastAsia="宋体" w:cs="宋体"/>
          <w:bCs/>
          <w:kern w:val="0"/>
          <w:sz w:val="24"/>
          <w:szCs w:val="22"/>
          <w:lang w:eastAsia="zh-Hans"/>
        </w:rPr>
        <w:t>。</w:t>
      </w:r>
    </w:p>
    <w:p w14:paraId="745D2C9B">
      <w:pPr>
        <w:keepNext w:val="0"/>
        <w:keepLines w:val="0"/>
        <w:pageBreakBefore w:val="0"/>
        <w:widowControl/>
        <w:numPr>
          <w:ilvl w:val="0"/>
          <w:numId w:val="6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委员学习交流群</w:t>
      </w:r>
    </w:p>
    <w:p w14:paraId="38A938DE">
      <w:pPr>
        <w:widowControl/>
        <w:spacing w:line="360" w:lineRule="auto"/>
        <w:ind w:firstLine="496" w:firstLineChars="200"/>
        <w:rPr>
          <w:rFonts w:hint="eastAsia" w:ascii="Times New Roman" w:hAnsi="Times New Roman" w:eastAsia="宋体" w:cs="仿宋"/>
          <w:kern w:val="0"/>
          <w:sz w:val="24"/>
          <w:lang w:eastAsia="zh-Hans"/>
        </w:rPr>
      </w:pPr>
      <w:r>
        <w:rPr>
          <w:rFonts w:hint="eastAsia" w:ascii="Times New Roman" w:hAnsi="Times New Roman" w:eastAsia="宋体" w:cs="仿宋"/>
          <w:kern w:val="0"/>
          <w:sz w:val="24"/>
          <w:lang w:eastAsia="zh-Hans"/>
        </w:rPr>
        <w:t>面向全市政协委员和机关人员，日常设置专委会学习交流群。</w:t>
      </w:r>
    </w:p>
    <w:p w14:paraId="17A22A7A">
      <w:pPr>
        <w:widowControl/>
        <w:spacing w:line="360" w:lineRule="auto"/>
        <w:ind w:firstLine="496" w:firstLineChars="200"/>
        <w:rPr>
          <w:rFonts w:hint="eastAsia" w:ascii="Times New Roman" w:hAnsi="Times New Roman" w:eastAsia="宋体" w:cs="仿宋"/>
          <w:kern w:val="0"/>
          <w:sz w:val="24"/>
          <w:lang w:eastAsia="zh-Hans"/>
        </w:rPr>
      </w:pPr>
      <w:r>
        <w:rPr>
          <w:rFonts w:hint="eastAsia" w:ascii="Times New Roman" w:hAnsi="Times New Roman" w:eastAsia="宋体" w:cs="仿宋"/>
          <w:kern w:val="0"/>
          <w:sz w:val="24"/>
          <w:lang w:eastAsia="zh-Hans"/>
        </w:rPr>
        <w:t>发起学习交流群后，在群中可进行发言交流、上传视频、上传照片等操作，同时可对发言进行点赞、收藏、撤回、回复等操作，管理员也可对发言进行置顶操作，方便相关委员在群内有序进行交流学习。</w:t>
      </w:r>
    </w:p>
    <w:p w14:paraId="613BAF1F">
      <w:pPr>
        <w:pStyle w:val="6"/>
        <w:numPr>
          <w:ilvl w:val="4"/>
          <w:numId w:val="0"/>
        </w:numPr>
        <w:bidi w:val="0"/>
        <w:ind w:leftChars="0"/>
        <w:rPr>
          <w:lang w:val="en-US" w:eastAsia="zh-CN"/>
        </w:rPr>
      </w:pPr>
      <w:bookmarkStart w:id="123" w:name="_Toc161418621"/>
      <w:bookmarkStart w:id="124" w:name="_Toc17417"/>
      <w:bookmarkStart w:id="125" w:name="_Toc3984"/>
      <w:bookmarkStart w:id="126" w:name="_Toc4501"/>
      <w:r>
        <w:rPr>
          <w:rFonts w:hint="eastAsia" w:ascii="黑体" w:hAnsi="黑体" w:eastAsia="黑体" w:cstheme="minorBidi"/>
          <w:kern w:val="2"/>
          <w:sz w:val="28"/>
          <w:szCs w:val="24"/>
          <w:lang w:val="en-US" w:eastAsia="zh-CN" w:bidi="ar-SA"/>
        </w:rPr>
        <w:t>4.2.7</w:t>
      </w:r>
      <w:r>
        <w:rPr>
          <w:rFonts w:hint="eastAsia"/>
          <w:lang w:val="en-US" w:eastAsia="zh-CN"/>
        </w:rPr>
        <w:t>数智管理</w:t>
      </w:r>
      <w:bookmarkEnd w:id="123"/>
      <w:bookmarkEnd w:id="124"/>
      <w:bookmarkEnd w:id="125"/>
      <w:r>
        <w:rPr>
          <w:rFonts w:hint="eastAsia"/>
          <w:lang w:val="en-US" w:eastAsia="zh-CN"/>
        </w:rPr>
        <w:t>平台</w:t>
      </w:r>
      <w:bookmarkEnd w:id="126"/>
    </w:p>
    <w:p w14:paraId="181B36D9">
      <w:pPr>
        <w:widowControl/>
        <w:spacing w:line="360" w:lineRule="auto"/>
        <w:ind w:firstLine="496" w:firstLineChars="200"/>
        <w:rPr>
          <w:rFonts w:hint="eastAsia" w:ascii="Times New Roman" w:hAnsi="Times New Roman" w:eastAsia="宋体" w:cs="仿宋"/>
          <w:kern w:val="0"/>
          <w:sz w:val="24"/>
          <w:lang w:eastAsia="zh-Hans"/>
        </w:rPr>
      </w:pPr>
      <w:r>
        <w:rPr>
          <w:rFonts w:hint="eastAsia" w:ascii="Times New Roman" w:hAnsi="Times New Roman" w:eastAsia="宋体" w:cs="仿宋"/>
          <w:kern w:val="0"/>
          <w:sz w:val="24"/>
          <w:lang w:eastAsia="zh-Hans"/>
        </w:rPr>
        <w:t>通过可视化图表和数据动态分析，多方位、多角度、全景化即时汇集、直观感知、集中展示各方面动态信息，突出核心业务和关键实时数据。具体包括：</w:t>
      </w:r>
    </w:p>
    <w:p w14:paraId="0CF015DD">
      <w:pPr>
        <w:bidi w:val="0"/>
        <w:rPr>
          <w:rFonts w:hint="eastAsia"/>
          <w:lang w:val="en-US" w:eastAsia="zh-CN"/>
        </w:rPr>
      </w:pPr>
      <w:r>
        <w:rPr>
          <w:rFonts w:hint="eastAsia" w:ascii="宋体" w:hAnsi="宋体" w:eastAsia="宋体" w:cstheme="minorBidi"/>
          <w:b/>
          <w:kern w:val="2"/>
          <w:sz w:val="24"/>
          <w:szCs w:val="24"/>
          <w:lang w:val="en-US" w:eastAsia="zh-CN" w:bidi="ar-SA"/>
        </w:rPr>
        <w:t>4.2.7.1</w:t>
      </w:r>
      <w:r>
        <w:rPr>
          <w:rFonts w:hint="eastAsia"/>
          <w:lang w:val="en-US" w:eastAsia="zh-CN"/>
        </w:rPr>
        <w:t>数智管理展现</w:t>
      </w:r>
    </w:p>
    <w:p w14:paraId="5183A7CE">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开发设计市政协履职</w:t>
      </w:r>
      <w:r>
        <w:rPr>
          <w:rFonts w:ascii="Times New Roman" w:hAnsi="Times New Roman" w:eastAsia="宋体" w:cs="宋体"/>
          <w:kern w:val="0"/>
          <w:sz w:val="24"/>
        </w:rPr>
        <w:t>全景视图，</w:t>
      </w:r>
      <w:r>
        <w:rPr>
          <w:rFonts w:hint="eastAsia" w:ascii="Times New Roman" w:hAnsi="Times New Roman" w:eastAsia="宋体" w:cs="宋体"/>
          <w:kern w:val="0"/>
          <w:sz w:val="24"/>
        </w:rPr>
        <w:t>对市（含县区）</w:t>
      </w:r>
      <w:r>
        <w:rPr>
          <w:rFonts w:ascii="Times New Roman" w:hAnsi="Times New Roman" w:eastAsia="宋体" w:cs="宋体"/>
          <w:kern w:val="0"/>
          <w:sz w:val="24"/>
        </w:rPr>
        <w:t>政协组织概况、提案、社情民意、委员履职、协商议政等总体情况</w:t>
      </w:r>
      <w:r>
        <w:rPr>
          <w:rFonts w:hint="eastAsia" w:ascii="Times New Roman" w:hAnsi="Times New Roman" w:eastAsia="宋体" w:cs="宋体"/>
          <w:kern w:val="0"/>
          <w:sz w:val="24"/>
        </w:rPr>
        <w:t>进行分析并展示，</w:t>
      </w:r>
      <w:r>
        <w:rPr>
          <w:rFonts w:ascii="Times New Roman" w:hAnsi="Times New Roman" w:eastAsia="宋体" w:cs="宋体"/>
          <w:kern w:val="0"/>
          <w:sz w:val="24"/>
        </w:rPr>
        <w:t>包括整体UI设计、布局设计、色调风格、页面引导设计、数据动态展示设计等。</w:t>
      </w:r>
    </w:p>
    <w:p w14:paraId="3FFCFEEF">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市（含县区）政协人员概况展示：对委员、机关工作人员和其他人员的总体情况进行分析并展示。委员展示市本级及县区政协委员的总数，人员结构组成情况，按组成结构</w:t>
      </w:r>
      <w:r>
        <w:rPr>
          <w:rFonts w:ascii="Times New Roman" w:hAnsi="Times New Roman" w:eastAsia="宋体" w:cs="宋体"/>
          <w:kern w:val="0"/>
          <w:sz w:val="24"/>
        </w:rPr>
        <w:t>、</w:t>
      </w:r>
      <w:r>
        <w:rPr>
          <w:rFonts w:hint="eastAsia" w:ascii="Times New Roman" w:hAnsi="Times New Roman" w:eastAsia="宋体" w:cs="宋体"/>
          <w:kern w:val="0"/>
          <w:sz w:val="24"/>
        </w:rPr>
        <w:t>年龄</w:t>
      </w:r>
      <w:r>
        <w:rPr>
          <w:rFonts w:ascii="Times New Roman" w:hAnsi="Times New Roman" w:eastAsia="宋体" w:cs="宋体"/>
          <w:kern w:val="0"/>
          <w:sz w:val="24"/>
        </w:rPr>
        <w:t>、</w:t>
      </w:r>
      <w:r>
        <w:rPr>
          <w:rFonts w:hint="eastAsia" w:ascii="Times New Roman" w:hAnsi="Times New Roman" w:eastAsia="宋体" w:cs="宋体"/>
          <w:kern w:val="0"/>
          <w:sz w:val="24"/>
        </w:rPr>
        <w:t>党派、地市等分别展示。</w:t>
      </w:r>
    </w:p>
    <w:p w14:paraId="746B772C">
      <w:pPr>
        <w:bidi w:val="0"/>
        <w:rPr>
          <w:kern w:val="0"/>
        </w:rPr>
      </w:pPr>
      <w:r>
        <w:rPr>
          <w:rFonts w:hint="eastAsia" w:ascii="宋体" w:hAnsi="宋体" w:eastAsia="宋体" w:cs="宋体"/>
          <w:kern w:val="0"/>
          <w:sz w:val="24"/>
          <w:szCs w:val="24"/>
          <w:lang w:val="en-US" w:eastAsia="zh-CN" w:bidi="ar-SA"/>
        </w:rPr>
        <w:t>4.2.7.1.1</w:t>
      </w:r>
      <w:r>
        <w:rPr>
          <w:rFonts w:hint="eastAsia"/>
          <w:kern w:val="0"/>
        </w:rPr>
        <w:t>提案专题视图</w:t>
      </w:r>
    </w:p>
    <w:p w14:paraId="5DE2A5E3">
      <w:pPr>
        <w:widowControl/>
        <w:adjustRightInd w:val="0"/>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根据提案的相关属性，自动生成图表统计和报表，清晰直观</w:t>
      </w:r>
      <w:r>
        <w:rPr>
          <w:rFonts w:hint="eastAsia" w:ascii="Times New Roman" w:hAnsi="Times New Roman" w:eastAsia="宋体" w:cs="宋体"/>
          <w:kern w:val="0"/>
          <w:sz w:val="24"/>
          <w:lang w:val="en-US" w:eastAsia="zh-CN"/>
        </w:rPr>
        <w:t>的</w:t>
      </w:r>
      <w:r>
        <w:rPr>
          <w:rFonts w:hint="eastAsia" w:ascii="Times New Roman" w:hAnsi="Times New Roman" w:eastAsia="宋体" w:cs="宋体"/>
          <w:kern w:val="0"/>
          <w:sz w:val="24"/>
        </w:rPr>
        <w:t>展示数据，为决策提供准确的数据支撑。分析市本级及县区政协提案数量的趋势，对历史提案和立案数据进行同比环比，对提案类别、提案人、重点提案、优秀提案的数量和占比、提案状态、提案来源等方面进行挖掘分析，以多种图表形式对数据进行综合展现。</w:t>
      </w:r>
    </w:p>
    <w:p w14:paraId="6C654FD0">
      <w:pPr>
        <w:keepNext w:val="0"/>
        <w:keepLines w:val="0"/>
        <w:pageBreakBefore w:val="0"/>
        <w:widowControl/>
        <w:numPr>
          <w:ilvl w:val="0"/>
          <w:numId w:val="6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提案概览</w:t>
      </w:r>
    </w:p>
    <w:p w14:paraId="43083D2D">
      <w:pPr>
        <w:widowControl/>
        <w:adjustRightInd w:val="0"/>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展示当年和历年的提案总体情况。对当年提案数、立案数、已办结、办理中、逾期、平时提案、采纳情况、落实情况相关信息进行统计分析并展示数量及占比。对历年提案数、立案数、已办结、采纳情况、落实情况相关信息进行统计分析并展示数量及占比。</w:t>
      </w:r>
    </w:p>
    <w:p w14:paraId="31358CC9">
      <w:pPr>
        <w:keepNext w:val="0"/>
        <w:keepLines w:val="0"/>
        <w:pageBreakBefore w:val="0"/>
        <w:widowControl/>
        <w:numPr>
          <w:ilvl w:val="0"/>
          <w:numId w:val="6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提案提出</w:t>
      </w:r>
    </w:p>
    <w:p w14:paraId="2E695019">
      <w:pPr>
        <w:widowControl/>
        <w:adjustRightInd w:val="0"/>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首页以图表形式对全市政协提案提交情况按照委员、党派、团体、专委会、界别等进行综合分析展现。</w:t>
      </w:r>
    </w:p>
    <w:p w14:paraId="082B6A5C">
      <w:pPr>
        <w:keepNext w:val="0"/>
        <w:keepLines w:val="0"/>
        <w:pageBreakBefore w:val="0"/>
        <w:widowControl/>
        <w:numPr>
          <w:ilvl w:val="0"/>
          <w:numId w:val="6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提案审查和处理</w:t>
      </w:r>
    </w:p>
    <w:p w14:paraId="5C9A3187">
      <w:pPr>
        <w:widowControl/>
        <w:adjustRightInd w:val="0"/>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首页从提案领域和提案类别两个维度对提案数据进行统计分析，图表形式按提案立案数、转来信数量及占比排列展示。</w:t>
      </w:r>
    </w:p>
    <w:p w14:paraId="1395F72C">
      <w:pPr>
        <w:keepNext w:val="0"/>
        <w:keepLines w:val="0"/>
        <w:pageBreakBefore w:val="0"/>
        <w:widowControl/>
        <w:numPr>
          <w:ilvl w:val="0"/>
          <w:numId w:val="6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提案办理</w:t>
      </w:r>
    </w:p>
    <w:p w14:paraId="52651E95">
      <w:pPr>
        <w:widowControl/>
        <w:adjustRightInd w:val="0"/>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首页统计分析各承办单位提案办理的各个结果状态的数量及总数，按主办件数、会办件数展现办理单位前十名及办结率前十名。</w:t>
      </w:r>
    </w:p>
    <w:p w14:paraId="1CE20450">
      <w:pPr>
        <w:keepNext w:val="0"/>
        <w:keepLines w:val="0"/>
        <w:pageBreakBefore w:val="0"/>
        <w:widowControl/>
        <w:numPr>
          <w:ilvl w:val="0"/>
          <w:numId w:val="6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评议和表彰</w:t>
      </w:r>
    </w:p>
    <w:p w14:paraId="09A7645A">
      <w:pPr>
        <w:widowControl/>
        <w:adjustRightInd w:val="0"/>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面向提案者、承办单位、提案委分析展现提案办理反馈情况、优秀提案、优秀承办件等情况。统计委员对提案办理答复满意度各个状态的数量及百分比并用图表展示。</w:t>
      </w:r>
    </w:p>
    <w:p w14:paraId="1AB1D64F">
      <w:pPr>
        <w:keepNext w:val="0"/>
        <w:keepLines w:val="0"/>
        <w:pageBreakBefore w:val="0"/>
        <w:widowControl/>
        <w:numPr>
          <w:ilvl w:val="0"/>
          <w:numId w:val="6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重点提案领办协办</w:t>
      </w:r>
    </w:p>
    <w:p w14:paraId="06CA8DCA">
      <w:pPr>
        <w:widowControl/>
        <w:adjustRightInd w:val="0"/>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展示持续跟踪的提案列表和重点领办的提案列表，含提案号和提案案由。</w:t>
      </w:r>
    </w:p>
    <w:p w14:paraId="393EF118">
      <w:pPr>
        <w:keepNext w:val="0"/>
        <w:keepLines w:val="0"/>
        <w:pageBreakBefore w:val="0"/>
        <w:widowControl/>
        <w:numPr>
          <w:ilvl w:val="0"/>
          <w:numId w:val="6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服务管理</w:t>
      </w:r>
    </w:p>
    <w:p w14:paraId="67491B86">
      <w:pPr>
        <w:widowControl/>
        <w:adjustRightInd w:val="0"/>
        <w:spacing w:line="360" w:lineRule="auto"/>
        <w:ind w:firstLine="496" w:firstLineChars="200"/>
        <w:rPr>
          <w:rFonts w:hint="eastAsia" w:ascii="Times New Roman" w:hAnsi="Times New Roman" w:eastAsia="宋体" w:cs="宋体"/>
          <w:kern w:val="0"/>
          <w:sz w:val="24"/>
        </w:rPr>
      </w:pPr>
      <w:r>
        <w:rPr>
          <w:rFonts w:ascii="Times New Roman" w:hAnsi="Times New Roman" w:eastAsia="宋体" w:cs="宋体"/>
          <w:kern w:val="0"/>
          <w:sz w:val="24"/>
        </w:rPr>
        <w:t>呈现提案多跨应用场景全貌，统计展现委员、界别、专委会、民主党派、工商联、承办单位、人民团体等数量，知情明政、在线协商、交办调整信息数、催办提案、民生提案数量。</w:t>
      </w:r>
    </w:p>
    <w:p w14:paraId="1E14C32C">
      <w:pPr>
        <w:bidi w:val="0"/>
        <w:rPr>
          <w:rFonts w:hint="eastAsia"/>
          <w:kern w:val="0"/>
        </w:rPr>
      </w:pPr>
      <w:r>
        <w:rPr>
          <w:rFonts w:hint="eastAsia" w:ascii="宋体" w:hAnsi="宋体" w:eastAsia="宋体" w:cs="宋体"/>
          <w:kern w:val="0"/>
          <w:sz w:val="24"/>
          <w:szCs w:val="24"/>
          <w:lang w:val="en-US" w:eastAsia="zh-CN" w:bidi="ar-SA"/>
        </w:rPr>
        <w:t>4.2.7.1.2</w:t>
      </w:r>
      <w:r>
        <w:rPr>
          <w:rFonts w:hint="eastAsia"/>
          <w:kern w:val="0"/>
          <w:lang w:eastAsia="zh-Hans"/>
        </w:rPr>
        <w:t>履职在线</w:t>
      </w:r>
      <w:r>
        <w:rPr>
          <w:rFonts w:hint="eastAsia"/>
          <w:kern w:val="0"/>
        </w:rPr>
        <w:t>视窗</w:t>
      </w:r>
    </w:p>
    <w:p w14:paraId="0AE39C85">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分析委员构成分析、平台访问情况、总体履职情况、重点履职情况、主题议政情况等。将全市政协全景动态信息一体化集中展示。首页分析展示委员履职总体情况。</w:t>
      </w:r>
    </w:p>
    <w:p w14:paraId="55ACB9E2">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分析委员参与的各种履职活动的数量，包括参与年度重点履职的情况，如年度重点履职的总数量、已完成数量、年度重点履职报道情况的数量等情况，以及各种履职活动的趋势，展示委员履职考评排行榜等，以多种图表形式对数据进行综合展现。</w:t>
      </w:r>
    </w:p>
    <w:p w14:paraId="21B2F018">
      <w:pPr>
        <w:keepNext w:val="0"/>
        <w:keepLines w:val="0"/>
        <w:pageBreakBefore w:val="0"/>
        <w:widowControl/>
        <w:numPr>
          <w:ilvl w:val="0"/>
          <w:numId w:val="7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政协概况</w:t>
      </w:r>
    </w:p>
    <w:p w14:paraId="095B9FF8">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统计市政协单位的基本情况</w:t>
      </w:r>
      <w:r>
        <w:rPr>
          <w:rFonts w:ascii="Times New Roman" w:hAnsi="Times New Roman" w:eastAsia="宋体" w:cs="宋体"/>
          <w:kern w:val="0"/>
          <w:sz w:val="24"/>
        </w:rPr>
        <w:t>，</w:t>
      </w:r>
      <w:r>
        <w:rPr>
          <w:rFonts w:hint="eastAsia" w:ascii="Times New Roman" w:hAnsi="Times New Roman" w:eastAsia="宋体" w:cs="宋体"/>
          <w:kern w:val="0"/>
          <w:sz w:val="24"/>
        </w:rPr>
        <w:t>主要为委员数量</w:t>
      </w:r>
      <w:r>
        <w:rPr>
          <w:rFonts w:ascii="Times New Roman" w:hAnsi="Times New Roman" w:eastAsia="宋体" w:cs="宋体"/>
          <w:kern w:val="0"/>
          <w:sz w:val="24"/>
        </w:rPr>
        <w:t>、</w:t>
      </w:r>
      <w:r>
        <w:rPr>
          <w:rFonts w:hint="eastAsia" w:ascii="Times New Roman" w:hAnsi="Times New Roman" w:eastAsia="宋体" w:cs="宋体"/>
          <w:kern w:val="0"/>
          <w:sz w:val="24"/>
        </w:rPr>
        <w:t>界别数量</w:t>
      </w:r>
      <w:r>
        <w:rPr>
          <w:rFonts w:ascii="Times New Roman" w:hAnsi="Times New Roman" w:eastAsia="宋体" w:cs="宋体"/>
          <w:kern w:val="0"/>
          <w:sz w:val="24"/>
        </w:rPr>
        <w:t>、</w:t>
      </w:r>
      <w:r>
        <w:rPr>
          <w:rFonts w:hint="eastAsia" w:ascii="Times New Roman" w:hAnsi="Times New Roman" w:eastAsia="宋体" w:cs="宋体"/>
          <w:kern w:val="0"/>
          <w:sz w:val="24"/>
        </w:rPr>
        <w:t>各界别的委员数量</w:t>
      </w:r>
      <w:r>
        <w:rPr>
          <w:rFonts w:ascii="Times New Roman" w:hAnsi="Times New Roman" w:eastAsia="宋体" w:cs="宋体"/>
          <w:kern w:val="0"/>
          <w:sz w:val="24"/>
        </w:rPr>
        <w:t>、</w:t>
      </w:r>
      <w:r>
        <w:rPr>
          <w:rFonts w:hint="eastAsia" w:ascii="Times New Roman" w:hAnsi="Times New Roman" w:eastAsia="宋体" w:cs="宋体"/>
          <w:kern w:val="0"/>
          <w:sz w:val="24"/>
        </w:rPr>
        <w:t>党内外占比</w:t>
      </w:r>
      <w:r>
        <w:rPr>
          <w:rFonts w:ascii="Times New Roman" w:hAnsi="Times New Roman" w:eastAsia="宋体" w:cs="宋体"/>
          <w:kern w:val="0"/>
          <w:sz w:val="24"/>
        </w:rPr>
        <w:t>、</w:t>
      </w:r>
      <w:r>
        <w:rPr>
          <w:rFonts w:hint="eastAsia" w:ascii="Times New Roman" w:hAnsi="Times New Roman" w:eastAsia="宋体" w:cs="宋体"/>
          <w:kern w:val="0"/>
          <w:sz w:val="24"/>
        </w:rPr>
        <w:t>男女占比</w:t>
      </w:r>
      <w:r>
        <w:rPr>
          <w:rFonts w:ascii="Times New Roman" w:hAnsi="Times New Roman" w:eastAsia="宋体" w:cs="宋体"/>
          <w:kern w:val="0"/>
          <w:sz w:val="24"/>
        </w:rPr>
        <w:t>、</w:t>
      </w:r>
      <w:r>
        <w:rPr>
          <w:rFonts w:hint="eastAsia" w:ascii="Times New Roman" w:hAnsi="Times New Roman" w:eastAsia="宋体" w:cs="宋体"/>
          <w:kern w:val="0"/>
          <w:sz w:val="24"/>
        </w:rPr>
        <w:t>年龄情况</w:t>
      </w:r>
      <w:r>
        <w:rPr>
          <w:rFonts w:ascii="Times New Roman" w:hAnsi="Times New Roman" w:eastAsia="宋体" w:cs="宋体"/>
          <w:kern w:val="0"/>
          <w:sz w:val="24"/>
        </w:rPr>
        <w:t>、</w:t>
      </w:r>
      <w:r>
        <w:rPr>
          <w:rFonts w:hint="eastAsia" w:ascii="Times New Roman" w:hAnsi="Times New Roman" w:eastAsia="宋体" w:cs="宋体"/>
          <w:kern w:val="0"/>
          <w:sz w:val="24"/>
        </w:rPr>
        <w:t>学历情况</w:t>
      </w:r>
      <w:r>
        <w:rPr>
          <w:rFonts w:ascii="Times New Roman" w:hAnsi="Times New Roman" w:eastAsia="宋体" w:cs="宋体"/>
          <w:kern w:val="0"/>
          <w:sz w:val="24"/>
        </w:rPr>
        <w:t>、</w:t>
      </w:r>
      <w:r>
        <w:rPr>
          <w:rFonts w:hint="eastAsia" w:ascii="Times New Roman" w:hAnsi="Times New Roman" w:eastAsia="宋体" w:cs="宋体"/>
          <w:kern w:val="0"/>
          <w:sz w:val="24"/>
        </w:rPr>
        <w:t>委员专长特长情况</w:t>
      </w:r>
      <w:r>
        <w:rPr>
          <w:rFonts w:ascii="Times New Roman" w:hAnsi="Times New Roman" w:eastAsia="宋体" w:cs="宋体"/>
          <w:kern w:val="0"/>
          <w:sz w:val="24"/>
        </w:rPr>
        <w:t>。</w:t>
      </w:r>
    </w:p>
    <w:p w14:paraId="4012A772">
      <w:pPr>
        <w:keepNext w:val="0"/>
        <w:keepLines w:val="0"/>
        <w:pageBreakBefore w:val="0"/>
        <w:widowControl/>
        <w:numPr>
          <w:ilvl w:val="0"/>
          <w:numId w:val="7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履职概况</w:t>
      </w:r>
    </w:p>
    <w:p w14:paraId="30472504">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统计市政协单位履职数量</w:t>
      </w:r>
      <w:r>
        <w:rPr>
          <w:rFonts w:ascii="Times New Roman" w:hAnsi="Times New Roman" w:eastAsia="宋体" w:cs="宋体"/>
          <w:kern w:val="0"/>
          <w:sz w:val="24"/>
        </w:rPr>
        <w:t>、</w:t>
      </w:r>
      <w:r>
        <w:rPr>
          <w:rFonts w:hint="eastAsia" w:ascii="Times New Roman" w:hAnsi="Times New Roman" w:eastAsia="宋体" w:cs="宋体"/>
          <w:kern w:val="0"/>
          <w:sz w:val="24"/>
        </w:rPr>
        <w:t>履职参与人次</w:t>
      </w:r>
      <w:r>
        <w:rPr>
          <w:rFonts w:ascii="Times New Roman" w:hAnsi="Times New Roman" w:eastAsia="宋体" w:cs="宋体"/>
          <w:kern w:val="0"/>
          <w:sz w:val="24"/>
        </w:rPr>
        <w:t>、</w:t>
      </w:r>
      <w:r>
        <w:rPr>
          <w:rFonts w:hint="eastAsia" w:ascii="Times New Roman" w:hAnsi="Times New Roman" w:eastAsia="宋体" w:cs="宋体"/>
          <w:kern w:val="0"/>
          <w:sz w:val="24"/>
        </w:rPr>
        <w:t>各个履职类型的数量</w:t>
      </w:r>
      <w:r>
        <w:rPr>
          <w:rFonts w:ascii="Times New Roman" w:hAnsi="Times New Roman" w:eastAsia="宋体" w:cs="宋体"/>
          <w:kern w:val="0"/>
          <w:sz w:val="24"/>
        </w:rPr>
        <w:t>。</w:t>
      </w:r>
    </w:p>
    <w:p w14:paraId="1A3EDA92">
      <w:pPr>
        <w:keepNext w:val="0"/>
        <w:keepLines w:val="0"/>
        <w:pageBreakBefore w:val="0"/>
        <w:widowControl/>
        <w:numPr>
          <w:ilvl w:val="0"/>
          <w:numId w:val="7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履职排名</w:t>
      </w:r>
    </w:p>
    <w:p w14:paraId="1FBE8DFA">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展示市政协单位履职考核情况</w:t>
      </w:r>
      <w:r>
        <w:rPr>
          <w:rFonts w:ascii="Times New Roman" w:hAnsi="Times New Roman" w:eastAsia="宋体" w:cs="宋体"/>
          <w:kern w:val="0"/>
          <w:sz w:val="24"/>
        </w:rPr>
        <w:t>，</w:t>
      </w:r>
      <w:r>
        <w:rPr>
          <w:rFonts w:hint="eastAsia" w:ascii="Times New Roman" w:hAnsi="Times New Roman" w:eastAsia="宋体" w:cs="宋体"/>
          <w:kern w:val="0"/>
          <w:sz w:val="24"/>
        </w:rPr>
        <w:t>包括委员姓名</w:t>
      </w:r>
      <w:r>
        <w:rPr>
          <w:rFonts w:ascii="Times New Roman" w:hAnsi="Times New Roman" w:eastAsia="宋体" w:cs="宋体"/>
          <w:kern w:val="0"/>
          <w:sz w:val="24"/>
        </w:rPr>
        <w:t>、</w:t>
      </w:r>
      <w:r>
        <w:rPr>
          <w:rFonts w:hint="eastAsia" w:ascii="Times New Roman" w:hAnsi="Times New Roman" w:eastAsia="宋体" w:cs="宋体"/>
          <w:kern w:val="0"/>
          <w:sz w:val="24"/>
        </w:rPr>
        <w:t>履职分数</w:t>
      </w:r>
      <w:r>
        <w:rPr>
          <w:rFonts w:ascii="Times New Roman" w:hAnsi="Times New Roman" w:eastAsia="宋体" w:cs="宋体"/>
          <w:kern w:val="0"/>
          <w:sz w:val="24"/>
        </w:rPr>
        <w:t>、</w:t>
      </w:r>
      <w:r>
        <w:rPr>
          <w:rFonts w:hint="eastAsia" w:ascii="Times New Roman" w:hAnsi="Times New Roman" w:eastAsia="宋体" w:cs="宋体"/>
          <w:kern w:val="0"/>
          <w:sz w:val="24"/>
        </w:rPr>
        <w:t>排名</w:t>
      </w:r>
      <w:r>
        <w:rPr>
          <w:rFonts w:ascii="Times New Roman" w:hAnsi="Times New Roman" w:eastAsia="宋体" w:cs="宋体"/>
          <w:kern w:val="0"/>
          <w:sz w:val="24"/>
        </w:rPr>
        <w:t>。</w:t>
      </w:r>
    </w:p>
    <w:p w14:paraId="37562BC3">
      <w:pPr>
        <w:keepNext w:val="0"/>
        <w:keepLines w:val="0"/>
        <w:pageBreakBefore w:val="0"/>
        <w:widowControl/>
        <w:numPr>
          <w:ilvl w:val="0"/>
          <w:numId w:val="7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履职画像</w:t>
      </w:r>
    </w:p>
    <w:p w14:paraId="6EA38470">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展示市政协单位专委会群像</w:t>
      </w:r>
      <w:r>
        <w:rPr>
          <w:rFonts w:ascii="Times New Roman" w:hAnsi="Times New Roman" w:eastAsia="宋体" w:cs="宋体"/>
          <w:kern w:val="0"/>
          <w:sz w:val="24"/>
        </w:rPr>
        <w:t>、</w:t>
      </w:r>
      <w:r>
        <w:rPr>
          <w:rFonts w:hint="eastAsia" w:ascii="Times New Roman" w:hAnsi="Times New Roman" w:eastAsia="宋体" w:cs="宋体"/>
          <w:kern w:val="0"/>
          <w:sz w:val="24"/>
        </w:rPr>
        <w:t>界别活动组群像</w:t>
      </w:r>
      <w:r>
        <w:rPr>
          <w:rFonts w:ascii="Times New Roman" w:hAnsi="Times New Roman" w:eastAsia="宋体" w:cs="宋体"/>
          <w:kern w:val="0"/>
          <w:sz w:val="24"/>
        </w:rPr>
        <w:t>、</w:t>
      </w:r>
      <w:r>
        <w:rPr>
          <w:rFonts w:hint="eastAsia" w:ascii="Times New Roman" w:hAnsi="Times New Roman" w:eastAsia="宋体" w:cs="宋体"/>
          <w:kern w:val="0"/>
          <w:sz w:val="24"/>
        </w:rPr>
        <w:t>委员个人画像等</w:t>
      </w:r>
      <w:r>
        <w:rPr>
          <w:rFonts w:ascii="Times New Roman" w:hAnsi="Times New Roman" w:eastAsia="宋体" w:cs="宋体"/>
          <w:kern w:val="0"/>
          <w:sz w:val="24"/>
        </w:rPr>
        <w:t>。</w:t>
      </w:r>
    </w:p>
    <w:p w14:paraId="76FA2A28">
      <w:pPr>
        <w:bidi w:val="0"/>
        <w:rPr>
          <w:rFonts w:hint="eastAsia"/>
          <w:kern w:val="0"/>
          <w:lang w:eastAsia="zh-Hans"/>
        </w:rPr>
      </w:pP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en-US" w:eastAsia="zh-Hans" w:bidi="ar-SA"/>
        </w:rPr>
        <w:t>.2.7.1.3</w:t>
      </w:r>
      <w:r>
        <w:rPr>
          <w:rFonts w:hint="eastAsia"/>
          <w:kern w:val="0"/>
          <w:lang w:eastAsia="zh-Hans"/>
        </w:rPr>
        <w:t>社情民意专题视图</w:t>
      </w:r>
    </w:p>
    <w:p w14:paraId="4715DA45">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分析市本级及县区政协社情民意概况、来稿情况、按主题、采纳情况进行挖掘分析，以多种图表形式对数据进行综合展现。</w:t>
      </w:r>
    </w:p>
    <w:p w14:paraId="230EAA0F">
      <w:pPr>
        <w:pStyle w:val="16"/>
        <w:widowControl/>
        <w:ind w:firstLine="496" w:firstLineChars="200"/>
        <w:rPr>
          <w:rFonts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首页页面设计，包括整体布局设计、色调风格设计、页面引导设计、数据动态展示设计等，实时展现动态数据。根据社情民意的相关属性，自动生成图表统计和报表，清晰直观</w:t>
      </w:r>
      <w:r>
        <w:rPr>
          <w:rFonts w:hint="eastAsia" w:ascii="宋体" w:hAnsi="宋体" w:eastAsia="宋体" w:cs="Times New Roman"/>
          <w:kern w:val="0"/>
          <w:sz w:val="24"/>
          <w:szCs w:val="24"/>
          <w:lang w:val="en-US" w:eastAsia="zh-CN"/>
        </w:rPr>
        <w:t>地</w:t>
      </w:r>
      <w:r>
        <w:rPr>
          <w:rFonts w:hint="eastAsia" w:ascii="宋体" w:hAnsi="宋体" w:eastAsia="宋体" w:cs="Times New Roman"/>
          <w:kern w:val="0"/>
          <w:sz w:val="24"/>
          <w:szCs w:val="24"/>
          <w:lang w:eastAsia="zh-CN"/>
        </w:rPr>
        <w:t>展示数据，为决策提供准确的数据支撑。</w:t>
      </w:r>
    </w:p>
    <w:p w14:paraId="5A93B746">
      <w:pPr>
        <w:keepNext w:val="0"/>
        <w:keepLines w:val="0"/>
        <w:pageBreakBefore w:val="0"/>
        <w:widowControl/>
        <w:numPr>
          <w:ilvl w:val="0"/>
          <w:numId w:val="7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成果晾晒</w:t>
      </w:r>
    </w:p>
    <w:p w14:paraId="6FAF8D7D">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对社情民意在线源数据进行分析，在首页轮动展示社情民意在线成果，展示优秀稿件。</w:t>
      </w:r>
    </w:p>
    <w:p w14:paraId="25632573">
      <w:pPr>
        <w:keepNext w:val="0"/>
        <w:keepLines w:val="0"/>
        <w:pageBreakBefore w:val="0"/>
        <w:widowControl/>
        <w:numPr>
          <w:ilvl w:val="0"/>
          <w:numId w:val="7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公共目录</w:t>
      </w:r>
    </w:p>
    <w:p w14:paraId="0DC65E28">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轮播展示公共目录稿件，可查看稿件详情。</w:t>
      </w:r>
    </w:p>
    <w:p w14:paraId="368830CE">
      <w:pPr>
        <w:keepNext w:val="0"/>
        <w:keepLines w:val="0"/>
        <w:pageBreakBefore w:val="0"/>
        <w:widowControl/>
        <w:numPr>
          <w:ilvl w:val="0"/>
          <w:numId w:val="7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采用情况分析</w:t>
      </w:r>
    </w:p>
    <w:p w14:paraId="563B2C85">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对本年度的各设区市政协、信息直报点或各党派团体、各专委会的总积分、来稿量、重合率、采用率相关数据进行统计分析，并通过柱状或折线图等实现全景化展示。</w:t>
      </w:r>
    </w:p>
    <w:p w14:paraId="0916893B">
      <w:pPr>
        <w:keepNext w:val="0"/>
        <w:keepLines w:val="0"/>
        <w:pageBreakBefore w:val="0"/>
        <w:widowControl/>
        <w:numPr>
          <w:ilvl w:val="0"/>
          <w:numId w:val="7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社情民意信息</w:t>
      </w:r>
    </w:p>
    <w:p w14:paraId="0AD55B76">
      <w:pPr>
        <w:widowControl/>
        <w:adjustRightInd w:val="0"/>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对来稿总量、今日来稿数量、编报数量、采纳情况进行统计，包括对专报、民情热线专报、每日社情、民情热线转送情况进行展示。</w:t>
      </w:r>
    </w:p>
    <w:p w14:paraId="589E7031">
      <w:pPr>
        <w:keepNext w:val="0"/>
        <w:keepLines w:val="0"/>
        <w:pageBreakBefore w:val="0"/>
        <w:widowControl/>
        <w:numPr>
          <w:ilvl w:val="0"/>
          <w:numId w:val="7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工作交流</w:t>
      </w:r>
    </w:p>
    <w:p w14:paraId="2C9A9855">
      <w:pPr>
        <w:widowControl/>
        <w:adjustRightInd w:val="0"/>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对政协工作交流、理论与实践研究等数据进行分析统计并展示。</w:t>
      </w:r>
    </w:p>
    <w:p w14:paraId="1757877A">
      <w:pPr>
        <w:bidi w:val="0"/>
        <w:rPr>
          <w:rFonts w:hint="eastAsia"/>
          <w:kern w:val="0"/>
          <w:lang w:eastAsia="zh-Hans"/>
        </w:rPr>
      </w:pP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en-US" w:eastAsia="zh-Hans" w:bidi="ar-SA"/>
        </w:rPr>
        <w:t>.2.7.1.4</w:t>
      </w:r>
      <w:r>
        <w:rPr>
          <w:rFonts w:hint="eastAsia"/>
          <w:kern w:val="0"/>
          <w:lang w:eastAsia="zh-Hans"/>
        </w:rPr>
        <w:t>协商议政专题视图</w:t>
      </w:r>
    </w:p>
    <w:p w14:paraId="355DFEDB">
      <w:pPr>
        <w:widowControl/>
        <w:adjustRightInd w:val="0"/>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根据市本级及县区政协协商议政的相关属性，自动生成图表统计和报表，清晰直观</w:t>
      </w:r>
      <w:r>
        <w:rPr>
          <w:rFonts w:hint="eastAsia" w:ascii="Times New Roman" w:hAnsi="Times New Roman" w:eastAsia="宋体" w:cs="宋体"/>
          <w:kern w:val="0"/>
          <w:sz w:val="24"/>
          <w:lang w:val="en-US" w:eastAsia="zh-CN"/>
        </w:rPr>
        <w:t>地</w:t>
      </w:r>
      <w:r>
        <w:rPr>
          <w:rFonts w:hint="eastAsia" w:ascii="Times New Roman" w:hAnsi="Times New Roman" w:eastAsia="宋体" w:cs="宋体"/>
          <w:kern w:val="0"/>
          <w:sz w:val="24"/>
        </w:rPr>
        <w:t>展示数据，为决策提供准确的数据支撑。在协商在线全景图首页中，展示重要工作的实时态势，包括重点关注议题、主题议政、重要会议、</w:t>
      </w:r>
      <w:r>
        <w:rPr>
          <w:rFonts w:hint="eastAsia" w:ascii="Times New Roman" w:hAnsi="Times New Roman" w:eastAsia="宋体" w:cs="宋体"/>
          <w:kern w:val="0"/>
          <w:sz w:val="24"/>
          <w:lang w:eastAsia="zh-Hans"/>
        </w:rPr>
        <w:t>重要协商形式</w:t>
      </w:r>
      <w:r>
        <w:rPr>
          <w:rFonts w:hint="eastAsia" w:ascii="Times New Roman" w:hAnsi="Times New Roman" w:eastAsia="宋体" w:cs="宋体"/>
          <w:kern w:val="0"/>
          <w:sz w:val="24"/>
        </w:rPr>
        <w:t>、协商式监督和协商成果晾晒。</w:t>
      </w:r>
    </w:p>
    <w:p w14:paraId="56A79FEA">
      <w:pPr>
        <w:keepNext w:val="0"/>
        <w:keepLines w:val="0"/>
        <w:pageBreakBefore w:val="0"/>
        <w:widowControl/>
        <w:numPr>
          <w:ilvl w:val="0"/>
          <w:numId w:val="7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重点关注议题展示</w:t>
      </w:r>
    </w:p>
    <w:p w14:paraId="0959E66F">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根据热度和更新时间，实时筛选全市政协系统重点关注议题在首页通过列表方式展示，支持翻页查看更多内容；</w:t>
      </w:r>
    </w:p>
    <w:p w14:paraId="1C255C1A">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支持弹框方式查看议题简介，包括议题名称、主办单位、会办单位、计划完成时间和完成进度。</w:t>
      </w:r>
    </w:p>
    <w:p w14:paraId="5EDA55BC">
      <w:pPr>
        <w:keepNext w:val="0"/>
        <w:keepLines w:val="0"/>
        <w:pageBreakBefore w:val="0"/>
        <w:widowControl/>
        <w:numPr>
          <w:ilvl w:val="0"/>
          <w:numId w:val="7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网络议政展示</w:t>
      </w:r>
    </w:p>
    <w:p w14:paraId="31A212FD">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分委员网络议政、公众网络议政。</w:t>
      </w:r>
    </w:p>
    <w:p w14:paraId="67E5263C">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实时展示委员网络议政、公众网络议政的议题数、参与人数、发帖数以及展示最新的议政信息；支持弹框显示议政信息详情。</w:t>
      </w:r>
    </w:p>
    <w:p w14:paraId="3E2705D6">
      <w:pPr>
        <w:keepNext w:val="0"/>
        <w:keepLines w:val="0"/>
        <w:pageBreakBefore w:val="0"/>
        <w:widowControl/>
        <w:numPr>
          <w:ilvl w:val="0"/>
          <w:numId w:val="7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重要会议协商</w:t>
      </w:r>
    </w:p>
    <w:p w14:paraId="4E49652B">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实时展示全体会议、常委会会议、主席会议、专题协商会、专家协商会、对口协商、界别协商和提案办理协商的最新重要信息。</w:t>
      </w:r>
    </w:p>
    <w:p w14:paraId="0278FEA2">
      <w:pPr>
        <w:keepNext w:val="0"/>
        <w:keepLines w:val="0"/>
        <w:pageBreakBefore w:val="0"/>
        <w:widowControl/>
        <w:numPr>
          <w:ilvl w:val="0"/>
          <w:numId w:val="7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重要协商形式</w:t>
      </w:r>
    </w:p>
    <w:p w14:paraId="54A43F5C">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实时展示</w:t>
      </w:r>
      <w:r>
        <w:rPr>
          <w:rFonts w:hint="eastAsia" w:ascii="Times New Roman" w:hAnsi="Times New Roman" w:eastAsia="宋体" w:cs="宋体"/>
          <w:kern w:val="0"/>
          <w:sz w:val="24"/>
          <w:lang w:eastAsia="zh-Hans"/>
        </w:rPr>
        <w:t>多个重要协商形式</w:t>
      </w:r>
      <w:r>
        <w:rPr>
          <w:rFonts w:hint="eastAsia" w:ascii="Times New Roman" w:hAnsi="Times New Roman" w:eastAsia="宋体" w:cs="宋体"/>
          <w:kern w:val="0"/>
          <w:sz w:val="24"/>
        </w:rPr>
        <w:t>的实施进度信息。</w:t>
      </w:r>
    </w:p>
    <w:p w14:paraId="50063910">
      <w:pPr>
        <w:keepNext w:val="0"/>
        <w:keepLines w:val="0"/>
        <w:pageBreakBefore w:val="0"/>
        <w:widowControl/>
        <w:numPr>
          <w:ilvl w:val="0"/>
          <w:numId w:val="7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协商式监督</w:t>
      </w:r>
    </w:p>
    <w:p w14:paraId="5850FCB7">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实时展示相关协商的进度信息。</w:t>
      </w:r>
    </w:p>
    <w:p w14:paraId="4CAE93E1">
      <w:pPr>
        <w:keepNext w:val="0"/>
        <w:keepLines w:val="0"/>
        <w:pageBreakBefore w:val="0"/>
        <w:widowControl/>
        <w:numPr>
          <w:ilvl w:val="0"/>
          <w:numId w:val="7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专题调研</w:t>
      </w:r>
    </w:p>
    <w:p w14:paraId="37C8F302">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实时展示协商活动中专题调研的实施进度信息。</w:t>
      </w:r>
    </w:p>
    <w:p w14:paraId="3C600868">
      <w:pPr>
        <w:keepNext w:val="0"/>
        <w:keepLines w:val="0"/>
        <w:pageBreakBefore w:val="0"/>
        <w:widowControl/>
        <w:numPr>
          <w:ilvl w:val="0"/>
          <w:numId w:val="72"/>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协商成果晾晒</w:t>
      </w:r>
    </w:p>
    <w:p w14:paraId="2F7BA706">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实时展示协商活动中全市政协系统在报送成果、领导批示、跟踪反馈、传播共识、协商评价等最新协商成果的信息。</w:t>
      </w:r>
    </w:p>
    <w:p w14:paraId="276A12E3">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支持点击查看具体的协商报送成果详情。</w:t>
      </w:r>
    </w:p>
    <w:p w14:paraId="20B50A8F">
      <w:pPr>
        <w:bidi w:val="0"/>
        <w:rPr>
          <w:lang w:val="en-US" w:eastAsia="zh-CN"/>
        </w:rPr>
      </w:pPr>
      <w:r>
        <w:rPr>
          <w:rFonts w:hint="eastAsia" w:ascii="宋体" w:hAnsi="宋体" w:eastAsia="宋体" w:cstheme="minorBidi"/>
          <w:b/>
          <w:kern w:val="2"/>
          <w:sz w:val="24"/>
          <w:szCs w:val="24"/>
          <w:lang w:val="en-US" w:eastAsia="zh-CN" w:bidi="ar-SA"/>
        </w:rPr>
        <w:t>4.2.7.2</w:t>
      </w:r>
      <w:r>
        <w:rPr>
          <w:rFonts w:hint="eastAsia"/>
          <w:lang w:val="en-US" w:eastAsia="zh-CN"/>
        </w:rPr>
        <w:t>一键搜</w:t>
      </w:r>
    </w:p>
    <w:p w14:paraId="1F85E8D0">
      <w:pPr>
        <w:widowControl/>
        <w:adjustRightInd w:val="0"/>
        <w:spacing w:line="360" w:lineRule="auto"/>
        <w:ind w:firstLine="496" w:firstLineChars="200"/>
        <w:rPr>
          <w:rFonts w:ascii="Times New Roman" w:hAnsi="Times New Roman" w:eastAsia="宋体" w:cs="宋体"/>
          <w:kern w:val="0"/>
          <w:sz w:val="24"/>
        </w:rPr>
      </w:pPr>
      <w:r>
        <w:rPr>
          <w:rFonts w:ascii="Times New Roman" w:hAnsi="Times New Roman" w:eastAsia="宋体" w:cs="宋体"/>
          <w:kern w:val="0"/>
          <w:sz w:val="24"/>
        </w:rPr>
        <w:t>依托数据分析引擎</w:t>
      </w:r>
      <w:r>
        <w:rPr>
          <w:rFonts w:hint="eastAsia" w:ascii="Times New Roman" w:hAnsi="Times New Roman" w:eastAsia="宋体" w:cs="宋体"/>
          <w:kern w:val="0"/>
          <w:sz w:val="24"/>
        </w:rPr>
        <w:t>，基于数据仓或外部数据，实现</w:t>
      </w:r>
      <w:r>
        <w:rPr>
          <w:rFonts w:ascii="Times New Roman" w:hAnsi="Times New Roman" w:eastAsia="宋体" w:cs="宋体"/>
          <w:kern w:val="0"/>
          <w:sz w:val="24"/>
        </w:rPr>
        <w:t>业务数据归集、加载、清洗和转化</w:t>
      </w:r>
      <w:r>
        <w:rPr>
          <w:rFonts w:hint="eastAsia" w:ascii="Times New Roman" w:hAnsi="Times New Roman" w:eastAsia="宋体" w:cs="宋体"/>
          <w:kern w:val="0"/>
          <w:sz w:val="24"/>
        </w:rPr>
        <w:t>，将</w:t>
      </w:r>
      <w:r>
        <w:rPr>
          <w:rFonts w:ascii="Times New Roman" w:hAnsi="Times New Roman" w:eastAsia="宋体" w:cs="宋体"/>
          <w:kern w:val="0"/>
          <w:sz w:val="24"/>
        </w:rPr>
        <w:t>数据分类及标签化</w:t>
      </w:r>
      <w:r>
        <w:rPr>
          <w:rFonts w:hint="eastAsia" w:ascii="Times New Roman" w:hAnsi="Times New Roman" w:eastAsia="宋体" w:cs="宋体"/>
          <w:kern w:val="0"/>
          <w:sz w:val="24"/>
        </w:rPr>
        <w:t>，</w:t>
      </w:r>
      <w:r>
        <w:rPr>
          <w:rFonts w:ascii="Times New Roman" w:hAnsi="Times New Roman" w:eastAsia="宋体" w:cs="宋体"/>
          <w:kern w:val="0"/>
          <w:sz w:val="24"/>
        </w:rPr>
        <w:t>建立索引数据和各业务的详情数据台账</w:t>
      </w:r>
      <w:r>
        <w:rPr>
          <w:rFonts w:hint="eastAsia" w:ascii="Times New Roman" w:hAnsi="Times New Roman" w:eastAsia="宋体" w:cs="宋体"/>
          <w:kern w:val="0"/>
          <w:sz w:val="24"/>
        </w:rPr>
        <w:t>，</w:t>
      </w:r>
      <w:r>
        <w:rPr>
          <w:rFonts w:ascii="Times New Roman" w:hAnsi="Times New Roman" w:eastAsia="宋体" w:cs="宋体"/>
          <w:kern w:val="0"/>
          <w:sz w:val="24"/>
        </w:rPr>
        <w:t>提供关键字搜索的大数据查询展示</w:t>
      </w:r>
      <w:r>
        <w:rPr>
          <w:rFonts w:hint="eastAsia" w:ascii="Times New Roman" w:hAnsi="Times New Roman" w:eastAsia="宋体" w:cs="宋体"/>
          <w:kern w:val="0"/>
          <w:sz w:val="24"/>
        </w:rPr>
        <w:t>服务。</w:t>
      </w:r>
    </w:p>
    <w:p w14:paraId="653AE43A">
      <w:pPr>
        <w:bidi w:val="0"/>
        <w:rPr>
          <w:lang w:val="en-US" w:eastAsia="zh-CN"/>
        </w:rPr>
      </w:pPr>
      <w:r>
        <w:rPr>
          <w:rFonts w:hint="eastAsia" w:ascii="宋体" w:hAnsi="宋体" w:eastAsia="宋体" w:cstheme="minorBidi"/>
          <w:b/>
          <w:kern w:val="2"/>
          <w:sz w:val="24"/>
          <w:szCs w:val="24"/>
          <w:lang w:val="en-US" w:eastAsia="zh-CN" w:bidi="ar-SA"/>
        </w:rPr>
        <w:t>4.2.7.3</w:t>
      </w:r>
      <w:r>
        <w:rPr>
          <w:rFonts w:hint="eastAsia"/>
          <w:lang w:val="en-US" w:eastAsia="zh-CN"/>
        </w:rPr>
        <w:t>数智管理分析</w:t>
      </w:r>
    </w:p>
    <w:p w14:paraId="39B9CDC8">
      <w:pPr>
        <w:widowControl/>
        <w:adjustRightInd w:val="0"/>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包括：市本级及县区政协</w:t>
      </w:r>
      <w:r>
        <w:rPr>
          <w:rFonts w:ascii="Times New Roman" w:hAnsi="Times New Roman" w:eastAsia="宋体" w:cs="宋体"/>
          <w:kern w:val="0"/>
          <w:sz w:val="24"/>
        </w:rPr>
        <w:t>履职工作报表统计</w:t>
      </w:r>
      <w:r>
        <w:rPr>
          <w:rFonts w:hint="eastAsia" w:ascii="Times New Roman" w:hAnsi="Times New Roman" w:eastAsia="宋体" w:cs="宋体"/>
          <w:kern w:val="0"/>
          <w:sz w:val="24"/>
        </w:rPr>
        <w:t>、</w:t>
      </w:r>
      <w:r>
        <w:rPr>
          <w:rFonts w:ascii="Times New Roman" w:hAnsi="Times New Roman" w:eastAsia="宋体" w:cs="宋体"/>
          <w:kern w:val="0"/>
          <w:sz w:val="24"/>
        </w:rPr>
        <w:t>社情民意工作报表统计</w:t>
      </w:r>
      <w:r>
        <w:rPr>
          <w:rFonts w:hint="eastAsia" w:ascii="Times New Roman" w:hAnsi="Times New Roman" w:eastAsia="宋体" w:cs="宋体"/>
          <w:kern w:val="0"/>
          <w:sz w:val="24"/>
        </w:rPr>
        <w:t>、</w:t>
      </w:r>
      <w:r>
        <w:rPr>
          <w:rFonts w:ascii="Times New Roman" w:hAnsi="Times New Roman" w:eastAsia="宋体" w:cs="宋体"/>
          <w:kern w:val="0"/>
          <w:sz w:val="24"/>
        </w:rPr>
        <w:t>平台运行情况报表统计</w:t>
      </w:r>
      <w:r>
        <w:rPr>
          <w:rFonts w:hint="eastAsia" w:ascii="Times New Roman" w:hAnsi="Times New Roman" w:eastAsia="宋体" w:cs="宋体"/>
          <w:kern w:val="0"/>
          <w:sz w:val="24"/>
        </w:rPr>
        <w:t>、</w:t>
      </w:r>
      <w:r>
        <w:rPr>
          <w:rFonts w:ascii="Times New Roman" w:hAnsi="Times New Roman" w:eastAsia="宋体" w:cs="宋体"/>
          <w:kern w:val="0"/>
          <w:sz w:val="24"/>
        </w:rPr>
        <w:t>协商议政工作专题分析</w:t>
      </w:r>
      <w:r>
        <w:rPr>
          <w:rFonts w:hint="eastAsia" w:ascii="Times New Roman" w:hAnsi="Times New Roman" w:eastAsia="宋体" w:cs="宋体"/>
          <w:kern w:val="0"/>
          <w:sz w:val="24"/>
        </w:rPr>
        <w:t>、</w:t>
      </w:r>
      <w:r>
        <w:rPr>
          <w:rFonts w:ascii="Times New Roman" w:hAnsi="Times New Roman" w:eastAsia="宋体" w:cs="宋体"/>
          <w:kern w:val="0"/>
          <w:sz w:val="24"/>
        </w:rPr>
        <w:t>提案工作专题分析</w:t>
      </w:r>
      <w:r>
        <w:rPr>
          <w:rFonts w:hint="eastAsia" w:ascii="Times New Roman" w:hAnsi="Times New Roman" w:eastAsia="宋体" w:cs="宋体"/>
          <w:kern w:val="0"/>
          <w:sz w:val="24"/>
        </w:rPr>
        <w:t>、</w:t>
      </w:r>
      <w:r>
        <w:rPr>
          <w:rFonts w:ascii="Times New Roman" w:hAnsi="Times New Roman" w:eastAsia="宋体" w:cs="宋体"/>
          <w:kern w:val="0"/>
          <w:sz w:val="24"/>
        </w:rPr>
        <w:t>社情民意专题分析</w:t>
      </w:r>
      <w:r>
        <w:rPr>
          <w:rFonts w:hint="eastAsia" w:ascii="Times New Roman" w:hAnsi="Times New Roman" w:eastAsia="宋体" w:cs="宋体"/>
          <w:kern w:val="0"/>
          <w:sz w:val="24"/>
        </w:rPr>
        <w:t>、</w:t>
      </w:r>
      <w:r>
        <w:rPr>
          <w:rFonts w:ascii="Times New Roman" w:hAnsi="Times New Roman" w:eastAsia="宋体" w:cs="宋体"/>
          <w:kern w:val="0"/>
          <w:sz w:val="24"/>
        </w:rPr>
        <w:t>党建专题分析</w:t>
      </w:r>
      <w:r>
        <w:rPr>
          <w:rFonts w:hint="eastAsia" w:ascii="Times New Roman" w:hAnsi="Times New Roman" w:eastAsia="宋体" w:cs="宋体"/>
          <w:kern w:val="0"/>
          <w:sz w:val="24"/>
        </w:rPr>
        <w:t>、</w:t>
      </w:r>
      <w:r>
        <w:rPr>
          <w:rFonts w:ascii="Times New Roman" w:hAnsi="Times New Roman" w:eastAsia="宋体" w:cs="宋体"/>
          <w:kern w:val="0"/>
          <w:sz w:val="24"/>
        </w:rPr>
        <w:t>学习专题分析</w:t>
      </w:r>
      <w:r>
        <w:rPr>
          <w:rFonts w:hint="eastAsia" w:ascii="Times New Roman" w:hAnsi="Times New Roman" w:eastAsia="宋体" w:cs="宋体"/>
          <w:kern w:val="0"/>
          <w:sz w:val="24"/>
        </w:rPr>
        <w:t>、</w:t>
      </w:r>
      <w:r>
        <w:rPr>
          <w:rFonts w:ascii="Times New Roman" w:hAnsi="Times New Roman" w:eastAsia="宋体" w:cs="宋体"/>
          <w:kern w:val="0"/>
          <w:sz w:val="24"/>
        </w:rPr>
        <w:tab/>
      </w:r>
      <w:r>
        <w:rPr>
          <w:rFonts w:ascii="Times New Roman" w:hAnsi="Times New Roman" w:eastAsia="宋体" w:cs="宋体"/>
          <w:kern w:val="0"/>
          <w:sz w:val="24"/>
        </w:rPr>
        <w:t>宣传专题分析</w:t>
      </w:r>
      <w:r>
        <w:rPr>
          <w:rFonts w:hint="eastAsia" w:ascii="Times New Roman" w:hAnsi="Times New Roman" w:eastAsia="宋体" w:cs="宋体"/>
          <w:kern w:val="0"/>
          <w:sz w:val="24"/>
        </w:rPr>
        <w:t>。</w:t>
      </w:r>
    </w:p>
    <w:p w14:paraId="22C5BB24">
      <w:pPr>
        <w:keepNext w:val="0"/>
        <w:keepLines w:val="0"/>
        <w:pageBreakBefore w:val="0"/>
        <w:widowControl/>
        <w:numPr>
          <w:ilvl w:val="0"/>
          <w:numId w:val="7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平台使用情况统计</w:t>
      </w:r>
    </w:p>
    <w:p w14:paraId="5643A6D2">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对委员对数字政协的使用情况进行分析和统计，进一步推进和优化数字政协平台建设。</w:t>
      </w:r>
    </w:p>
    <w:p w14:paraId="34B27E56">
      <w:pPr>
        <w:keepNext w:val="0"/>
        <w:keepLines w:val="0"/>
        <w:pageBreakBefore w:val="0"/>
        <w:widowControl/>
        <w:numPr>
          <w:ilvl w:val="0"/>
          <w:numId w:val="7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eastAsia="zh-Hans"/>
        </w:rPr>
      </w:pPr>
      <w:r>
        <w:rPr>
          <w:rFonts w:hint="eastAsia" w:ascii="Times New Roman" w:hAnsi="Times New Roman" w:eastAsia="宋体" w:cs="宋体"/>
          <w:kern w:val="0"/>
          <w:sz w:val="24"/>
          <w:szCs w:val="22"/>
          <w:lang w:eastAsia="zh-Hans"/>
        </w:rPr>
        <w:t>用户操作记录</w:t>
      </w:r>
    </w:p>
    <w:p w14:paraId="1276793E">
      <w:pPr>
        <w:keepNext w:val="0"/>
        <w:keepLines w:val="0"/>
        <w:pageBreakBefore w:val="0"/>
        <w:widowControl w:val="0"/>
        <w:numPr>
          <w:ilvl w:val="0"/>
          <w:numId w:val="7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登录日志</w:t>
      </w:r>
    </w:p>
    <w:p w14:paraId="641E02E8">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记录用户登录网页履职平台、移动端应用登录情况；记录信息包括用户名，登录时间，登录系统、登录</w:t>
      </w:r>
      <w:r>
        <w:rPr>
          <w:rFonts w:hint="eastAsia" w:ascii="Times New Roman" w:hAnsi="Times New Roman" w:eastAsia="宋体" w:cs="宋体"/>
          <w:kern w:val="0"/>
          <w:sz w:val="24"/>
        </w:rPr>
        <w:t>IP</w:t>
      </w:r>
      <w:r>
        <w:rPr>
          <w:rFonts w:hint="eastAsia" w:ascii="Times New Roman" w:hAnsi="Times New Roman" w:eastAsia="宋体" w:cs="宋体"/>
          <w:kern w:val="0"/>
          <w:sz w:val="24"/>
          <w:lang w:eastAsia="zh-Hans"/>
        </w:rPr>
        <w:t>，登录设备，登录情况等。</w:t>
      </w:r>
    </w:p>
    <w:p w14:paraId="1C5A3A00">
      <w:pPr>
        <w:keepNext w:val="0"/>
        <w:keepLines w:val="0"/>
        <w:pageBreakBefore w:val="0"/>
        <w:widowControl w:val="0"/>
        <w:numPr>
          <w:ilvl w:val="0"/>
          <w:numId w:val="7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Hans"/>
        </w:rPr>
      </w:pPr>
      <w:r>
        <w:rPr>
          <w:rFonts w:hint="eastAsia" w:ascii="Times New Roman" w:hAnsi="Times New Roman"/>
          <w:sz w:val="24"/>
          <w:lang w:val="en-US" w:eastAsia="zh-Hans"/>
        </w:rPr>
        <w:t>平台应用使用情况</w:t>
      </w:r>
    </w:p>
    <w:p w14:paraId="16923E4D">
      <w:pPr>
        <w:widowControl/>
        <w:spacing w:line="360" w:lineRule="auto"/>
        <w:ind w:firstLine="496" w:firstLineChars="200"/>
        <w:rPr>
          <w:rFonts w:ascii="Times New Roman" w:hAnsi="Times New Roman" w:eastAsia="宋体" w:cs="宋体"/>
          <w:kern w:val="0"/>
          <w:sz w:val="24"/>
          <w:lang w:eastAsia="zh-Hans"/>
        </w:rPr>
      </w:pPr>
      <w:r>
        <w:rPr>
          <w:rFonts w:hint="eastAsia" w:ascii="Times New Roman" w:hAnsi="Times New Roman" w:eastAsia="宋体" w:cs="宋体"/>
          <w:kern w:val="0"/>
          <w:sz w:val="24"/>
          <w:lang w:eastAsia="zh-Hans"/>
        </w:rPr>
        <w:t>记录协商在线、提案在线、社情民意在线、履职在线、学习在线</w:t>
      </w:r>
      <w:r>
        <w:rPr>
          <w:rFonts w:hint="eastAsia" w:ascii="Times New Roman" w:hAnsi="Times New Roman" w:eastAsia="宋体" w:cs="宋体"/>
          <w:kern w:val="0"/>
          <w:sz w:val="24"/>
          <w:lang w:val="en-US" w:eastAsia="zh-CN"/>
        </w:rPr>
        <w:t>等</w:t>
      </w:r>
      <w:r>
        <w:rPr>
          <w:rFonts w:hint="eastAsia" w:ascii="Times New Roman" w:hAnsi="Times New Roman" w:eastAsia="宋体" w:cs="宋体"/>
          <w:kern w:val="0"/>
          <w:sz w:val="24"/>
          <w:lang w:eastAsia="zh-Hans"/>
        </w:rPr>
        <w:t>综合应用的使用情况，具体包括用户名，操作类型，操作时间、操作应用系统，操作模块，操作设备，操作情况等。</w:t>
      </w:r>
    </w:p>
    <w:p w14:paraId="40BE6986">
      <w:pPr>
        <w:pStyle w:val="6"/>
        <w:numPr>
          <w:ilvl w:val="4"/>
          <w:numId w:val="0"/>
        </w:numPr>
        <w:bidi w:val="0"/>
        <w:ind w:leftChars="0"/>
        <w:rPr>
          <w:rFonts w:hint="eastAsia"/>
          <w:lang w:val="en-US" w:eastAsia="zh-CN"/>
        </w:rPr>
      </w:pPr>
      <w:r>
        <w:rPr>
          <w:rFonts w:hint="eastAsia" w:ascii="黑体" w:hAnsi="黑体" w:eastAsia="黑体" w:cstheme="minorBidi"/>
          <w:kern w:val="2"/>
          <w:sz w:val="28"/>
          <w:szCs w:val="24"/>
          <w:lang w:val="en-US" w:eastAsia="zh-CN" w:bidi="ar-SA"/>
        </w:rPr>
        <w:t>4.2.8</w:t>
      </w:r>
      <w:r>
        <w:rPr>
          <w:rFonts w:hint="eastAsia"/>
          <w:lang w:val="en-US" w:eastAsia="zh-CN"/>
        </w:rPr>
        <w:t>数字化基座</w:t>
      </w:r>
    </w:p>
    <w:p w14:paraId="6A376861">
      <w:pPr>
        <w:bidi w:val="0"/>
        <w:rPr>
          <w:rFonts w:hint="eastAsia"/>
          <w:lang w:val="en-US" w:eastAsia="zh-CN"/>
        </w:rPr>
      </w:pPr>
      <w:r>
        <w:rPr>
          <w:rFonts w:hint="eastAsia" w:ascii="宋体" w:hAnsi="宋体" w:eastAsia="宋体" w:cstheme="minorBidi"/>
          <w:b/>
          <w:kern w:val="2"/>
          <w:sz w:val="24"/>
          <w:szCs w:val="24"/>
          <w:lang w:val="en-US" w:eastAsia="zh-CN" w:bidi="ar-SA"/>
        </w:rPr>
        <w:t>4.2.8.1</w:t>
      </w:r>
      <w:r>
        <w:rPr>
          <w:rFonts w:hint="eastAsia"/>
          <w:lang w:val="en-US" w:eastAsia="zh-CN"/>
        </w:rPr>
        <w:t>数据管理平台</w:t>
      </w:r>
    </w:p>
    <w:p w14:paraId="4DE952DA">
      <w:pPr>
        <w:bidi w:val="0"/>
        <w:rPr>
          <w:lang w:val="en-US" w:eastAsia="zh-CN"/>
        </w:rPr>
      </w:pPr>
      <w:r>
        <w:rPr>
          <w:rFonts w:hint="eastAsia" w:ascii="宋体" w:hAnsi="宋体" w:eastAsia="宋体" w:cs="宋体"/>
          <w:sz w:val="24"/>
          <w:szCs w:val="24"/>
          <w:lang w:val="en-US" w:eastAsia="zh-CN" w:bidi="ar-SA"/>
        </w:rPr>
        <w:t>4.2.8.1.1</w:t>
      </w:r>
      <w:r>
        <w:rPr>
          <w:rFonts w:hint="eastAsia"/>
          <w:lang w:val="en-US" w:eastAsia="zh-CN"/>
        </w:rPr>
        <w:t>数据集成管理</w:t>
      </w:r>
    </w:p>
    <w:p w14:paraId="49636355">
      <w:pPr>
        <w:widowControl/>
        <w:spacing w:line="360" w:lineRule="auto"/>
        <w:ind w:firstLine="496" w:firstLineChars="200"/>
        <w:rPr>
          <w:rFonts w:hint="eastAsia" w:ascii="宋体" w:hAnsi="宋体" w:eastAsia="宋体" w:cs="宋体"/>
          <w:kern w:val="0"/>
          <w:sz w:val="24"/>
          <w:lang w:bidi="ar"/>
        </w:rPr>
      </w:pPr>
      <w:r>
        <w:rPr>
          <w:rFonts w:hint="eastAsia" w:ascii="宋体" w:hAnsi="宋体" w:eastAsia="宋体" w:cs="宋体"/>
          <w:kern w:val="0"/>
          <w:sz w:val="24"/>
          <w:lang w:bidi="ar"/>
        </w:rPr>
        <w:t>实现各类异构数据源之间稳定高效的数据同步，支持多源异构数据汇聚、数据集中</w:t>
      </w:r>
      <w:r>
        <w:rPr>
          <w:rFonts w:hint="eastAsia" w:ascii="宋体" w:hAnsi="宋体" w:eastAsia="宋体" w:cs="宋体"/>
          <w:kern w:val="0"/>
          <w:sz w:val="24"/>
          <w:lang w:eastAsia="zh-Hans" w:bidi="ar"/>
        </w:rPr>
        <w:t>、数据回流</w:t>
      </w:r>
      <w:r>
        <w:rPr>
          <w:rFonts w:hint="eastAsia" w:ascii="宋体" w:hAnsi="宋体" w:eastAsia="宋体" w:cs="宋体"/>
          <w:kern w:val="0"/>
          <w:sz w:val="24"/>
          <w:lang w:bidi="ar"/>
        </w:rPr>
        <w:t>等场景，满足各类数据同步需求。主要功能包括数据源管理、离线数据同步、实时数据同步、其他方式同步等。</w:t>
      </w:r>
    </w:p>
    <w:p w14:paraId="648CCE68">
      <w:pPr>
        <w:keepNext w:val="0"/>
        <w:keepLines w:val="0"/>
        <w:pageBreakBefore w:val="0"/>
        <w:widowControl/>
        <w:numPr>
          <w:ilvl w:val="0"/>
          <w:numId w:val="7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数据源管理</w:t>
      </w:r>
    </w:p>
    <w:p w14:paraId="31F7682D">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对数据归集的各类数据源进行统一管理，实现数据源的新增、编辑、测试连接、启用、停用、查询、删除等操作。</w:t>
      </w:r>
    </w:p>
    <w:p w14:paraId="6D2E12DB">
      <w:pPr>
        <w:keepNext w:val="0"/>
        <w:keepLines w:val="0"/>
        <w:pageBreakBefore w:val="0"/>
        <w:widowControl/>
        <w:numPr>
          <w:ilvl w:val="0"/>
          <w:numId w:val="7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bookmarkStart w:id="127" w:name="_Toc1199"/>
      <w:r>
        <w:rPr>
          <w:rFonts w:hint="eastAsia" w:ascii="Times New Roman" w:hAnsi="Times New Roman" w:eastAsia="宋体" w:cs="宋体"/>
          <w:kern w:val="0"/>
          <w:sz w:val="24"/>
          <w:szCs w:val="22"/>
          <w:lang w:val="en-US" w:eastAsia="zh-CN"/>
        </w:rPr>
        <w:t>离线数据同步</w:t>
      </w:r>
    </w:p>
    <w:bookmarkEnd w:id="127"/>
    <w:p w14:paraId="7AFE9F85">
      <w:pPr>
        <w:widowControl/>
        <w:spacing w:line="360" w:lineRule="auto"/>
        <w:ind w:firstLine="496" w:firstLineChars="200"/>
        <w:jc w:val="left"/>
        <w:rPr>
          <w:rFonts w:hint="eastAsia" w:ascii="Times New Roman" w:hAnsi="Times New Roman" w:eastAsia="宋体" w:cs="宋体"/>
          <w:kern w:val="0"/>
          <w:sz w:val="24"/>
        </w:rPr>
      </w:pPr>
      <w:r>
        <w:rPr>
          <w:rFonts w:hint="eastAsia" w:ascii="Times New Roman" w:hAnsi="Times New Roman" w:eastAsia="宋体" w:cs="宋体"/>
          <w:kern w:val="0"/>
          <w:sz w:val="24"/>
        </w:rPr>
        <w:t>支持全量数据同步和按月、日等定时增量数据同步两种方式，实现海量数据的离线同步；支持MySQL、Oracle、PgSQL、达梦</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rPr>
        <w:t>腾讯TDSQL、阿里OceanBase、华为GaussDB</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rPr>
        <w:t>南大Gbase等多种数据库类型。</w:t>
      </w:r>
    </w:p>
    <w:p w14:paraId="1B7FDD20">
      <w:pPr>
        <w:keepNext w:val="0"/>
        <w:keepLines w:val="0"/>
        <w:pageBreakBefore w:val="0"/>
        <w:widowControl/>
        <w:numPr>
          <w:ilvl w:val="0"/>
          <w:numId w:val="7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实时数据同步</w:t>
      </w:r>
    </w:p>
    <w:p w14:paraId="4147BF41">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提供实时同步任务管理功能，以及数据过滤和一源多目标的增量数据订阅，实现按用户、表、字段进行秒级实时数据增量同步；实时同步过程中支持数据自动比对和补全、可视化运维监控等。</w:t>
      </w:r>
    </w:p>
    <w:p w14:paraId="74690C3D">
      <w:pPr>
        <w:keepNext w:val="0"/>
        <w:keepLines w:val="0"/>
        <w:pageBreakBefore w:val="0"/>
        <w:widowControl/>
        <w:numPr>
          <w:ilvl w:val="0"/>
          <w:numId w:val="7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其他方式同步</w:t>
      </w:r>
    </w:p>
    <w:p w14:paraId="7BFA694C">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提供文件、接口等更多数据同步方式，以满足不同数据同步场景需求。</w:t>
      </w:r>
    </w:p>
    <w:p w14:paraId="012FE6E2">
      <w:pPr>
        <w:bidi w:val="0"/>
        <w:rPr>
          <w:lang w:val="en-US" w:eastAsia="zh-CN"/>
        </w:rPr>
      </w:pPr>
      <w:r>
        <w:rPr>
          <w:rFonts w:hint="eastAsia" w:ascii="宋体" w:hAnsi="宋体" w:eastAsia="宋体" w:cs="宋体"/>
          <w:sz w:val="24"/>
          <w:szCs w:val="24"/>
          <w:lang w:val="en-US" w:eastAsia="zh-CN" w:bidi="ar-SA"/>
        </w:rPr>
        <w:t>4.2.8.1.2</w:t>
      </w:r>
      <w:r>
        <w:rPr>
          <w:rFonts w:hint="eastAsia"/>
          <w:lang w:val="en-US" w:eastAsia="zh-CN"/>
        </w:rPr>
        <w:t>数据质量管理</w:t>
      </w:r>
    </w:p>
    <w:p w14:paraId="3409A80E">
      <w:pPr>
        <w:widowControl/>
        <w:spacing w:line="360" w:lineRule="auto"/>
        <w:ind w:firstLine="496" w:firstLineChars="200"/>
        <w:rPr>
          <w:rFonts w:hint="eastAsia" w:ascii="宋体" w:hAnsi="宋体" w:eastAsia="宋体" w:cs="宋体"/>
          <w:kern w:val="0"/>
          <w:sz w:val="24"/>
          <w:lang w:bidi="ar"/>
        </w:rPr>
      </w:pPr>
      <w:r>
        <w:rPr>
          <w:rFonts w:hint="eastAsia" w:ascii="宋体" w:hAnsi="宋体" w:eastAsia="宋体" w:cs="宋体"/>
          <w:kern w:val="0"/>
          <w:sz w:val="24"/>
          <w:lang w:bidi="ar"/>
        </w:rPr>
        <w:t>数据质量管理实现对汇聚数据的质量检查、数据清洗、整合和标准化，形成一份标准统一、质量可靠的数据资产。主要功能包括问题数据存储区配置、质检规则配置、质检模板定义、质检计划制定、质检报告生成等。</w:t>
      </w:r>
    </w:p>
    <w:p w14:paraId="58C98B28">
      <w:pPr>
        <w:keepNext w:val="0"/>
        <w:keepLines w:val="0"/>
        <w:pageBreakBefore w:val="0"/>
        <w:widowControl/>
        <w:numPr>
          <w:ilvl w:val="0"/>
          <w:numId w:val="7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质检模板管理</w:t>
      </w:r>
    </w:p>
    <w:p w14:paraId="781A84ED">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对表的常用检查模板进行统一管理，系统内置丰富的质检模板，并支持手动自定义，支持对质检模板进行分类、新建、修改、删除等操作。</w:t>
      </w:r>
    </w:p>
    <w:p w14:paraId="5EDF9715">
      <w:pPr>
        <w:keepNext w:val="0"/>
        <w:keepLines w:val="0"/>
        <w:pageBreakBefore w:val="0"/>
        <w:widowControl/>
        <w:numPr>
          <w:ilvl w:val="0"/>
          <w:numId w:val="7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质检规则管理</w:t>
      </w:r>
    </w:p>
    <w:p w14:paraId="769C380E">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质检规则是针对表和字段数据质量情况的检查规则，可以通过模板生成，也可以自定义。质检规则管理包括规则创建、规则启/停用、规则维护、规则查询、规则运行记录等。</w:t>
      </w:r>
    </w:p>
    <w:p w14:paraId="23DC1F7A">
      <w:pPr>
        <w:keepNext w:val="0"/>
        <w:keepLines w:val="0"/>
        <w:pageBreakBefore w:val="0"/>
        <w:widowControl/>
        <w:numPr>
          <w:ilvl w:val="0"/>
          <w:numId w:val="7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质检计划管理</w:t>
      </w:r>
    </w:p>
    <w:p w14:paraId="0C76A7CB">
      <w:pPr>
        <w:widowControl/>
        <w:spacing w:line="360" w:lineRule="auto"/>
        <w:ind w:firstLine="496" w:firstLineChars="200"/>
        <w:rPr>
          <w:rFonts w:hint="eastAsia" w:ascii="Times New Roman" w:hAnsi="Times New Roman" w:eastAsia="宋体" w:cs="宋体"/>
          <w:kern w:val="0"/>
          <w:sz w:val="24"/>
          <w:lang w:bidi="ar"/>
        </w:rPr>
      </w:pPr>
      <w:r>
        <w:rPr>
          <w:rFonts w:hint="eastAsia" w:ascii="Times New Roman" w:hAnsi="Times New Roman" w:eastAsia="宋体" w:cs="宋体"/>
          <w:kern w:val="0"/>
          <w:sz w:val="24"/>
        </w:rPr>
        <w:t>基于质检规则，制定数据质检计划，生成质检任务，系统按配置内容自动定期执行。质检计划管理功能包括质检计划制定、发布、执行、维护、查询等。</w:t>
      </w:r>
    </w:p>
    <w:p w14:paraId="00AD9D95">
      <w:pPr>
        <w:keepNext w:val="0"/>
        <w:keepLines w:val="0"/>
        <w:pageBreakBefore w:val="0"/>
        <w:widowControl/>
        <w:numPr>
          <w:ilvl w:val="0"/>
          <w:numId w:val="76"/>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质检报告管理</w:t>
      </w:r>
    </w:p>
    <w:p w14:paraId="069F5766">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按计划和规则自动生成质检报告，支持质检报告模板创建、报告模板启/停用、报告模板维护、报告模板查询、质检报告生成、质检报告查看等。</w:t>
      </w:r>
    </w:p>
    <w:p w14:paraId="52FC3735">
      <w:pPr>
        <w:bidi w:val="0"/>
        <w:rPr>
          <w:lang w:val="en-US" w:eastAsia="zh-CN"/>
        </w:rPr>
      </w:pPr>
      <w:r>
        <w:rPr>
          <w:rFonts w:hint="eastAsia" w:ascii="宋体" w:hAnsi="宋体" w:eastAsia="宋体" w:cs="宋体"/>
          <w:sz w:val="24"/>
          <w:szCs w:val="24"/>
          <w:lang w:val="en-US" w:eastAsia="zh-CN" w:bidi="ar-SA"/>
        </w:rPr>
        <w:t>4.2.8.1.3</w:t>
      </w:r>
      <w:r>
        <w:rPr>
          <w:rFonts w:hint="eastAsia"/>
          <w:lang w:val="en-US" w:eastAsia="zh-CN"/>
        </w:rPr>
        <w:t>数据资产管理</w:t>
      </w:r>
    </w:p>
    <w:p w14:paraId="34F2592B">
      <w:pPr>
        <w:widowControl/>
        <w:spacing w:line="360" w:lineRule="auto"/>
        <w:ind w:firstLine="496" w:firstLineChars="200"/>
        <w:rPr>
          <w:rFonts w:hint="eastAsia" w:ascii="宋体" w:hAnsi="宋体" w:eastAsia="宋体" w:cs="宋体"/>
          <w:kern w:val="0"/>
          <w:sz w:val="24"/>
          <w:lang w:bidi="ar"/>
        </w:rPr>
      </w:pPr>
      <w:r>
        <w:rPr>
          <w:rFonts w:hint="eastAsia" w:ascii="宋体" w:hAnsi="宋体" w:eastAsia="宋体" w:cs="宋体"/>
          <w:kern w:val="0"/>
          <w:sz w:val="24"/>
          <w:lang w:bidi="ar"/>
        </w:rPr>
        <w:t>数据资产管理主要实现对数据标准、主题域、安全等级、元数据、资产目录等的统一管理，并通过数据驾驶舱全面掌握当前数据资产以及数据资产的流入、流出情况。</w:t>
      </w:r>
    </w:p>
    <w:p w14:paraId="270BF9C8">
      <w:pPr>
        <w:keepNext w:val="0"/>
        <w:keepLines w:val="0"/>
        <w:pageBreakBefore w:val="0"/>
        <w:widowControl/>
        <w:numPr>
          <w:ilvl w:val="0"/>
          <w:numId w:val="7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数据标准管理</w:t>
      </w:r>
    </w:p>
    <w:p w14:paraId="7ED2719D">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对国标、省标等各级各类标准规范文件、标准元数据和代码进行统一管理，便于对数据标准进行快速查询使用，为数据资产管理活动提供规范有效依据。主要功能包括</w:t>
      </w:r>
      <w:r>
        <w:rPr>
          <w:rFonts w:hint="eastAsia" w:ascii="Times New Roman" w:hAnsi="Times New Roman" w:eastAsia="宋体" w:cs="宋体"/>
          <w:kern w:val="0"/>
          <w:sz w:val="24"/>
          <w:lang w:val="en-US" w:eastAsia="zh-CN"/>
        </w:rPr>
        <w:t>标准文件管理</w:t>
      </w:r>
      <w:r>
        <w:rPr>
          <w:rFonts w:hint="eastAsia" w:ascii="Times New Roman" w:hAnsi="Times New Roman" w:eastAsia="宋体" w:cs="宋体"/>
          <w:kern w:val="0"/>
          <w:sz w:val="24"/>
        </w:rPr>
        <w:t>、</w:t>
      </w:r>
      <w:r>
        <w:rPr>
          <w:rFonts w:hint="eastAsia" w:ascii="Times New Roman" w:hAnsi="Times New Roman" w:eastAsia="宋体" w:cs="宋体"/>
          <w:kern w:val="0"/>
          <w:sz w:val="24"/>
          <w:lang w:val="en-US" w:eastAsia="zh-CN"/>
        </w:rPr>
        <w:t>元数据标准</w:t>
      </w:r>
      <w:r>
        <w:rPr>
          <w:rFonts w:hint="eastAsia" w:ascii="Times New Roman" w:hAnsi="Times New Roman" w:eastAsia="宋体" w:cs="宋体"/>
          <w:kern w:val="0"/>
          <w:sz w:val="24"/>
        </w:rPr>
        <w:t>管理、</w:t>
      </w:r>
      <w:r>
        <w:rPr>
          <w:rFonts w:hint="eastAsia" w:ascii="Times New Roman" w:hAnsi="Times New Roman" w:eastAsia="宋体" w:cs="宋体"/>
          <w:kern w:val="0"/>
          <w:sz w:val="24"/>
          <w:lang w:val="en-US" w:eastAsia="zh-CN"/>
        </w:rPr>
        <w:t>代码</w:t>
      </w:r>
      <w:r>
        <w:rPr>
          <w:rFonts w:hint="eastAsia" w:ascii="Times New Roman" w:hAnsi="Times New Roman" w:eastAsia="宋体" w:cs="宋体"/>
          <w:kern w:val="0"/>
          <w:sz w:val="24"/>
        </w:rPr>
        <w:t>标准管理</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lang w:val="en-US" w:eastAsia="zh-CN"/>
        </w:rPr>
        <w:t>标准表管理</w:t>
      </w:r>
      <w:r>
        <w:rPr>
          <w:rFonts w:hint="eastAsia" w:ascii="Times New Roman" w:hAnsi="Times New Roman" w:eastAsia="宋体" w:cs="宋体"/>
          <w:kern w:val="0"/>
          <w:sz w:val="24"/>
        </w:rPr>
        <w:t>等。</w:t>
      </w:r>
    </w:p>
    <w:p w14:paraId="5DFE1688">
      <w:pPr>
        <w:keepNext w:val="0"/>
        <w:keepLines w:val="0"/>
        <w:pageBreakBefore w:val="0"/>
        <w:widowControl w:val="0"/>
        <w:numPr>
          <w:ilvl w:val="0"/>
          <w:numId w:val="7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标准文件管理</w:t>
      </w:r>
    </w:p>
    <w:p w14:paraId="0610D61C">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对数据标准规范文件进行统一管理，支持文件上传、发布、维护、删除、查询等。</w:t>
      </w:r>
      <w:r>
        <w:rPr>
          <w:rFonts w:hint="eastAsia" w:ascii="Times New Roman" w:hAnsi="Times New Roman" w:eastAsia="宋体" w:cs="宋体"/>
          <w:kern w:val="0"/>
          <w:sz w:val="24"/>
        </w:rPr>
        <w:t>数据标准规范按业务属性、行政级别等进行分类管理</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lang w:val="en-US" w:eastAsia="zh-CN"/>
        </w:rPr>
        <w:t>文件上传需对标准层级（全国标准、省级标准、市级标准、区县标准等）、标准分类（指标标准、治理标准、字典标准等）、标准编号、文件描述等进行维护；可按标准分类、标准层级、启用状态、文件名称等进行标准查询和筛选。</w:t>
      </w:r>
    </w:p>
    <w:p w14:paraId="79B108E1">
      <w:pPr>
        <w:keepNext w:val="0"/>
        <w:keepLines w:val="0"/>
        <w:pageBreakBefore w:val="0"/>
        <w:widowControl w:val="0"/>
        <w:numPr>
          <w:ilvl w:val="0"/>
          <w:numId w:val="7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元数据标准管理</w:t>
      </w:r>
    </w:p>
    <w:p w14:paraId="587A2056">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提供元数据批量导入模板，对元数据标准进行统一管理，包括元数据标准导入、导出、制定、发布、变更、删除、查询等。元数据标准制定时，需对元数据名称、元数据编码、标准层级、所属标准、标准代码、数据类型、数据长度等进行维护；可按发布状态、所属标准、标准层级、元数据名称等进行元数据标准查询和筛选。</w:t>
      </w:r>
    </w:p>
    <w:p w14:paraId="296EE435">
      <w:pPr>
        <w:keepNext w:val="0"/>
        <w:keepLines w:val="0"/>
        <w:pageBreakBefore w:val="0"/>
        <w:widowControl w:val="0"/>
        <w:numPr>
          <w:ilvl w:val="0"/>
          <w:numId w:val="7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代码标准管理</w:t>
      </w:r>
    </w:p>
    <w:p w14:paraId="0EC24760">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提供标准代码导入模板，对代码标准进行统一管理，包括代码标准导入、导出、新增、发布、变更、删除、查询等。代码标准新增时，需对标准代码名称、所属标准、标准分类、标准代码说明、代码明细等进行维护；可按发布状态、业务分类、标准代码等进行代码标准查询和筛选。</w:t>
      </w:r>
    </w:p>
    <w:p w14:paraId="36C353F4">
      <w:pPr>
        <w:keepNext w:val="0"/>
        <w:keepLines w:val="0"/>
        <w:pageBreakBefore w:val="0"/>
        <w:widowControl w:val="0"/>
        <w:numPr>
          <w:ilvl w:val="0"/>
          <w:numId w:val="7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标准表管理</w:t>
      </w:r>
    </w:p>
    <w:p w14:paraId="4BD4EEA4">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支持新建标准表，对标准表的表名、表中文名、标准字段等进行配置，支撑落标评估。支持标准表编辑、删除、查询等。</w:t>
      </w:r>
    </w:p>
    <w:p w14:paraId="3FC27D90">
      <w:pPr>
        <w:keepNext w:val="0"/>
        <w:keepLines w:val="0"/>
        <w:pageBreakBefore w:val="0"/>
        <w:widowControl/>
        <w:numPr>
          <w:ilvl w:val="0"/>
          <w:numId w:val="7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元数据管理</w:t>
      </w:r>
    </w:p>
    <w:p w14:paraId="7748F051">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通过元数据采集、元数据更新、元数据一致性比对、元数据启/停用、元数据维护、元数据检索等，实现元数据的全生命周期管理，保障元数据的一致性、规范性。</w:t>
      </w:r>
    </w:p>
    <w:p w14:paraId="0F0AA831">
      <w:pPr>
        <w:keepNext w:val="0"/>
        <w:keepLines w:val="0"/>
        <w:pageBreakBefore w:val="0"/>
        <w:widowControl/>
        <w:numPr>
          <w:ilvl w:val="0"/>
          <w:numId w:val="7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主题域管理</w:t>
      </w:r>
    </w:p>
    <w:p w14:paraId="7F6B9CB5">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主题域是指数据的业务属性，例如社保、医保、养老等，主题域管理主要用于数据资产按照业务进行分层管理，主要功能包括主题域创建、启/停用、编辑、删除等。</w:t>
      </w:r>
    </w:p>
    <w:p w14:paraId="067E6D80">
      <w:pPr>
        <w:keepNext w:val="0"/>
        <w:keepLines w:val="0"/>
        <w:pageBreakBefore w:val="0"/>
        <w:widowControl/>
        <w:numPr>
          <w:ilvl w:val="0"/>
          <w:numId w:val="7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安全等级管理</w:t>
      </w:r>
    </w:p>
    <w:p w14:paraId="03E7C1AF">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安全等级管理是指针对数据内容的敏感程度或数据的开放范围进行划分，构建完善的数据分类分级管理体系，确保数据安全。平台支持安全等级的创建、维护、查询等。</w:t>
      </w:r>
    </w:p>
    <w:p w14:paraId="26734F30">
      <w:pPr>
        <w:keepNext w:val="0"/>
        <w:keepLines w:val="0"/>
        <w:pageBreakBefore w:val="0"/>
        <w:widowControl/>
        <w:numPr>
          <w:ilvl w:val="0"/>
          <w:numId w:val="77"/>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数据资产编目</w:t>
      </w:r>
    </w:p>
    <w:p w14:paraId="15CA6F41">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基于元数据批量盘点数据资产，实现数据资产导入后自动编目，并对数据资产的主题域、安全等级、共享级别等进行维护，支撑数据共享和数据服务。</w:t>
      </w:r>
    </w:p>
    <w:p w14:paraId="21715374">
      <w:pPr>
        <w:keepNext w:val="0"/>
        <w:keepLines w:val="0"/>
        <w:pageBreakBefore w:val="0"/>
        <w:widowControl w:val="0"/>
        <w:numPr>
          <w:ilvl w:val="0"/>
          <w:numId w:val="7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目录注册</w:t>
      </w:r>
    </w:p>
    <w:p w14:paraId="24263E19">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通过选取所需数据表，批量导入所选数据资产的元数据，自动完成数据资产目录注册。</w:t>
      </w:r>
    </w:p>
    <w:p w14:paraId="5E7D5A7C">
      <w:pPr>
        <w:keepNext w:val="0"/>
        <w:keepLines w:val="0"/>
        <w:pageBreakBefore w:val="0"/>
        <w:widowControl w:val="0"/>
        <w:numPr>
          <w:ilvl w:val="0"/>
          <w:numId w:val="7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批量修改</w:t>
      </w:r>
    </w:p>
    <w:p w14:paraId="7D657065">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可对数据资产的主题域、安全等级、共享级别、开放级别、更新频率、数据来源、数源部门、责任人、资产标签等进行批量修改。</w:t>
      </w:r>
    </w:p>
    <w:p w14:paraId="0743E7D9">
      <w:pPr>
        <w:keepNext w:val="0"/>
        <w:keepLines w:val="0"/>
        <w:pageBreakBefore w:val="0"/>
        <w:widowControl w:val="0"/>
        <w:numPr>
          <w:ilvl w:val="0"/>
          <w:numId w:val="7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目录变更</w:t>
      </w:r>
    </w:p>
    <w:p w14:paraId="25325C27">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可对单个数据资产的资产名称、资产标签、资产描述、重要程度、主题域、安全等级、共享级别、开放级别、更新频率、数据来源、数源部门、责任人、数据范围等进行修改。支持对数据表的元数据进行手动同步以及对各字段的安全等级、共享级别、开放级别进行批量维护。</w:t>
      </w:r>
    </w:p>
    <w:p w14:paraId="11B14758">
      <w:pPr>
        <w:keepNext w:val="0"/>
        <w:keepLines w:val="0"/>
        <w:pageBreakBefore w:val="0"/>
        <w:widowControl w:val="0"/>
        <w:numPr>
          <w:ilvl w:val="0"/>
          <w:numId w:val="7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目录上/下架</w:t>
      </w:r>
    </w:p>
    <w:p w14:paraId="7A66FE78">
      <w:pPr>
        <w:widowControl/>
        <w:spacing w:line="360" w:lineRule="auto"/>
        <w:ind w:firstLine="496" w:firstLineChars="200"/>
        <w:rPr>
          <w:rFonts w:hint="default" w:ascii="Times New Roman" w:hAnsi="Times New Roman" w:eastAsia="宋体" w:cs="宋体"/>
          <w:kern w:val="0"/>
          <w:sz w:val="24"/>
          <w:lang w:val="en-US" w:eastAsia="zh-CN" w:bidi="ar"/>
        </w:rPr>
      </w:pPr>
      <w:r>
        <w:rPr>
          <w:rFonts w:hint="eastAsia" w:ascii="Times New Roman" w:hAnsi="Times New Roman" w:eastAsia="宋体" w:cs="宋体"/>
          <w:kern w:val="0"/>
          <w:sz w:val="24"/>
          <w:lang w:val="en-US" w:eastAsia="zh-CN"/>
        </w:rPr>
        <w:t>目录注册</w:t>
      </w:r>
      <w:r>
        <w:rPr>
          <w:rFonts w:hint="eastAsia" w:ascii="Times New Roman" w:hAnsi="Times New Roman" w:eastAsia="宋体" w:cs="宋体"/>
          <w:kern w:val="0"/>
          <w:sz w:val="24"/>
        </w:rPr>
        <w:t>完成后，需进行</w:t>
      </w:r>
      <w:r>
        <w:rPr>
          <w:rFonts w:hint="eastAsia" w:ascii="Times New Roman" w:hAnsi="Times New Roman" w:eastAsia="宋体" w:cs="宋体"/>
          <w:kern w:val="0"/>
          <w:sz w:val="24"/>
          <w:lang w:val="en-US" w:eastAsia="zh-CN"/>
        </w:rPr>
        <w:t>目录</w:t>
      </w:r>
      <w:r>
        <w:rPr>
          <w:rFonts w:hint="eastAsia" w:ascii="Times New Roman" w:hAnsi="Times New Roman" w:eastAsia="宋体" w:cs="宋体"/>
          <w:kern w:val="0"/>
          <w:sz w:val="24"/>
        </w:rPr>
        <w:t>上架，</w:t>
      </w:r>
      <w:r>
        <w:rPr>
          <w:rFonts w:hint="eastAsia" w:ascii="Times New Roman" w:hAnsi="Times New Roman" w:eastAsia="宋体" w:cs="宋体"/>
          <w:kern w:val="0"/>
          <w:sz w:val="24"/>
          <w:lang w:val="en-US" w:eastAsia="zh-CN"/>
        </w:rPr>
        <w:t>完成上架后的目录可供用户查询、查看和使用</w:t>
      </w:r>
      <w:r>
        <w:rPr>
          <w:rFonts w:hint="eastAsia" w:ascii="Times New Roman" w:hAnsi="Times New Roman" w:eastAsia="宋体" w:cs="宋体"/>
          <w:kern w:val="0"/>
          <w:sz w:val="24"/>
        </w:rPr>
        <w:t>。</w:t>
      </w:r>
      <w:r>
        <w:rPr>
          <w:rFonts w:hint="eastAsia" w:ascii="Times New Roman" w:hAnsi="Times New Roman" w:eastAsia="宋体" w:cs="宋体"/>
          <w:kern w:val="0"/>
          <w:sz w:val="24"/>
          <w:lang w:val="en-US" w:eastAsia="zh-CN"/>
        </w:rPr>
        <w:t>可对已变更或</w:t>
      </w:r>
      <w:r>
        <w:rPr>
          <w:rFonts w:hint="eastAsia" w:ascii="Times New Roman" w:hAnsi="Times New Roman" w:eastAsia="宋体" w:cs="宋体"/>
          <w:kern w:val="0"/>
          <w:sz w:val="24"/>
        </w:rPr>
        <w:t>不再适用</w:t>
      </w:r>
      <w:r>
        <w:rPr>
          <w:rFonts w:hint="eastAsia" w:ascii="Times New Roman" w:hAnsi="Times New Roman" w:eastAsia="宋体" w:cs="宋体"/>
          <w:kern w:val="0"/>
          <w:sz w:val="24"/>
          <w:lang w:eastAsia="zh-CN"/>
        </w:rPr>
        <w:t>、</w:t>
      </w:r>
      <w:r>
        <w:rPr>
          <w:rFonts w:hint="eastAsia" w:ascii="Times New Roman" w:hAnsi="Times New Roman" w:eastAsia="宋体" w:cs="宋体"/>
          <w:kern w:val="0"/>
          <w:sz w:val="24"/>
        </w:rPr>
        <w:t>长期闲置的</w:t>
      </w:r>
      <w:r>
        <w:rPr>
          <w:rFonts w:hint="eastAsia" w:ascii="Times New Roman" w:hAnsi="Times New Roman" w:eastAsia="宋体" w:cs="宋体"/>
          <w:kern w:val="0"/>
          <w:sz w:val="24"/>
          <w:lang w:val="en-US" w:eastAsia="zh-CN"/>
        </w:rPr>
        <w:t>数据资产</w:t>
      </w:r>
      <w:r>
        <w:rPr>
          <w:rFonts w:hint="eastAsia" w:ascii="Times New Roman" w:hAnsi="Times New Roman" w:eastAsia="宋体" w:cs="宋体"/>
          <w:kern w:val="0"/>
          <w:sz w:val="24"/>
        </w:rPr>
        <w:t>进行下架操作。</w:t>
      </w:r>
    </w:p>
    <w:p w14:paraId="7A946205">
      <w:pPr>
        <w:keepNext w:val="0"/>
        <w:keepLines w:val="0"/>
        <w:pageBreakBefore w:val="0"/>
        <w:widowControl w:val="0"/>
        <w:numPr>
          <w:ilvl w:val="0"/>
          <w:numId w:val="7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数据量更新</w:t>
      </w:r>
    </w:p>
    <w:p w14:paraId="12AED4C3">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当数据表中的数据量发生变化时，可对其进行手动更新和可视化呈现。</w:t>
      </w:r>
    </w:p>
    <w:p w14:paraId="1C4F72D0">
      <w:pPr>
        <w:keepNext w:val="0"/>
        <w:keepLines w:val="0"/>
        <w:pageBreakBefore w:val="0"/>
        <w:widowControl w:val="0"/>
        <w:numPr>
          <w:ilvl w:val="0"/>
          <w:numId w:val="7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数据资产查询</w:t>
      </w:r>
    </w:p>
    <w:p w14:paraId="4932859D">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支持根据</w:t>
      </w:r>
      <w:r>
        <w:rPr>
          <w:rFonts w:hint="eastAsia" w:ascii="Times New Roman" w:hAnsi="Times New Roman" w:eastAsia="宋体" w:cs="宋体"/>
          <w:kern w:val="0"/>
          <w:sz w:val="24"/>
          <w:lang w:val="en-US" w:eastAsia="zh-CN"/>
        </w:rPr>
        <w:t>数据资产类型、数据来源、数源部门、共享级别、开放级别、状态</w:t>
      </w:r>
      <w:r>
        <w:rPr>
          <w:rFonts w:hint="eastAsia" w:ascii="Times New Roman" w:hAnsi="Times New Roman" w:eastAsia="宋体" w:cs="宋体"/>
          <w:kern w:val="0"/>
          <w:sz w:val="24"/>
        </w:rPr>
        <w:t>等条件对</w:t>
      </w:r>
      <w:r>
        <w:rPr>
          <w:rFonts w:hint="eastAsia" w:ascii="Times New Roman" w:hAnsi="Times New Roman" w:eastAsia="宋体" w:cs="宋体"/>
          <w:kern w:val="0"/>
          <w:sz w:val="24"/>
          <w:lang w:val="en-US" w:eastAsia="zh-CN"/>
        </w:rPr>
        <w:t>数据资产</w:t>
      </w:r>
      <w:r>
        <w:rPr>
          <w:rFonts w:hint="eastAsia" w:ascii="Times New Roman" w:hAnsi="Times New Roman" w:eastAsia="宋体" w:cs="宋体"/>
          <w:kern w:val="0"/>
          <w:sz w:val="24"/>
        </w:rPr>
        <w:t>进行精准查询和筛选，也支持关键词（</w:t>
      </w:r>
      <w:r>
        <w:rPr>
          <w:rFonts w:hint="eastAsia" w:ascii="Times New Roman" w:hAnsi="Times New Roman" w:eastAsia="宋体" w:cs="宋体"/>
          <w:kern w:val="0"/>
          <w:sz w:val="24"/>
          <w:lang w:val="en-US" w:eastAsia="zh-CN"/>
        </w:rPr>
        <w:t>资产</w:t>
      </w:r>
      <w:r>
        <w:rPr>
          <w:rFonts w:hint="eastAsia" w:ascii="Times New Roman" w:hAnsi="Times New Roman" w:eastAsia="宋体" w:cs="宋体"/>
          <w:kern w:val="0"/>
          <w:sz w:val="24"/>
        </w:rPr>
        <w:t>名称）模糊查询。</w:t>
      </w:r>
    </w:p>
    <w:p w14:paraId="1757F378">
      <w:pPr>
        <w:bidi w:val="0"/>
        <w:rPr>
          <w:lang w:val="en-US" w:eastAsia="zh-CN"/>
        </w:rPr>
      </w:pPr>
      <w:r>
        <w:rPr>
          <w:rFonts w:hint="eastAsia" w:ascii="宋体" w:hAnsi="宋体" w:eastAsia="宋体" w:cs="宋体"/>
          <w:sz w:val="24"/>
          <w:szCs w:val="24"/>
          <w:lang w:val="en-US" w:eastAsia="zh-CN" w:bidi="ar-SA"/>
        </w:rPr>
        <w:t>4.2.8.1.4</w:t>
      </w:r>
      <w:r>
        <w:rPr>
          <w:rFonts w:hint="eastAsia"/>
          <w:lang w:val="en-US" w:eastAsia="zh-CN"/>
        </w:rPr>
        <w:t>数据共享管理</w:t>
      </w:r>
    </w:p>
    <w:p w14:paraId="2DCB1349">
      <w:pPr>
        <w:widowControl/>
        <w:spacing w:line="360" w:lineRule="auto"/>
        <w:ind w:firstLine="496" w:firstLineChars="200"/>
        <w:rPr>
          <w:rFonts w:hint="eastAsia" w:ascii="宋体" w:hAnsi="宋体" w:eastAsia="宋体" w:cs="宋体"/>
          <w:kern w:val="0"/>
          <w:sz w:val="24"/>
          <w:lang w:bidi="ar"/>
        </w:rPr>
      </w:pPr>
      <w:r>
        <w:rPr>
          <w:rFonts w:hint="eastAsia" w:ascii="宋体" w:hAnsi="宋体" w:eastAsia="宋体" w:cs="宋体"/>
          <w:kern w:val="0"/>
          <w:sz w:val="24"/>
          <w:lang w:bidi="ar"/>
        </w:rPr>
        <w:t>数据共享开发主要提供</w:t>
      </w:r>
      <w:r>
        <w:rPr>
          <w:rFonts w:hint="eastAsia" w:ascii="宋体" w:hAnsi="宋体" w:eastAsia="宋体" w:cs="宋体"/>
          <w:kern w:val="0"/>
          <w:sz w:val="24"/>
          <w:lang w:val="en-US" w:eastAsia="zh-CN" w:bidi="ar"/>
        </w:rPr>
        <w:t>API接口注册、数据申请处理、接入应用管理、共享流程配置、接口调用日志</w:t>
      </w:r>
      <w:r>
        <w:rPr>
          <w:rFonts w:hint="eastAsia" w:ascii="宋体" w:hAnsi="宋体" w:eastAsia="宋体" w:cs="宋体"/>
          <w:kern w:val="0"/>
          <w:sz w:val="24"/>
          <w:lang w:bidi="ar"/>
        </w:rPr>
        <w:t>等</w:t>
      </w:r>
      <w:r>
        <w:rPr>
          <w:rFonts w:hint="eastAsia" w:ascii="宋体" w:hAnsi="宋体" w:eastAsia="宋体" w:cs="宋体"/>
          <w:kern w:val="0"/>
          <w:sz w:val="24"/>
          <w:lang w:val="en-US" w:eastAsia="zh-CN" w:bidi="ar"/>
        </w:rPr>
        <w:t>功能</w:t>
      </w:r>
      <w:r>
        <w:rPr>
          <w:rFonts w:hint="eastAsia" w:ascii="宋体" w:hAnsi="宋体" w:eastAsia="宋体" w:cs="宋体"/>
          <w:kern w:val="0"/>
          <w:sz w:val="24"/>
          <w:lang w:bidi="ar"/>
        </w:rPr>
        <w:t>，实现统一安全的共享开放服务，并实时监控数据共享情况，防止资源滥用，保障数据安全。</w:t>
      </w:r>
    </w:p>
    <w:p w14:paraId="56AF15E7">
      <w:pPr>
        <w:keepNext w:val="0"/>
        <w:keepLines w:val="0"/>
        <w:pageBreakBefore w:val="0"/>
        <w:widowControl/>
        <w:numPr>
          <w:ilvl w:val="0"/>
          <w:numId w:val="8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API接口注册</w:t>
      </w:r>
    </w:p>
    <w:p w14:paraId="5B24464F">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rPr>
        <w:t>对</w:t>
      </w:r>
      <w:r>
        <w:rPr>
          <w:rFonts w:hint="eastAsia" w:ascii="Times New Roman" w:hAnsi="Times New Roman" w:eastAsia="宋体" w:cs="宋体"/>
          <w:kern w:val="0"/>
          <w:sz w:val="24"/>
          <w:lang w:val="en-US" w:eastAsia="zh-CN"/>
        </w:rPr>
        <w:t>数据共享API接口进行统一管理，接口类型包括SQL接口和代理接口两大类</w:t>
      </w:r>
      <w:r>
        <w:rPr>
          <w:rFonts w:hint="eastAsia" w:ascii="Times New Roman" w:hAnsi="Times New Roman" w:eastAsia="宋体" w:cs="宋体"/>
          <w:kern w:val="0"/>
          <w:sz w:val="24"/>
        </w:rPr>
        <w:t>。</w:t>
      </w:r>
    </w:p>
    <w:p w14:paraId="308EB824">
      <w:pPr>
        <w:keepNext w:val="0"/>
        <w:keepLines w:val="0"/>
        <w:pageBreakBefore w:val="0"/>
        <w:widowControl/>
        <w:numPr>
          <w:ilvl w:val="0"/>
          <w:numId w:val="8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数据申请处理</w:t>
      </w:r>
    </w:p>
    <w:p w14:paraId="1CDBF07D">
      <w:pPr>
        <w:widowControl/>
        <w:spacing w:line="360" w:lineRule="auto"/>
        <w:ind w:firstLine="496" w:firstLineChars="200"/>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对需求部门提交的数据共享申请进行确认，并配置接口，完成后需求部门可进行数据调用。</w:t>
      </w:r>
    </w:p>
    <w:p w14:paraId="46C6B063">
      <w:pPr>
        <w:keepNext w:val="0"/>
        <w:keepLines w:val="0"/>
        <w:pageBreakBefore w:val="0"/>
        <w:widowControl/>
        <w:numPr>
          <w:ilvl w:val="0"/>
          <w:numId w:val="8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接入应用管理</w:t>
      </w:r>
    </w:p>
    <w:p w14:paraId="201655AB">
      <w:pPr>
        <w:widowControl/>
        <w:spacing w:line="360" w:lineRule="auto"/>
        <w:ind w:firstLine="496" w:firstLineChars="200"/>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对接入应用进行注册、授权等管理，支持接入应用的增删改查，并自动生成密钥供服务调用做限制使用。</w:t>
      </w:r>
    </w:p>
    <w:p w14:paraId="4A26CE3F">
      <w:pPr>
        <w:keepNext w:val="0"/>
        <w:keepLines w:val="0"/>
        <w:pageBreakBefore w:val="0"/>
        <w:widowControl/>
        <w:numPr>
          <w:ilvl w:val="0"/>
          <w:numId w:val="8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共享流程配置</w:t>
      </w:r>
    </w:p>
    <w:p w14:paraId="27C7A5CF">
      <w:pPr>
        <w:widowControl/>
        <w:spacing w:line="360" w:lineRule="auto"/>
        <w:ind w:firstLine="496" w:firstLineChars="200"/>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对不同安全等级的数据共享流程进行配置，包括是否需要申请部门审批、是否需要数源部门审批、是否需要管理部门审批等，支持多级审批机制，有效保障数据安全。</w:t>
      </w:r>
    </w:p>
    <w:p w14:paraId="0219CA0A">
      <w:pPr>
        <w:keepNext w:val="0"/>
        <w:keepLines w:val="0"/>
        <w:pageBreakBefore w:val="0"/>
        <w:widowControl/>
        <w:numPr>
          <w:ilvl w:val="0"/>
          <w:numId w:val="80"/>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接口调用日志</w:t>
      </w:r>
    </w:p>
    <w:p w14:paraId="64207035">
      <w:pPr>
        <w:widowControl/>
        <w:spacing w:line="360" w:lineRule="auto"/>
        <w:ind w:firstLine="496" w:firstLineChars="200"/>
        <w:rPr>
          <w:rFonts w:hint="eastAsia" w:ascii="宋体" w:hAnsi="宋体" w:eastAsia="宋体" w:cs="宋体"/>
          <w:kern w:val="0"/>
          <w:sz w:val="24"/>
          <w:lang w:bidi="ar"/>
        </w:rPr>
      </w:pPr>
      <w:r>
        <w:rPr>
          <w:rFonts w:hint="eastAsia" w:ascii="宋体" w:hAnsi="宋体" w:eastAsia="宋体" w:cs="宋体"/>
          <w:kern w:val="0"/>
          <w:sz w:val="24"/>
          <w:lang w:bidi="ar"/>
        </w:rPr>
        <w:t>自动生成</w:t>
      </w:r>
      <w:r>
        <w:rPr>
          <w:rFonts w:hint="eastAsia" w:ascii="宋体" w:hAnsi="宋体" w:eastAsia="宋体" w:cs="宋体"/>
          <w:kern w:val="0"/>
          <w:sz w:val="24"/>
          <w:lang w:val="en-US" w:eastAsia="zh-CN" w:bidi="ar"/>
        </w:rPr>
        <w:t>接口调用</w:t>
      </w:r>
      <w:r>
        <w:rPr>
          <w:rFonts w:hint="eastAsia" w:ascii="宋体" w:hAnsi="宋体" w:eastAsia="宋体" w:cs="宋体"/>
          <w:kern w:val="0"/>
          <w:sz w:val="24"/>
          <w:lang w:bidi="ar"/>
        </w:rPr>
        <w:t>日志，可查看</w:t>
      </w:r>
      <w:r>
        <w:rPr>
          <w:rFonts w:hint="eastAsia" w:ascii="宋体" w:hAnsi="宋体" w:eastAsia="宋体" w:cs="宋体"/>
          <w:kern w:val="0"/>
          <w:sz w:val="24"/>
          <w:lang w:val="en-US" w:eastAsia="zh-CN" w:bidi="ar"/>
        </w:rPr>
        <w:t>请求开始/结束时间、耗时、数据总量、异常信息、请求客户端IP等</w:t>
      </w:r>
      <w:r>
        <w:rPr>
          <w:rFonts w:hint="eastAsia" w:ascii="宋体" w:hAnsi="宋体" w:eastAsia="宋体" w:cs="宋体"/>
          <w:kern w:val="0"/>
          <w:sz w:val="24"/>
          <w:lang w:bidi="ar"/>
        </w:rPr>
        <w:t>。</w:t>
      </w:r>
    </w:p>
    <w:p w14:paraId="4294A1CB">
      <w:pPr>
        <w:bidi w:val="0"/>
        <w:rPr>
          <w:lang w:val="en-US" w:eastAsia="zh-CN"/>
        </w:rPr>
      </w:pPr>
      <w:r>
        <w:rPr>
          <w:rFonts w:hint="eastAsia" w:ascii="宋体" w:hAnsi="宋体" w:eastAsia="宋体" w:cs="宋体"/>
          <w:sz w:val="24"/>
          <w:szCs w:val="24"/>
          <w:lang w:val="en-US" w:eastAsia="zh-CN" w:bidi="ar-SA"/>
        </w:rPr>
        <w:t>4.2.8.1.5</w:t>
      </w:r>
      <w:r>
        <w:rPr>
          <w:rFonts w:hint="eastAsia"/>
          <w:lang w:val="en-US" w:eastAsia="zh-CN"/>
        </w:rPr>
        <w:t>数据服务门户</w:t>
      </w:r>
    </w:p>
    <w:p w14:paraId="74D97591">
      <w:pPr>
        <w:widowControl/>
        <w:spacing w:line="360" w:lineRule="auto"/>
        <w:ind w:firstLine="496" w:firstLineChars="200"/>
        <w:rPr>
          <w:rFonts w:hint="eastAsia" w:ascii="宋体" w:hAnsi="宋体" w:eastAsia="宋体" w:cs="宋体"/>
          <w:kern w:val="0"/>
          <w:sz w:val="24"/>
          <w:lang w:bidi="ar"/>
        </w:rPr>
      </w:pPr>
      <w:r>
        <w:rPr>
          <w:rFonts w:hint="eastAsia" w:ascii="宋体" w:hAnsi="宋体" w:eastAsia="宋体" w:cs="宋体"/>
          <w:kern w:val="0"/>
          <w:sz w:val="24"/>
          <w:lang w:val="en-US" w:eastAsia="zh-CN" w:bidi="ar"/>
        </w:rPr>
        <w:t>数据服务</w:t>
      </w:r>
      <w:r>
        <w:rPr>
          <w:rFonts w:hint="eastAsia" w:ascii="宋体" w:hAnsi="宋体" w:eastAsia="宋体" w:cs="宋体"/>
          <w:kern w:val="0"/>
          <w:sz w:val="24"/>
          <w:lang w:bidi="ar"/>
        </w:rPr>
        <w:t>门户主要面向各级领导及业务人员，实现数据资产可视化查看、数据资产快速查询、数据和服务的申请应用等。主要功能</w:t>
      </w:r>
      <w:r>
        <w:rPr>
          <w:rFonts w:hint="eastAsia" w:ascii="宋体" w:hAnsi="宋体" w:eastAsia="宋体" w:cs="宋体"/>
          <w:kern w:val="0"/>
          <w:sz w:val="24"/>
          <w:lang w:val="en-US" w:eastAsia="zh-CN" w:bidi="ar"/>
        </w:rPr>
        <w:t>包括</w:t>
      </w:r>
      <w:r>
        <w:rPr>
          <w:rFonts w:hint="eastAsia" w:ascii="宋体" w:hAnsi="宋体" w:eastAsia="宋体" w:cs="宋体"/>
          <w:kern w:val="0"/>
          <w:sz w:val="24"/>
          <w:lang w:bidi="ar"/>
        </w:rPr>
        <w:t>数据</w:t>
      </w:r>
      <w:r>
        <w:rPr>
          <w:rFonts w:hint="eastAsia" w:ascii="宋体" w:hAnsi="宋体" w:eastAsia="宋体" w:cs="宋体"/>
          <w:kern w:val="0"/>
          <w:sz w:val="24"/>
          <w:lang w:val="en-US" w:eastAsia="zh-CN" w:bidi="ar"/>
        </w:rPr>
        <w:t>总览</w:t>
      </w:r>
      <w:r>
        <w:rPr>
          <w:rFonts w:hint="eastAsia" w:ascii="宋体" w:hAnsi="宋体" w:eastAsia="宋体" w:cs="宋体"/>
          <w:kern w:val="0"/>
          <w:sz w:val="24"/>
          <w:lang w:bidi="ar"/>
        </w:rPr>
        <w:t>、数据资产、数据</w:t>
      </w:r>
      <w:r>
        <w:rPr>
          <w:rFonts w:hint="eastAsia" w:ascii="宋体" w:hAnsi="宋体" w:eastAsia="宋体" w:cs="宋体"/>
          <w:kern w:val="0"/>
          <w:sz w:val="24"/>
          <w:lang w:val="en-US" w:eastAsia="zh-CN" w:bidi="ar"/>
        </w:rPr>
        <w:t>目录、指标中心、主题分析等</w:t>
      </w:r>
      <w:r>
        <w:rPr>
          <w:rFonts w:hint="eastAsia" w:ascii="宋体" w:hAnsi="宋体" w:eastAsia="宋体" w:cs="宋体"/>
          <w:kern w:val="0"/>
          <w:sz w:val="24"/>
          <w:lang w:bidi="ar"/>
        </w:rPr>
        <w:t>。</w:t>
      </w:r>
    </w:p>
    <w:p w14:paraId="1F69B5A9">
      <w:pPr>
        <w:keepNext w:val="0"/>
        <w:keepLines w:val="0"/>
        <w:pageBreakBefore w:val="0"/>
        <w:widowControl/>
        <w:numPr>
          <w:ilvl w:val="0"/>
          <w:numId w:val="8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数据总览</w:t>
      </w:r>
    </w:p>
    <w:p w14:paraId="64F4EC11">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对数据资产进行全局分析，提供数据资产多级看板，对全量数据的总体情况以及归集、治理、加工、应用情况进行监控和可视化展示。</w:t>
      </w:r>
    </w:p>
    <w:p w14:paraId="72E6FA11">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总体情况</w:t>
      </w:r>
    </w:p>
    <w:p w14:paraId="0D005010">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rPr>
        <w:t>对</w:t>
      </w:r>
      <w:r>
        <w:rPr>
          <w:rFonts w:hint="eastAsia" w:ascii="Times New Roman" w:hAnsi="Times New Roman" w:eastAsia="宋体" w:cs="宋体"/>
          <w:kern w:val="0"/>
          <w:sz w:val="24"/>
          <w:lang w:val="en-US" w:eastAsia="zh-CN"/>
        </w:rPr>
        <w:t>数据资产数量、数据项、数据总量、磁盘容量以及数据归集概况、数据治理概况、数据加工概况、数据应用概况等</w:t>
      </w:r>
      <w:r>
        <w:rPr>
          <w:rFonts w:hint="eastAsia" w:ascii="Times New Roman" w:hAnsi="Times New Roman" w:eastAsia="宋体" w:cs="宋体"/>
          <w:kern w:val="0"/>
          <w:sz w:val="24"/>
        </w:rPr>
        <w:t>进行统计分析和</w:t>
      </w:r>
      <w:r>
        <w:rPr>
          <w:rFonts w:hint="eastAsia" w:ascii="Times New Roman" w:hAnsi="Times New Roman" w:eastAsia="宋体" w:cs="宋体"/>
          <w:kern w:val="0"/>
          <w:sz w:val="24"/>
          <w:lang w:val="en-US" w:eastAsia="zh-CN"/>
        </w:rPr>
        <w:t>可视化</w:t>
      </w:r>
      <w:r>
        <w:rPr>
          <w:rFonts w:hint="eastAsia" w:ascii="Times New Roman" w:hAnsi="Times New Roman" w:eastAsia="宋体" w:cs="宋体"/>
          <w:kern w:val="0"/>
          <w:sz w:val="24"/>
        </w:rPr>
        <w:t>呈现</w:t>
      </w:r>
      <w:r>
        <w:rPr>
          <w:rFonts w:hint="eastAsia" w:ascii="Times New Roman" w:hAnsi="Times New Roman" w:eastAsia="宋体" w:cs="宋体"/>
          <w:kern w:val="0"/>
          <w:sz w:val="24"/>
          <w:lang w:eastAsia="zh-CN"/>
        </w:rPr>
        <w:t>。</w:t>
      </w:r>
    </w:p>
    <w:p w14:paraId="0BEF9C1D">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数据归集</w:t>
      </w:r>
    </w:p>
    <w:p w14:paraId="274156AD">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rPr>
        <w:t>分析数据</w:t>
      </w:r>
      <w:r>
        <w:rPr>
          <w:rFonts w:hint="eastAsia" w:ascii="Times New Roman" w:hAnsi="Times New Roman" w:eastAsia="宋体" w:cs="宋体"/>
          <w:kern w:val="0"/>
          <w:sz w:val="24"/>
          <w:lang w:val="en-US" w:eastAsia="zh-CN"/>
        </w:rPr>
        <w:t>归集</w:t>
      </w:r>
      <w:r>
        <w:rPr>
          <w:rFonts w:hint="eastAsia" w:ascii="Times New Roman" w:hAnsi="Times New Roman" w:eastAsia="宋体" w:cs="宋体"/>
          <w:kern w:val="0"/>
          <w:sz w:val="24"/>
        </w:rPr>
        <w:t>情况，包括数据</w:t>
      </w:r>
      <w:r>
        <w:rPr>
          <w:rFonts w:hint="eastAsia" w:ascii="Times New Roman" w:hAnsi="Times New Roman" w:eastAsia="宋体" w:cs="宋体"/>
          <w:kern w:val="0"/>
          <w:sz w:val="24"/>
          <w:lang w:val="en-US" w:eastAsia="zh-CN"/>
        </w:rPr>
        <w:t>归集总</w:t>
      </w:r>
      <w:r>
        <w:rPr>
          <w:rFonts w:hint="eastAsia" w:ascii="Times New Roman" w:hAnsi="Times New Roman" w:eastAsia="宋体" w:cs="宋体"/>
          <w:kern w:val="0"/>
          <w:sz w:val="24"/>
        </w:rPr>
        <w:t>量、</w:t>
      </w:r>
      <w:r>
        <w:rPr>
          <w:rFonts w:hint="eastAsia" w:ascii="Times New Roman" w:hAnsi="Times New Roman" w:eastAsia="宋体" w:cs="宋体"/>
          <w:kern w:val="0"/>
          <w:sz w:val="24"/>
          <w:lang w:val="en-US" w:eastAsia="zh-CN"/>
        </w:rPr>
        <w:t>本月新增数据量、近一年新增数据量、上一日数据入库情况、数据来源分布情况、数据量增长情况</w:t>
      </w:r>
      <w:r>
        <w:rPr>
          <w:rFonts w:hint="eastAsia" w:ascii="Times New Roman" w:hAnsi="Times New Roman" w:eastAsia="宋体" w:cs="宋体"/>
          <w:kern w:val="0"/>
          <w:sz w:val="24"/>
        </w:rPr>
        <w:t>等，并对分析结果进行可视化展示。</w:t>
      </w:r>
    </w:p>
    <w:p w14:paraId="28D1D63F">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数据治理</w:t>
      </w:r>
    </w:p>
    <w:p w14:paraId="7F928A38">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rPr>
        <w:t>分析数据</w:t>
      </w:r>
      <w:r>
        <w:rPr>
          <w:rFonts w:hint="eastAsia" w:ascii="Times New Roman" w:hAnsi="Times New Roman" w:eastAsia="宋体" w:cs="宋体"/>
          <w:kern w:val="0"/>
          <w:sz w:val="24"/>
          <w:lang w:val="en-US" w:eastAsia="zh-CN"/>
        </w:rPr>
        <w:t>治理</w:t>
      </w:r>
      <w:r>
        <w:rPr>
          <w:rFonts w:hint="eastAsia" w:ascii="Times New Roman" w:hAnsi="Times New Roman" w:eastAsia="宋体" w:cs="宋体"/>
          <w:kern w:val="0"/>
          <w:sz w:val="24"/>
        </w:rPr>
        <w:t>情况，包括</w:t>
      </w:r>
      <w:r>
        <w:rPr>
          <w:rFonts w:hint="eastAsia" w:ascii="Times New Roman" w:hAnsi="Times New Roman" w:eastAsia="宋体" w:cs="宋体"/>
          <w:kern w:val="0"/>
          <w:sz w:val="24"/>
          <w:lang w:val="en-US" w:eastAsia="zh-CN"/>
        </w:rPr>
        <w:t>数据质量总分、各表数据质量评分、</w:t>
      </w:r>
      <w:r>
        <w:rPr>
          <w:rFonts w:hint="eastAsia" w:ascii="Times New Roman" w:hAnsi="Times New Roman" w:eastAsia="宋体" w:cs="宋体"/>
          <w:kern w:val="0"/>
          <w:sz w:val="24"/>
        </w:rPr>
        <w:t>总质检任务数、总检查次数、总检查数据量、问题数据量、问题数据占比、质检报告数量等，并对分析结果进行可视化展示。</w:t>
      </w:r>
    </w:p>
    <w:p w14:paraId="238BF4BD">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数据加工</w:t>
      </w:r>
    </w:p>
    <w:p w14:paraId="424D2335">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rPr>
        <w:t>分析数据</w:t>
      </w:r>
      <w:r>
        <w:rPr>
          <w:rFonts w:hint="eastAsia" w:ascii="Times New Roman" w:hAnsi="Times New Roman" w:eastAsia="宋体" w:cs="宋体"/>
          <w:kern w:val="0"/>
          <w:sz w:val="24"/>
          <w:lang w:val="en-US" w:eastAsia="zh-CN"/>
        </w:rPr>
        <w:t>加工</w:t>
      </w:r>
      <w:r>
        <w:rPr>
          <w:rFonts w:hint="eastAsia" w:ascii="Times New Roman" w:hAnsi="Times New Roman" w:eastAsia="宋体" w:cs="宋体"/>
          <w:kern w:val="0"/>
          <w:sz w:val="24"/>
        </w:rPr>
        <w:t>情况，包括</w:t>
      </w:r>
      <w:r>
        <w:rPr>
          <w:rFonts w:hint="eastAsia" w:ascii="Times New Roman" w:hAnsi="Times New Roman" w:eastAsia="宋体" w:cs="宋体"/>
          <w:kern w:val="0"/>
          <w:sz w:val="24"/>
          <w:lang w:val="en-US" w:eastAsia="zh-CN"/>
        </w:rPr>
        <w:t>需求提交数量、指标总数、指标模型数、指标数据量、各主题域指标占比</w:t>
      </w:r>
      <w:r>
        <w:rPr>
          <w:rFonts w:hint="eastAsia" w:ascii="Times New Roman" w:hAnsi="Times New Roman" w:eastAsia="宋体" w:cs="宋体"/>
          <w:kern w:val="0"/>
          <w:sz w:val="24"/>
        </w:rPr>
        <w:t>等，并对分析结果进行可视化展示。</w:t>
      </w:r>
    </w:p>
    <w:p w14:paraId="6B757141">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数据应用</w:t>
      </w:r>
    </w:p>
    <w:p w14:paraId="7B82FDF0">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分析数据</w:t>
      </w:r>
      <w:r>
        <w:rPr>
          <w:rFonts w:hint="eastAsia" w:ascii="Times New Roman" w:hAnsi="Times New Roman" w:eastAsia="宋体" w:cs="宋体"/>
          <w:kern w:val="0"/>
          <w:sz w:val="24"/>
          <w:lang w:val="en-US" w:eastAsia="zh-CN"/>
        </w:rPr>
        <w:t>应用</w:t>
      </w:r>
      <w:r>
        <w:rPr>
          <w:rFonts w:hint="eastAsia" w:ascii="Times New Roman" w:hAnsi="Times New Roman" w:eastAsia="宋体" w:cs="宋体"/>
          <w:kern w:val="0"/>
          <w:sz w:val="24"/>
        </w:rPr>
        <w:t>情况，包括</w:t>
      </w:r>
      <w:r>
        <w:rPr>
          <w:rFonts w:hint="eastAsia" w:ascii="Times New Roman" w:hAnsi="Times New Roman" w:eastAsia="宋体" w:cs="宋体"/>
          <w:kern w:val="0"/>
          <w:sz w:val="24"/>
          <w:lang w:val="en-US" w:eastAsia="zh-CN"/>
        </w:rPr>
        <w:t>共享目录数量、资源申请总量、资源调用情况、各部门申请共享情况、今日调用情况、热门资源、最新资源、各部门申请量排行</w:t>
      </w:r>
      <w:r>
        <w:rPr>
          <w:rFonts w:hint="eastAsia" w:ascii="Times New Roman" w:hAnsi="Times New Roman" w:eastAsia="宋体" w:cs="宋体"/>
          <w:kern w:val="0"/>
          <w:sz w:val="24"/>
        </w:rPr>
        <w:t>等，并对分析结果进行可视化展示。</w:t>
      </w:r>
    </w:p>
    <w:p w14:paraId="2CF85FFC">
      <w:pPr>
        <w:keepNext w:val="0"/>
        <w:keepLines w:val="0"/>
        <w:pageBreakBefore w:val="0"/>
        <w:widowControl/>
        <w:numPr>
          <w:ilvl w:val="0"/>
          <w:numId w:val="8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数据资产</w:t>
      </w:r>
    </w:p>
    <w:p w14:paraId="0EC1F44A">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数据资产查看的统一入口，基于数据资产目录和搜索引擎实现数据</w:t>
      </w:r>
      <w:r>
        <w:rPr>
          <w:rFonts w:hint="eastAsia" w:ascii="Times New Roman" w:hAnsi="Times New Roman" w:eastAsia="宋体" w:cs="宋体"/>
          <w:kern w:val="0"/>
          <w:sz w:val="24"/>
          <w:lang w:val="en-US" w:eastAsia="zh-CN"/>
        </w:rPr>
        <w:t>表、标准文件、标准代码、标准元数据</w:t>
      </w:r>
      <w:r>
        <w:rPr>
          <w:rFonts w:hint="eastAsia" w:ascii="Times New Roman" w:hAnsi="Times New Roman" w:eastAsia="宋体" w:cs="宋体"/>
          <w:kern w:val="0"/>
          <w:sz w:val="24"/>
        </w:rPr>
        <w:t>的快速定位和综合查询</w:t>
      </w:r>
      <w:r>
        <w:rPr>
          <w:rFonts w:hint="eastAsia" w:ascii="Times New Roman" w:hAnsi="Times New Roman" w:eastAsia="宋体" w:cs="宋体"/>
          <w:kern w:val="0"/>
          <w:sz w:val="24"/>
          <w:lang w:eastAsia="zh-CN"/>
        </w:rPr>
        <w:t>。</w:t>
      </w:r>
    </w:p>
    <w:p w14:paraId="74199D85">
      <w:pPr>
        <w:keepNext w:val="0"/>
        <w:keepLines w:val="0"/>
        <w:pageBreakBefore w:val="0"/>
        <w:widowControl w:val="0"/>
        <w:numPr>
          <w:ilvl w:val="0"/>
          <w:numId w:val="83"/>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数据资产查询</w:t>
      </w:r>
    </w:p>
    <w:p w14:paraId="7D340EE1">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可基于数据类型、共享级别、开放级别、安全等级、主题域、数据来源等进行数据资产筛选，支持关键词（数据资产名称）模糊查询，支持按上架时间、数据量、数据项、重要程度等排序查看；提供数据资产列表，可查看数据资产详情，包括基本信息、数据项、数据血缘、索引信息、数据趋势等。</w:t>
      </w:r>
    </w:p>
    <w:p w14:paraId="4A76DB02">
      <w:pPr>
        <w:keepNext w:val="0"/>
        <w:keepLines w:val="0"/>
        <w:pageBreakBefore w:val="0"/>
        <w:widowControl w:val="0"/>
        <w:numPr>
          <w:ilvl w:val="0"/>
          <w:numId w:val="83"/>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标准文件查询</w:t>
      </w:r>
    </w:p>
    <w:p w14:paraId="12C8BFEB">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可基于启用状态、标准层级、标准分类等进行标准文件筛选，支持关键词（标准文件名称）模糊查询，支持按相关标准代码、上架时间等排序查看；提供标准文件列表，可查看在线预览和下载。</w:t>
      </w:r>
    </w:p>
    <w:p w14:paraId="227A0490">
      <w:pPr>
        <w:keepNext w:val="0"/>
        <w:keepLines w:val="0"/>
        <w:pageBreakBefore w:val="0"/>
        <w:widowControl w:val="0"/>
        <w:numPr>
          <w:ilvl w:val="0"/>
          <w:numId w:val="83"/>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代码标准查询</w:t>
      </w:r>
    </w:p>
    <w:p w14:paraId="28C12D62">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可基于标准分类、所属标准等进行代码标准筛选，支持关键词（代码标准名称）模糊查询，支持按代码项数、创建时间等排序查看；提供代码标准列表，可查看代码标准详情，包括标准代码名称、标准代码、所属标准、标准分类、标准代码说明等。</w:t>
      </w:r>
    </w:p>
    <w:p w14:paraId="003D34B1">
      <w:pPr>
        <w:keepNext w:val="0"/>
        <w:keepLines w:val="0"/>
        <w:pageBreakBefore w:val="0"/>
        <w:widowControl w:val="0"/>
        <w:numPr>
          <w:ilvl w:val="0"/>
          <w:numId w:val="83"/>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元数据标准查询</w:t>
      </w:r>
    </w:p>
    <w:p w14:paraId="63669DCF">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lang w:val="en-US" w:eastAsia="zh-CN"/>
        </w:rPr>
        <w:t>可基于标准层级、所属标准等进行元数据标准筛选，支持关键词（元数据标准名称）模糊查询</w:t>
      </w:r>
      <w:r>
        <w:rPr>
          <w:rFonts w:hint="default" w:ascii="Times New Roman" w:hAnsi="Times New Roman" w:eastAsia="宋体" w:cs="宋体"/>
          <w:kern w:val="0"/>
          <w:sz w:val="24"/>
          <w:lang w:val="en-US" w:eastAsia="zh-CN" w:bidi="ar"/>
        </w:rPr>
        <w:t>，</w:t>
      </w:r>
      <w:r>
        <w:rPr>
          <w:rFonts w:hint="eastAsia" w:ascii="Times New Roman" w:hAnsi="Times New Roman" w:eastAsia="宋体" w:cs="宋体"/>
          <w:kern w:val="0"/>
          <w:sz w:val="24"/>
          <w:lang w:val="en-US" w:eastAsia="zh-CN"/>
        </w:rPr>
        <w:t>支持按元数据代码、元数据名称、创建时间等排序查看；提供元数据标准列表，可查看元数据名称、元数据说明、相关元数据、所属标准、数据类型、数据长度等</w:t>
      </w:r>
      <w:r>
        <w:rPr>
          <w:rFonts w:hint="eastAsia" w:ascii="Times New Roman" w:hAnsi="Times New Roman" w:eastAsia="宋体" w:cs="宋体"/>
          <w:kern w:val="0"/>
          <w:sz w:val="24"/>
        </w:rPr>
        <w:t>。</w:t>
      </w:r>
    </w:p>
    <w:p w14:paraId="40003FA8">
      <w:pPr>
        <w:keepNext w:val="0"/>
        <w:keepLines w:val="0"/>
        <w:pageBreakBefore w:val="0"/>
        <w:widowControl/>
        <w:numPr>
          <w:ilvl w:val="0"/>
          <w:numId w:val="8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数据目录</w:t>
      </w:r>
    </w:p>
    <w:p w14:paraId="68D0CDB5">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数据共享申请和访问的统一入口，基于数据分类分级要求，面向各业务部门人员提供数据共享服务。</w:t>
      </w:r>
    </w:p>
    <w:p w14:paraId="41EEAA49">
      <w:pPr>
        <w:keepNext w:val="0"/>
        <w:keepLines w:val="0"/>
        <w:pageBreakBefore w:val="0"/>
        <w:widowControl w:val="0"/>
        <w:numPr>
          <w:ilvl w:val="0"/>
          <w:numId w:val="8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数据共享资源查询</w:t>
      </w:r>
    </w:p>
    <w:p w14:paraId="338CA1CB">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可基于数据类型、共享级别、开放级别、安全等级、主题域、数据来源等进行数据共享资源筛选，支持关键词（数据资产名称）模糊查询，支持按上架时间、数据量、数据项、重要程度等排序查看；提供数据共享资源列表，可查看资源名称、主题域、共享级别、开放级别、数据量、数据项详情等。</w:t>
      </w:r>
    </w:p>
    <w:p w14:paraId="03486DE2">
      <w:pPr>
        <w:keepNext w:val="0"/>
        <w:keepLines w:val="0"/>
        <w:pageBreakBefore w:val="0"/>
        <w:widowControl w:val="0"/>
        <w:numPr>
          <w:ilvl w:val="0"/>
          <w:numId w:val="84"/>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数据共享申请</w:t>
      </w:r>
    </w:p>
    <w:p w14:paraId="7C1B0B2D">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可通过数据共享资源目录预览数据项，提供数据申请和API申请两种类型，数据申请可将所需数据加入申请车，批量提交数据共享申请，API申请需逐个申请，申请审核通过后进行数据调用。</w:t>
      </w:r>
    </w:p>
    <w:p w14:paraId="672A3ECA">
      <w:pPr>
        <w:keepNext w:val="0"/>
        <w:keepLines w:val="0"/>
        <w:pageBreakBefore w:val="0"/>
        <w:widowControl/>
        <w:numPr>
          <w:ilvl w:val="0"/>
          <w:numId w:val="81"/>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个人中心</w:t>
      </w:r>
    </w:p>
    <w:p w14:paraId="32472B90">
      <w:pPr>
        <w:widowControl/>
        <w:spacing w:line="360" w:lineRule="auto"/>
        <w:ind w:firstLine="496"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面向用户提供个人申请、审批、管理等的统一入口，主要功能包括我的审批、我的申请、申请单管理、我的应用、资产定级、接口策略、指标分析、我的专题等。</w:t>
      </w:r>
    </w:p>
    <w:p w14:paraId="37360A24">
      <w:pPr>
        <w:bidi w:val="0"/>
        <w:rPr>
          <w:lang w:val="en-US" w:eastAsia="zh-CN"/>
        </w:rPr>
      </w:pPr>
      <w:r>
        <w:rPr>
          <w:rFonts w:hint="eastAsia" w:ascii="宋体" w:hAnsi="宋体" w:eastAsia="宋体" w:cs="宋体"/>
          <w:sz w:val="24"/>
          <w:szCs w:val="24"/>
          <w:lang w:val="en-US" w:eastAsia="zh-CN" w:bidi="ar-SA"/>
        </w:rPr>
        <w:t>4.2.8.1.6</w:t>
      </w:r>
      <w:r>
        <w:rPr>
          <w:rFonts w:hint="eastAsia"/>
          <w:lang w:val="en-US" w:eastAsia="zh-CN"/>
        </w:rPr>
        <w:t>数据标签管理</w:t>
      </w:r>
    </w:p>
    <w:p w14:paraId="2B8F5DC2">
      <w:pPr>
        <w:widowControl/>
        <w:spacing w:line="360" w:lineRule="auto"/>
        <w:ind w:firstLine="496" w:firstLineChars="200"/>
        <w:rPr>
          <w:rFonts w:hint="eastAsia" w:ascii="宋体" w:hAnsi="宋体" w:eastAsia="宋体" w:cs="宋体"/>
          <w:kern w:val="0"/>
          <w:sz w:val="24"/>
          <w:lang w:bidi="ar"/>
        </w:rPr>
      </w:pPr>
      <w:r>
        <w:rPr>
          <w:rFonts w:hint="eastAsia" w:ascii="宋体" w:hAnsi="宋体" w:eastAsia="宋体" w:cs="宋体"/>
          <w:kern w:val="0"/>
          <w:sz w:val="24"/>
          <w:lang w:bidi="ar"/>
        </w:rPr>
        <w:t>面向对象建模，打通跨</w:t>
      </w:r>
      <w:r>
        <w:rPr>
          <w:rFonts w:hint="eastAsia" w:ascii="宋体" w:hAnsi="宋体" w:eastAsia="宋体" w:cs="宋体"/>
          <w:kern w:val="0"/>
          <w:sz w:val="24"/>
          <w:lang w:eastAsia="zh-CN" w:bidi="ar"/>
        </w:rPr>
        <w:t>业务板块</w:t>
      </w:r>
      <w:r>
        <w:rPr>
          <w:rFonts w:hint="eastAsia" w:ascii="宋体" w:hAnsi="宋体" w:eastAsia="宋体" w:cs="宋体"/>
          <w:kern w:val="0"/>
          <w:sz w:val="24"/>
          <w:lang w:bidi="ar"/>
        </w:rPr>
        <w:t>、数据域的对象数据，构建用户标签体系，</w:t>
      </w:r>
      <w:r>
        <w:rPr>
          <w:rFonts w:hint="eastAsia" w:ascii="宋体" w:hAnsi="宋体" w:eastAsia="宋体" w:cs="宋体"/>
          <w:kern w:val="0"/>
          <w:sz w:val="24"/>
          <w:lang w:val="en-US" w:eastAsia="zh-CN" w:bidi="ar"/>
        </w:rPr>
        <w:t>对用户标签进行统一加工、全生命周期管理</w:t>
      </w:r>
      <w:r>
        <w:rPr>
          <w:rFonts w:hint="eastAsia" w:ascii="宋体" w:hAnsi="宋体" w:eastAsia="宋体" w:cs="宋体"/>
          <w:kern w:val="0"/>
          <w:sz w:val="24"/>
          <w:lang w:bidi="ar"/>
        </w:rPr>
        <w:t>。</w:t>
      </w:r>
    </w:p>
    <w:p w14:paraId="3C53932D">
      <w:pPr>
        <w:keepNext w:val="0"/>
        <w:keepLines w:val="0"/>
        <w:pageBreakBefore w:val="0"/>
        <w:widowControl/>
        <w:numPr>
          <w:ilvl w:val="0"/>
          <w:numId w:val="8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对象管理</w:t>
      </w:r>
    </w:p>
    <w:p w14:paraId="60A89A41">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对分析对象的基本属性和行为数据进行统一管理。包括分析对象创建、分析对象行为配置、分析对象维护、分析对象总览等。</w:t>
      </w:r>
    </w:p>
    <w:p w14:paraId="23B6A68C">
      <w:pPr>
        <w:keepNext w:val="0"/>
        <w:keepLines w:val="0"/>
        <w:pageBreakBefore w:val="0"/>
        <w:widowControl w:val="0"/>
        <w:numPr>
          <w:ilvl w:val="0"/>
          <w:numId w:val="8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分析对象创建</w:t>
      </w:r>
    </w:p>
    <w:p w14:paraId="5218FD99">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支持新建分析对象，对对象编码、对象名称、对象描述、数据仓库、来源维表等信息进行配置。</w:t>
      </w:r>
    </w:p>
    <w:p w14:paraId="4178D9A3">
      <w:pPr>
        <w:keepNext w:val="0"/>
        <w:keepLines w:val="0"/>
        <w:pageBreakBefore w:val="0"/>
        <w:widowControl w:val="0"/>
        <w:numPr>
          <w:ilvl w:val="0"/>
          <w:numId w:val="8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分析对象基础属性配置</w:t>
      </w:r>
    </w:p>
    <w:p w14:paraId="481576FC">
      <w:pPr>
        <w:widowControl/>
        <w:spacing w:line="360" w:lineRule="auto"/>
        <w:ind w:firstLine="496" w:firstLineChars="200"/>
        <w:rPr>
          <w:rFonts w:hint="eastAsia" w:ascii="Times New Roman" w:hAnsi="Times New Roman" w:eastAsia="宋体" w:cs="宋体"/>
          <w:kern w:val="0"/>
          <w:sz w:val="24"/>
          <w:lang w:val="en-US" w:eastAsia="zh-CN" w:bidi="ar"/>
        </w:rPr>
      </w:pPr>
      <w:r>
        <w:rPr>
          <w:rFonts w:hint="eastAsia" w:ascii="Times New Roman" w:hAnsi="Times New Roman" w:eastAsia="宋体" w:cs="宋体"/>
          <w:kern w:val="0"/>
          <w:sz w:val="24"/>
          <w:lang w:val="en-US" w:eastAsia="zh-CN"/>
        </w:rPr>
        <w:t>基于已创建的分析对象，对其基础属性进行配置，包括属性编码、属性名称、来源表、来源字段、表达式、属性分类、数据字典等。</w:t>
      </w:r>
    </w:p>
    <w:p w14:paraId="5D17A470">
      <w:pPr>
        <w:keepNext w:val="0"/>
        <w:keepLines w:val="0"/>
        <w:pageBreakBefore w:val="0"/>
        <w:widowControl w:val="0"/>
        <w:numPr>
          <w:ilvl w:val="0"/>
          <w:numId w:val="8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分析对象行为配置</w:t>
      </w:r>
    </w:p>
    <w:p w14:paraId="5E16F341">
      <w:pPr>
        <w:widowControl/>
        <w:spacing w:line="360" w:lineRule="auto"/>
        <w:ind w:firstLine="496" w:firstLineChars="200"/>
        <w:rPr>
          <w:rFonts w:hint="eastAsia" w:ascii="Times New Roman" w:hAnsi="Times New Roman" w:eastAsia="宋体" w:cs="宋体"/>
          <w:kern w:val="0"/>
          <w:sz w:val="24"/>
          <w:lang w:bidi="ar"/>
        </w:rPr>
      </w:pPr>
      <w:r>
        <w:rPr>
          <w:rFonts w:hint="eastAsia" w:ascii="Times New Roman" w:hAnsi="Times New Roman" w:eastAsia="宋体" w:cs="宋体"/>
          <w:kern w:val="0"/>
          <w:sz w:val="24"/>
        </w:rPr>
        <w:t>基于已创建的分析对象，对其行为进行配置，以支撑行为分析。配置内容包括行为名称、分析对象、行为表、主体列、时间列、时间粒度、过滤条件、行为描述、行为指标等。</w:t>
      </w:r>
    </w:p>
    <w:p w14:paraId="5BE906D9">
      <w:pPr>
        <w:keepNext w:val="0"/>
        <w:keepLines w:val="0"/>
        <w:pageBreakBefore w:val="0"/>
        <w:widowControl w:val="0"/>
        <w:numPr>
          <w:ilvl w:val="0"/>
          <w:numId w:val="8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分析对象维护</w:t>
      </w:r>
    </w:p>
    <w:p w14:paraId="49D39946">
      <w:pPr>
        <w:widowControl/>
        <w:spacing w:line="360" w:lineRule="auto"/>
        <w:ind w:firstLine="496" w:firstLineChars="200"/>
        <w:rPr>
          <w:rFonts w:hint="eastAsia" w:ascii="Times New Roman" w:hAnsi="Times New Roman" w:eastAsia="宋体" w:cs="宋体"/>
          <w:kern w:val="0"/>
          <w:sz w:val="24"/>
          <w:lang w:bidi="ar"/>
        </w:rPr>
      </w:pPr>
      <w:r>
        <w:rPr>
          <w:rFonts w:hint="eastAsia" w:ascii="Times New Roman" w:hAnsi="Times New Roman" w:eastAsia="宋体" w:cs="宋体"/>
          <w:kern w:val="0"/>
          <w:sz w:val="24"/>
        </w:rPr>
        <w:t>支持对分析对象的基础信息、行为信息等进行编辑、删除等操作，删除对象将会同时删除对象下面所有的标签、分群及分类。</w:t>
      </w:r>
    </w:p>
    <w:p w14:paraId="521F33B6">
      <w:pPr>
        <w:keepNext w:val="0"/>
        <w:keepLines w:val="0"/>
        <w:pageBreakBefore w:val="0"/>
        <w:widowControl w:val="0"/>
        <w:numPr>
          <w:ilvl w:val="0"/>
          <w:numId w:val="8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分析对象总览</w:t>
      </w:r>
    </w:p>
    <w:p w14:paraId="57690063">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提供分析对象总览页面，可查看所有已创建分析对象的分类数量、标签数量、分群数量、行为数量等，并支持查看详情。</w:t>
      </w:r>
    </w:p>
    <w:p w14:paraId="2C43BF09">
      <w:pPr>
        <w:keepNext w:val="0"/>
        <w:keepLines w:val="0"/>
        <w:pageBreakBefore w:val="0"/>
        <w:widowControl/>
        <w:numPr>
          <w:ilvl w:val="0"/>
          <w:numId w:val="8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标签管理</w:t>
      </w:r>
    </w:p>
    <w:p w14:paraId="78418F23">
      <w:pPr>
        <w:widowControl/>
        <w:spacing w:line="360" w:lineRule="auto"/>
        <w:ind w:firstLine="496" w:firstLineChars="200"/>
        <w:rPr>
          <w:rFonts w:ascii="Times New Roman" w:hAnsi="Times New Roman" w:eastAsia="宋体" w:cs="宋体"/>
          <w:kern w:val="0"/>
          <w:sz w:val="24"/>
        </w:rPr>
      </w:pPr>
      <w:r>
        <w:rPr>
          <w:rFonts w:hint="eastAsia" w:ascii="Times New Roman" w:hAnsi="Times New Roman" w:eastAsia="宋体" w:cs="宋体"/>
          <w:kern w:val="0"/>
          <w:sz w:val="24"/>
        </w:rPr>
        <w:t>数据标签生命周期管理包括标签分类管理、标签定义、标签发布、标签执行、标签下架、标签数据查看等。</w:t>
      </w:r>
    </w:p>
    <w:p w14:paraId="4A24BA32">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标签分类管理</w:t>
      </w:r>
    </w:p>
    <w:p w14:paraId="7F7F3D6D">
      <w:pPr>
        <w:widowControl/>
        <w:spacing w:line="360" w:lineRule="auto"/>
        <w:ind w:firstLine="496" w:firstLineChars="200"/>
        <w:rPr>
          <w:rFonts w:hint="eastAsia" w:ascii="Times New Roman" w:hAnsi="Times New Roman" w:eastAsia="宋体" w:cs="宋体"/>
          <w:kern w:val="0"/>
          <w:sz w:val="24"/>
          <w:lang w:bidi="ar"/>
        </w:rPr>
      </w:pPr>
      <w:r>
        <w:rPr>
          <w:rFonts w:hint="eastAsia" w:ascii="Times New Roman" w:hAnsi="Times New Roman" w:eastAsia="宋体" w:cs="宋体"/>
          <w:kern w:val="0"/>
          <w:sz w:val="24"/>
        </w:rPr>
        <w:t>支持新建标签类型，对标签</w:t>
      </w:r>
      <w:r>
        <w:rPr>
          <w:rFonts w:hint="eastAsia" w:ascii="Times New Roman" w:hAnsi="Times New Roman" w:eastAsia="宋体" w:cs="宋体"/>
          <w:kern w:val="0"/>
          <w:sz w:val="24"/>
          <w:lang w:val="en-US" w:eastAsia="zh-CN"/>
        </w:rPr>
        <w:t>分级</w:t>
      </w:r>
      <w:r>
        <w:rPr>
          <w:rFonts w:hint="eastAsia" w:ascii="Times New Roman" w:hAnsi="Times New Roman" w:eastAsia="宋体" w:cs="宋体"/>
          <w:kern w:val="0"/>
          <w:sz w:val="24"/>
        </w:rPr>
        <w:t>分类、分类名称、分类编码、分类说明等信息进行配置，实现标签按业务属性进行树形结构的分类和分组管理，结构化展现所有标签数据；支持标签类型的编辑、删除等操作。</w:t>
      </w:r>
    </w:p>
    <w:p w14:paraId="53B543B0">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标签定义</w:t>
      </w:r>
    </w:p>
    <w:p w14:paraId="088E7B1F">
      <w:pPr>
        <w:widowControl/>
        <w:spacing w:line="360" w:lineRule="auto"/>
        <w:ind w:firstLine="496" w:firstLineChars="200"/>
        <w:rPr>
          <w:rFonts w:hint="eastAsia" w:ascii="Times New Roman" w:hAnsi="Times New Roman" w:eastAsia="宋体" w:cs="宋体"/>
          <w:kern w:val="0"/>
          <w:sz w:val="24"/>
          <w:lang w:bidi="ar"/>
        </w:rPr>
      </w:pPr>
      <w:r>
        <w:rPr>
          <w:rFonts w:hint="eastAsia" w:ascii="Times New Roman" w:hAnsi="Times New Roman" w:eastAsia="宋体" w:cs="宋体"/>
          <w:kern w:val="0"/>
          <w:sz w:val="24"/>
        </w:rPr>
        <w:t>支持自定义sql和条件选择两种定义方式。条件选择方式，可根据对象属性和行为条件组合定义，无需编写SQL。同一标签只有一个定义口径，统一输出接口，改变之前需要针对不同的业务系统开发相同标签，不同口径，不同接口的情况。</w:t>
      </w:r>
    </w:p>
    <w:p w14:paraId="68478643">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标签发布</w:t>
      </w:r>
    </w:p>
    <w:p w14:paraId="5B8A0AE4">
      <w:pPr>
        <w:widowControl/>
        <w:spacing w:line="360" w:lineRule="auto"/>
        <w:ind w:firstLine="496" w:firstLineChars="200"/>
        <w:rPr>
          <w:rFonts w:hint="eastAsia" w:ascii="Times New Roman" w:hAnsi="Times New Roman" w:eastAsia="宋体" w:cs="宋体"/>
          <w:kern w:val="0"/>
          <w:sz w:val="24"/>
          <w:lang w:bidi="ar"/>
        </w:rPr>
      </w:pPr>
      <w:r>
        <w:rPr>
          <w:rFonts w:hint="eastAsia" w:ascii="Times New Roman" w:hAnsi="Times New Roman" w:eastAsia="宋体" w:cs="宋体"/>
          <w:kern w:val="0"/>
          <w:sz w:val="24"/>
        </w:rPr>
        <w:t>基于数据开发引擎进行标签加工，加工完成后的标签需进行发布上架，只有发布过的标签才可执行。</w:t>
      </w:r>
    </w:p>
    <w:p w14:paraId="4F1A6B95">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标签执行</w:t>
      </w:r>
    </w:p>
    <w:p w14:paraId="71FF254A">
      <w:pPr>
        <w:widowControl/>
        <w:spacing w:line="360" w:lineRule="auto"/>
        <w:ind w:firstLine="496" w:firstLineChars="200"/>
        <w:rPr>
          <w:rFonts w:hint="eastAsia" w:ascii="Times New Roman" w:hAnsi="Times New Roman" w:eastAsia="宋体" w:cs="宋体"/>
          <w:kern w:val="0"/>
          <w:sz w:val="24"/>
        </w:rPr>
      </w:pPr>
      <w:r>
        <w:rPr>
          <w:rFonts w:hint="eastAsia" w:ascii="Times New Roman" w:hAnsi="Times New Roman" w:eastAsia="宋体" w:cs="宋体"/>
          <w:kern w:val="0"/>
          <w:sz w:val="24"/>
        </w:rPr>
        <w:t>执行是指标签发布后，通过自动或者手动的运行，对目标分析对象或业务过程完成标注的过程。</w:t>
      </w:r>
    </w:p>
    <w:p w14:paraId="77398191">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标签下架</w:t>
      </w:r>
    </w:p>
    <w:p w14:paraId="35B8D1CE">
      <w:pPr>
        <w:widowControl/>
        <w:spacing w:line="360" w:lineRule="auto"/>
        <w:ind w:firstLine="496" w:firstLineChars="200"/>
        <w:rPr>
          <w:rFonts w:hint="eastAsia" w:ascii="Times New Roman" w:hAnsi="Times New Roman" w:eastAsia="宋体" w:cs="宋体"/>
          <w:kern w:val="0"/>
          <w:sz w:val="24"/>
          <w:lang w:bidi="ar"/>
        </w:rPr>
      </w:pPr>
      <w:r>
        <w:rPr>
          <w:rFonts w:hint="eastAsia" w:ascii="Times New Roman" w:hAnsi="Times New Roman" w:eastAsia="宋体" w:cs="宋体"/>
          <w:kern w:val="0"/>
          <w:sz w:val="24"/>
        </w:rPr>
        <w:t>标签根据需求变更不再适用或者经过评估后被认定为长期闲置，且不影响其他标签的应用，可以实施下架。</w:t>
      </w:r>
    </w:p>
    <w:p w14:paraId="519E3363">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标签数据查看</w:t>
      </w:r>
    </w:p>
    <w:p w14:paraId="60E3725F">
      <w:pPr>
        <w:widowControl/>
        <w:spacing w:line="360" w:lineRule="auto"/>
        <w:ind w:firstLine="480" w:firstLineChars="0"/>
        <w:rPr>
          <w:rFonts w:hint="eastAsia" w:ascii="Times New Roman" w:hAnsi="Times New Roman" w:eastAsia="宋体" w:cs="宋体"/>
          <w:kern w:val="0"/>
          <w:sz w:val="24"/>
        </w:rPr>
      </w:pPr>
      <w:r>
        <w:rPr>
          <w:rFonts w:hint="eastAsia" w:ascii="Times New Roman" w:hAnsi="Times New Roman" w:eastAsia="宋体" w:cs="宋体"/>
          <w:kern w:val="0"/>
          <w:sz w:val="24"/>
        </w:rPr>
        <w:t>可直接通过点击标签列表进入标签详情页面，查看标签详情及关联数据。支持标签数据的在线查询，包括各标签项的数据分布以及标签明细数据等。</w:t>
      </w:r>
    </w:p>
    <w:p w14:paraId="2E6E9F49">
      <w:pPr>
        <w:bidi w:val="0"/>
        <w:rPr>
          <w:rFonts w:hint="eastAsia"/>
          <w:lang w:val="en-US" w:eastAsia="zh-CN"/>
        </w:rPr>
      </w:pPr>
      <w:bookmarkStart w:id="128" w:name="_Toc32500"/>
      <w:bookmarkStart w:id="129" w:name="_Toc9695"/>
      <w:r>
        <w:rPr>
          <w:rFonts w:hint="eastAsia" w:ascii="宋体" w:hAnsi="宋体" w:eastAsia="宋体" w:cstheme="minorBidi"/>
          <w:b/>
          <w:kern w:val="2"/>
          <w:sz w:val="24"/>
          <w:szCs w:val="24"/>
          <w:lang w:val="en-US" w:eastAsia="zh-CN" w:bidi="ar-SA"/>
        </w:rPr>
        <w:t>4.2.8.2</w:t>
      </w:r>
      <w:r>
        <w:rPr>
          <w:rFonts w:hint="eastAsia"/>
          <w:lang w:val="en-US" w:eastAsia="zh-CN"/>
        </w:rPr>
        <w:t>数据</w:t>
      </w:r>
      <w:bookmarkEnd w:id="128"/>
      <w:r>
        <w:rPr>
          <w:rFonts w:hint="eastAsia"/>
          <w:lang w:val="en-US" w:eastAsia="zh-CN"/>
        </w:rPr>
        <w:t>处理服务</w:t>
      </w:r>
      <w:bookmarkEnd w:id="129"/>
    </w:p>
    <w:p w14:paraId="61FDCA12">
      <w:pPr>
        <w:widowControl/>
        <w:spacing w:line="360" w:lineRule="auto"/>
        <w:ind w:firstLine="496"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数据处理服务包含数据标准规范体系建设、数据采集汇聚、数据治理（含数据质检、清洗、转换等）、数据管理、数据共享服务、数据资源中心建设等内容。</w:t>
      </w:r>
    </w:p>
    <w:p w14:paraId="246613FD">
      <w:pPr>
        <w:bidi w:val="0"/>
        <w:rPr>
          <w:lang w:val="en-US" w:eastAsia="zh-CN"/>
        </w:rPr>
      </w:pPr>
      <w:r>
        <w:rPr>
          <w:rFonts w:hint="eastAsia" w:ascii="宋体" w:hAnsi="宋体" w:eastAsia="宋体" w:cs="宋体"/>
          <w:sz w:val="24"/>
          <w:szCs w:val="24"/>
          <w:lang w:val="en-US" w:eastAsia="zh-CN" w:bidi="ar-SA"/>
        </w:rPr>
        <w:t>4.2.8.2.1</w:t>
      </w:r>
      <w:r>
        <w:rPr>
          <w:rFonts w:hint="eastAsia"/>
          <w:lang w:val="en-US" w:eastAsia="zh-CN"/>
        </w:rPr>
        <w:t>标准规范体系建设</w:t>
      </w:r>
    </w:p>
    <w:p w14:paraId="6C79C7EC">
      <w:pPr>
        <w:pStyle w:val="32"/>
        <w:spacing w:line="360" w:lineRule="auto"/>
        <w:ind w:firstLine="496" w:firstLineChars="200"/>
        <w:rPr>
          <w:rFonts w:hint="eastAsia" w:ascii="宋体" w:hAnsi="宋体" w:eastAsia="宋体" w:cs="宋体"/>
          <w:sz w:val="24"/>
          <w:szCs w:val="24"/>
        </w:rPr>
      </w:pPr>
      <w:r>
        <w:rPr>
          <w:rFonts w:hint="eastAsia" w:ascii="宋体" w:hAnsi="宋体" w:eastAsia="宋体" w:cs="宋体"/>
          <w:sz w:val="24"/>
          <w:szCs w:val="24"/>
          <w:lang w:eastAsia="zh-Hans"/>
        </w:rPr>
        <w:t>数据标准</w:t>
      </w:r>
      <w:r>
        <w:rPr>
          <w:rFonts w:hint="eastAsia" w:ascii="宋体" w:hAnsi="宋体" w:eastAsia="宋体" w:cs="宋体"/>
          <w:sz w:val="24"/>
          <w:szCs w:val="24"/>
          <w:lang w:val="en-US" w:eastAsia="zh-CN"/>
        </w:rPr>
        <w:t>规范体系</w:t>
      </w:r>
      <w:r>
        <w:rPr>
          <w:rFonts w:hint="eastAsia" w:ascii="宋体" w:hAnsi="宋体" w:eastAsia="宋体" w:cs="宋体"/>
          <w:sz w:val="24"/>
          <w:szCs w:val="24"/>
          <w:lang w:eastAsia="zh-Hans"/>
        </w:rPr>
        <w:t>是保障数据使用和交换的一致性和标准性的规范性约束。其核心目的是通过统一的数据标准</w:t>
      </w:r>
      <w:r>
        <w:rPr>
          <w:rFonts w:hint="eastAsia" w:ascii="宋体" w:hAnsi="宋体" w:eastAsia="宋体" w:cs="宋体"/>
          <w:sz w:val="24"/>
          <w:szCs w:val="24"/>
          <w:lang w:val="en-US" w:eastAsia="zh-CN"/>
        </w:rPr>
        <w:t>规范</w:t>
      </w:r>
      <w:r>
        <w:rPr>
          <w:rFonts w:hint="eastAsia" w:ascii="宋体" w:hAnsi="宋体" w:eastAsia="宋体" w:cs="宋体"/>
          <w:sz w:val="24"/>
          <w:szCs w:val="24"/>
          <w:lang w:eastAsia="zh-Hans"/>
        </w:rPr>
        <w:t>制定和发布，结合制度约束等手段，实现大数据平台数据的完整性、有效性、一致性、规范性、开放性和共享性管理，为数据资产管理提供参考依据。标准规范</w:t>
      </w:r>
      <w:r>
        <w:rPr>
          <w:rFonts w:hint="eastAsia" w:ascii="宋体" w:hAnsi="宋体" w:eastAsia="宋体" w:cs="宋体"/>
          <w:sz w:val="24"/>
          <w:szCs w:val="24"/>
          <w:lang w:val="en-US" w:eastAsia="zh-CN"/>
        </w:rPr>
        <w:t>体系</w:t>
      </w:r>
      <w:r>
        <w:rPr>
          <w:rFonts w:hint="eastAsia" w:ascii="宋体" w:hAnsi="宋体" w:eastAsia="宋体" w:cs="宋体"/>
          <w:sz w:val="24"/>
          <w:szCs w:val="24"/>
          <w:lang w:eastAsia="zh-Hans"/>
        </w:rPr>
        <w:t>建设包括</w:t>
      </w:r>
      <w:r>
        <w:rPr>
          <w:rFonts w:hint="eastAsia" w:ascii="宋体" w:hAnsi="宋体" w:eastAsia="宋体" w:cs="宋体"/>
          <w:sz w:val="24"/>
          <w:szCs w:val="24"/>
          <w:lang w:val="en-US" w:eastAsia="zh-CN"/>
        </w:rPr>
        <w:t>标准制定、标准落地执行、标准优化迭代等</w:t>
      </w:r>
      <w:r>
        <w:rPr>
          <w:rFonts w:hint="eastAsia" w:ascii="宋体" w:hAnsi="宋体" w:eastAsia="宋体" w:cs="宋体"/>
          <w:sz w:val="24"/>
          <w:szCs w:val="24"/>
          <w:lang w:eastAsia="zh-Hans"/>
        </w:rPr>
        <w:t>。</w:t>
      </w:r>
    </w:p>
    <w:p w14:paraId="448BE384">
      <w:pPr>
        <w:pStyle w:val="32"/>
        <w:spacing w:line="360" w:lineRule="auto"/>
        <w:ind w:firstLine="496" w:firstLineChars="200"/>
        <w:rPr>
          <w:rFonts w:hint="eastAsia" w:ascii="宋体" w:hAnsi="宋体" w:eastAsia="宋体" w:cs="宋体"/>
          <w:sz w:val="24"/>
          <w:szCs w:val="24"/>
        </w:rPr>
      </w:pPr>
      <w:r>
        <w:rPr>
          <w:rFonts w:hint="eastAsia" w:ascii="宋体" w:hAnsi="宋体" w:eastAsia="宋体" w:cs="宋体"/>
          <w:sz w:val="24"/>
          <w:szCs w:val="24"/>
          <w:lang w:eastAsia="zh-Hans"/>
        </w:rPr>
        <w:t>根据</w:t>
      </w:r>
      <w:r>
        <w:rPr>
          <w:rFonts w:hint="eastAsia" w:ascii="宋体" w:hAnsi="宋体" w:eastAsia="宋体" w:cs="宋体"/>
          <w:sz w:val="24"/>
          <w:szCs w:val="24"/>
          <w:lang w:val="en-US" w:eastAsia="zh-CN"/>
        </w:rPr>
        <w:t>西安市政协</w:t>
      </w:r>
      <w:r>
        <w:rPr>
          <w:rFonts w:hint="eastAsia" w:ascii="宋体" w:hAnsi="宋体" w:eastAsia="宋体" w:cs="宋体"/>
          <w:sz w:val="24"/>
          <w:szCs w:val="24"/>
          <w:lang w:eastAsia="zh-Hans"/>
        </w:rPr>
        <w:t>数据管理要求，</w:t>
      </w:r>
      <w:r>
        <w:rPr>
          <w:rFonts w:hint="eastAsia" w:ascii="宋体" w:hAnsi="宋体" w:eastAsia="宋体" w:cs="宋体"/>
          <w:sz w:val="24"/>
          <w:szCs w:val="24"/>
        </w:rPr>
        <w:t>制定</w:t>
      </w:r>
      <w:r>
        <w:rPr>
          <w:rFonts w:hint="eastAsia" w:ascii="宋体" w:hAnsi="宋体" w:eastAsia="宋体" w:cs="宋体"/>
          <w:sz w:val="24"/>
          <w:szCs w:val="24"/>
          <w:lang w:val="en-US" w:eastAsia="zh-CN"/>
        </w:rPr>
        <w:t>西安市政协</w:t>
      </w:r>
      <w:r>
        <w:rPr>
          <w:rFonts w:hint="eastAsia" w:ascii="宋体" w:hAnsi="宋体" w:eastAsia="宋体" w:cs="宋体"/>
          <w:sz w:val="24"/>
          <w:szCs w:val="24"/>
          <w:lang w:eastAsia="zh-Hans"/>
        </w:rPr>
        <w:t>数据</w:t>
      </w:r>
      <w:r>
        <w:rPr>
          <w:rFonts w:hint="eastAsia" w:ascii="宋体" w:hAnsi="宋体" w:eastAsia="宋体" w:cs="宋体"/>
          <w:sz w:val="24"/>
          <w:szCs w:val="24"/>
        </w:rPr>
        <w:t>标准规范，包括数据治理实施规范、数据资源</w:t>
      </w:r>
      <w:r>
        <w:rPr>
          <w:rFonts w:hint="eastAsia" w:ascii="宋体" w:hAnsi="宋体" w:eastAsia="宋体" w:cs="宋体"/>
          <w:sz w:val="24"/>
          <w:szCs w:val="24"/>
          <w:lang w:val="en-US" w:eastAsia="zh-CN"/>
        </w:rPr>
        <w:t>目录建设</w:t>
      </w:r>
      <w:r>
        <w:rPr>
          <w:rFonts w:hint="eastAsia" w:ascii="宋体" w:hAnsi="宋体" w:eastAsia="宋体" w:cs="宋体"/>
          <w:sz w:val="24"/>
          <w:szCs w:val="24"/>
        </w:rPr>
        <w:t>规范、</w:t>
      </w:r>
      <w:r>
        <w:rPr>
          <w:rFonts w:hint="eastAsia" w:ascii="宋体" w:hAnsi="宋体" w:eastAsia="宋体" w:cs="宋体"/>
          <w:sz w:val="24"/>
          <w:szCs w:val="24"/>
          <w:lang w:val="en-US" w:eastAsia="zh-CN"/>
        </w:rPr>
        <w:t>数据指标体系规范、</w:t>
      </w:r>
      <w:r>
        <w:rPr>
          <w:rFonts w:hint="eastAsia" w:ascii="宋体" w:hAnsi="宋体" w:eastAsia="宋体" w:cs="宋体"/>
          <w:sz w:val="24"/>
          <w:szCs w:val="24"/>
        </w:rPr>
        <w:t>数据共享交换规范、数据分类分级管理规范、数据安全管理规范等</w:t>
      </w:r>
      <w:r>
        <w:rPr>
          <w:rFonts w:hint="eastAsia" w:ascii="宋体" w:hAnsi="宋体" w:eastAsia="宋体" w:cs="宋体"/>
          <w:sz w:val="24"/>
          <w:szCs w:val="24"/>
          <w:lang w:eastAsia="zh-Hans"/>
        </w:rPr>
        <w:t>，</w:t>
      </w:r>
      <w:r>
        <w:rPr>
          <w:rFonts w:hint="eastAsia" w:ascii="宋体" w:hAnsi="宋体" w:eastAsia="宋体" w:cs="宋体"/>
          <w:sz w:val="24"/>
          <w:szCs w:val="24"/>
        </w:rPr>
        <w:t>为数据治理工作打下坚实的基础</w:t>
      </w:r>
      <w:r>
        <w:rPr>
          <w:rFonts w:hint="eastAsia" w:ascii="宋体" w:hAnsi="宋体" w:eastAsia="宋体" w:cs="宋体"/>
          <w:sz w:val="24"/>
          <w:szCs w:val="24"/>
          <w:lang w:eastAsia="zh-Hans"/>
        </w:rPr>
        <w:t>，</w:t>
      </w:r>
      <w:r>
        <w:rPr>
          <w:rFonts w:hint="eastAsia" w:ascii="宋体" w:hAnsi="宋体" w:eastAsia="宋体" w:cs="宋体"/>
          <w:sz w:val="24"/>
          <w:szCs w:val="24"/>
        </w:rPr>
        <w:t>为数据资产管理活动提供规范有效依据。</w:t>
      </w:r>
    </w:p>
    <w:p w14:paraId="101F662A">
      <w:pPr>
        <w:keepNext w:val="0"/>
        <w:keepLines w:val="0"/>
        <w:pageBreakBefore w:val="0"/>
        <w:widowControl/>
        <w:numPr>
          <w:ilvl w:val="0"/>
          <w:numId w:val="8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数据治理实施标准规范</w:t>
      </w:r>
    </w:p>
    <w:p w14:paraId="50BDCD82">
      <w:pPr>
        <w:widowControl/>
        <w:spacing w:line="360" w:lineRule="auto"/>
        <w:ind w:firstLine="496" w:firstLineChars="20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数据治理实施标准规范对数据治理流程及各流程节点的实施方案和内容进行规范，确保数据规范性、完整性、准确性、一致性、时效性、唯一性、关联性、逻辑性等。数据治理流程包括数据抽取、质检规则定义、质检规则执行、数据校验、数据修正、问题数据处理、数据入库等。</w:t>
      </w:r>
    </w:p>
    <w:p w14:paraId="69DD34D7">
      <w:pPr>
        <w:keepNext w:val="0"/>
        <w:keepLines w:val="0"/>
        <w:pageBreakBefore w:val="0"/>
        <w:widowControl/>
        <w:numPr>
          <w:ilvl w:val="0"/>
          <w:numId w:val="8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数据资源目录建设规范</w:t>
      </w:r>
    </w:p>
    <w:p w14:paraId="098F8824">
      <w:pPr>
        <w:widowControl/>
        <w:spacing w:line="360" w:lineRule="auto"/>
        <w:ind w:firstLine="496" w:firstLineChars="20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制定数据资源目录建设规范，对数据资源的数据表、数据项定义进行规范，并提供数据资源目录清单，指导建立</w:t>
      </w:r>
      <w:r>
        <w:rPr>
          <w:rFonts w:hint="eastAsia" w:ascii="宋体" w:hAnsi="宋体" w:eastAsia="宋体" w:cs="宋体"/>
          <w:kern w:val="0"/>
          <w:sz w:val="24"/>
          <w:szCs w:val="24"/>
          <w:lang w:val="en-US" w:eastAsia="zh-CN"/>
        </w:rPr>
        <w:t>西安市政协</w:t>
      </w:r>
      <w:r>
        <w:rPr>
          <w:rFonts w:hint="eastAsia" w:ascii="宋体" w:hAnsi="宋体" w:eastAsia="宋体" w:cs="宋体"/>
          <w:kern w:val="2"/>
          <w:sz w:val="24"/>
          <w:szCs w:val="24"/>
          <w:lang w:val="en-US" w:eastAsia="zh-Hans" w:bidi="ar-SA"/>
        </w:rPr>
        <w:t>数据资产目录、数据共享交换目录等资源目录的建设，明确各目录的建设指标细项及管理规则。</w:t>
      </w:r>
    </w:p>
    <w:p w14:paraId="4FC7455A">
      <w:pPr>
        <w:keepNext w:val="0"/>
        <w:keepLines w:val="0"/>
        <w:pageBreakBefore w:val="0"/>
        <w:widowControl/>
        <w:numPr>
          <w:ilvl w:val="0"/>
          <w:numId w:val="8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数据指标体系规范</w:t>
      </w:r>
    </w:p>
    <w:p w14:paraId="3C8F4F91">
      <w:pPr>
        <w:widowControl/>
        <w:spacing w:line="360" w:lineRule="auto"/>
        <w:ind w:firstLine="496" w:firstLineChars="20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数据指标体系规范主要是对数据资源建设过程中</w:t>
      </w:r>
      <w:r>
        <w:rPr>
          <w:rFonts w:hint="eastAsia" w:ascii="宋体" w:hAnsi="宋体" w:eastAsia="宋体" w:cs="宋体"/>
          <w:kern w:val="2"/>
          <w:sz w:val="24"/>
          <w:szCs w:val="24"/>
          <w:lang w:val="en-US" w:eastAsia="zh-CN" w:bidi="ar-SA"/>
        </w:rPr>
        <w:t>涉及的</w:t>
      </w:r>
      <w:r>
        <w:rPr>
          <w:rFonts w:hint="eastAsia" w:ascii="宋体" w:hAnsi="宋体" w:eastAsia="宋体" w:cs="宋体"/>
          <w:kern w:val="2"/>
          <w:sz w:val="24"/>
          <w:szCs w:val="24"/>
          <w:lang w:val="en-US" w:eastAsia="zh-Hans" w:bidi="ar-SA"/>
        </w:rPr>
        <w:t>指标体系和指标构成规则、信息分类、指标编码、数据库和字段名的命名规则等进行定义，明确基础指标和业务指标的编码规范，并提供指标集，用于规范数据资源的数据库结构设计，为建立统一的数据资源提供指导依据。</w:t>
      </w:r>
    </w:p>
    <w:p w14:paraId="7225568E">
      <w:pPr>
        <w:keepNext w:val="0"/>
        <w:keepLines w:val="0"/>
        <w:pageBreakBefore w:val="0"/>
        <w:widowControl/>
        <w:numPr>
          <w:ilvl w:val="0"/>
          <w:numId w:val="8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数据共享交换规范</w:t>
      </w:r>
    </w:p>
    <w:p w14:paraId="7BC395A3">
      <w:pPr>
        <w:widowControl/>
        <w:spacing w:line="360" w:lineRule="auto"/>
        <w:ind w:firstLine="496" w:firstLineChars="20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数据共享交换是指数据在业务系统间进行采集、分发等的过程，数据共享交换规范主要明确数据在交换过程中需要遵循的规范、原则，并规范数据共享交换流程。数据共享交换标准规范主要包括系统连接、数据交互、数据信息的传输管理、信息传递的逻辑约束、信息传递的监控、数据交换的维护和异常处理等要遵循的一系列规范。</w:t>
      </w:r>
    </w:p>
    <w:p w14:paraId="5081EBCE">
      <w:pPr>
        <w:keepNext w:val="0"/>
        <w:keepLines w:val="0"/>
        <w:pageBreakBefore w:val="0"/>
        <w:widowControl/>
        <w:numPr>
          <w:ilvl w:val="0"/>
          <w:numId w:val="8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数据分类分级管理规范</w:t>
      </w:r>
    </w:p>
    <w:p w14:paraId="4BA32528">
      <w:pPr>
        <w:widowControl/>
        <w:spacing w:line="360" w:lineRule="auto"/>
        <w:ind w:firstLine="496" w:firstLineChars="20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数据分类是通过多维数据特征准确描述基础数据类型，以对数据实施有效管理，按类别正确开发和利用数据；数据分级是通过数据的敏感程度确定数据类型，从而为不同类型数据的开放和共享策略制定提供支撑。数据分类分级管理规范用于指导在进行数据开放和共享时，对相关数据进行正确分类，并对分类后的数据定级提供参考，以实现数据价值最大化的同时，不会影响到国家、社会、公众和个人安全。</w:t>
      </w:r>
    </w:p>
    <w:p w14:paraId="0E56985A">
      <w:pPr>
        <w:keepNext w:val="0"/>
        <w:keepLines w:val="0"/>
        <w:pageBreakBefore w:val="0"/>
        <w:widowControl/>
        <w:numPr>
          <w:ilvl w:val="0"/>
          <w:numId w:val="88"/>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数据安全管理规范</w:t>
      </w:r>
    </w:p>
    <w:p w14:paraId="17BDDD05">
      <w:pPr>
        <w:widowControl/>
        <w:spacing w:line="360" w:lineRule="auto"/>
        <w:ind w:firstLine="496" w:firstLineChars="20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数据安全管理规范是指数据在全生命周期过程中的安全管控的标准规范集合，规定数据安全框架、数据基本安全、数据生命周期安全和数据安全检测与评估，包括数据生产安全（数据设计、录入、加工过程中的安全）、数据存储安全（数据存储过程中的安全）、数据交换安全（数据对外共享交换过程中的安全）、数据访问安全（数据被访问过程中的安全）等。</w:t>
      </w:r>
    </w:p>
    <w:p w14:paraId="2267CB32">
      <w:pPr>
        <w:bidi w:val="0"/>
        <w:rPr>
          <w:lang w:val="en-US" w:eastAsia="zh-CN"/>
        </w:rPr>
      </w:pPr>
      <w:r>
        <w:rPr>
          <w:rFonts w:hint="eastAsia" w:ascii="宋体" w:hAnsi="宋体" w:eastAsia="宋体" w:cs="宋体"/>
          <w:sz w:val="24"/>
          <w:szCs w:val="24"/>
          <w:lang w:val="en-US" w:eastAsia="zh-CN" w:bidi="ar-SA"/>
        </w:rPr>
        <w:t>4.2.8.2.2</w:t>
      </w:r>
      <w:r>
        <w:rPr>
          <w:rFonts w:hint="eastAsia"/>
          <w:lang w:val="en-US" w:eastAsia="zh-CN"/>
        </w:rPr>
        <w:t>数据采集汇聚服务</w:t>
      </w:r>
    </w:p>
    <w:p w14:paraId="32F93C95">
      <w:pPr>
        <w:widowControl/>
        <w:spacing w:line="360" w:lineRule="auto"/>
        <w:ind w:firstLine="496" w:firstLineChars="200"/>
        <w:rPr>
          <w:rFonts w:hint="eastAsia" w:ascii="宋体" w:hAnsi="宋体" w:eastAsia="宋体" w:cs="宋体"/>
          <w:kern w:val="0"/>
          <w:sz w:val="24"/>
          <w:szCs w:val="24"/>
        </w:rPr>
      </w:pPr>
      <w:r>
        <w:rPr>
          <w:rFonts w:hint="eastAsia" w:ascii="宋体" w:hAnsi="宋体" w:eastAsia="宋体" w:cs="宋体"/>
          <w:kern w:val="0"/>
          <w:sz w:val="24"/>
          <w:szCs w:val="24"/>
        </w:rPr>
        <w:t>数据采集汇聚服务内容包括</w:t>
      </w:r>
      <w:r>
        <w:rPr>
          <w:rFonts w:hint="eastAsia" w:ascii="宋体" w:hAnsi="宋体" w:eastAsia="宋体" w:cs="宋体"/>
          <w:kern w:val="0"/>
          <w:sz w:val="24"/>
          <w:szCs w:val="24"/>
          <w:lang w:val="en-US" w:eastAsia="zh-CN"/>
        </w:rPr>
        <w:t>内部数据采集</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外部数据交换、县（区）政协数据回流、历史数据迁移</w:t>
      </w:r>
      <w:r>
        <w:rPr>
          <w:rFonts w:hint="eastAsia" w:ascii="宋体" w:hAnsi="宋体" w:eastAsia="宋体" w:cs="宋体"/>
          <w:kern w:val="0"/>
          <w:sz w:val="24"/>
          <w:szCs w:val="24"/>
        </w:rPr>
        <w:t>等。数据采集汇聚服务调用</w:t>
      </w:r>
      <w:r>
        <w:rPr>
          <w:rFonts w:hint="eastAsia" w:ascii="宋体" w:hAnsi="宋体" w:eastAsia="宋体" w:cs="宋体"/>
          <w:kern w:val="0"/>
          <w:sz w:val="24"/>
          <w:szCs w:val="24"/>
          <w:lang w:val="en-US" w:eastAsia="zh-CN"/>
        </w:rPr>
        <w:t>市大数据局</w:t>
      </w:r>
      <w:r>
        <w:rPr>
          <w:rFonts w:hint="eastAsia" w:ascii="宋体" w:hAnsi="宋体" w:eastAsia="宋体" w:cs="宋体"/>
          <w:kern w:val="0"/>
          <w:sz w:val="24"/>
          <w:szCs w:val="24"/>
        </w:rPr>
        <w:t>一体化</w:t>
      </w:r>
      <w:r>
        <w:rPr>
          <w:rFonts w:hint="eastAsia" w:ascii="宋体" w:hAnsi="宋体" w:eastAsia="宋体" w:cs="宋体"/>
          <w:kern w:val="0"/>
          <w:sz w:val="24"/>
          <w:szCs w:val="24"/>
          <w:lang w:val="en-US" w:eastAsia="zh-CN"/>
        </w:rPr>
        <w:t>公共</w:t>
      </w:r>
      <w:r>
        <w:rPr>
          <w:rFonts w:hint="eastAsia" w:ascii="宋体" w:hAnsi="宋体" w:eastAsia="宋体" w:cs="宋体"/>
          <w:kern w:val="0"/>
          <w:sz w:val="24"/>
          <w:szCs w:val="24"/>
        </w:rPr>
        <w:t>数据平台的</w:t>
      </w:r>
      <w:r>
        <w:rPr>
          <w:rFonts w:hint="eastAsia" w:ascii="宋体" w:hAnsi="宋体" w:eastAsia="宋体" w:cs="宋体"/>
          <w:kern w:val="0"/>
          <w:sz w:val="24"/>
          <w:szCs w:val="24"/>
          <w:lang w:eastAsia="zh-CN"/>
        </w:rPr>
        <w:t>数据集成工具</w:t>
      </w:r>
      <w:r>
        <w:rPr>
          <w:rFonts w:hint="eastAsia" w:ascii="宋体" w:hAnsi="宋体" w:eastAsia="宋体" w:cs="宋体"/>
          <w:kern w:val="0"/>
          <w:sz w:val="24"/>
          <w:szCs w:val="24"/>
        </w:rPr>
        <w:t>、数据交换工具，归集</w:t>
      </w:r>
      <w:r>
        <w:rPr>
          <w:rFonts w:hint="eastAsia" w:ascii="宋体" w:hAnsi="宋体" w:eastAsia="宋体" w:cs="宋体"/>
          <w:kern w:val="0"/>
          <w:sz w:val="24"/>
          <w:szCs w:val="24"/>
          <w:lang w:val="en-US" w:eastAsia="zh-CN"/>
        </w:rPr>
        <w:t>市政协</w:t>
      </w:r>
      <w:r>
        <w:rPr>
          <w:rFonts w:hint="eastAsia" w:ascii="宋体" w:hAnsi="宋体" w:eastAsia="宋体" w:cs="宋体"/>
          <w:kern w:val="0"/>
          <w:sz w:val="24"/>
          <w:szCs w:val="24"/>
        </w:rPr>
        <w:t>内部业务系统数据和交换获取的横向各业务部门系统共享数据、</w:t>
      </w:r>
      <w:r>
        <w:rPr>
          <w:rFonts w:hint="eastAsia" w:ascii="宋体" w:hAnsi="宋体" w:eastAsia="宋体" w:cs="宋体"/>
          <w:kern w:val="0"/>
          <w:sz w:val="24"/>
          <w:szCs w:val="24"/>
          <w:lang w:val="en-US" w:eastAsia="zh-CN"/>
        </w:rPr>
        <w:t>省政协</w:t>
      </w:r>
      <w:r>
        <w:rPr>
          <w:rFonts w:hint="eastAsia" w:ascii="宋体" w:hAnsi="宋体" w:eastAsia="宋体" w:cs="宋体"/>
          <w:kern w:val="0"/>
          <w:sz w:val="24"/>
          <w:szCs w:val="24"/>
        </w:rPr>
        <w:t>业务系统回流数据等。</w:t>
      </w:r>
    </w:p>
    <w:p w14:paraId="1C1DFE46">
      <w:pPr>
        <w:keepNext w:val="0"/>
        <w:keepLines w:val="0"/>
        <w:pageBreakBefore w:val="0"/>
        <w:widowControl/>
        <w:numPr>
          <w:ilvl w:val="0"/>
          <w:numId w:val="8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内部数据采集</w:t>
      </w:r>
    </w:p>
    <w:p w14:paraId="0F8BEC4F">
      <w:pPr>
        <w:widowControl/>
        <w:spacing w:line="360" w:lineRule="auto"/>
        <w:ind w:firstLine="496" w:firstLineChars="200"/>
        <w:rPr>
          <w:rFonts w:hint="eastAsia"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市政协</w:t>
      </w:r>
      <w:r>
        <w:rPr>
          <w:rFonts w:hint="default" w:ascii="Times New Roman" w:hAnsi="Times New Roman" w:eastAsia="宋体" w:cs="宋体"/>
          <w:kern w:val="0"/>
          <w:sz w:val="24"/>
          <w:szCs w:val="24"/>
        </w:rPr>
        <w:t>在</w:t>
      </w:r>
      <w:r>
        <w:rPr>
          <w:rFonts w:hint="default" w:ascii="Times New Roman" w:hAnsi="Times New Roman" w:eastAsia="宋体" w:cs="宋体"/>
          <w:kern w:val="0"/>
          <w:sz w:val="24"/>
          <w:szCs w:val="24"/>
          <w:lang w:val="en-US" w:eastAsia="zh-CN"/>
        </w:rPr>
        <w:t>政协</w:t>
      </w:r>
      <w:r>
        <w:rPr>
          <w:rFonts w:hint="default" w:ascii="Times New Roman" w:hAnsi="Times New Roman" w:eastAsia="宋体" w:cs="宋体"/>
          <w:kern w:val="0"/>
          <w:sz w:val="24"/>
          <w:szCs w:val="24"/>
        </w:rPr>
        <w:t>业务工作中积累了大量的</w:t>
      </w:r>
      <w:r>
        <w:rPr>
          <w:rFonts w:hint="default" w:ascii="Times New Roman" w:hAnsi="Times New Roman" w:eastAsia="宋体" w:cs="宋体"/>
          <w:kern w:val="0"/>
          <w:sz w:val="24"/>
          <w:szCs w:val="24"/>
          <w:lang w:val="en-US" w:eastAsia="zh-CN"/>
        </w:rPr>
        <w:t>历史业务生产</w:t>
      </w:r>
      <w:r>
        <w:rPr>
          <w:rFonts w:hint="default" w:ascii="Times New Roman" w:hAnsi="Times New Roman" w:eastAsia="宋体" w:cs="宋体"/>
          <w:kern w:val="0"/>
          <w:sz w:val="24"/>
          <w:szCs w:val="24"/>
        </w:rPr>
        <w:t>数据，</w:t>
      </w:r>
      <w:r>
        <w:rPr>
          <w:rFonts w:hint="default" w:ascii="Times New Roman" w:hAnsi="Times New Roman" w:eastAsia="宋体" w:cs="宋体"/>
          <w:kern w:val="0"/>
          <w:sz w:val="24"/>
          <w:szCs w:val="24"/>
          <w:lang w:val="en-US" w:eastAsia="zh-CN"/>
        </w:rPr>
        <w:t>需对其统一采集到市大数据局一体化公共数据平台</w:t>
      </w:r>
      <w:r>
        <w:rPr>
          <w:rFonts w:hint="default" w:ascii="Times New Roman" w:hAnsi="Times New Roman" w:eastAsia="宋体" w:cs="宋体"/>
          <w:kern w:val="0"/>
          <w:sz w:val="24"/>
          <w:szCs w:val="24"/>
        </w:rPr>
        <w:t>。</w:t>
      </w:r>
      <w:r>
        <w:rPr>
          <w:rFonts w:hint="default" w:ascii="Times New Roman" w:hAnsi="Times New Roman" w:eastAsia="宋体" w:cs="宋体"/>
          <w:kern w:val="0"/>
          <w:sz w:val="24"/>
          <w:szCs w:val="24"/>
          <w:lang w:val="en-US" w:eastAsia="zh-CN"/>
        </w:rPr>
        <w:t>政协全量数据采集服务内容包括履职在线数据采集、提案在线数据采集、社情民意在线数据采集、学习在线数据采集、协商在线数据采集、人员数据采集、机构数据采集等。</w:t>
      </w:r>
    </w:p>
    <w:p w14:paraId="5224D12F">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0" w:name="_Toc10115"/>
      <w:r>
        <w:rPr>
          <w:rFonts w:hint="eastAsia" w:ascii="Times New Roman" w:hAnsi="Times New Roman"/>
          <w:sz w:val="24"/>
          <w:lang w:val="en-US" w:eastAsia="zh-CN"/>
        </w:rPr>
        <w:t>公共业务数据采集</w:t>
      </w:r>
      <w:bookmarkEnd w:id="130"/>
    </w:p>
    <w:p w14:paraId="49037679">
      <w:pPr>
        <w:widowControl/>
        <w:spacing w:line="360" w:lineRule="auto"/>
        <w:ind w:firstLine="496" w:firstLineChars="200"/>
        <w:rPr>
          <w:rFonts w:hint="default" w:ascii="Times New Roman" w:hAnsi="Times New Roman" w:eastAsia="宋体" w:cs="宋体"/>
          <w:kern w:val="0"/>
          <w:sz w:val="24"/>
          <w:lang w:val="en-US" w:eastAsia="zh-CN"/>
        </w:rPr>
      </w:pPr>
      <w:r>
        <w:rPr>
          <w:rFonts w:hint="default" w:ascii="Times New Roman" w:hAnsi="Times New Roman" w:eastAsia="宋体" w:cs="宋体"/>
          <w:kern w:val="0"/>
          <w:sz w:val="24"/>
          <w:szCs w:val="24"/>
          <w:lang w:val="en-US" w:eastAsia="zh-CN"/>
        </w:rPr>
        <w:t>对提案在线、社情民意在线、履职在线、学习在线、协商在线的公共业务数据进行采集</w:t>
      </w:r>
      <w:r>
        <w:rPr>
          <w:rFonts w:hint="default" w:ascii="Times New Roman" w:hAnsi="Times New Roman" w:eastAsia="宋体" w:cs="宋体"/>
          <w:kern w:val="0"/>
          <w:sz w:val="24"/>
          <w:szCs w:val="24"/>
        </w:rPr>
        <w:t>，包括</w:t>
      </w:r>
      <w:r>
        <w:rPr>
          <w:rFonts w:hint="default" w:ascii="Times New Roman" w:hAnsi="Times New Roman" w:eastAsia="宋体" w:cs="宋体"/>
          <w:kern w:val="0"/>
          <w:sz w:val="24"/>
          <w:szCs w:val="24"/>
          <w:lang w:val="en-US" w:eastAsia="zh-CN"/>
        </w:rPr>
        <w:t>委员人员基础</w:t>
      </w:r>
      <w:r>
        <w:rPr>
          <w:rFonts w:hint="default" w:ascii="Times New Roman" w:hAnsi="Times New Roman" w:eastAsia="宋体" w:cs="宋体"/>
          <w:kern w:val="0"/>
          <w:sz w:val="24"/>
          <w:szCs w:val="24"/>
        </w:rPr>
        <w:t>数据、</w:t>
      </w:r>
      <w:r>
        <w:rPr>
          <w:rFonts w:hint="default" w:ascii="Times New Roman" w:hAnsi="Times New Roman" w:eastAsia="宋体" w:cs="宋体"/>
          <w:kern w:val="0"/>
          <w:sz w:val="24"/>
          <w:szCs w:val="24"/>
          <w:lang w:val="en-US" w:eastAsia="zh-CN"/>
        </w:rPr>
        <w:t>组织机构基础数据、系统代码字典基础数据</w:t>
      </w:r>
      <w:r>
        <w:rPr>
          <w:rFonts w:hint="default" w:ascii="Times New Roman" w:hAnsi="Times New Roman" w:eastAsia="宋体" w:cs="宋体"/>
          <w:kern w:val="0"/>
          <w:sz w:val="24"/>
          <w:szCs w:val="24"/>
        </w:rPr>
        <w:t>等。</w:t>
      </w:r>
    </w:p>
    <w:p w14:paraId="4A39EB37">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1" w:name="_Toc16505"/>
      <w:r>
        <w:rPr>
          <w:rFonts w:hint="eastAsia" w:ascii="Times New Roman" w:hAnsi="Times New Roman"/>
          <w:sz w:val="24"/>
          <w:lang w:val="en-US" w:eastAsia="zh-CN"/>
        </w:rPr>
        <w:t>人员基础数据采集</w:t>
      </w:r>
      <w:bookmarkEnd w:id="131"/>
    </w:p>
    <w:p w14:paraId="4BD8D24C">
      <w:pPr>
        <w:widowControl/>
        <w:spacing w:line="360" w:lineRule="auto"/>
        <w:ind w:firstLine="496" w:firstLineChars="200"/>
        <w:rPr>
          <w:rFonts w:hint="default" w:ascii="Times New Roman" w:hAnsi="Times New Roman" w:eastAsia="宋体" w:cs="宋体"/>
          <w:kern w:val="0"/>
          <w:sz w:val="24"/>
          <w:lang w:val="en-US" w:eastAsia="zh-CN"/>
        </w:rPr>
      </w:pPr>
      <w:r>
        <w:rPr>
          <w:rFonts w:hint="default" w:ascii="Times New Roman" w:hAnsi="Times New Roman" w:eastAsia="宋体" w:cs="宋体"/>
          <w:kern w:val="0"/>
          <w:sz w:val="24"/>
          <w:szCs w:val="24"/>
        </w:rPr>
        <w:t>对</w:t>
      </w:r>
      <w:r>
        <w:rPr>
          <w:rFonts w:hint="default" w:ascii="Times New Roman" w:hAnsi="Times New Roman" w:eastAsia="宋体" w:cs="宋体"/>
          <w:kern w:val="0"/>
          <w:sz w:val="24"/>
          <w:szCs w:val="24"/>
          <w:lang w:val="en-US" w:eastAsia="zh-CN"/>
        </w:rPr>
        <w:t>市本级人员基本</w:t>
      </w:r>
      <w:r>
        <w:rPr>
          <w:rFonts w:hint="default" w:ascii="Times New Roman" w:hAnsi="Times New Roman" w:eastAsia="宋体" w:cs="宋体"/>
          <w:kern w:val="0"/>
          <w:sz w:val="24"/>
          <w:szCs w:val="24"/>
        </w:rPr>
        <w:t>的全量历史数据进行</w:t>
      </w:r>
      <w:r>
        <w:rPr>
          <w:rFonts w:hint="default" w:ascii="Times New Roman" w:hAnsi="Times New Roman" w:eastAsia="宋体" w:cs="宋体"/>
          <w:kern w:val="0"/>
          <w:sz w:val="24"/>
          <w:szCs w:val="24"/>
          <w:lang w:val="en-US" w:eastAsia="zh-CN"/>
        </w:rPr>
        <w:t>采集</w:t>
      </w:r>
      <w:r>
        <w:rPr>
          <w:rFonts w:hint="default" w:ascii="Times New Roman" w:hAnsi="Times New Roman" w:eastAsia="宋体" w:cs="宋体"/>
          <w:kern w:val="0"/>
          <w:sz w:val="24"/>
          <w:szCs w:val="24"/>
        </w:rPr>
        <w:t>，包括</w:t>
      </w:r>
      <w:r>
        <w:rPr>
          <w:rFonts w:hint="default" w:ascii="Times New Roman" w:hAnsi="Times New Roman" w:eastAsia="宋体" w:cs="宋体"/>
          <w:kern w:val="0"/>
          <w:sz w:val="24"/>
          <w:szCs w:val="24"/>
          <w:lang w:val="en-US" w:eastAsia="zh-CN"/>
        </w:rPr>
        <w:t>委员、机关人员、党派团体的个人基本信息数据、履职信息数据、职称信息数据</w:t>
      </w:r>
      <w:r>
        <w:rPr>
          <w:rFonts w:hint="default" w:ascii="Times New Roman" w:hAnsi="Times New Roman" w:eastAsia="宋体" w:cs="宋体"/>
          <w:kern w:val="0"/>
          <w:sz w:val="24"/>
          <w:szCs w:val="24"/>
        </w:rPr>
        <w:t>等。</w:t>
      </w:r>
    </w:p>
    <w:p w14:paraId="39CB730D">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2" w:name="_Toc7722"/>
      <w:r>
        <w:rPr>
          <w:rFonts w:hint="eastAsia" w:ascii="Times New Roman" w:hAnsi="Times New Roman"/>
          <w:sz w:val="24"/>
          <w:lang w:val="en-US" w:eastAsia="zh-CN"/>
        </w:rPr>
        <w:t>组织机构基础数据采集</w:t>
      </w:r>
      <w:bookmarkEnd w:id="132"/>
    </w:p>
    <w:p w14:paraId="44C5C2FC">
      <w:pPr>
        <w:widowControl/>
        <w:spacing w:line="360" w:lineRule="auto"/>
        <w:ind w:firstLine="480" w:firstLineChars="0"/>
        <w:rPr>
          <w:rFonts w:hint="eastAsia" w:ascii="Times New Roman" w:hAnsi="Times New Roman" w:eastAsia="宋体" w:cs="宋体"/>
          <w:kern w:val="0"/>
          <w:sz w:val="24"/>
          <w:lang w:val="en-US" w:eastAsia="zh-CN"/>
        </w:rPr>
      </w:pPr>
      <w:r>
        <w:rPr>
          <w:rFonts w:hint="default" w:ascii="Times New Roman" w:hAnsi="Times New Roman" w:eastAsia="宋体" w:cs="宋体"/>
          <w:kern w:val="0"/>
          <w:sz w:val="24"/>
          <w:szCs w:val="24"/>
        </w:rPr>
        <w:t>对</w:t>
      </w:r>
      <w:r>
        <w:rPr>
          <w:rFonts w:hint="default" w:ascii="Times New Roman" w:hAnsi="Times New Roman" w:eastAsia="宋体" w:cs="宋体"/>
          <w:kern w:val="0"/>
          <w:sz w:val="24"/>
          <w:szCs w:val="24"/>
          <w:lang w:val="en-US" w:eastAsia="zh-CN"/>
        </w:rPr>
        <w:t>市本级机构、部门基本</w:t>
      </w:r>
      <w:r>
        <w:rPr>
          <w:rFonts w:hint="default" w:ascii="Times New Roman" w:hAnsi="Times New Roman" w:eastAsia="宋体" w:cs="宋体"/>
          <w:kern w:val="0"/>
          <w:sz w:val="24"/>
          <w:szCs w:val="24"/>
        </w:rPr>
        <w:t>的全量历史数据进行</w:t>
      </w:r>
      <w:r>
        <w:rPr>
          <w:rFonts w:hint="default" w:ascii="Times New Roman" w:hAnsi="Times New Roman" w:eastAsia="宋体" w:cs="宋体"/>
          <w:kern w:val="0"/>
          <w:sz w:val="24"/>
          <w:szCs w:val="24"/>
          <w:lang w:val="en-US" w:eastAsia="zh-CN"/>
        </w:rPr>
        <w:t>采集</w:t>
      </w:r>
      <w:r>
        <w:rPr>
          <w:rFonts w:hint="default" w:ascii="Times New Roman" w:hAnsi="Times New Roman" w:eastAsia="宋体" w:cs="宋体"/>
          <w:kern w:val="0"/>
          <w:sz w:val="24"/>
          <w:szCs w:val="24"/>
        </w:rPr>
        <w:t>，包括</w:t>
      </w:r>
      <w:r>
        <w:rPr>
          <w:rFonts w:hint="default" w:ascii="Times New Roman" w:hAnsi="Times New Roman" w:eastAsia="宋体" w:cs="宋体"/>
          <w:kern w:val="0"/>
          <w:sz w:val="24"/>
          <w:szCs w:val="24"/>
          <w:lang w:val="en-US" w:eastAsia="zh-CN"/>
        </w:rPr>
        <w:t>机构基本信息数据、部门从属关系数据</w:t>
      </w:r>
      <w:r>
        <w:rPr>
          <w:rFonts w:hint="default" w:ascii="Times New Roman" w:hAnsi="Times New Roman" w:eastAsia="宋体" w:cs="宋体"/>
          <w:kern w:val="0"/>
          <w:sz w:val="24"/>
          <w:szCs w:val="24"/>
        </w:rPr>
        <w:t>等。</w:t>
      </w:r>
    </w:p>
    <w:p w14:paraId="25BD5EBC">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3" w:name="_Toc8009"/>
      <w:r>
        <w:rPr>
          <w:rFonts w:hint="eastAsia" w:ascii="Times New Roman" w:hAnsi="Times New Roman"/>
          <w:sz w:val="24"/>
          <w:lang w:val="en-US" w:eastAsia="zh-CN"/>
        </w:rPr>
        <w:t>系统代码字典数据采集</w:t>
      </w:r>
      <w:bookmarkEnd w:id="133"/>
    </w:p>
    <w:p w14:paraId="71C01636">
      <w:pPr>
        <w:widowControl/>
        <w:spacing w:line="360" w:lineRule="auto"/>
        <w:ind w:firstLine="496" w:firstLineChars="200"/>
        <w:rPr>
          <w:rFonts w:hint="eastAsia"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市本级政协所使用的业务代码字典定义数据。包括系统代码、业务代码、人员、机构、参数代码数据。</w:t>
      </w:r>
    </w:p>
    <w:p w14:paraId="6749C45A">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提案在线数据采集</w:t>
      </w:r>
    </w:p>
    <w:p w14:paraId="0739BFD9">
      <w:pPr>
        <w:widowControl/>
        <w:spacing w:line="360" w:lineRule="auto"/>
        <w:ind w:firstLine="496" w:firstLineChars="200"/>
        <w:rPr>
          <w:rFonts w:hint="eastAsia" w:ascii="Times New Roman" w:hAnsi="Times New Roman" w:eastAsia="宋体" w:cs="宋体"/>
          <w:kern w:val="0"/>
          <w:sz w:val="24"/>
          <w:lang w:val="en-US" w:eastAsia="zh-CN"/>
        </w:rPr>
      </w:pPr>
      <w:r>
        <w:rPr>
          <w:rFonts w:hint="default" w:ascii="Times New Roman" w:hAnsi="Times New Roman" w:eastAsia="宋体" w:cs="宋体"/>
          <w:kern w:val="0"/>
          <w:sz w:val="24"/>
          <w:szCs w:val="24"/>
        </w:rPr>
        <w:t>对</w:t>
      </w:r>
      <w:r>
        <w:rPr>
          <w:rFonts w:hint="default" w:ascii="Times New Roman" w:hAnsi="Times New Roman" w:eastAsia="宋体" w:cs="宋体"/>
          <w:kern w:val="0"/>
          <w:sz w:val="24"/>
          <w:szCs w:val="24"/>
          <w:lang w:val="en-US" w:eastAsia="zh-CN"/>
        </w:rPr>
        <w:t>市本级机构提案全量历史数据进行归集，包括提案基本信息数据，提案审查信息数据，提案办理信息数据，提案督办信息数据、提案反馈及评价信息数据。</w:t>
      </w:r>
    </w:p>
    <w:p w14:paraId="37BBF12D">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4" w:name="_Toc19844"/>
      <w:r>
        <w:rPr>
          <w:rFonts w:hint="eastAsia" w:ascii="Times New Roman" w:hAnsi="Times New Roman"/>
          <w:sz w:val="24"/>
          <w:lang w:val="en-US" w:eastAsia="zh-CN"/>
        </w:rPr>
        <w:t>社情民意在线数据采集</w:t>
      </w:r>
      <w:bookmarkEnd w:id="134"/>
    </w:p>
    <w:p w14:paraId="1FDF66D0">
      <w:pPr>
        <w:widowControl/>
        <w:spacing w:line="360" w:lineRule="auto"/>
        <w:ind w:firstLine="480" w:firstLineChars="0"/>
        <w:rPr>
          <w:rFonts w:hint="eastAsia" w:ascii="Times New Roman" w:hAnsi="Times New Roman" w:eastAsia="宋体" w:cs="宋体"/>
          <w:kern w:val="0"/>
          <w:sz w:val="24"/>
        </w:rPr>
      </w:pPr>
      <w:r>
        <w:rPr>
          <w:rFonts w:hint="default" w:ascii="Times New Roman" w:hAnsi="Times New Roman" w:eastAsia="宋体" w:cs="宋体"/>
          <w:kern w:val="0"/>
          <w:sz w:val="24"/>
          <w:szCs w:val="24"/>
        </w:rPr>
        <w:t>对</w:t>
      </w:r>
      <w:r>
        <w:rPr>
          <w:rFonts w:hint="default" w:ascii="Times New Roman" w:hAnsi="Times New Roman" w:eastAsia="宋体" w:cs="宋体"/>
          <w:kern w:val="0"/>
          <w:sz w:val="24"/>
          <w:szCs w:val="24"/>
          <w:lang w:val="en-US" w:eastAsia="zh-CN"/>
        </w:rPr>
        <w:t>市本级机构社情民意全量历史数据进行归集，包括社情民意上报信息数据，社情民意编辑审核信息数据，社情民意采用反馈信息数据。</w:t>
      </w:r>
    </w:p>
    <w:p w14:paraId="3689D19E">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5" w:name="_Toc18216"/>
      <w:r>
        <w:rPr>
          <w:rFonts w:hint="eastAsia" w:ascii="Times New Roman" w:hAnsi="Times New Roman"/>
          <w:sz w:val="24"/>
          <w:lang w:val="en-US" w:eastAsia="zh-CN"/>
        </w:rPr>
        <w:t>履职在线数据采集</w:t>
      </w:r>
      <w:bookmarkEnd w:id="135"/>
    </w:p>
    <w:p w14:paraId="386A1EC7">
      <w:pPr>
        <w:widowControl/>
        <w:spacing w:line="360" w:lineRule="auto"/>
        <w:ind w:firstLine="480" w:firstLineChars="0"/>
        <w:rPr>
          <w:rFonts w:hint="eastAsia" w:ascii="Times New Roman" w:hAnsi="Times New Roman" w:eastAsia="宋体" w:cs="宋体"/>
          <w:kern w:val="0"/>
          <w:sz w:val="24"/>
        </w:rPr>
      </w:pPr>
      <w:r>
        <w:rPr>
          <w:rFonts w:hint="default" w:ascii="Times New Roman" w:hAnsi="Times New Roman" w:eastAsia="宋体" w:cs="宋体"/>
          <w:kern w:val="0"/>
          <w:sz w:val="24"/>
          <w:szCs w:val="24"/>
        </w:rPr>
        <w:t>对</w:t>
      </w:r>
      <w:r>
        <w:rPr>
          <w:rFonts w:hint="default" w:ascii="Times New Roman" w:hAnsi="Times New Roman" w:eastAsia="宋体" w:cs="宋体"/>
          <w:kern w:val="0"/>
          <w:sz w:val="24"/>
          <w:szCs w:val="24"/>
          <w:lang w:val="en-US" w:eastAsia="zh-CN"/>
        </w:rPr>
        <w:t>市本级机构履职活动信息全量历史数据进行归集，包括履职活动计划信息数据，履职活动审核信息数据，履职活动成果信息数据。</w:t>
      </w:r>
    </w:p>
    <w:p w14:paraId="23CFF1D8">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6" w:name="_Toc24630"/>
      <w:r>
        <w:rPr>
          <w:rFonts w:hint="eastAsia" w:ascii="Times New Roman" w:hAnsi="Times New Roman"/>
          <w:sz w:val="24"/>
          <w:lang w:val="en-US" w:eastAsia="zh-CN"/>
        </w:rPr>
        <w:t>学习在线数据采集</w:t>
      </w:r>
      <w:bookmarkEnd w:id="136"/>
    </w:p>
    <w:p w14:paraId="6279001D">
      <w:pPr>
        <w:widowControl/>
        <w:spacing w:line="360" w:lineRule="auto"/>
        <w:ind w:firstLine="480" w:firstLineChars="0"/>
        <w:rPr>
          <w:rFonts w:hint="eastAsia" w:ascii="Times New Roman" w:hAnsi="Times New Roman" w:eastAsia="宋体" w:cs="宋体"/>
          <w:kern w:val="0"/>
          <w:sz w:val="24"/>
        </w:rPr>
      </w:pPr>
      <w:r>
        <w:rPr>
          <w:rFonts w:hint="default" w:ascii="Times New Roman" w:hAnsi="Times New Roman" w:eastAsia="宋体" w:cs="宋体"/>
          <w:kern w:val="0"/>
          <w:sz w:val="24"/>
          <w:szCs w:val="24"/>
        </w:rPr>
        <w:t>对</w:t>
      </w:r>
      <w:r>
        <w:rPr>
          <w:rFonts w:hint="default" w:ascii="Times New Roman" w:hAnsi="Times New Roman" w:eastAsia="宋体" w:cs="宋体"/>
          <w:kern w:val="0"/>
          <w:sz w:val="24"/>
          <w:szCs w:val="24"/>
          <w:lang w:val="en-US" w:eastAsia="zh-CN"/>
        </w:rPr>
        <w:t>市本级机构学习活动信息全量历史数据进行归集，包括学习活动计划信息数据，学习活动审核信息数据，学习活动成果信息数据。</w:t>
      </w:r>
    </w:p>
    <w:p w14:paraId="7F31A6AD">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7" w:name="_Toc22091"/>
      <w:r>
        <w:rPr>
          <w:rFonts w:hint="default" w:ascii="Times New Roman" w:hAnsi="Times New Roman"/>
          <w:sz w:val="24"/>
          <w:lang w:val="en-US" w:eastAsia="zh-CN"/>
        </w:rPr>
        <w:t>协商在线数据采集</w:t>
      </w:r>
      <w:bookmarkEnd w:id="137"/>
    </w:p>
    <w:p w14:paraId="1069F2CD">
      <w:pPr>
        <w:widowControl/>
        <w:spacing w:line="360" w:lineRule="auto"/>
        <w:ind w:firstLine="480" w:firstLineChars="0"/>
        <w:rPr>
          <w:rFonts w:hint="default"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对市本级机构</w:t>
      </w:r>
      <w:r>
        <w:rPr>
          <w:rFonts w:hint="eastAsia" w:ascii="Times New Roman" w:hAnsi="Times New Roman" w:eastAsia="宋体" w:cs="宋体"/>
          <w:kern w:val="0"/>
          <w:sz w:val="24"/>
          <w:szCs w:val="24"/>
          <w:lang w:val="en-US" w:eastAsia="zh-CN"/>
        </w:rPr>
        <w:t>协商</w:t>
      </w:r>
      <w:r>
        <w:rPr>
          <w:rFonts w:hint="default" w:ascii="Times New Roman" w:hAnsi="Times New Roman" w:eastAsia="宋体" w:cs="宋体"/>
          <w:kern w:val="0"/>
          <w:sz w:val="24"/>
          <w:szCs w:val="24"/>
          <w:lang w:val="en-US" w:eastAsia="zh-CN"/>
        </w:rPr>
        <w:t>活动安排信息，协商计划信息数据，协商活动审核信息数据、协商活动通知公告、大会发言、会议文件、会议简报，参阅资料等信息数据</w:t>
      </w:r>
    </w:p>
    <w:p w14:paraId="0881AE0D">
      <w:pPr>
        <w:keepNext w:val="0"/>
        <w:keepLines w:val="0"/>
        <w:pageBreakBefore w:val="0"/>
        <w:widowControl/>
        <w:numPr>
          <w:ilvl w:val="0"/>
          <w:numId w:val="8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外部数据交换</w:t>
      </w:r>
    </w:p>
    <w:p w14:paraId="7CEF7E4B">
      <w:pPr>
        <w:widowControl/>
        <w:spacing w:line="360" w:lineRule="auto"/>
        <w:ind w:firstLine="496" w:firstLineChars="200"/>
        <w:rPr>
          <w:rFonts w:hint="eastAsia" w:ascii="Times New Roman" w:hAnsi="Times New Roman" w:eastAsia="宋体" w:cs="宋体"/>
          <w:kern w:val="0"/>
          <w:sz w:val="24"/>
          <w:szCs w:val="24"/>
        </w:rPr>
      </w:pPr>
      <w:r>
        <w:rPr>
          <w:rFonts w:hint="default" w:ascii="Times New Roman" w:hAnsi="Times New Roman" w:eastAsia="宋体" w:cs="宋体"/>
          <w:kern w:val="0"/>
          <w:sz w:val="24"/>
          <w:szCs w:val="24"/>
        </w:rPr>
        <w:t>通过</w:t>
      </w:r>
      <w:r>
        <w:rPr>
          <w:rFonts w:hint="default" w:ascii="Times New Roman" w:hAnsi="Times New Roman" w:eastAsia="宋体" w:cs="宋体"/>
          <w:kern w:val="0"/>
          <w:sz w:val="24"/>
          <w:szCs w:val="24"/>
          <w:lang w:val="en-US" w:eastAsia="zh-CN"/>
        </w:rPr>
        <w:t>市大数据局</w:t>
      </w:r>
      <w:r>
        <w:rPr>
          <w:rFonts w:hint="default" w:ascii="Times New Roman" w:hAnsi="Times New Roman" w:eastAsia="宋体" w:cs="宋体"/>
          <w:kern w:val="0"/>
          <w:sz w:val="24"/>
          <w:szCs w:val="24"/>
        </w:rPr>
        <w:t>一体化</w:t>
      </w:r>
      <w:r>
        <w:rPr>
          <w:rFonts w:hint="default" w:ascii="Times New Roman" w:hAnsi="Times New Roman" w:eastAsia="宋体" w:cs="宋体"/>
          <w:kern w:val="0"/>
          <w:sz w:val="24"/>
          <w:szCs w:val="24"/>
          <w:lang w:val="en-US" w:eastAsia="zh-CN"/>
        </w:rPr>
        <w:t>公共</w:t>
      </w:r>
      <w:r>
        <w:rPr>
          <w:rFonts w:hint="default" w:ascii="Times New Roman" w:hAnsi="Times New Roman" w:eastAsia="宋体" w:cs="宋体"/>
          <w:kern w:val="0"/>
          <w:sz w:val="24"/>
          <w:szCs w:val="24"/>
        </w:rPr>
        <w:t>数据平台</w:t>
      </w:r>
      <w:r>
        <w:rPr>
          <w:rFonts w:hint="default" w:ascii="Times New Roman" w:hAnsi="Times New Roman" w:eastAsia="宋体" w:cs="宋体"/>
          <w:kern w:val="0"/>
          <w:sz w:val="24"/>
          <w:szCs w:val="24"/>
          <w:lang w:val="en-US" w:eastAsia="zh-CN"/>
        </w:rPr>
        <w:t>获取12345热线服务社情民意、i西安通讯录信息、全市政协机构信息等</w:t>
      </w:r>
      <w:r>
        <w:rPr>
          <w:rFonts w:hint="default" w:ascii="Times New Roman" w:hAnsi="Times New Roman" w:eastAsia="宋体" w:cs="宋体"/>
          <w:kern w:val="0"/>
          <w:sz w:val="24"/>
          <w:szCs w:val="24"/>
        </w:rPr>
        <w:t>各横向业务部门</w:t>
      </w:r>
      <w:r>
        <w:rPr>
          <w:rFonts w:hint="default" w:ascii="Times New Roman" w:hAnsi="Times New Roman" w:eastAsia="宋体" w:cs="宋体"/>
          <w:kern w:val="0"/>
          <w:sz w:val="24"/>
          <w:szCs w:val="24"/>
          <w:lang w:val="en-US" w:eastAsia="zh-CN"/>
        </w:rPr>
        <w:t>数据</w:t>
      </w:r>
      <w:r>
        <w:rPr>
          <w:rFonts w:hint="default" w:ascii="Times New Roman" w:hAnsi="Times New Roman" w:eastAsia="宋体" w:cs="宋体"/>
          <w:kern w:val="0"/>
          <w:sz w:val="24"/>
          <w:szCs w:val="24"/>
        </w:rPr>
        <w:t>。</w:t>
      </w:r>
    </w:p>
    <w:p w14:paraId="1E022019">
      <w:pPr>
        <w:keepNext w:val="0"/>
        <w:keepLines w:val="0"/>
        <w:pageBreakBefore w:val="0"/>
        <w:widowControl w:val="0"/>
        <w:numPr>
          <w:ilvl w:val="0"/>
          <w:numId w:val="91"/>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8" w:name="_Toc31220"/>
      <w:r>
        <w:rPr>
          <w:rFonts w:hint="eastAsia" w:ascii="Times New Roman" w:hAnsi="Times New Roman"/>
          <w:sz w:val="24"/>
          <w:lang w:val="en-US" w:eastAsia="zh-CN"/>
        </w:rPr>
        <w:t>12345热线服务数据交换</w:t>
      </w:r>
      <w:bookmarkEnd w:id="138"/>
    </w:p>
    <w:p w14:paraId="3827DFE1">
      <w:pPr>
        <w:widowControl/>
        <w:spacing w:line="360" w:lineRule="auto"/>
        <w:ind w:firstLine="496" w:firstLineChars="200"/>
        <w:rPr>
          <w:rFonts w:hint="eastAsia" w:ascii="Times New Roman" w:hAnsi="Times New Roman" w:eastAsia="宋体" w:cs="宋体"/>
          <w:kern w:val="0"/>
          <w:sz w:val="24"/>
          <w:szCs w:val="24"/>
        </w:rPr>
      </w:pPr>
      <w:r>
        <w:rPr>
          <w:rFonts w:hint="default" w:ascii="Times New Roman" w:hAnsi="Times New Roman" w:eastAsia="宋体" w:cs="宋体"/>
          <w:kern w:val="0"/>
          <w:sz w:val="24"/>
          <w:szCs w:val="24"/>
        </w:rPr>
        <w:t>根据数据分析应用及</w:t>
      </w:r>
      <w:r>
        <w:rPr>
          <w:rFonts w:hint="default" w:ascii="Times New Roman" w:hAnsi="Times New Roman" w:eastAsia="宋体" w:cs="宋体"/>
          <w:kern w:val="0"/>
          <w:sz w:val="24"/>
          <w:szCs w:val="24"/>
          <w:lang w:val="en-US" w:eastAsia="zh-CN"/>
        </w:rPr>
        <w:t>社情民意线索征集</w:t>
      </w:r>
      <w:r>
        <w:rPr>
          <w:rFonts w:hint="default" w:ascii="Times New Roman" w:hAnsi="Times New Roman" w:eastAsia="宋体" w:cs="宋体"/>
          <w:kern w:val="0"/>
          <w:sz w:val="24"/>
          <w:szCs w:val="24"/>
        </w:rPr>
        <w:t>需求，与</w:t>
      </w:r>
      <w:r>
        <w:rPr>
          <w:rFonts w:hint="default" w:ascii="Times New Roman" w:hAnsi="Times New Roman" w:eastAsia="宋体" w:cs="宋体"/>
          <w:kern w:val="0"/>
          <w:sz w:val="24"/>
          <w:szCs w:val="24"/>
          <w:lang w:val="en-US" w:eastAsia="zh-CN"/>
        </w:rPr>
        <w:t>市政府12345热线服务系统</w:t>
      </w:r>
      <w:r>
        <w:rPr>
          <w:rFonts w:hint="default" w:ascii="Times New Roman" w:hAnsi="Times New Roman" w:eastAsia="宋体" w:cs="宋体"/>
          <w:kern w:val="0"/>
          <w:sz w:val="24"/>
          <w:szCs w:val="24"/>
        </w:rPr>
        <w:t>进行</w:t>
      </w:r>
      <w:r>
        <w:rPr>
          <w:rFonts w:hint="default" w:ascii="Times New Roman" w:hAnsi="Times New Roman" w:eastAsia="宋体" w:cs="宋体"/>
          <w:kern w:val="0"/>
          <w:sz w:val="24"/>
          <w:szCs w:val="24"/>
          <w:lang w:val="en-US" w:eastAsia="zh-CN"/>
        </w:rPr>
        <w:t>咨询、建议、求助</w:t>
      </w:r>
      <w:r>
        <w:rPr>
          <w:rFonts w:hint="default" w:ascii="Times New Roman" w:hAnsi="Times New Roman" w:eastAsia="宋体" w:cs="宋体"/>
          <w:kern w:val="0"/>
          <w:sz w:val="24"/>
          <w:szCs w:val="24"/>
        </w:rPr>
        <w:t>相关数据交换，包括</w:t>
      </w:r>
      <w:r>
        <w:rPr>
          <w:rFonts w:hint="default" w:ascii="Times New Roman" w:hAnsi="Times New Roman" w:eastAsia="宋体" w:cs="宋体"/>
          <w:kern w:val="0"/>
          <w:sz w:val="24"/>
          <w:szCs w:val="24"/>
          <w:lang w:val="en-US" w:eastAsia="zh-CN"/>
        </w:rPr>
        <w:t>咨询</w:t>
      </w:r>
      <w:r>
        <w:rPr>
          <w:rFonts w:hint="default" w:ascii="Times New Roman" w:hAnsi="Times New Roman" w:eastAsia="宋体" w:cs="宋体"/>
          <w:kern w:val="0"/>
          <w:sz w:val="24"/>
          <w:szCs w:val="24"/>
        </w:rPr>
        <w:t>数据、</w:t>
      </w:r>
      <w:r>
        <w:rPr>
          <w:rFonts w:hint="default" w:ascii="Times New Roman" w:hAnsi="Times New Roman" w:eastAsia="宋体" w:cs="宋体"/>
          <w:kern w:val="0"/>
          <w:sz w:val="24"/>
          <w:szCs w:val="24"/>
          <w:lang w:val="en-US" w:eastAsia="zh-CN"/>
        </w:rPr>
        <w:t>建议</w:t>
      </w:r>
      <w:r>
        <w:rPr>
          <w:rFonts w:hint="default" w:ascii="Times New Roman" w:hAnsi="Times New Roman" w:eastAsia="宋体" w:cs="宋体"/>
          <w:kern w:val="0"/>
          <w:sz w:val="24"/>
          <w:szCs w:val="24"/>
        </w:rPr>
        <w:t>数据、</w:t>
      </w:r>
      <w:r>
        <w:rPr>
          <w:rFonts w:hint="default" w:ascii="Times New Roman" w:hAnsi="Times New Roman" w:eastAsia="宋体" w:cs="宋体"/>
          <w:kern w:val="0"/>
          <w:sz w:val="24"/>
          <w:szCs w:val="24"/>
          <w:lang w:val="en-US" w:eastAsia="zh-CN"/>
        </w:rPr>
        <w:t>求助数据</w:t>
      </w:r>
      <w:r>
        <w:rPr>
          <w:rFonts w:hint="default" w:ascii="Times New Roman" w:hAnsi="Times New Roman" w:eastAsia="宋体" w:cs="宋体"/>
          <w:kern w:val="0"/>
          <w:sz w:val="24"/>
          <w:szCs w:val="24"/>
        </w:rPr>
        <w:t>等。</w:t>
      </w:r>
    </w:p>
    <w:p w14:paraId="1EDC8A84">
      <w:pPr>
        <w:keepNext w:val="0"/>
        <w:keepLines w:val="0"/>
        <w:pageBreakBefore w:val="0"/>
        <w:widowControl w:val="0"/>
        <w:numPr>
          <w:ilvl w:val="0"/>
          <w:numId w:val="91"/>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39" w:name="_Toc15498"/>
      <w:r>
        <w:rPr>
          <w:rFonts w:hint="eastAsia" w:ascii="Times New Roman" w:hAnsi="Times New Roman"/>
          <w:sz w:val="24"/>
          <w:lang w:val="en-US" w:eastAsia="zh-CN"/>
        </w:rPr>
        <w:t>i西安平台数据交换</w:t>
      </w:r>
      <w:bookmarkEnd w:id="139"/>
    </w:p>
    <w:p w14:paraId="4D879C9A">
      <w:pPr>
        <w:widowControl/>
        <w:spacing w:line="360" w:lineRule="auto"/>
        <w:ind w:firstLine="496" w:firstLineChars="200"/>
        <w:rPr>
          <w:rFonts w:hint="default"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rPr>
        <w:t>根据数据分析应用及业务经办服务需求，与</w:t>
      </w:r>
      <w:r>
        <w:rPr>
          <w:rFonts w:hint="default" w:ascii="Times New Roman" w:hAnsi="Times New Roman" w:eastAsia="宋体" w:cs="宋体"/>
          <w:kern w:val="0"/>
          <w:sz w:val="24"/>
          <w:szCs w:val="24"/>
          <w:lang w:val="en-US" w:eastAsia="zh-CN"/>
        </w:rPr>
        <w:t>市大数据局</w:t>
      </w:r>
      <w:r>
        <w:rPr>
          <w:rFonts w:hint="default" w:ascii="Times New Roman" w:hAnsi="Times New Roman" w:eastAsia="宋体" w:cs="宋体"/>
          <w:kern w:val="0"/>
          <w:sz w:val="24"/>
          <w:szCs w:val="24"/>
        </w:rPr>
        <w:t>相关数据交换，包括</w:t>
      </w:r>
      <w:r>
        <w:rPr>
          <w:rFonts w:hint="default" w:ascii="Times New Roman" w:hAnsi="Times New Roman" w:eastAsia="宋体" w:cs="宋体"/>
          <w:kern w:val="0"/>
          <w:sz w:val="24"/>
          <w:szCs w:val="24"/>
          <w:lang w:val="en-US" w:eastAsia="zh-CN"/>
        </w:rPr>
        <w:t>委员通记录信息</w:t>
      </w:r>
      <w:r>
        <w:rPr>
          <w:rFonts w:hint="default" w:ascii="Times New Roman" w:hAnsi="Times New Roman" w:eastAsia="宋体" w:cs="宋体"/>
          <w:kern w:val="0"/>
          <w:sz w:val="24"/>
          <w:szCs w:val="24"/>
          <w:lang w:eastAsia="zh-CN"/>
        </w:rPr>
        <w:t>、</w:t>
      </w:r>
      <w:r>
        <w:rPr>
          <w:rFonts w:hint="default" w:ascii="Times New Roman" w:hAnsi="Times New Roman" w:eastAsia="宋体" w:cs="宋体"/>
          <w:kern w:val="0"/>
          <w:sz w:val="24"/>
          <w:szCs w:val="24"/>
          <w:lang w:val="en-US" w:eastAsia="zh-CN"/>
        </w:rPr>
        <w:t>机关人员</w:t>
      </w:r>
      <w:r>
        <w:rPr>
          <w:rFonts w:hint="default" w:ascii="Times New Roman" w:hAnsi="Times New Roman" w:eastAsia="宋体" w:cs="宋体"/>
          <w:kern w:val="0"/>
          <w:sz w:val="24"/>
          <w:szCs w:val="24"/>
        </w:rPr>
        <w:t>信息、</w:t>
      </w:r>
      <w:r>
        <w:rPr>
          <w:rFonts w:hint="default" w:ascii="Times New Roman" w:hAnsi="Times New Roman" w:eastAsia="宋体" w:cs="宋体"/>
          <w:kern w:val="0"/>
          <w:sz w:val="24"/>
          <w:szCs w:val="24"/>
          <w:lang w:val="en-US" w:eastAsia="zh-CN"/>
        </w:rPr>
        <w:t>党派团体人员信息、机构组织信息</w:t>
      </w:r>
      <w:r>
        <w:rPr>
          <w:rFonts w:hint="default" w:ascii="Times New Roman" w:hAnsi="Times New Roman" w:eastAsia="宋体" w:cs="宋体"/>
          <w:kern w:val="0"/>
          <w:sz w:val="24"/>
          <w:szCs w:val="24"/>
        </w:rPr>
        <w:t>等工作</w:t>
      </w:r>
      <w:r>
        <w:rPr>
          <w:rFonts w:hint="default" w:ascii="Times New Roman" w:hAnsi="Times New Roman" w:eastAsia="宋体" w:cs="宋体"/>
          <w:kern w:val="0"/>
          <w:sz w:val="24"/>
          <w:szCs w:val="24"/>
          <w:lang w:val="en-US" w:eastAsia="zh-CN"/>
        </w:rPr>
        <w:t>信息等。</w:t>
      </w:r>
    </w:p>
    <w:p w14:paraId="3D3A3C65">
      <w:pPr>
        <w:keepNext w:val="0"/>
        <w:keepLines w:val="0"/>
        <w:pageBreakBefore w:val="0"/>
        <w:widowControl/>
        <w:numPr>
          <w:ilvl w:val="0"/>
          <w:numId w:val="8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省数据回流</w:t>
      </w:r>
    </w:p>
    <w:p w14:paraId="0AB3ED73">
      <w:pPr>
        <w:widowControl/>
        <w:spacing w:line="360" w:lineRule="auto"/>
        <w:ind w:firstLine="496" w:firstLineChars="200"/>
        <w:rPr>
          <w:rFonts w:hint="eastAsia" w:ascii="宋体" w:hAnsi="宋体" w:eastAsia="宋体" w:cs="宋体"/>
          <w:kern w:val="0"/>
          <w:sz w:val="24"/>
          <w:szCs w:val="24"/>
        </w:rPr>
      </w:pPr>
      <w:r>
        <w:rPr>
          <w:rFonts w:hint="eastAsia" w:ascii="宋体" w:hAnsi="宋体" w:eastAsia="宋体" w:cs="宋体"/>
          <w:kern w:val="0"/>
          <w:sz w:val="24"/>
          <w:szCs w:val="24"/>
        </w:rPr>
        <w:t>根据实际业务需求，基于</w:t>
      </w:r>
      <w:r>
        <w:rPr>
          <w:rFonts w:hint="eastAsia" w:ascii="宋体" w:hAnsi="宋体" w:eastAsia="宋体" w:cs="宋体"/>
          <w:kern w:val="0"/>
          <w:sz w:val="24"/>
          <w:szCs w:val="24"/>
          <w:lang w:eastAsia="zh-CN"/>
        </w:rPr>
        <w:t>数据集成工具</w:t>
      </w:r>
      <w:r>
        <w:rPr>
          <w:rFonts w:hint="eastAsia" w:ascii="宋体" w:hAnsi="宋体" w:eastAsia="宋体" w:cs="宋体"/>
          <w:kern w:val="0"/>
          <w:sz w:val="24"/>
          <w:szCs w:val="24"/>
        </w:rPr>
        <w:t>，以接口方式实现</w:t>
      </w:r>
      <w:r>
        <w:rPr>
          <w:rFonts w:hint="eastAsia" w:ascii="宋体" w:hAnsi="宋体" w:eastAsia="宋体" w:cs="宋体"/>
          <w:kern w:val="0"/>
          <w:sz w:val="24"/>
          <w:szCs w:val="24"/>
          <w:highlight w:val="none"/>
          <w:lang w:val="en-US" w:eastAsia="zh-CN"/>
        </w:rPr>
        <w:t>省级</w:t>
      </w:r>
      <w:r>
        <w:rPr>
          <w:rFonts w:hint="eastAsia" w:ascii="宋体" w:hAnsi="宋体" w:eastAsia="宋体" w:cs="宋体"/>
          <w:kern w:val="0"/>
          <w:sz w:val="24"/>
          <w:szCs w:val="24"/>
        </w:rPr>
        <w:t>相关核心业务数据回流到本地数据仓库，支撑数据价值挖掘和数据分析应用。</w:t>
      </w:r>
    </w:p>
    <w:p w14:paraId="23C6F5EF">
      <w:pPr>
        <w:keepNext w:val="0"/>
        <w:keepLines w:val="0"/>
        <w:pageBreakBefore w:val="0"/>
        <w:widowControl/>
        <w:numPr>
          <w:ilvl w:val="0"/>
          <w:numId w:val="89"/>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历史数据迁移</w:t>
      </w:r>
    </w:p>
    <w:p w14:paraId="77BCF041">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40" w:name="_Toc9921"/>
      <w:r>
        <w:rPr>
          <w:rFonts w:hint="eastAsia" w:ascii="Times New Roman" w:hAnsi="Times New Roman"/>
          <w:sz w:val="24"/>
          <w:lang w:val="en-US" w:eastAsia="zh-CN"/>
        </w:rPr>
        <w:t>提案系统数据迁移</w:t>
      </w:r>
      <w:bookmarkEnd w:id="140"/>
    </w:p>
    <w:p w14:paraId="2666D1E9">
      <w:pPr>
        <w:widowControl/>
        <w:spacing w:line="360" w:lineRule="auto"/>
        <w:ind w:firstLine="496" w:firstLineChars="20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对</w:t>
      </w:r>
      <w:r>
        <w:rPr>
          <w:rFonts w:hint="default" w:ascii="Times New Roman" w:hAnsi="Times New Roman" w:eastAsia="宋体" w:cs="宋体"/>
          <w:kern w:val="0"/>
          <w:sz w:val="24"/>
          <w:szCs w:val="24"/>
          <w:lang w:val="en-US" w:eastAsia="zh-CN"/>
        </w:rPr>
        <w:t>现有系统提案管理系统</w:t>
      </w:r>
      <w:r>
        <w:rPr>
          <w:rFonts w:hint="eastAsia" w:ascii="Times New Roman" w:hAnsi="Times New Roman" w:eastAsia="宋体" w:cs="宋体"/>
          <w:kern w:val="0"/>
          <w:sz w:val="24"/>
          <w:szCs w:val="24"/>
          <w:lang w:val="en-US" w:eastAsia="zh-CN"/>
        </w:rPr>
        <w:t>的全量历史数据进行迁移，包括</w:t>
      </w:r>
      <w:r>
        <w:rPr>
          <w:rFonts w:hint="default" w:ascii="Times New Roman" w:hAnsi="Times New Roman" w:eastAsia="宋体" w:cs="宋体"/>
          <w:kern w:val="0"/>
          <w:sz w:val="24"/>
          <w:szCs w:val="24"/>
          <w:lang w:val="en-US" w:eastAsia="zh-CN"/>
        </w:rPr>
        <w:t>提案档案数据、提案办理信息数据</w:t>
      </w:r>
      <w:r>
        <w:rPr>
          <w:rFonts w:hint="eastAsia" w:ascii="Times New Roman" w:hAnsi="Times New Roman" w:eastAsia="宋体" w:cs="宋体"/>
          <w:kern w:val="0"/>
          <w:sz w:val="24"/>
          <w:szCs w:val="24"/>
          <w:lang w:val="en-US" w:eastAsia="zh-CN"/>
        </w:rPr>
        <w:t>等。</w:t>
      </w:r>
    </w:p>
    <w:p w14:paraId="74E19CDE">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41" w:name="_Toc29945"/>
      <w:r>
        <w:rPr>
          <w:rFonts w:hint="eastAsia" w:ascii="Times New Roman" w:hAnsi="Times New Roman"/>
          <w:sz w:val="24"/>
          <w:lang w:val="en-US" w:eastAsia="zh-CN"/>
        </w:rPr>
        <w:t>委员履职数据迁移</w:t>
      </w:r>
      <w:bookmarkEnd w:id="141"/>
    </w:p>
    <w:p w14:paraId="156E0190">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对</w:t>
      </w:r>
      <w:r>
        <w:rPr>
          <w:rFonts w:hint="default" w:ascii="Times New Roman" w:hAnsi="Times New Roman" w:eastAsia="宋体" w:cs="宋体"/>
          <w:kern w:val="0"/>
          <w:sz w:val="24"/>
          <w:szCs w:val="24"/>
          <w:lang w:val="en-US" w:eastAsia="zh-CN"/>
        </w:rPr>
        <w:t>现有系统委员履职服务平台</w:t>
      </w:r>
      <w:r>
        <w:rPr>
          <w:rFonts w:hint="eastAsia" w:ascii="Times New Roman" w:hAnsi="Times New Roman" w:eastAsia="宋体" w:cs="宋体"/>
          <w:kern w:val="0"/>
          <w:sz w:val="24"/>
          <w:szCs w:val="24"/>
          <w:lang w:val="en-US" w:eastAsia="zh-CN"/>
        </w:rPr>
        <w:t>的全量历史数据进行迁移，包括</w:t>
      </w:r>
      <w:r>
        <w:rPr>
          <w:rFonts w:hint="default" w:ascii="Times New Roman" w:hAnsi="Times New Roman" w:eastAsia="宋体" w:cs="宋体"/>
          <w:kern w:val="0"/>
          <w:sz w:val="24"/>
          <w:szCs w:val="24"/>
          <w:lang w:val="en-US" w:eastAsia="zh-CN"/>
        </w:rPr>
        <w:t>委员履职等数据</w:t>
      </w:r>
      <w:r>
        <w:rPr>
          <w:rFonts w:hint="eastAsia" w:ascii="Times New Roman" w:hAnsi="Times New Roman" w:eastAsia="宋体" w:cs="宋体"/>
          <w:kern w:val="0"/>
          <w:sz w:val="24"/>
          <w:szCs w:val="24"/>
          <w:lang w:val="en-US" w:eastAsia="zh-CN"/>
        </w:rPr>
        <w:t>等。</w:t>
      </w:r>
    </w:p>
    <w:p w14:paraId="35CD0509">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42" w:name="_Toc16343"/>
      <w:r>
        <w:rPr>
          <w:rFonts w:hint="eastAsia" w:ascii="Times New Roman" w:hAnsi="Times New Roman"/>
          <w:sz w:val="24"/>
          <w:lang w:val="en-US" w:eastAsia="zh-CN"/>
        </w:rPr>
        <w:t>西安市委员会会议系统数据迁移</w:t>
      </w:r>
      <w:bookmarkEnd w:id="142"/>
    </w:p>
    <w:p w14:paraId="788B2D34">
      <w:pPr>
        <w:widowControl/>
        <w:spacing w:line="360" w:lineRule="auto"/>
        <w:ind w:firstLine="480" w:firstLineChars="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对</w:t>
      </w:r>
      <w:r>
        <w:rPr>
          <w:rFonts w:hint="default" w:ascii="Times New Roman" w:hAnsi="Times New Roman" w:eastAsia="宋体" w:cs="宋体"/>
          <w:kern w:val="0"/>
          <w:sz w:val="24"/>
          <w:szCs w:val="24"/>
          <w:lang w:val="en-US" w:eastAsia="zh-CN"/>
        </w:rPr>
        <w:t>现有西安市委员会会议系统</w:t>
      </w:r>
      <w:r>
        <w:rPr>
          <w:rFonts w:hint="eastAsia" w:ascii="Times New Roman" w:hAnsi="Times New Roman" w:eastAsia="宋体" w:cs="宋体"/>
          <w:kern w:val="0"/>
          <w:sz w:val="24"/>
          <w:szCs w:val="24"/>
          <w:lang w:val="en-US" w:eastAsia="zh-CN"/>
        </w:rPr>
        <w:t>的全量历史数据进行迁移，包括</w:t>
      </w:r>
      <w:r>
        <w:rPr>
          <w:rFonts w:hint="default" w:ascii="Times New Roman" w:hAnsi="Times New Roman" w:eastAsia="宋体" w:cs="宋体"/>
          <w:kern w:val="0"/>
          <w:sz w:val="24"/>
          <w:szCs w:val="24"/>
          <w:lang w:val="en-US" w:eastAsia="zh-CN"/>
        </w:rPr>
        <w:t>会议记录等数据等数据</w:t>
      </w:r>
      <w:r>
        <w:rPr>
          <w:rFonts w:hint="eastAsia" w:ascii="Times New Roman" w:hAnsi="Times New Roman" w:eastAsia="宋体" w:cs="宋体"/>
          <w:kern w:val="0"/>
          <w:sz w:val="24"/>
          <w:szCs w:val="24"/>
          <w:lang w:val="en-US" w:eastAsia="zh-CN"/>
        </w:rPr>
        <w:t>等。</w:t>
      </w:r>
    </w:p>
    <w:p w14:paraId="3529496A">
      <w:pPr>
        <w:bidi w:val="0"/>
        <w:rPr>
          <w:lang w:val="en-US" w:eastAsia="zh-CN"/>
        </w:rPr>
      </w:pPr>
      <w:r>
        <w:rPr>
          <w:rFonts w:hint="eastAsia" w:ascii="宋体" w:hAnsi="宋体" w:eastAsia="宋体" w:cs="宋体"/>
          <w:sz w:val="24"/>
          <w:szCs w:val="24"/>
          <w:lang w:val="en-US" w:eastAsia="zh-CN" w:bidi="ar-SA"/>
        </w:rPr>
        <w:t>4.2.8.2.3</w:t>
      </w:r>
      <w:r>
        <w:rPr>
          <w:rFonts w:hint="eastAsia"/>
          <w:lang w:val="en-US" w:eastAsia="zh-CN"/>
        </w:rPr>
        <w:t>数据治理服务</w:t>
      </w:r>
    </w:p>
    <w:p w14:paraId="2331BD3C">
      <w:pPr>
        <w:widowControl/>
        <w:spacing w:line="360" w:lineRule="auto"/>
        <w:ind w:firstLine="496" w:firstLineChars="200"/>
        <w:rPr>
          <w:rFonts w:hint="eastAsia" w:ascii="宋体" w:hAnsi="宋体" w:eastAsia="宋体" w:cs="宋体"/>
          <w:kern w:val="0"/>
          <w:sz w:val="24"/>
          <w:szCs w:val="24"/>
          <w:lang w:val="en-GB"/>
        </w:rPr>
      </w:pPr>
      <w:r>
        <w:rPr>
          <w:rFonts w:hint="eastAsia" w:ascii="宋体" w:hAnsi="宋体" w:eastAsia="宋体" w:cs="宋体"/>
          <w:kern w:val="0"/>
          <w:sz w:val="24"/>
          <w:szCs w:val="24"/>
          <w:lang w:eastAsia="zh-Hans"/>
        </w:rPr>
        <w:t>数据质量</w:t>
      </w:r>
      <w:r>
        <w:rPr>
          <w:rFonts w:hint="eastAsia" w:ascii="宋体" w:hAnsi="宋体" w:eastAsia="宋体" w:cs="宋体"/>
          <w:kern w:val="0"/>
          <w:sz w:val="24"/>
          <w:szCs w:val="24"/>
        </w:rPr>
        <w:t>检查服务内容包括</w:t>
      </w:r>
      <w:r>
        <w:rPr>
          <w:rFonts w:hint="eastAsia" w:ascii="宋体" w:hAnsi="宋体" w:eastAsia="宋体" w:cs="宋体"/>
          <w:kern w:val="0"/>
          <w:sz w:val="24"/>
          <w:szCs w:val="24"/>
          <w:highlight w:val="none"/>
        </w:rPr>
        <w:t>质检规则梳理、质检规则定义、质检计划制定、质检报告</w:t>
      </w:r>
      <w:r>
        <w:rPr>
          <w:rFonts w:hint="eastAsia" w:ascii="宋体" w:hAnsi="宋体" w:eastAsia="宋体" w:cs="宋体"/>
          <w:kern w:val="0"/>
          <w:sz w:val="24"/>
          <w:szCs w:val="24"/>
          <w:highlight w:val="none"/>
          <w:lang w:val="en-US" w:eastAsia="zh-CN"/>
        </w:rPr>
        <w:t>分析、问题反馈和验证</w:t>
      </w:r>
      <w:r>
        <w:rPr>
          <w:rFonts w:hint="eastAsia" w:ascii="宋体" w:hAnsi="宋体" w:eastAsia="宋体" w:cs="宋体"/>
          <w:kern w:val="0"/>
          <w:sz w:val="24"/>
          <w:szCs w:val="24"/>
          <w:highlight w:val="none"/>
        </w:rPr>
        <w:t>等，</w:t>
      </w:r>
      <w:r>
        <w:rPr>
          <w:rFonts w:hint="eastAsia" w:ascii="宋体" w:hAnsi="宋体" w:eastAsia="宋体" w:cs="宋体"/>
          <w:kern w:val="0"/>
          <w:sz w:val="24"/>
          <w:szCs w:val="24"/>
          <w:lang w:eastAsia="zh-Hans"/>
        </w:rPr>
        <w:t>主要</w:t>
      </w:r>
      <w:r>
        <w:rPr>
          <w:rFonts w:hint="eastAsia" w:ascii="宋体" w:hAnsi="宋体" w:eastAsia="宋体" w:cs="宋体"/>
          <w:kern w:val="0"/>
          <w:sz w:val="24"/>
          <w:szCs w:val="24"/>
        </w:rPr>
        <w:t>实现对</w:t>
      </w:r>
      <w:r>
        <w:rPr>
          <w:rFonts w:hint="eastAsia" w:ascii="宋体" w:hAnsi="宋体" w:eastAsia="宋体" w:cs="宋体"/>
          <w:kern w:val="0"/>
          <w:sz w:val="24"/>
          <w:szCs w:val="24"/>
          <w:lang w:eastAsia="zh-Hans"/>
        </w:rPr>
        <w:t>数据</w:t>
      </w:r>
      <w:r>
        <w:rPr>
          <w:rFonts w:hint="eastAsia" w:ascii="宋体" w:hAnsi="宋体" w:eastAsia="宋体" w:cs="宋体"/>
          <w:kern w:val="0"/>
          <w:sz w:val="24"/>
          <w:szCs w:val="24"/>
        </w:rPr>
        <w:t>的完整性、规范性、一致性、准确性、唯一性、关联性、逻辑性</w:t>
      </w:r>
      <w:r>
        <w:rPr>
          <w:rFonts w:hint="eastAsia" w:ascii="宋体" w:hAnsi="宋体" w:eastAsia="宋体" w:cs="宋体"/>
          <w:kern w:val="0"/>
          <w:sz w:val="24"/>
          <w:szCs w:val="24"/>
          <w:lang w:eastAsia="zh-Hans"/>
        </w:rPr>
        <w:t>七个维度</w:t>
      </w:r>
      <w:r>
        <w:rPr>
          <w:rFonts w:hint="eastAsia" w:ascii="宋体" w:hAnsi="宋体" w:eastAsia="宋体" w:cs="宋体"/>
          <w:kern w:val="0"/>
          <w:sz w:val="24"/>
          <w:szCs w:val="24"/>
        </w:rPr>
        <w:t>的检查</w:t>
      </w:r>
      <w:r>
        <w:rPr>
          <w:rFonts w:hint="eastAsia" w:ascii="宋体" w:hAnsi="宋体" w:eastAsia="宋体" w:cs="宋体"/>
          <w:kern w:val="0"/>
          <w:sz w:val="24"/>
          <w:szCs w:val="24"/>
          <w:lang w:eastAsia="zh-Hans"/>
        </w:rPr>
        <w:t>，</w:t>
      </w:r>
      <w:r>
        <w:rPr>
          <w:rFonts w:hint="eastAsia" w:ascii="宋体" w:hAnsi="宋体" w:eastAsia="宋体" w:cs="宋体"/>
          <w:kern w:val="0"/>
          <w:sz w:val="24"/>
          <w:szCs w:val="24"/>
        </w:rPr>
        <w:t>发现数据质量问题，并进行问题反馈和整改</w:t>
      </w:r>
      <w:r>
        <w:rPr>
          <w:rFonts w:hint="eastAsia" w:ascii="宋体" w:hAnsi="宋体" w:eastAsia="宋体" w:cs="宋体"/>
          <w:kern w:val="0"/>
          <w:sz w:val="24"/>
          <w:szCs w:val="24"/>
          <w:lang w:val="en-GB"/>
        </w:rPr>
        <w:t>。</w:t>
      </w:r>
    </w:p>
    <w:p w14:paraId="0D32443E">
      <w:pPr>
        <w:keepNext w:val="0"/>
        <w:keepLines w:val="0"/>
        <w:pageBreakBefore w:val="0"/>
        <w:widowControl/>
        <w:numPr>
          <w:ilvl w:val="0"/>
          <w:numId w:val="9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公共业务数据治理</w:t>
      </w:r>
    </w:p>
    <w:p w14:paraId="5609A30F">
      <w:pPr>
        <w:pStyle w:val="11"/>
        <w:widowControl/>
        <w:ind w:firstLine="56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基于公共业务数据的应用需求，</w:t>
      </w:r>
      <w:r>
        <w:rPr>
          <w:rFonts w:hint="eastAsia" w:ascii="宋体" w:hAnsi="宋体" w:eastAsia="宋体" w:cs="宋体"/>
          <w:kern w:val="0"/>
          <w:sz w:val="24"/>
          <w:szCs w:val="24"/>
          <w:lang w:val="en-US" w:eastAsia="zh-CN"/>
        </w:rPr>
        <w:t>对</w:t>
      </w:r>
      <w:r>
        <w:rPr>
          <w:rFonts w:hint="eastAsia" w:ascii="宋体" w:hAnsi="宋体" w:eastAsia="宋体" w:cs="宋体"/>
          <w:kern w:val="0"/>
          <w:sz w:val="24"/>
          <w:szCs w:val="24"/>
        </w:rPr>
        <w:t>单位基本信息</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人员基本信息</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人员</w:t>
      </w:r>
      <w:r>
        <w:rPr>
          <w:rFonts w:hint="eastAsia" w:ascii="宋体" w:hAnsi="宋体" w:eastAsia="宋体" w:cs="宋体"/>
          <w:kern w:val="0"/>
          <w:sz w:val="24"/>
          <w:szCs w:val="24"/>
          <w:lang w:val="en-US" w:eastAsia="zh-CN"/>
        </w:rPr>
        <w:t>通讯录信息</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组织机构</w:t>
      </w:r>
      <w:r>
        <w:rPr>
          <w:rFonts w:hint="eastAsia" w:ascii="宋体" w:hAnsi="宋体" w:eastAsia="宋体" w:cs="宋体"/>
          <w:kern w:val="0"/>
          <w:sz w:val="24"/>
          <w:szCs w:val="24"/>
        </w:rPr>
        <w:t>信息</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系统代码字典数据等进行数据质量检查，输出数据质检报告，针对数据质量问题，进行数据过滤、去重、补全等治理工作，实现数据质量持续提升。</w:t>
      </w:r>
    </w:p>
    <w:p w14:paraId="1DAA11EE">
      <w:pPr>
        <w:keepNext w:val="0"/>
        <w:keepLines w:val="0"/>
        <w:pageBreakBefore w:val="0"/>
        <w:widowControl/>
        <w:numPr>
          <w:ilvl w:val="0"/>
          <w:numId w:val="9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提案在线数据治理</w:t>
      </w:r>
    </w:p>
    <w:p w14:paraId="3330314D">
      <w:pPr>
        <w:pStyle w:val="11"/>
        <w:widowControl/>
        <w:ind w:firstLine="56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基于</w:t>
      </w:r>
      <w:r>
        <w:rPr>
          <w:rFonts w:hint="eastAsia" w:ascii="宋体" w:hAnsi="宋体" w:eastAsia="宋体" w:cs="宋体"/>
          <w:kern w:val="0"/>
          <w:sz w:val="24"/>
          <w:szCs w:val="24"/>
          <w:lang w:val="en-US" w:eastAsia="zh-CN"/>
        </w:rPr>
        <w:t>提案数据智能分析</w:t>
      </w:r>
      <w:r>
        <w:rPr>
          <w:rFonts w:hint="eastAsia" w:ascii="宋体" w:hAnsi="宋体" w:eastAsia="宋体" w:cs="宋体"/>
          <w:kern w:val="0"/>
          <w:sz w:val="24"/>
          <w:szCs w:val="24"/>
        </w:rPr>
        <w:t>的应用需求，</w:t>
      </w:r>
      <w:r>
        <w:rPr>
          <w:rFonts w:hint="eastAsia" w:ascii="宋体" w:hAnsi="宋体" w:eastAsia="宋体" w:cs="宋体"/>
          <w:kern w:val="0"/>
          <w:sz w:val="24"/>
          <w:szCs w:val="24"/>
          <w:lang w:val="en-US" w:eastAsia="zh-CN"/>
        </w:rPr>
        <w:t>对提案基本信息数据，提案审查信息数据，提案办理信息数据，提案督办信息数据、提案反馈及评价信息数据等进行数据质量检查，输出数据质检报告，针对数据质量问题，进行数据过滤、去重、补全等治理工作，实现数据质量持续提升。</w:t>
      </w:r>
    </w:p>
    <w:p w14:paraId="6BE528B1">
      <w:pPr>
        <w:keepNext w:val="0"/>
        <w:keepLines w:val="0"/>
        <w:pageBreakBefore w:val="0"/>
        <w:widowControl/>
        <w:numPr>
          <w:ilvl w:val="0"/>
          <w:numId w:val="9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社情民意在线数据治理</w:t>
      </w:r>
    </w:p>
    <w:p w14:paraId="4AEA9151">
      <w:pPr>
        <w:pStyle w:val="11"/>
        <w:widowControl/>
        <w:ind w:firstLine="56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基于</w:t>
      </w:r>
      <w:r>
        <w:rPr>
          <w:rFonts w:hint="eastAsia" w:ascii="宋体" w:hAnsi="宋体" w:eastAsia="宋体" w:cs="宋体"/>
          <w:kern w:val="0"/>
          <w:sz w:val="24"/>
          <w:szCs w:val="24"/>
          <w:lang w:val="en-US" w:eastAsia="zh-CN"/>
        </w:rPr>
        <w:t>社情民意数据智能分析</w:t>
      </w:r>
      <w:r>
        <w:rPr>
          <w:rFonts w:hint="eastAsia" w:ascii="宋体" w:hAnsi="宋体" w:eastAsia="宋体" w:cs="宋体"/>
          <w:kern w:val="0"/>
          <w:sz w:val="24"/>
          <w:szCs w:val="24"/>
        </w:rPr>
        <w:t>的应用需求，</w:t>
      </w:r>
      <w:r>
        <w:rPr>
          <w:rFonts w:hint="eastAsia" w:ascii="宋体" w:hAnsi="宋体" w:eastAsia="宋体" w:cs="宋体"/>
          <w:kern w:val="0"/>
          <w:sz w:val="24"/>
          <w:szCs w:val="24"/>
          <w:lang w:val="en-US" w:eastAsia="zh-CN"/>
        </w:rPr>
        <w:t>对社情民意上报信息数据，社情民意编辑审核信息数据，社情民意采用反馈信息数据等进行数据质量检查，输出数据质检报告，针对数据质量问题，进行数据过滤、去重、补全等治理工作，实现数据质量持续提升。</w:t>
      </w:r>
    </w:p>
    <w:p w14:paraId="03177A63">
      <w:pPr>
        <w:keepNext w:val="0"/>
        <w:keepLines w:val="0"/>
        <w:pageBreakBefore w:val="0"/>
        <w:widowControl/>
        <w:numPr>
          <w:ilvl w:val="0"/>
          <w:numId w:val="9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履职在线数据治理</w:t>
      </w:r>
    </w:p>
    <w:p w14:paraId="3014C3E8">
      <w:pPr>
        <w:pStyle w:val="11"/>
        <w:widowControl/>
        <w:ind w:firstLine="56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基于</w:t>
      </w:r>
      <w:r>
        <w:rPr>
          <w:rFonts w:hint="eastAsia" w:ascii="宋体" w:hAnsi="宋体" w:eastAsia="宋体" w:cs="宋体"/>
          <w:kern w:val="0"/>
          <w:sz w:val="24"/>
          <w:szCs w:val="24"/>
          <w:lang w:val="en-US" w:eastAsia="zh-CN"/>
        </w:rPr>
        <w:t>履职考核、积分数据智能分析</w:t>
      </w:r>
      <w:r>
        <w:rPr>
          <w:rFonts w:hint="eastAsia" w:ascii="宋体" w:hAnsi="宋体" w:eastAsia="宋体" w:cs="宋体"/>
          <w:kern w:val="0"/>
          <w:sz w:val="24"/>
          <w:szCs w:val="24"/>
        </w:rPr>
        <w:t>的应用需求，</w:t>
      </w:r>
      <w:r>
        <w:rPr>
          <w:rFonts w:hint="eastAsia" w:ascii="宋体" w:hAnsi="宋体" w:eastAsia="宋体" w:cs="宋体"/>
          <w:kern w:val="0"/>
          <w:sz w:val="24"/>
          <w:szCs w:val="24"/>
          <w:lang w:val="en-US" w:eastAsia="zh-CN"/>
        </w:rPr>
        <w:t>对履职活动计划信息数据，履职活动审核信息数据，履职活动成果信息数据等进行数据质量检查，输出数据质检报告，针对数据质量问题，进行数据过滤、去重、补全等治理工作，实现数据质量持续提升。</w:t>
      </w:r>
    </w:p>
    <w:p w14:paraId="43FEB290">
      <w:pPr>
        <w:keepNext w:val="0"/>
        <w:keepLines w:val="0"/>
        <w:pageBreakBefore w:val="0"/>
        <w:widowControl/>
        <w:numPr>
          <w:ilvl w:val="0"/>
          <w:numId w:val="9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学习在线数据治理</w:t>
      </w:r>
    </w:p>
    <w:p w14:paraId="66434E3E">
      <w:pPr>
        <w:pStyle w:val="11"/>
        <w:widowControl/>
        <w:ind w:firstLine="56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基于</w:t>
      </w:r>
      <w:r>
        <w:rPr>
          <w:rFonts w:hint="eastAsia" w:ascii="宋体" w:hAnsi="宋体" w:eastAsia="宋体" w:cs="宋体"/>
          <w:kern w:val="0"/>
          <w:sz w:val="24"/>
          <w:szCs w:val="24"/>
          <w:lang w:val="en-US" w:eastAsia="zh-CN"/>
        </w:rPr>
        <w:t>学习在线数据智能分析</w:t>
      </w:r>
      <w:r>
        <w:rPr>
          <w:rFonts w:hint="eastAsia" w:ascii="宋体" w:hAnsi="宋体" w:eastAsia="宋体" w:cs="宋体"/>
          <w:kern w:val="0"/>
          <w:sz w:val="24"/>
          <w:szCs w:val="24"/>
        </w:rPr>
        <w:t>的应用需求，</w:t>
      </w:r>
      <w:r>
        <w:rPr>
          <w:rFonts w:hint="eastAsia" w:ascii="宋体" w:hAnsi="宋体" w:eastAsia="宋体" w:cs="宋体"/>
          <w:kern w:val="0"/>
          <w:sz w:val="24"/>
          <w:szCs w:val="24"/>
          <w:lang w:val="en-US" w:eastAsia="zh-CN"/>
        </w:rPr>
        <w:t>对学习活动计划信息数据，学习活动审核信息数据，读书群发言信息数据、学习活动成果信息数据等进行数据质量检查，输出数据质检报告，针对数据质量问题，进行数据过滤、去重、补全等治理工作，实现数据质量持续提升。</w:t>
      </w:r>
    </w:p>
    <w:p w14:paraId="569A6BC6">
      <w:pPr>
        <w:keepNext w:val="0"/>
        <w:keepLines w:val="0"/>
        <w:pageBreakBefore w:val="0"/>
        <w:widowControl/>
        <w:numPr>
          <w:ilvl w:val="0"/>
          <w:numId w:val="93"/>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协商在线数据治理</w:t>
      </w:r>
    </w:p>
    <w:p w14:paraId="03E04C40">
      <w:pPr>
        <w:pStyle w:val="11"/>
        <w:widowControl/>
        <w:ind w:firstLine="56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基于</w:t>
      </w:r>
      <w:r>
        <w:rPr>
          <w:rFonts w:hint="eastAsia" w:ascii="宋体" w:hAnsi="宋体" w:eastAsia="宋体" w:cs="宋体"/>
          <w:kern w:val="0"/>
          <w:sz w:val="24"/>
          <w:szCs w:val="24"/>
          <w:lang w:val="en-US" w:eastAsia="zh-CN"/>
        </w:rPr>
        <w:t>协商在线数据智能分析</w:t>
      </w:r>
      <w:r>
        <w:rPr>
          <w:rFonts w:hint="eastAsia" w:ascii="宋体" w:hAnsi="宋体" w:eastAsia="宋体" w:cs="宋体"/>
          <w:kern w:val="0"/>
          <w:sz w:val="24"/>
          <w:szCs w:val="24"/>
        </w:rPr>
        <w:t>的应用需求，</w:t>
      </w:r>
      <w:r>
        <w:rPr>
          <w:rFonts w:hint="eastAsia" w:ascii="宋体" w:hAnsi="宋体" w:eastAsia="宋体" w:cs="宋体"/>
          <w:kern w:val="0"/>
          <w:sz w:val="24"/>
          <w:szCs w:val="24"/>
          <w:lang w:val="en-US" w:eastAsia="zh-CN"/>
        </w:rPr>
        <w:t>对</w:t>
      </w:r>
      <w:r>
        <w:rPr>
          <w:rFonts w:hint="eastAsia" w:ascii="宋体" w:hAnsi="宋体" w:cs="宋体"/>
          <w:kern w:val="0"/>
          <w:sz w:val="24"/>
          <w:szCs w:val="24"/>
          <w:lang w:val="en-US" w:eastAsia="zh-CN"/>
        </w:rPr>
        <w:t>协商</w:t>
      </w:r>
      <w:r>
        <w:rPr>
          <w:rFonts w:hint="eastAsia" w:ascii="宋体" w:hAnsi="宋体" w:eastAsia="宋体" w:cs="宋体"/>
          <w:kern w:val="0"/>
          <w:sz w:val="24"/>
          <w:szCs w:val="24"/>
          <w:lang w:val="en-US" w:eastAsia="zh-CN"/>
        </w:rPr>
        <w:t>活动安排信息，协商计划信息数据，协商活动审核信息数据、协商活动通知公告、大会发言、会议文件、会议简报，参阅资料等信息数据等进行数据质量检查，输出数据质检报告，针对数据质量问题，进行数据过滤、去重、补全等治理工作，实现数据质量持续提升。</w:t>
      </w:r>
    </w:p>
    <w:p w14:paraId="44BEA2BF">
      <w:pPr>
        <w:bidi w:val="0"/>
        <w:rPr>
          <w:lang w:val="en-US" w:eastAsia="zh-CN"/>
        </w:rPr>
      </w:pPr>
      <w:r>
        <w:rPr>
          <w:rFonts w:hint="eastAsia" w:ascii="宋体" w:hAnsi="宋体" w:eastAsia="宋体" w:cs="宋体"/>
          <w:sz w:val="24"/>
          <w:szCs w:val="24"/>
          <w:lang w:val="en-US" w:eastAsia="zh-CN" w:bidi="ar-SA"/>
        </w:rPr>
        <w:t>4.2.8.2.4</w:t>
      </w:r>
      <w:r>
        <w:rPr>
          <w:rFonts w:hint="eastAsia"/>
          <w:lang w:val="en-US" w:eastAsia="zh-CN"/>
        </w:rPr>
        <w:t>数据管理服务</w:t>
      </w:r>
    </w:p>
    <w:p w14:paraId="0392F47D">
      <w:pPr>
        <w:pStyle w:val="11"/>
        <w:widowControl/>
        <w:ind w:firstLine="560"/>
        <w:rPr>
          <w:rFonts w:hint="eastAsia" w:ascii="宋体" w:hAnsi="宋体" w:eastAsia="宋体" w:cs="宋体"/>
          <w:kern w:val="0"/>
          <w:sz w:val="24"/>
          <w:szCs w:val="24"/>
        </w:rPr>
      </w:pPr>
      <w:r>
        <w:rPr>
          <w:rFonts w:hint="eastAsia" w:ascii="宋体" w:hAnsi="宋体" w:eastAsia="宋体" w:cs="宋体"/>
          <w:kern w:val="0"/>
          <w:sz w:val="24"/>
          <w:szCs w:val="24"/>
        </w:rPr>
        <w:t>数据管理服务实现对数据资源全生命周期的过程控制和规范化管理，实现数据资源的透明、可管、可控。数据管理服务主要实现数据分级分类、数据资源编目等。</w:t>
      </w:r>
    </w:p>
    <w:p w14:paraId="369EE950">
      <w:pPr>
        <w:keepNext w:val="0"/>
        <w:keepLines w:val="0"/>
        <w:pageBreakBefore w:val="0"/>
        <w:widowControl/>
        <w:numPr>
          <w:ilvl w:val="0"/>
          <w:numId w:val="9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数据分级分类</w:t>
      </w:r>
    </w:p>
    <w:p w14:paraId="2B22147D">
      <w:pPr>
        <w:widowControl/>
        <w:spacing w:line="360" w:lineRule="auto"/>
        <w:ind w:firstLine="496" w:firstLineChars="200"/>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数据分级是指针对数据内容的敏感程度或数据的开放范围进行划分，构建完善的数据分级管理体系。数据分类是指针对数据来源、数据种类（数据集）、业务属性（数据项）等进行划分，构建科学合理的数据分类管理体系。利用数据分级分类对数据进行标识，配合数据授权、数据鉴权，确保数据的安全使用。</w:t>
      </w:r>
    </w:p>
    <w:p w14:paraId="7834CC43">
      <w:pPr>
        <w:widowControl/>
        <w:spacing w:line="360" w:lineRule="auto"/>
        <w:ind w:firstLine="496" w:firstLineChars="20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根据数据分类分级后的应用需求，确定数据分类分级颗粒度，并按照敏感级别规则和分类原则对公共业务数据的所有数据表、数据字段的类别和安全等级进行判别和标记，支撑数据安全共享。</w:t>
      </w:r>
    </w:p>
    <w:p w14:paraId="6EEBEB21">
      <w:pPr>
        <w:widowControl/>
        <w:spacing w:line="360" w:lineRule="auto"/>
        <w:ind w:firstLine="480" w:firstLineChars="0"/>
        <w:rPr>
          <w:rFonts w:hint="eastAsia" w:ascii="Times New Roman" w:hAnsi="Times New Roman"/>
          <w:sz w:val="24"/>
          <w:lang w:val="en-US" w:eastAsia="zh-CN"/>
        </w:rPr>
      </w:pPr>
      <w:r>
        <w:rPr>
          <w:rFonts w:hint="eastAsia" w:ascii="Times New Roman" w:hAnsi="Times New Roman" w:eastAsia="宋体" w:cs="宋体"/>
          <w:kern w:val="0"/>
          <w:sz w:val="24"/>
          <w:szCs w:val="24"/>
          <w:lang w:val="en-US" w:eastAsia="zh-CN"/>
        </w:rPr>
        <w:t>建设包括：公共业务数据分类分级</w:t>
      </w:r>
      <w:bookmarkStart w:id="143" w:name="_Toc29546"/>
      <w:r>
        <w:rPr>
          <w:rFonts w:hint="eastAsia" w:ascii="Times New Roman" w:hAnsi="Times New Roman" w:eastAsia="宋体" w:cs="宋体"/>
          <w:kern w:val="0"/>
          <w:sz w:val="24"/>
          <w:szCs w:val="24"/>
          <w:lang w:val="en-US" w:eastAsia="zh-CN"/>
        </w:rPr>
        <w:t>、</w:t>
      </w:r>
      <w:r>
        <w:rPr>
          <w:rFonts w:hint="eastAsia" w:ascii="Times New Roman" w:hAnsi="Times New Roman"/>
          <w:sz w:val="24"/>
          <w:lang w:val="en-US" w:eastAsia="zh-CN"/>
        </w:rPr>
        <w:t>提案在线数据分类分级</w:t>
      </w:r>
      <w:bookmarkEnd w:id="143"/>
      <w:bookmarkStart w:id="144" w:name="_Toc7675"/>
      <w:r>
        <w:rPr>
          <w:rFonts w:hint="eastAsia" w:ascii="Times New Roman" w:hAnsi="Times New Roman" w:eastAsia="宋体" w:cs="宋体"/>
          <w:kern w:val="0"/>
          <w:sz w:val="24"/>
          <w:lang w:eastAsia="zh-CN"/>
        </w:rPr>
        <w:t>、</w:t>
      </w:r>
      <w:r>
        <w:rPr>
          <w:rFonts w:hint="eastAsia" w:ascii="Times New Roman" w:hAnsi="Times New Roman"/>
          <w:sz w:val="24"/>
          <w:lang w:val="en-US" w:eastAsia="zh-CN"/>
        </w:rPr>
        <w:t>社情民意在线数据分类分级</w:t>
      </w:r>
      <w:bookmarkEnd w:id="144"/>
      <w:bookmarkStart w:id="145" w:name="_Toc12044"/>
      <w:r>
        <w:rPr>
          <w:rFonts w:hint="eastAsia" w:ascii="Times New Roman" w:hAnsi="Times New Roman" w:eastAsia="宋体" w:cs="宋体"/>
          <w:kern w:val="0"/>
          <w:sz w:val="24"/>
          <w:lang w:eastAsia="zh-CN"/>
        </w:rPr>
        <w:t>、</w:t>
      </w:r>
      <w:r>
        <w:rPr>
          <w:rFonts w:hint="eastAsia" w:ascii="Times New Roman" w:hAnsi="Times New Roman"/>
          <w:sz w:val="24"/>
          <w:lang w:val="en-US" w:eastAsia="zh-CN"/>
        </w:rPr>
        <w:t>履职在线数据分类分级</w:t>
      </w:r>
      <w:bookmarkEnd w:id="145"/>
      <w:bookmarkStart w:id="146" w:name="_Toc26941"/>
      <w:r>
        <w:rPr>
          <w:rFonts w:hint="eastAsia" w:ascii="Times New Roman" w:hAnsi="Times New Roman" w:eastAsia="宋体" w:cs="宋体"/>
          <w:kern w:val="0"/>
          <w:sz w:val="24"/>
          <w:szCs w:val="24"/>
          <w:lang w:val="en-US" w:eastAsia="zh-CN"/>
        </w:rPr>
        <w:t>、</w:t>
      </w:r>
      <w:r>
        <w:rPr>
          <w:rFonts w:hint="eastAsia" w:ascii="Times New Roman" w:hAnsi="Times New Roman"/>
          <w:sz w:val="24"/>
          <w:lang w:val="en-US" w:eastAsia="zh-CN"/>
        </w:rPr>
        <w:t>学习在线数据分类分级</w:t>
      </w:r>
      <w:bookmarkEnd w:id="146"/>
      <w:bookmarkStart w:id="147" w:name="_Toc21358"/>
      <w:r>
        <w:rPr>
          <w:rFonts w:hint="eastAsia" w:ascii="Times New Roman" w:hAnsi="Times New Roman" w:eastAsia="宋体" w:cs="宋体"/>
          <w:kern w:val="0"/>
          <w:sz w:val="24"/>
          <w:lang w:eastAsia="zh-CN"/>
        </w:rPr>
        <w:t>、</w:t>
      </w:r>
      <w:r>
        <w:rPr>
          <w:rFonts w:hint="eastAsia" w:ascii="Times New Roman" w:hAnsi="Times New Roman"/>
          <w:sz w:val="24"/>
          <w:lang w:val="en-US" w:eastAsia="zh-CN"/>
        </w:rPr>
        <w:t>协商在线数据分类分级</w:t>
      </w:r>
      <w:bookmarkEnd w:id="147"/>
      <w:r>
        <w:rPr>
          <w:rFonts w:hint="eastAsia" w:ascii="Times New Roman" w:hAnsi="Times New Roman"/>
          <w:sz w:val="24"/>
          <w:lang w:val="en-US" w:eastAsia="zh-CN"/>
        </w:rPr>
        <w:t>。</w:t>
      </w:r>
    </w:p>
    <w:p w14:paraId="66CF386E">
      <w:pPr>
        <w:keepNext w:val="0"/>
        <w:keepLines w:val="0"/>
        <w:pageBreakBefore w:val="0"/>
        <w:widowControl/>
        <w:numPr>
          <w:ilvl w:val="0"/>
          <w:numId w:val="94"/>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数据资源编目</w:t>
      </w:r>
    </w:p>
    <w:p w14:paraId="70CB2AA5">
      <w:pPr>
        <w:widowControl/>
        <w:spacing w:line="360" w:lineRule="auto"/>
        <w:ind w:firstLine="496" w:firstLineChars="200"/>
        <w:rPr>
          <w:rFonts w:hint="eastAsia" w:ascii="宋体" w:hAnsi="宋体" w:eastAsia="宋体" w:cs="宋体"/>
          <w:kern w:val="0"/>
          <w:sz w:val="24"/>
        </w:rPr>
      </w:pPr>
      <w:r>
        <w:rPr>
          <w:rFonts w:hint="eastAsia" w:ascii="宋体" w:hAnsi="宋体" w:eastAsia="宋体" w:cs="宋体"/>
          <w:kern w:val="0"/>
          <w:sz w:val="24"/>
          <w:szCs w:val="24"/>
        </w:rPr>
        <w:t>提供数据资源编目服务，按照统一的数据资源目录标准规范，对数据资源进行管理，实现数据资产清晰透明，直观呈现存了哪些数据、存了多少，并实现资源跨地域、跨部门的共享。</w:t>
      </w:r>
    </w:p>
    <w:p w14:paraId="2BF1ABE0">
      <w:pPr>
        <w:widowControl/>
        <w:spacing w:line="360" w:lineRule="auto"/>
        <w:ind w:firstLine="48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首先明确</w:t>
      </w:r>
      <w:r>
        <w:rPr>
          <w:rFonts w:hint="eastAsia" w:ascii="宋体" w:hAnsi="宋体" w:eastAsia="宋体" w:cs="宋体"/>
          <w:kern w:val="0"/>
          <w:sz w:val="24"/>
          <w:szCs w:val="24"/>
          <w:lang w:val="en-US" w:eastAsia="zh-CN"/>
        </w:rPr>
        <w:t>公共业务</w:t>
      </w:r>
      <w:r>
        <w:rPr>
          <w:rFonts w:hint="eastAsia" w:ascii="宋体" w:hAnsi="宋体" w:eastAsia="宋体" w:cs="宋体"/>
          <w:kern w:val="0"/>
          <w:sz w:val="24"/>
          <w:szCs w:val="24"/>
        </w:rPr>
        <w:t>业务板块的资源目录范围，</w:t>
      </w:r>
      <w:r>
        <w:rPr>
          <w:rFonts w:hint="eastAsia" w:ascii="宋体" w:hAnsi="宋体" w:eastAsia="宋体" w:cs="宋体"/>
          <w:kern w:val="0"/>
          <w:sz w:val="24"/>
          <w:szCs w:val="24"/>
          <w:lang w:val="en-US" w:eastAsia="zh-CN"/>
        </w:rPr>
        <w:t>并</w:t>
      </w:r>
      <w:r>
        <w:rPr>
          <w:rFonts w:hint="eastAsia" w:ascii="宋体" w:hAnsi="宋体" w:eastAsia="宋体" w:cs="宋体"/>
          <w:kern w:val="0"/>
          <w:sz w:val="24"/>
          <w:szCs w:val="24"/>
        </w:rPr>
        <w:t>进一步调研业务划分维度来确定资源目录细化的方向。</w:t>
      </w:r>
      <w:r>
        <w:rPr>
          <w:rFonts w:hint="eastAsia" w:ascii="宋体" w:hAnsi="宋体" w:eastAsia="宋体" w:cs="宋体"/>
          <w:kern w:val="0"/>
          <w:sz w:val="24"/>
          <w:szCs w:val="24"/>
          <w:lang w:val="en-US" w:eastAsia="zh-CN"/>
        </w:rPr>
        <w:t>根据《数据资源目录建设规范》，结合在资源调研阶段形成的数据资源梳理表，编制形成全市数据资源目录。目录主要内容包含但不仅限于以下内容：数据集情况，如名称、涵盖相关数据项/字段/数据元内容；数据集属性情况，如是否共享、是否开放等。</w:t>
      </w:r>
    </w:p>
    <w:p w14:paraId="5E2FDEF1">
      <w:pPr>
        <w:widowControl/>
        <w:spacing w:line="360" w:lineRule="auto"/>
        <w:ind w:firstLine="480" w:firstLineChars="0"/>
        <w:rPr>
          <w:rFonts w:hint="default" w:ascii="Times New Roman" w:hAnsi="Times New Roman" w:eastAsia="宋体" w:cs="宋体"/>
          <w:kern w:val="0"/>
          <w:sz w:val="24"/>
          <w:szCs w:val="24"/>
          <w:lang w:val="en-US" w:eastAsia="zh-CN"/>
        </w:rPr>
      </w:pPr>
      <w:r>
        <w:rPr>
          <w:rFonts w:hint="eastAsia" w:ascii="宋体" w:hAnsi="宋体" w:eastAsia="宋体" w:cs="宋体"/>
          <w:kern w:val="0"/>
          <w:sz w:val="24"/>
          <w:szCs w:val="24"/>
          <w:lang w:val="en-US" w:eastAsia="zh-CN"/>
        </w:rPr>
        <w:t>建设包括：公共业务数据资源编目、</w:t>
      </w:r>
      <w:r>
        <w:rPr>
          <w:rFonts w:hint="eastAsia" w:ascii="Times New Roman" w:hAnsi="Times New Roman"/>
          <w:sz w:val="24"/>
          <w:lang w:val="en-US" w:eastAsia="zh-CN"/>
        </w:rPr>
        <w:t>提案在线数据资源编目</w:t>
      </w:r>
      <w:r>
        <w:rPr>
          <w:rFonts w:hint="eastAsia" w:ascii="宋体" w:hAnsi="宋体" w:eastAsia="宋体" w:cs="宋体"/>
          <w:kern w:val="0"/>
          <w:sz w:val="24"/>
          <w:szCs w:val="24"/>
          <w:lang w:val="en-US" w:eastAsia="zh-CN"/>
        </w:rPr>
        <w:t>、</w:t>
      </w:r>
      <w:r>
        <w:rPr>
          <w:rFonts w:hint="eastAsia" w:ascii="Times New Roman" w:hAnsi="Times New Roman"/>
          <w:sz w:val="24"/>
          <w:lang w:val="en-US" w:eastAsia="zh-CN"/>
        </w:rPr>
        <w:t>社情民意在线数据资源编目</w:t>
      </w:r>
      <w:bookmarkStart w:id="148" w:name="_Toc3242"/>
      <w:r>
        <w:rPr>
          <w:rFonts w:hint="eastAsia" w:ascii="Times New Roman" w:hAnsi="Times New Roman"/>
          <w:sz w:val="24"/>
          <w:lang w:val="en-US" w:eastAsia="zh-CN"/>
        </w:rPr>
        <w:t>、履职在线数据资源编目</w:t>
      </w:r>
      <w:bookmarkEnd w:id="148"/>
      <w:r>
        <w:rPr>
          <w:rFonts w:hint="eastAsia" w:ascii="Times New Roman" w:hAnsi="Times New Roman"/>
          <w:sz w:val="24"/>
          <w:lang w:val="en-US" w:eastAsia="zh-CN"/>
        </w:rPr>
        <w:t>、学习在线数据资源编目、</w:t>
      </w:r>
      <w:r>
        <w:rPr>
          <w:rFonts w:hint="eastAsia" w:ascii="宋体" w:hAnsi="宋体" w:eastAsia="宋体" w:cs="宋体"/>
          <w:kern w:val="0"/>
          <w:sz w:val="24"/>
          <w:lang w:val="en-US" w:eastAsia="zh-CN"/>
        </w:rPr>
        <w:t>协商在线数据资源编目。</w:t>
      </w:r>
    </w:p>
    <w:p w14:paraId="7BD40CED">
      <w:pPr>
        <w:bidi w:val="0"/>
        <w:rPr>
          <w:lang w:val="en-US" w:eastAsia="zh-CN"/>
        </w:rPr>
      </w:pPr>
      <w:r>
        <w:rPr>
          <w:rFonts w:hint="eastAsia" w:ascii="宋体" w:hAnsi="宋体" w:eastAsia="宋体" w:cs="宋体"/>
          <w:sz w:val="24"/>
          <w:szCs w:val="24"/>
          <w:lang w:val="en-US" w:eastAsia="zh-CN" w:bidi="ar-SA"/>
        </w:rPr>
        <w:t>4.2.8.2.5</w:t>
      </w:r>
      <w:r>
        <w:rPr>
          <w:rFonts w:hint="eastAsia"/>
          <w:lang w:val="en-US" w:eastAsia="zh-CN"/>
        </w:rPr>
        <w:t>数据共享服务</w:t>
      </w:r>
    </w:p>
    <w:p w14:paraId="6B994356">
      <w:pPr>
        <w:widowControl/>
        <w:spacing w:line="360" w:lineRule="auto"/>
        <w:ind w:firstLine="496"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通过提供</w:t>
      </w:r>
      <w:r>
        <w:rPr>
          <w:rFonts w:hint="eastAsia" w:ascii="宋体" w:hAnsi="宋体" w:eastAsia="宋体" w:cs="宋体"/>
          <w:kern w:val="0"/>
          <w:sz w:val="24"/>
          <w:szCs w:val="24"/>
        </w:rPr>
        <w:t>数据</w:t>
      </w:r>
      <w:r>
        <w:rPr>
          <w:rFonts w:hint="eastAsia" w:ascii="宋体" w:hAnsi="宋体" w:eastAsia="宋体" w:cs="宋体"/>
          <w:kern w:val="0"/>
          <w:sz w:val="24"/>
          <w:szCs w:val="24"/>
          <w:lang w:val="en-US" w:eastAsia="zh-CN"/>
        </w:rPr>
        <w:t>共享</w:t>
      </w:r>
      <w:r>
        <w:rPr>
          <w:rFonts w:hint="eastAsia" w:ascii="宋体" w:hAnsi="宋体" w:eastAsia="宋体" w:cs="宋体"/>
          <w:kern w:val="0"/>
          <w:sz w:val="24"/>
          <w:szCs w:val="24"/>
        </w:rPr>
        <w:t>接口</w:t>
      </w:r>
      <w:r>
        <w:rPr>
          <w:rFonts w:hint="eastAsia" w:ascii="宋体" w:hAnsi="宋体" w:eastAsia="宋体" w:cs="宋体"/>
          <w:kern w:val="0"/>
          <w:sz w:val="24"/>
          <w:szCs w:val="24"/>
          <w:lang w:val="en-US" w:eastAsia="zh-CN"/>
        </w:rPr>
        <w:t>开发服务，</w:t>
      </w:r>
      <w:r>
        <w:rPr>
          <w:rFonts w:hint="eastAsia" w:ascii="宋体" w:hAnsi="宋体" w:eastAsia="宋体" w:cs="宋体"/>
          <w:kern w:val="0"/>
          <w:sz w:val="24"/>
          <w:szCs w:val="24"/>
        </w:rPr>
        <w:t>实现跨部门、跨地区、跨系统、跨业务的数据共享与协作，</w:t>
      </w:r>
      <w:r>
        <w:rPr>
          <w:rFonts w:hint="eastAsia" w:ascii="宋体" w:hAnsi="宋体" w:eastAsia="宋体" w:cs="宋体"/>
          <w:kern w:val="0"/>
          <w:sz w:val="24"/>
          <w:szCs w:val="24"/>
          <w:lang w:val="en-US" w:eastAsia="zh-CN"/>
        </w:rPr>
        <w:t>满足各类业务系统的需求。</w:t>
      </w:r>
    </w:p>
    <w:p w14:paraId="5F7A920E">
      <w:pPr>
        <w:widowControl/>
        <w:spacing w:line="360" w:lineRule="auto"/>
        <w:ind w:firstLine="496"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采用API接口的方式</w:t>
      </w:r>
      <w:r>
        <w:rPr>
          <w:rFonts w:hint="eastAsia" w:ascii="宋体" w:hAnsi="宋体" w:eastAsia="宋体" w:cs="宋体"/>
          <w:kern w:val="0"/>
          <w:sz w:val="24"/>
          <w:szCs w:val="24"/>
          <w:lang w:val="en-US" w:eastAsia="zh-CN"/>
        </w:rPr>
        <w:t>通过大数局公共资源服务平台</w:t>
      </w:r>
      <w:r>
        <w:rPr>
          <w:rFonts w:hint="eastAsia" w:ascii="宋体" w:hAnsi="宋体" w:eastAsia="宋体" w:cs="宋体"/>
          <w:kern w:val="0"/>
          <w:sz w:val="24"/>
          <w:szCs w:val="24"/>
        </w:rPr>
        <w:t>向</w:t>
      </w:r>
      <w:r>
        <w:rPr>
          <w:rFonts w:hint="eastAsia" w:ascii="宋体" w:hAnsi="宋体" w:eastAsia="宋体" w:cs="宋体"/>
          <w:kern w:val="0"/>
          <w:sz w:val="24"/>
          <w:szCs w:val="24"/>
          <w:lang w:val="en-US" w:eastAsia="zh-CN"/>
        </w:rPr>
        <w:t>县区政协部门、大数据局</w:t>
      </w:r>
      <w:r>
        <w:rPr>
          <w:rFonts w:hint="eastAsia" w:ascii="宋体" w:hAnsi="宋体" w:eastAsia="宋体" w:cs="宋体"/>
          <w:kern w:val="0"/>
          <w:sz w:val="24"/>
          <w:szCs w:val="24"/>
        </w:rPr>
        <w:t>共享</w:t>
      </w:r>
      <w:r>
        <w:rPr>
          <w:rFonts w:hint="eastAsia" w:ascii="宋体" w:hAnsi="宋体" w:eastAsia="宋体" w:cs="宋体"/>
          <w:kern w:val="0"/>
          <w:sz w:val="24"/>
          <w:szCs w:val="24"/>
          <w:lang w:val="en-US" w:eastAsia="zh-CN"/>
        </w:rPr>
        <w:t>提案在线、社情民意在线、履职在线、学习在线、协商在线数据</w:t>
      </w:r>
      <w:r>
        <w:rPr>
          <w:rFonts w:hint="eastAsia" w:ascii="宋体" w:hAnsi="宋体" w:eastAsia="宋体" w:cs="宋体"/>
          <w:kern w:val="0"/>
          <w:sz w:val="24"/>
          <w:szCs w:val="24"/>
        </w:rPr>
        <w:t>。当</w:t>
      </w:r>
      <w:r>
        <w:rPr>
          <w:rFonts w:hint="eastAsia" w:ascii="宋体" w:hAnsi="宋体" w:eastAsia="宋体" w:cs="宋体"/>
          <w:kern w:val="0"/>
          <w:sz w:val="24"/>
          <w:szCs w:val="24"/>
          <w:lang w:val="en-US" w:eastAsia="zh-CN"/>
        </w:rPr>
        <w:t>政协跨</w:t>
      </w:r>
      <w:r>
        <w:rPr>
          <w:rFonts w:hint="eastAsia" w:ascii="宋体" w:hAnsi="宋体" w:eastAsia="宋体" w:cs="宋体"/>
          <w:kern w:val="0"/>
          <w:sz w:val="24"/>
          <w:szCs w:val="24"/>
        </w:rPr>
        <w:t>条线业务部门提出数据共享需求，数源部门和管理部门进行需求评估确认后，由技术人员进行数据接口的定制化开发</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并按大数据局公共资源服务平台的上架流程上架供其他部门使用。</w:t>
      </w:r>
    </w:p>
    <w:p w14:paraId="7CCA4E1A">
      <w:pPr>
        <w:bidi w:val="0"/>
        <w:rPr>
          <w:rFonts w:hint="eastAsia" w:ascii="Times New Roman" w:hAnsi="Times New Roman" w:eastAsia="宋体"/>
          <w:b w:val="0"/>
          <w:lang w:val="en-US" w:eastAsia="zh-CN"/>
        </w:rPr>
      </w:pPr>
      <w:r>
        <w:rPr>
          <w:rFonts w:hint="eastAsia" w:ascii="宋体" w:hAnsi="宋体" w:eastAsia="宋体" w:cs="宋体"/>
          <w:b w:val="0"/>
          <w:sz w:val="24"/>
          <w:szCs w:val="24"/>
          <w:lang w:val="en-US" w:eastAsia="zh-CN" w:bidi="ar-SA"/>
        </w:rPr>
        <w:t>4.2.8.2.6</w:t>
      </w:r>
      <w:r>
        <w:rPr>
          <w:rFonts w:hint="eastAsia" w:ascii="Times New Roman" w:hAnsi="Times New Roman" w:eastAsia="宋体"/>
          <w:b w:val="0"/>
          <w:lang w:val="en-US" w:eastAsia="zh-CN"/>
        </w:rPr>
        <w:t>数据资源中心建设</w:t>
      </w:r>
    </w:p>
    <w:p w14:paraId="12119216">
      <w:pPr>
        <w:widowControl/>
        <w:spacing w:line="360" w:lineRule="auto"/>
        <w:ind w:firstLine="496" w:firstLineChars="200"/>
        <w:rPr>
          <w:rFonts w:hint="eastAsia" w:ascii="宋体" w:hAnsi="宋体" w:eastAsia="宋体" w:cs="宋体"/>
          <w:kern w:val="0"/>
          <w:sz w:val="24"/>
          <w:szCs w:val="24"/>
        </w:rPr>
      </w:pPr>
      <w:r>
        <w:rPr>
          <w:rFonts w:hint="eastAsia" w:ascii="宋体" w:hAnsi="宋体" w:eastAsia="宋体" w:cs="宋体"/>
          <w:kern w:val="0"/>
          <w:sz w:val="24"/>
          <w:szCs w:val="24"/>
        </w:rPr>
        <w:t>依托</w:t>
      </w:r>
      <w:r>
        <w:rPr>
          <w:rFonts w:hint="eastAsia" w:ascii="宋体" w:hAnsi="宋体" w:eastAsia="宋体" w:cs="宋体"/>
          <w:kern w:val="0"/>
          <w:sz w:val="24"/>
          <w:szCs w:val="24"/>
          <w:lang w:val="en-US" w:eastAsia="zh-CN"/>
        </w:rPr>
        <w:t>全市政协</w:t>
      </w:r>
      <w:r>
        <w:rPr>
          <w:rFonts w:hint="eastAsia" w:ascii="宋体" w:hAnsi="宋体" w:eastAsia="宋体" w:cs="宋体"/>
          <w:kern w:val="0"/>
          <w:sz w:val="24"/>
          <w:szCs w:val="24"/>
        </w:rPr>
        <w:t>业务沉淀的数据，汇聚</w:t>
      </w:r>
      <w:r>
        <w:rPr>
          <w:rFonts w:hint="eastAsia" w:ascii="宋体" w:hAnsi="宋体" w:eastAsia="宋体" w:cs="宋体"/>
          <w:kern w:val="0"/>
          <w:sz w:val="24"/>
          <w:szCs w:val="24"/>
          <w:lang w:val="en-US" w:eastAsia="zh-CN"/>
        </w:rPr>
        <w:t>政协</w:t>
      </w:r>
      <w:r>
        <w:rPr>
          <w:rFonts w:hint="eastAsia" w:ascii="宋体" w:hAnsi="宋体" w:eastAsia="宋体" w:cs="宋体"/>
          <w:kern w:val="0"/>
          <w:sz w:val="24"/>
          <w:szCs w:val="24"/>
        </w:rPr>
        <w:t>经办数据、服务数据、监管数据、决策数据、协同数据等，通过挖掘、清洗、整合，建成集中的</w:t>
      </w:r>
      <w:r>
        <w:rPr>
          <w:rFonts w:hint="eastAsia" w:ascii="宋体" w:hAnsi="宋体" w:eastAsia="宋体" w:cs="宋体"/>
          <w:kern w:val="0"/>
          <w:sz w:val="24"/>
          <w:szCs w:val="24"/>
          <w:lang w:val="en-US" w:eastAsia="zh-CN"/>
        </w:rPr>
        <w:t>政协</w:t>
      </w:r>
      <w:r>
        <w:rPr>
          <w:rFonts w:hint="eastAsia" w:ascii="宋体" w:hAnsi="宋体" w:eastAsia="宋体" w:cs="宋体"/>
          <w:kern w:val="0"/>
          <w:sz w:val="24"/>
          <w:szCs w:val="24"/>
        </w:rPr>
        <w:t>数据</w:t>
      </w:r>
      <w:r>
        <w:rPr>
          <w:rFonts w:hint="eastAsia" w:ascii="宋体" w:hAnsi="宋体" w:eastAsia="宋体" w:cs="宋体"/>
          <w:kern w:val="0"/>
          <w:sz w:val="24"/>
          <w:szCs w:val="24"/>
          <w:lang w:val="en-US" w:eastAsia="zh-CN"/>
        </w:rPr>
        <w:t>基础资源池</w:t>
      </w:r>
      <w:r>
        <w:rPr>
          <w:rFonts w:hint="eastAsia" w:ascii="宋体" w:hAnsi="宋体" w:eastAsia="宋体" w:cs="宋体"/>
          <w:kern w:val="0"/>
          <w:sz w:val="24"/>
          <w:szCs w:val="24"/>
        </w:rPr>
        <w:t>，为</w:t>
      </w:r>
      <w:r>
        <w:rPr>
          <w:rFonts w:hint="eastAsia" w:ascii="宋体" w:hAnsi="宋体" w:eastAsia="宋体" w:cs="宋体"/>
          <w:kern w:val="0"/>
          <w:sz w:val="24"/>
          <w:szCs w:val="24"/>
          <w:lang w:val="en-US" w:eastAsia="zh-CN"/>
        </w:rPr>
        <w:t>政协</w:t>
      </w:r>
      <w:r>
        <w:rPr>
          <w:rFonts w:hint="eastAsia" w:ascii="宋体" w:hAnsi="宋体" w:eastAsia="宋体" w:cs="宋体"/>
          <w:kern w:val="0"/>
          <w:sz w:val="24"/>
          <w:szCs w:val="24"/>
        </w:rPr>
        <w:t>大数据应用提供数据资源和技术支撑，为全</w:t>
      </w:r>
      <w:r>
        <w:rPr>
          <w:rFonts w:hint="eastAsia" w:ascii="宋体" w:hAnsi="宋体" w:eastAsia="宋体" w:cs="宋体"/>
          <w:kern w:val="0"/>
          <w:sz w:val="24"/>
          <w:szCs w:val="24"/>
          <w:lang w:val="en-US" w:eastAsia="zh-CN"/>
        </w:rPr>
        <w:t>市政协</w:t>
      </w:r>
      <w:r>
        <w:rPr>
          <w:rFonts w:hint="eastAsia" w:ascii="宋体" w:hAnsi="宋体" w:eastAsia="宋体" w:cs="宋体"/>
          <w:kern w:val="0"/>
          <w:sz w:val="24"/>
          <w:szCs w:val="24"/>
        </w:rPr>
        <w:t>数据资源体系建设提供高质量数据来源。</w:t>
      </w:r>
    </w:p>
    <w:p w14:paraId="1AF76DB9">
      <w:pPr>
        <w:keepNext w:val="0"/>
        <w:keepLines w:val="0"/>
        <w:pageBreakBefore w:val="0"/>
        <w:widowControl/>
        <w:numPr>
          <w:ilvl w:val="0"/>
          <w:numId w:val="9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基础数据库</w:t>
      </w:r>
    </w:p>
    <w:p w14:paraId="04F8FBCD">
      <w:pPr>
        <w:widowControl/>
        <w:spacing w:line="360" w:lineRule="auto"/>
        <w:ind w:firstLine="496" w:firstLineChars="200"/>
        <w:rPr>
          <w:rFonts w:hint="eastAsia" w:ascii="宋体" w:hAnsi="宋体" w:eastAsia="宋体" w:cs="宋体"/>
          <w:kern w:val="0"/>
          <w:sz w:val="24"/>
        </w:rPr>
      </w:pPr>
      <w:r>
        <w:rPr>
          <w:rFonts w:hint="eastAsia" w:ascii="宋体" w:hAnsi="宋体" w:eastAsia="宋体" w:cs="宋体"/>
          <w:kern w:val="0"/>
          <w:sz w:val="24"/>
          <w:szCs w:val="24"/>
        </w:rPr>
        <w:t>对</w:t>
      </w:r>
      <w:r>
        <w:rPr>
          <w:rFonts w:hint="eastAsia" w:ascii="宋体" w:hAnsi="宋体" w:eastAsia="宋体" w:cs="宋体"/>
          <w:kern w:val="0"/>
          <w:sz w:val="24"/>
          <w:szCs w:val="24"/>
          <w:lang w:val="en-US" w:eastAsia="zh-CN"/>
        </w:rPr>
        <w:t>人员</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机构</w:t>
      </w:r>
      <w:r>
        <w:rPr>
          <w:rFonts w:hint="eastAsia" w:ascii="宋体" w:hAnsi="宋体" w:eastAsia="宋体" w:cs="宋体"/>
          <w:kern w:val="0"/>
          <w:sz w:val="24"/>
          <w:szCs w:val="24"/>
        </w:rPr>
        <w:t>、电子材料等基础数据进行汇聚，并经过数据治理、融合，形成</w:t>
      </w:r>
      <w:r>
        <w:rPr>
          <w:rFonts w:hint="eastAsia" w:ascii="宋体" w:hAnsi="宋体" w:eastAsia="宋体" w:cs="宋体"/>
          <w:kern w:val="0"/>
          <w:sz w:val="24"/>
          <w:szCs w:val="24"/>
          <w:lang w:val="en-US" w:eastAsia="zh-CN"/>
        </w:rPr>
        <w:t>人员</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机构</w:t>
      </w:r>
      <w:r>
        <w:rPr>
          <w:rFonts w:hint="eastAsia" w:ascii="宋体" w:hAnsi="宋体" w:eastAsia="宋体" w:cs="宋体"/>
          <w:kern w:val="0"/>
          <w:sz w:val="24"/>
          <w:szCs w:val="24"/>
        </w:rPr>
        <w:t>、电子材料三大基础库，支撑数据分析应用。</w:t>
      </w:r>
    </w:p>
    <w:p w14:paraId="7E9762C2">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49" w:name="_Toc8056"/>
      <w:r>
        <w:rPr>
          <w:rFonts w:hint="eastAsia" w:ascii="Times New Roman" w:hAnsi="Times New Roman"/>
          <w:sz w:val="24"/>
          <w:lang w:val="en-US" w:eastAsia="zh-CN"/>
        </w:rPr>
        <w:t>人员库</w:t>
      </w:r>
      <w:bookmarkEnd w:id="149"/>
    </w:p>
    <w:p w14:paraId="1FF27DFA">
      <w:pPr>
        <w:widowControl/>
        <w:spacing w:line="360" w:lineRule="auto"/>
        <w:ind w:firstLine="496" w:firstLineChars="200"/>
        <w:rPr>
          <w:rFonts w:hint="default" w:ascii="Times New Roman" w:hAnsi="Times New Roman" w:eastAsia="宋体" w:cs="宋体"/>
          <w:kern w:val="0"/>
          <w:sz w:val="24"/>
          <w:szCs w:val="24"/>
        </w:rPr>
      </w:pPr>
      <w:r>
        <w:rPr>
          <w:rFonts w:hint="default" w:ascii="Times New Roman" w:hAnsi="Times New Roman" w:eastAsia="宋体" w:cs="宋体"/>
          <w:kern w:val="0"/>
          <w:sz w:val="24"/>
          <w:szCs w:val="24"/>
          <w:lang w:val="en-US" w:eastAsia="zh-CN"/>
        </w:rPr>
        <w:t>人员</w:t>
      </w:r>
      <w:r>
        <w:rPr>
          <w:rFonts w:hint="default" w:ascii="Times New Roman" w:hAnsi="Times New Roman" w:eastAsia="宋体" w:cs="宋体"/>
          <w:kern w:val="0"/>
          <w:sz w:val="24"/>
          <w:szCs w:val="24"/>
        </w:rPr>
        <w:t>库汇聚</w:t>
      </w:r>
      <w:r>
        <w:rPr>
          <w:rFonts w:hint="default" w:ascii="Times New Roman" w:hAnsi="Times New Roman" w:eastAsia="宋体" w:cs="宋体"/>
          <w:kern w:val="0"/>
          <w:sz w:val="24"/>
          <w:szCs w:val="24"/>
          <w:lang w:val="en-US" w:eastAsia="zh-CN"/>
        </w:rPr>
        <w:t>市、县区</w:t>
      </w:r>
      <w:r>
        <w:rPr>
          <w:rFonts w:hint="default" w:ascii="Times New Roman" w:hAnsi="Times New Roman" w:eastAsia="宋体" w:cs="宋体"/>
          <w:kern w:val="0"/>
          <w:sz w:val="24"/>
          <w:szCs w:val="24"/>
        </w:rPr>
        <w:t>等部门的政协委员、机关人员、</w:t>
      </w:r>
      <w:r>
        <w:rPr>
          <w:rFonts w:hint="eastAsia" w:ascii="Times New Roman" w:hAnsi="Times New Roman" w:eastAsia="宋体" w:cs="宋体"/>
          <w:kern w:val="0"/>
          <w:sz w:val="24"/>
          <w:szCs w:val="24"/>
          <w:lang w:val="en-US" w:eastAsia="zh-CN"/>
        </w:rPr>
        <w:t>其他</w:t>
      </w:r>
      <w:r>
        <w:rPr>
          <w:rFonts w:hint="default" w:ascii="Times New Roman" w:hAnsi="Times New Roman" w:eastAsia="宋体" w:cs="宋体"/>
          <w:kern w:val="0"/>
          <w:sz w:val="24"/>
          <w:szCs w:val="24"/>
        </w:rPr>
        <w:t>内、外部单位人员档案信息等基础数据。覆盖了自然人生命周期中的基本活动，</w:t>
      </w:r>
      <w:r>
        <w:rPr>
          <w:rFonts w:hint="eastAsia" w:ascii="Times New Roman" w:hAnsi="Times New Roman" w:eastAsia="宋体" w:cs="宋体"/>
          <w:kern w:val="0"/>
          <w:sz w:val="24"/>
          <w:szCs w:val="24"/>
          <w:lang w:val="en-US" w:eastAsia="zh-CN"/>
        </w:rPr>
        <w:t>包括</w:t>
      </w:r>
      <w:r>
        <w:rPr>
          <w:rFonts w:hint="default" w:ascii="Times New Roman" w:hAnsi="Times New Roman" w:eastAsia="宋体" w:cs="宋体"/>
          <w:kern w:val="0"/>
          <w:sz w:val="24"/>
          <w:szCs w:val="24"/>
        </w:rPr>
        <w:t>委员照片、姓名、性别、手机号码、地址、职务，点击可查看委员的基本信息、政协信息、家庭等信息。构建以</w:t>
      </w:r>
      <w:r>
        <w:rPr>
          <w:rFonts w:hint="default" w:ascii="Times New Roman" w:hAnsi="Times New Roman" w:eastAsia="宋体" w:cs="宋体"/>
          <w:kern w:val="0"/>
          <w:sz w:val="24"/>
          <w:szCs w:val="24"/>
          <w:lang w:val="en-US" w:eastAsia="zh-CN"/>
        </w:rPr>
        <w:t>人员ID</w:t>
      </w:r>
      <w:r>
        <w:rPr>
          <w:rFonts w:hint="default" w:ascii="Times New Roman" w:hAnsi="Times New Roman" w:eastAsia="宋体" w:cs="宋体"/>
          <w:kern w:val="0"/>
          <w:sz w:val="24"/>
          <w:szCs w:val="24"/>
        </w:rPr>
        <w:t>为标识的</w:t>
      </w:r>
      <w:r>
        <w:rPr>
          <w:rFonts w:hint="default" w:ascii="Times New Roman" w:hAnsi="Times New Roman" w:eastAsia="宋体" w:cs="宋体"/>
          <w:kern w:val="0"/>
          <w:sz w:val="24"/>
          <w:szCs w:val="24"/>
          <w:lang w:val="en-US" w:eastAsia="zh-CN"/>
        </w:rPr>
        <w:t>个人基础</w:t>
      </w:r>
      <w:r>
        <w:rPr>
          <w:rFonts w:hint="default" w:ascii="Times New Roman" w:hAnsi="Times New Roman" w:eastAsia="宋体" w:cs="宋体"/>
          <w:kern w:val="0"/>
          <w:sz w:val="24"/>
          <w:szCs w:val="24"/>
        </w:rPr>
        <w:t>库，实现全</w:t>
      </w:r>
      <w:r>
        <w:rPr>
          <w:rFonts w:hint="default" w:ascii="Times New Roman" w:hAnsi="Times New Roman" w:eastAsia="宋体" w:cs="宋体"/>
          <w:kern w:val="0"/>
          <w:sz w:val="24"/>
          <w:szCs w:val="24"/>
          <w:lang w:val="en-US" w:eastAsia="zh-CN"/>
        </w:rPr>
        <w:t>市人员</w:t>
      </w:r>
      <w:r>
        <w:rPr>
          <w:rFonts w:hint="default" w:ascii="Times New Roman" w:hAnsi="Times New Roman" w:eastAsia="宋体" w:cs="宋体"/>
          <w:kern w:val="0"/>
          <w:sz w:val="24"/>
          <w:szCs w:val="24"/>
        </w:rPr>
        <w:t>基础信息的集中管理与充分共享，为市县</w:t>
      </w:r>
      <w:r>
        <w:rPr>
          <w:rFonts w:hint="default" w:ascii="Times New Roman" w:hAnsi="Times New Roman" w:eastAsia="宋体" w:cs="宋体"/>
          <w:kern w:val="0"/>
          <w:sz w:val="24"/>
          <w:szCs w:val="24"/>
          <w:lang w:val="en-US" w:eastAsia="zh-CN"/>
        </w:rPr>
        <w:t>二</w:t>
      </w:r>
      <w:r>
        <w:rPr>
          <w:rFonts w:hint="default" w:ascii="Times New Roman" w:hAnsi="Times New Roman" w:eastAsia="宋体" w:cs="宋体"/>
          <w:kern w:val="0"/>
          <w:sz w:val="24"/>
          <w:szCs w:val="24"/>
        </w:rPr>
        <w:t>级政府职能部门提供数据决策支持和</w:t>
      </w:r>
      <w:r>
        <w:rPr>
          <w:rFonts w:hint="default" w:ascii="Times New Roman" w:hAnsi="Times New Roman" w:eastAsia="宋体" w:cs="宋体"/>
          <w:kern w:val="0"/>
          <w:sz w:val="24"/>
          <w:szCs w:val="24"/>
          <w:lang w:val="en-US" w:eastAsia="zh-CN"/>
        </w:rPr>
        <w:t>个人</w:t>
      </w:r>
      <w:r>
        <w:rPr>
          <w:rFonts w:hint="default" w:ascii="Times New Roman" w:hAnsi="Times New Roman" w:eastAsia="宋体" w:cs="宋体"/>
          <w:kern w:val="0"/>
          <w:sz w:val="24"/>
          <w:szCs w:val="24"/>
        </w:rPr>
        <w:t>信息服务。</w:t>
      </w:r>
    </w:p>
    <w:p w14:paraId="3A4E7F90">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0" w:name="_Toc23505"/>
      <w:r>
        <w:rPr>
          <w:rFonts w:hint="eastAsia" w:ascii="Times New Roman" w:hAnsi="Times New Roman"/>
          <w:sz w:val="24"/>
          <w:lang w:val="en-US" w:eastAsia="zh-CN"/>
        </w:rPr>
        <w:t>委员库</w:t>
      </w:r>
      <w:bookmarkEnd w:id="150"/>
    </w:p>
    <w:p w14:paraId="6AA6382D">
      <w:pPr>
        <w:widowControl/>
        <w:spacing w:line="360" w:lineRule="auto"/>
        <w:ind w:left="0" w:leftChars="0" w:firstLine="496" w:firstLineChars="200"/>
        <w:rPr>
          <w:rFonts w:hint="eastAsia" w:ascii="Times New Roman" w:hAnsi="Times New Roman" w:eastAsia="宋体" w:cs="宋体"/>
          <w:kern w:val="0"/>
          <w:sz w:val="24"/>
          <w:szCs w:val="24"/>
          <w:lang w:val="en-US" w:eastAsia="zh-CN" w:bidi="ar-SA"/>
        </w:rPr>
      </w:pPr>
      <w:r>
        <w:rPr>
          <w:rFonts w:hint="default" w:ascii="Times New Roman" w:hAnsi="Times New Roman" w:eastAsia="宋体" w:cs="宋体"/>
          <w:kern w:val="0"/>
          <w:sz w:val="24"/>
          <w:szCs w:val="24"/>
          <w:lang w:val="en-US" w:eastAsia="zh-CN"/>
        </w:rPr>
        <w:t>委员库汇聚市县所有委员的</w:t>
      </w:r>
      <w:r>
        <w:rPr>
          <w:rFonts w:hint="default" w:ascii="Times New Roman" w:hAnsi="Times New Roman" w:eastAsia="宋体" w:cs="宋体"/>
          <w:kern w:val="0"/>
          <w:sz w:val="24"/>
          <w:szCs w:val="24"/>
          <w:lang w:val="en-GB" w:eastAsia="zh-CN"/>
        </w:rPr>
        <w:t>基本信息、政协信息、家庭信息三方面数据信息进行新增维护，</w:t>
      </w:r>
      <w:r>
        <w:rPr>
          <w:rFonts w:hint="eastAsia" w:ascii="Times New Roman" w:hAnsi="Times New Roman" w:eastAsia="宋体" w:cs="宋体"/>
          <w:kern w:val="0"/>
          <w:sz w:val="24"/>
          <w:szCs w:val="24"/>
          <w:lang w:val="en-US" w:eastAsia="zh-CN" w:bidi="ar-SA"/>
        </w:rPr>
        <w:t>通过汇聚归档梳理，为后续一键搜提供数据基础支撑。</w:t>
      </w:r>
    </w:p>
    <w:p w14:paraId="32D85248">
      <w:pPr>
        <w:keepNext w:val="0"/>
        <w:keepLines w:val="0"/>
        <w:pageBreakBefore w:val="0"/>
        <w:widowControl/>
        <w:numPr>
          <w:ilvl w:val="0"/>
          <w:numId w:val="9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标准数据库</w:t>
      </w:r>
    </w:p>
    <w:p w14:paraId="4E107CFB">
      <w:pPr>
        <w:widowControl/>
        <w:spacing w:line="360" w:lineRule="auto"/>
        <w:ind w:firstLine="496" w:firstLineChars="200"/>
        <w:rPr>
          <w:rFonts w:hint="eastAsia" w:ascii="宋体" w:hAnsi="宋体" w:eastAsia="宋体" w:cs="宋体"/>
          <w:kern w:val="0"/>
          <w:sz w:val="24"/>
          <w:szCs w:val="24"/>
        </w:rPr>
      </w:pPr>
      <w:r>
        <w:rPr>
          <w:rFonts w:hint="eastAsia" w:ascii="宋体" w:hAnsi="宋体" w:eastAsia="宋体" w:cs="宋体"/>
          <w:kern w:val="0"/>
          <w:sz w:val="24"/>
          <w:szCs w:val="24"/>
        </w:rPr>
        <w:t>在</w:t>
      </w:r>
      <w:r>
        <w:rPr>
          <w:rFonts w:hint="eastAsia" w:ascii="宋体" w:hAnsi="宋体" w:eastAsia="宋体" w:cs="宋体"/>
          <w:kern w:val="0"/>
          <w:sz w:val="24"/>
          <w:szCs w:val="24"/>
          <w:lang w:val="en-US" w:eastAsia="zh-CN"/>
        </w:rPr>
        <w:t>全市</w:t>
      </w:r>
      <w:r>
        <w:rPr>
          <w:rFonts w:hint="eastAsia" w:ascii="宋体" w:hAnsi="宋体" w:eastAsia="宋体" w:cs="宋体"/>
          <w:kern w:val="0"/>
          <w:sz w:val="24"/>
          <w:szCs w:val="24"/>
        </w:rPr>
        <w:t>统一的</w:t>
      </w:r>
      <w:r>
        <w:rPr>
          <w:rFonts w:hint="eastAsia" w:ascii="宋体" w:hAnsi="宋体" w:eastAsia="宋体" w:cs="宋体"/>
          <w:kern w:val="0"/>
          <w:sz w:val="24"/>
          <w:szCs w:val="24"/>
          <w:lang w:val="en-US" w:eastAsia="zh-CN"/>
        </w:rPr>
        <w:t>政协</w:t>
      </w:r>
      <w:r>
        <w:rPr>
          <w:rFonts w:hint="eastAsia" w:ascii="宋体" w:hAnsi="宋体" w:eastAsia="宋体" w:cs="宋体"/>
          <w:kern w:val="0"/>
          <w:sz w:val="24"/>
          <w:szCs w:val="24"/>
        </w:rPr>
        <w:t>基础数据的基础上，结合相关标准库标准规范要求，按照</w:t>
      </w:r>
      <w:r>
        <w:rPr>
          <w:rFonts w:hint="eastAsia" w:ascii="宋体" w:hAnsi="宋体" w:eastAsia="宋体" w:cs="宋体"/>
          <w:kern w:val="0"/>
          <w:sz w:val="24"/>
          <w:szCs w:val="24"/>
          <w:lang w:val="en-US" w:eastAsia="zh-CN"/>
        </w:rPr>
        <w:t>政协</w:t>
      </w:r>
      <w:r>
        <w:rPr>
          <w:rFonts w:hint="eastAsia" w:ascii="宋体" w:hAnsi="宋体" w:eastAsia="宋体" w:cs="宋体"/>
          <w:kern w:val="0"/>
          <w:sz w:val="24"/>
          <w:szCs w:val="24"/>
        </w:rPr>
        <w:t>业务的核心维度，按照</w:t>
      </w:r>
      <w:r>
        <w:rPr>
          <w:rFonts w:hint="eastAsia" w:ascii="宋体" w:hAnsi="宋体" w:eastAsia="宋体" w:cs="宋体"/>
          <w:kern w:val="0"/>
          <w:sz w:val="24"/>
          <w:szCs w:val="24"/>
          <w:lang w:val="en-US" w:eastAsia="zh-CN"/>
        </w:rPr>
        <w:t>人员、提案、社情、履职</w:t>
      </w:r>
      <w:r>
        <w:rPr>
          <w:rFonts w:hint="eastAsia" w:ascii="宋体" w:hAnsi="宋体" w:eastAsia="宋体" w:cs="宋体"/>
          <w:kern w:val="0"/>
          <w:sz w:val="24"/>
          <w:szCs w:val="24"/>
        </w:rPr>
        <w:t>等数据模块，构建</w:t>
      </w:r>
      <w:r>
        <w:rPr>
          <w:rFonts w:hint="eastAsia" w:ascii="宋体" w:hAnsi="宋体" w:eastAsia="宋体" w:cs="宋体"/>
          <w:kern w:val="0"/>
          <w:sz w:val="24"/>
          <w:szCs w:val="24"/>
          <w:lang w:val="en-US" w:eastAsia="zh-CN"/>
        </w:rPr>
        <w:t>政协标准</w:t>
      </w:r>
      <w:r>
        <w:rPr>
          <w:rFonts w:hint="eastAsia" w:ascii="宋体" w:hAnsi="宋体" w:eastAsia="宋体" w:cs="宋体"/>
          <w:kern w:val="0"/>
          <w:sz w:val="24"/>
          <w:szCs w:val="24"/>
        </w:rPr>
        <w:t>库，包括公共业务数据、</w:t>
      </w:r>
      <w:r>
        <w:rPr>
          <w:rFonts w:hint="eastAsia" w:ascii="宋体" w:hAnsi="宋体" w:eastAsia="宋体" w:cs="宋体"/>
          <w:kern w:val="0"/>
          <w:sz w:val="24"/>
          <w:szCs w:val="24"/>
          <w:lang w:val="en-US" w:eastAsia="zh-CN"/>
        </w:rPr>
        <w:t>提案</w:t>
      </w:r>
      <w:r>
        <w:rPr>
          <w:rFonts w:hint="eastAsia" w:ascii="宋体" w:hAnsi="宋体" w:eastAsia="宋体" w:cs="宋体"/>
          <w:kern w:val="0"/>
          <w:sz w:val="24"/>
          <w:szCs w:val="24"/>
        </w:rPr>
        <w:t>数据、</w:t>
      </w:r>
      <w:r>
        <w:rPr>
          <w:rFonts w:hint="eastAsia" w:ascii="宋体" w:hAnsi="宋体" w:eastAsia="宋体" w:cs="宋体"/>
          <w:kern w:val="0"/>
          <w:sz w:val="24"/>
          <w:szCs w:val="24"/>
          <w:lang w:val="en-US" w:eastAsia="zh-CN"/>
        </w:rPr>
        <w:t>社情民意</w:t>
      </w:r>
      <w:r>
        <w:rPr>
          <w:rFonts w:hint="eastAsia" w:ascii="宋体" w:hAnsi="宋体" w:eastAsia="宋体" w:cs="宋体"/>
          <w:kern w:val="0"/>
          <w:sz w:val="24"/>
          <w:szCs w:val="24"/>
        </w:rPr>
        <w:t>数据、</w:t>
      </w:r>
      <w:r>
        <w:rPr>
          <w:rFonts w:hint="eastAsia" w:ascii="宋体" w:hAnsi="宋体" w:eastAsia="宋体" w:cs="宋体"/>
          <w:kern w:val="0"/>
          <w:sz w:val="24"/>
          <w:szCs w:val="24"/>
          <w:lang w:val="en-US" w:eastAsia="zh-CN"/>
        </w:rPr>
        <w:t>履职</w:t>
      </w:r>
      <w:r>
        <w:rPr>
          <w:rFonts w:hint="eastAsia" w:ascii="宋体" w:hAnsi="宋体" w:eastAsia="宋体" w:cs="宋体"/>
          <w:kern w:val="0"/>
          <w:sz w:val="24"/>
          <w:szCs w:val="24"/>
        </w:rPr>
        <w:t>数据等。</w:t>
      </w:r>
    </w:p>
    <w:p w14:paraId="6DD6F44D">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1" w:name="_Toc450"/>
      <w:r>
        <w:rPr>
          <w:rFonts w:hint="eastAsia" w:ascii="Times New Roman" w:hAnsi="Times New Roman"/>
          <w:sz w:val="24"/>
          <w:lang w:val="en-US" w:eastAsia="zh-CN"/>
        </w:rPr>
        <w:t>公共业务数据</w:t>
      </w:r>
      <w:bookmarkEnd w:id="151"/>
    </w:p>
    <w:p w14:paraId="5DA3BF5F">
      <w:pPr>
        <w:widowControl/>
        <w:spacing w:line="360" w:lineRule="auto"/>
        <w:ind w:firstLine="496" w:firstLineChars="200"/>
        <w:rPr>
          <w:rFonts w:hint="eastAsia" w:ascii="宋体" w:hAnsi="宋体" w:eastAsia="宋体" w:cs="宋体"/>
          <w:kern w:val="0"/>
          <w:sz w:val="24"/>
          <w:szCs w:val="24"/>
        </w:rPr>
      </w:pPr>
      <w:r>
        <w:rPr>
          <w:rFonts w:hint="default" w:ascii="宋体" w:hAnsi="宋体" w:eastAsia="宋体" w:cs="宋体"/>
          <w:kern w:val="0"/>
          <w:sz w:val="24"/>
          <w:szCs w:val="24"/>
        </w:rPr>
        <w:t>公共业务数据包</w:t>
      </w:r>
      <w:r>
        <w:rPr>
          <w:rFonts w:hint="default" w:ascii="宋体" w:hAnsi="宋体" w:eastAsia="宋体" w:cs="宋体"/>
          <w:kern w:val="0"/>
          <w:sz w:val="24"/>
          <w:szCs w:val="24"/>
          <w:lang w:val="en-US" w:eastAsia="zh-CN"/>
        </w:rPr>
        <w:t>括组织机构数据</w:t>
      </w:r>
      <w:r>
        <w:rPr>
          <w:rFonts w:hint="default" w:ascii="宋体" w:hAnsi="宋体" w:eastAsia="宋体" w:cs="宋体"/>
          <w:kern w:val="0"/>
          <w:sz w:val="24"/>
          <w:szCs w:val="24"/>
        </w:rPr>
        <w:t>、</w:t>
      </w:r>
      <w:r>
        <w:rPr>
          <w:rFonts w:hint="default" w:ascii="宋体" w:hAnsi="宋体" w:eastAsia="宋体" w:cs="宋体"/>
          <w:kern w:val="0"/>
          <w:sz w:val="24"/>
          <w:szCs w:val="24"/>
          <w:lang w:val="en-US" w:eastAsia="zh-CN"/>
        </w:rPr>
        <w:t>人员基本信息数据</w:t>
      </w:r>
      <w:r>
        <w:rPr>
          <w:rFonts w:hint="default" w:ascii="宋体" w:hAnsi="宋体" w:eastAsia="宋体" w:cs="宋体"/>
          <w:kern w:val="0"/>
          <w:sz w:val="24"/>
          <w:szCs w:val="24"/>
        </w:rPr>
        <w:t>、</w:t>
      </w:r>
      <w:r>
        <w:rPr>
          <w:rFonts w:hint="default" w:ascii="宋体" w:hAnsi="宋体" w:eastAsia="宋体" w:cs="宋体"/>
          <w:kern w:val="0"/>
          <w:sz w:val="24"/>
          <w:szCs w:val="24"/>
          <w:lang w:val="en-US" w:eastAsia="zh-CN"/>
        </w:rPr>
        <w:t>委员数据</w:t>
      </w:r>
      <w:r>
        <w:rPr>
          <w:rFonts w:hint="default" w:ascii="宋体" w:hAnsi="宋体" w:eastAsia="宋体" w:cs="宋体"/>
          <w:kern w:val="0"/>
          <w:sz w:val="24"/>
          <w:szCs w:val="24"/>
        </w:rPr>
        <w:t>、</w:t>
      </w:r>
      <w:r>
        <w:rPr>
          <w:rFonts w:hint="eastAsia" w:ascii="宋体" w:hAnsi="宋体" w:eastAsia="宋体" w:cs="宋体"/>
          <w:kern w:val="0"/>
          <w:sz w:val="24"/>
          <w:szCs w:val="24"/>
          <w:lang w:val="en-US" w:eastAsia="zh-CN"/>
        </w:rPr>
        <w:t>账号</w:t>
      </w:r>
      <w:r>
        <w:rPr>
          <w:rFonts w:hint="default" w:ascii="宋体" w:hAnsi="宋体" w:eastAsia="宋体" w:cs="宋体"/>
          <w:kern w:val="0"/>
          <w:sz w:val="24"/>
          <w:szCs w:val="24"/>
        </w:rPr>
        <w:t>数据</w:t>
      </w:r>
      <w:r>
        <w:rPr>
          <w:rFonts w:hint="default" w:ascii="宋体" w:hAnsi="宋体" w:eastAsia="宋体" w:cs="宋体"/>
          <w:kern w:val="0"/>
          <w:sz w:val="24"/>
          <w:szCs w:val="24"/>
          <w:lang w:eastAsia="zh-CN"/>
        </w:rPr>
        <w:t>、</w:t>
      </w:r>
      <w:r>
        <w:rPr>
          <w:rFonts w:hint="default" w:ascii="宋体" w:hAnsi="宋体" w:eastAsia="宋体" w:cs="宋体"/>
          <w:kern w:val="0"/>
          <w:sz w:val="24"/>
          <w:szCs w:val="24"/>
          <w:lang w:val="en-US" w:eastAsia="zh-CN"/>
        </w:rPr>
        <w:t>字典代码数据</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围绕上述建设内容，开展</w:t>
      </w:r>
      <w:r>
        <w:rPr>
          <w:rFonts w:hint="default" w:ascii="宋体" w:hAnsi="宋体" w:eastAsia="宋体" w:cs="宋体"/>
          <w:kern w:val="0"/>
          <w:sz w:val="24"/>
          <w:szCs w:val="24"/>
        </w:rPr>
        <w:t>标准表</w:t>
      </w:r>
      <w:r>
        <w:rPr>
          <w:rFonts w:hint="default" w:ascii="宋体" w:hAnsi="宋体" w:eastAsia="宋体" w:cs="宋体"/>
          <w:kern w:val="0"/>
          <w:sz w:val="24"/>
          <w:szCs w:val="24"/>
          <w:lang w:val="en-US" w:eastAsia="zh-CN"/>
        </w:rPr>
        <w:t>设计</w:t>
      </w:r>
      <w:r>
        <w:rPr>
          <w:rFonts w:hint="default" w:ascii="宋体" w:hAnsi="宋体" w:eastAsia="宋体" w:cs="宋体"/>
          <w:kern w:val="0"/>
          <w:sz w:val="24"/>
          <w:szCs w:val="24"/>
        </w:rPr>
        <w:t>、</w:t>
      </w:r>
      <w:r>
        <w:rPr>
          <w:rFonts w:hint="default" w:ascii="宋体" w:hAnsi="宋体" w:eastAsia="宋体" w:cs="宋体"/>
          <w:kern w:val="0"/>
          <w:sz w:val="24"/>
          <w:szCs w:val="24"/>
          <w:lang w:val="en-US" w:eastAsia="zh-CN"/>
        </w:rPr>
        <w:t>转换规则梳理</w:t>
      </w:r>
      <w:r>
        <w:rPr>
          <w:rFonts w:hint="default" w:ascii="宋体" w:hAnsi="宋体" w:eastAsia="宋体" w:cs="宋体"/>
          <w:kern w:val="0"/>
          <w:sz w:val="24"/>
          <w:szCs w:val="24"/>
        </w:rPr>
        <w:t>、标准化转换、</w:t>
      </w:r>
      <w:r>
        <w:rPr>
          <w:rFonts w:hint="default" w:ascii="宋体" w:hAnsi="宋体" w:eastAsia="宋体" w:cs="宋体"/>
          <w:kern w:val="0"/>
          <w:sz w:val="24"/>
          <w:szCs w:val="24"/>
          <w:lang w:val="en-US" w:eastAsia="zh-CN"/>
        </w:rPr>
        <w:t>数据校验和处理</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工作</w:t>
      </w:r>
      <w:r>
        <w:rPr>
          <w:rFonts w:hint="default" w:ascii="宋体" w:hAnsi="宋体" w:eastAsia="宋体" w:cs="宋体"/>
          <w:kern w:val="0"/>
          <w:sz w:val="24"/>
          <w:szCs w:val="24"/>
        </w:rPr>
        <w:t>。</w:t>
      </w:r>
    </w:p>
    <w:p w14:paraId="75E6D232">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2" w:name="_Toc4819"/>
      <w:r>
        <w:rPr>
          <w:rFonts w:hint="eastAsia" w:ascii="Times New Roman" w:hAnsi="Times New Roman"/>
          <w:sz w:val="24"/>
          <w:lang w:val="en-US" w:eastAsia="zh-CN"/>
        </w:rPr>
        <w:t>提案在线数据</w:t>
      </w:r>
      <w:bookmarkEnd w:id="152"/>
    </w:p>
    <w:p w14:paraId="5485A3A4">
      <w:pPr>
        <w:widowControl/>
        <w:spacing w:line="360" w:lineRule="auto"/>
        <w:ind w:firstLine="496" w:firstLineChars="200"/>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提案在线</w:t>
      </w:r>
      <w:r>
        <w:rPr>
          <w:rFonts w:hint="default" w:ascii="宋体" w:hAnsi="宋体" w:eastAsia="宋体" w:cs="宋体"/>
          <w:kern w:val="0"/>
          <w:sz w:val="24"/>
          <w:szCs w:val="24"/>
        </w:rPr>
        <w:t>数据包</w:t>
      </w:r>
      <w:r>
        <w:rPr>
          <w:rFonts w:hint="default" w:ascii="宋体" w:hAnsi="宋体" w:eastAsia="宋体" w:cs="宋体"/>
          <w:kern w:val="0"/>
          <w:sz w:val="24"/>
          <w:szCs w:val="24"/>
          <w:lang w:val="en-US" w:eastAsia="zh-CN"/>
        </w:rPr>
        <w:t>括提案基本信息数据，提案审查信息数据，提案办理信息数据，提案督办信息数据、提案反馈及评价信息数据</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围绕上述建设内容，开展</w:t>
      </w:r>
      <w:r>
        <w:rPr>
          <w:rFonts w:hint="default" w:ascii="宋体" w:hAnsi="宋体" w:eastAsia="宋体" w:cs="宋体"/>
          <w:kern w:val="0"/>
          <w:sz w:val="24"/>
          <w:szCs w:val="24"/>
        </w:rPr>
        <w:t>标准表</w:t>
      </w:r>
      <w:r>
        <w:rPr>
          <w:rFonts w:hint="default" w:ascii="宋体" w:hAnsi="宋体" w:eastAsia="宋体" w:cs="宋体"/>
          <w:kern w:val="0"/>
          <w:sz w:val="24"/>
          <w:szCs w:val="24"/>
          <w:lang w:val="en-US" w:eastAsia="zh-CN"/>
        </w:rPr>
        <w:t>设计</w:t>
      </w:r>
      <w:r>
        <w:rPr>
          <w:rFonts w:hint="default" w:ascii="宋体" w:hAnsi="宋体" w:eastAsia="宋体" w:cs="宋体"/>
          <w:kern w:val="0"/>
          <w:sz w:val="24"/>
          <w:szCs w:val="24"/>
        </w:rPr>
        <w:t>、</w:t>
      </w:r>
      <w:r>
        <w:rPr>
          <w:rFonts w:hint="default" w:ascii="宋体" w:hAnsi="宋体" w:eastAsia="宋体" w:cs="宋体"/>
          <w:kern w:val="0"/>
          <w:sz w:val="24"/>
          <w:szCs w:val="24"/>
          <w:lang w:val="en-US" w:eastAsia="zh-CN"/>
        </w:rPr>
        <w:t>转换规则梳理</w:t>
      </w:r>
      <w:r>
        <w:rPr>
          <w:rFonts w:hint="default" w:ascii="宋体" w:hAnsi="宋体" w:eastAsia="宋体" w:cs="宋体"/>
          <w:kern w:val="0"/>
          <w:sz w:val="24"/>
          <w:szCs w:val="24"/>
        </w:rPr>
        <w:t>、标准化转换、</w:t>
      </w:r>
      <w:r>
        <w:rPr>
          <w:rFonts w:hint="default" w:ascii="宋体" w:hAnsi="宋体" w:eastAsia="宋体" w:cs="宋体"/>
          <w:kern w:val="0"/>
          <w:sz w:val="24"/>
          <w:szCs w:val="24"/>
          <w:lang w:val="en-US" w:eastAsia="zh-CN"/>
        </w:rPr>
        <w:t>数据校验和处理</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工作</w:t>
      </w:r>
      <w:r>
        <w:rPr>
          <w:rFonts w:hint="default" w:ascii="宋体" w:hAnsi="宋体" w:eastAsia="宋体" w:cs="宋体"/>
          <w:kern w:val="0"/>
          <w:sz w:val="24"/>
          <w:szCs w:val="24"/>
        </w:rPr>
        <w:t>。</w:t>
      </w:r>
    </w:p>
    <w:p w14:paraId="496EA218">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3" w:name="_Toc6178"/>
      <w:r>
        <w:rPr>
          <w:rFonts w:hint="eastAsia" w:ascii="Times New Roman" w:hAnsi="Times New Roman"/>
          <w:sz w:val="24"/>
          <w:lang w:val="en-US" w:eastAsia="zh-CN"/>
        </w:rPr>
        <w:t>社情民意在线数据</w:t>
      </w:r>
      <w:bookmarkEnd w:id="153"/>
    </w:p>
    <w:p w14:paraId="18D3F554">
      <w:pPr>
        <w:widowControl/>
        <w:spacing w:line="360" w:lineRule="auto"/>
        <w:ind w:firstLine="496" w:firstLineChars="200"/>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社情民意在线</w:t>
      </w:r>
      <w:r>
        <w:rPr>
          <w:rFonts w:hint="default" w:ascii="宋体" w:hAnsi="宋体" w:eastAsia="宋体" w:cs="宋体"/>
          <w:kern w:val="0"/>
          <w:sz w:val="24"/>
          <w:szCs w:val="24"/>
        </w:rPr>
        <w:t>数据包</w:t>
      </w:r>
      <w:r>
        <w:rPr>
          <w:rFonts w:hint="default" w:ascii="宋体" w:hAnsi="宋体" w:eastAsia="宋体" w:cs="宋体"/>
          <w:kern w:val="0"/>
          <w:sz w:val="24"/>
          <w:szCs w:val="24"/>
          <w:lang w:val="en-US" w:eastAsia="zh-CN"/>
        </w:rPr>
        <w:t>括社情民意上报信息数据，社情民意编辑审核信息数据，社情民意采用反馈信息数据</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围绕上述建设内容，开展</w:t>
      </w:r>
      <w:r>
        <w:rPr>
          <w:rFonts w:hint="default" w:ascii="宋体" w:hAnsi="宋体" w:eastAsia="宋体" w:cs="宋体"/>
          <w:kern w:val="0"/>
          <w:sz w:val="24"/>
          <w:szCs w:val="24"/>
        </w:rPr>
        <w:t>标准表</w:t>
      </w:r>
      <w:r>
        <w:rPr>
          <w:rFonts w:hint="default" w:ascii="宋体" w:hAnsi="宋体" w:eastAsia="宋体" w:cs="宋体"/>
          <w:kern w:val="0"/>
          <w:sz w:val="24"/>
          <w:szCs w:val="24"/>
          <w:lang w:val="en-US" w:eastAsia="zh-CN"/>
        </w:rPr>
        <w:t>设计</w:t>
      </w:r>
      <w:r>
        <w:rPr>
          <w:rFonts w:hint="default" w:ascii="宋体" w:hAnsi="宋体" w:eastAsia="宋体" w:cs="宋体"/>
          <w:kern w:val="0"/>
          <w:sz w:val="24"/>
          <w:szCs w:val="24"/>
        </w:rPr>
        <w:t>、</w:t>
      </w:r>
      <w:r>
        <w:rPr>
          <w:rFonts w:hint="default" w:ascii="宋体" w:hAnsi="宋体" w:eastAsia="宋体" w:cs="宋体"/>
          <w:kern w:val="0"/>
          <w:sz w:val="24"/>
          <w:szCs w:val="24"/>
          <w:lang w:val="en-US" w:eastAsia="zh-CN"/>
        </w:rPr>
        <w:t>转换规则梳理</w:t>
      </w:r>
      <w:r>
        <w:rPr>
          <w:rFonts w:hint="default" w:ascii="宋体" w:hAnsi="宋体" w:eastAsia="宋体" w:cs="宋体"/>
          <w:kern w:val="0"/>
          <w:sz w:val="24"/>
          <w:szCs w:val="24"/>
        </w:rPr>
        <w:t>、标准化转换、</w:t>
      </w:r>
      <w:r>
        <w:rPr>
          <w:rFonts w:hint="default" w:ascii="宋体" w:hAnsi="宋体" w:eastAsia="宋体" w:cs="宋体"/>
          <w:kern w:val="0"/>
          <w:sz w:val="24"/>
          <w:szCs w:val="24"/>
          <w:lang w:val="en-US" w:eastAsia="zh-CN"/>
        </w:rPr>
        <w:t>数据校验和处理</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工作</w:t>
      </w:r>
      <w:r>
        <w:rPr>
          <w:rFonts w:hint="default" w:ascii="宋体" w:hAnsi="宋体" w:eastAsia="宋体" w:cs="宋体"/>
          <w:kern w:val="0"/>
          <w:sz w:val="24"/>
          <w:szCs w:val="24"/>
        </w:rPr>
        <w:t>。</w:t>
      </w:r>
    </w:p>
    <w:p w14:paraId="38F61777">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4" w:name="_Toc24929"/>
      <w:r>
        <w:rPr>
          <w:rFonts w:hint="eastAsia" w:ascii="Times New Roman" w:hAnsi="Times New Roman"/>
          <w:sz w:val="24"/>
          <w:lang w:val="en-US" w:eastAsia="zh-CN"/>
        </w:rPr>
        <w:t>履职在线数据</w:t>
      </w:r>
      <w:bookmarkEnd w:id="154"/>
    </w:p>
    <w:p w14:paraId="1A054F5F">
      <w:pPr>
        <w:widowControl/>
        <w:spacing w:line="360" w:lineRule="auto"/>
        <w:ind w:firstLine="496" w:firstLineChars="200"/>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履职在线</w:t>
      </w:r>
      <w:r>
        <w:rPr>
          <w:rFonts w:hint="default" w:ascii="宋体" w:hAnsi="宋体" w:eastAsia="宋体" w:cs="宋体"/>
          <w:kern w:val="0"/>
          <w:sz w:val="24"/>
          <w:szCs w:val="24"/>
        </w:rPr>
        <w:t>数据包</w:t>
      </w:r>
      <w:r>
        <w:rPr>
          <w:rFonts w:hint="default" w:ascii="宋体" w:hAnsi="宋体" w:eastAsia="宋体" w:cs="宋体"/>
          <w:kern w:val="0"/>
          <w:sz w:val="24"/>
          <w:szCs w:val="24"/>
          <w:lang w:val="en-US" w:eastAsia="zh-CN"/>
        </w:rPr>
        <w:t>括履职活动计划信息数据，履职活动审核信息数据，履职活动成果信息数据</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围绕上述建设内容，开展</w:t>
      </w:r>
      <w:r>
        <w:rPr>
          <w:rFonts w:hint="default" w:ascii="宋体" w:hAnsi="宋体" w:eastAsia="宋体" w:cs="宋体"/>
          <w:kern w:val="0"/>
          <w:sz w:val="24"/>
          <w:szCs w:val="24"/>
        </w:rPr>
        <w:t>标准表</w:t>
      </w:r>
      <w:r>
        <w:rPr>
          <w:rFonts w:hint="default" w:ascii="宋体" w:hAnsi="宋体" w:eastAsia="宋体" w:cs="宋体"/>
          <w:kern w:val="0"/>
          <w:sz w:val="24"/>
          <w:szCs w:val="24"/>
          <w:lang w:val="en-US" w:eastAsia="zh-CN"/>
        </w:rPr>
        <w:t>设计</w:t>
      </w:r>
      <w:r>
        <w:rPr>
          <w:rFonts w:hint="default" w:ascii="宋体" w:hAnsi="宋体" w:eastAsia="宋体" w:cs="宋体"/>
          <w:kern w:val="0"/>
          <w:sz w:val="24"/>
          <w:szCs w:val="24"/>
        </w:rPr>
        <w:t>、</w:t>
      </w:r>
      <w:r>
        <w:rPr>
          <w:rFonts w:hint="default" w:ascii="宋体" w:hAnsi="宋体" w:eastAsia="宋体" w:cs="宋体"/>
          <w:kern w:val="0"/>
          <w:sz w:val="24"/>
          <w:szCs w:val="24"/>
          <w:lang w:val="en-US" w:eastAsia="zh-CN"/>
        </w:rPr>
        <w:t>转换规则梳理</w:t>
      </w:r>
      <w:r>
        <w:rPr>
          <w:rFonts w:hint="default" w:ascii="宋体" w:hAnsi="宋体" w:eastAsia="宋体" w:cs="宋体"/>
          <w:kern w:val="0"/>
          <w:sz w:val="24"/>
          <w:szCs w:val="24"/>
        </w:rPr>
        <w:t>、标准化转换、</w:t>
      </w:r>
      <w:r>
        <w:rPr>
          <w:rFonts w:hint="default" w:ascii="宋体" w:hAnsi="宋体" w:eastAsia="宋体" w:cs="宋体"/>
          <w:kern w:val="0"/>
          <w:sz w:val="24"/>
          <w:szCs w:val="24"/>
          <w:lang w:val="en-US" w:eastAsia="zh-CN"/>
        </w:rPr>
        <w:t>数据校验和处理</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工作</w:t>
      </w:r>
      <w:r>
        <w:rPr>
          <w:rFonts w:hint="default" w:ascii="宋体" w:hAnsi="宋体" w:eastAsia="宋体" w:cs="宋体"/>
          <w:kern w:val="0"/>
          <w:sz w:val="24"/>
          <w:szCs w:val="24"/>
        </w:rPr>
        <w:t>。</w:t>
      </w:r>
    </w:p>
    <w:p w14:paraId="7DC3F144">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5" w:name="_Toc12814"/>
      <w:r>
        <w:rPr>
          <w:rFonts w:hint="eastAsia" w:ascii="Times New Roman" w:hAnsi="Times New Roman"/>
          <w:sz w:val="24"/>
          <w:lang w:val="en-US" w:eastAsia="zh-CN"/>
        </w:rPr>
        <w:t>学习在线数据</w:t>
      </w:r>
      <w:bookmarkEnd w:id="155"/>
    </w:p>
    <w:p w14:paraId="2CE7E9CA">
      <w:pPr>
        <w:widowControl/>
        <w:spacing w:line="360" w:lineRule="auto"/>
        <w:ind w:firstLine="496" w:firstLineChars="200"/>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学习在线</w:t>
      </w:r>
      <w:r>
        <w:rPr>
          <w:rFonts w:hint="default" w:ascii="宋体" w:hAnsi="宋体" w:eastAsia="宋体" w:cs="宋体"/>
          <w:kern w:val="0"/>
          <w:sz w:val="24"/>
          <w:szCs w:val="24"/>
        </w:rPr>
        <w:t>数据包</w:t>
      </w:r>
      <w:r>
        <w:rPr>
          <w:rFonts w:hint="default" w:ascii="宋体" w:hAnsi="宋体" w:eastAsia="宋体" w:cs="宋体"/>
          <w:kern w:val="0"/>
          <w:sz w:val="24"/>
          <w:szCs w:val="24"/>
          <w:lang w:val="en-US" w:eastAsia="zh-CN"/>
        </w:rPr>
        <w:t>括学习活动计划信息数据，学习活动审核信息数据，学习活动成果信息数据</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围绕上述建设内容，开展</w:t>
      </w:r>
      <w:r>
        <w:rPr>
          <w:rFonts w:hint="default" w:ascii="宋体" w:hAnsi="宋体" w:eastAsia="宋体" w:cs="宋体"/>
          <w:kern w:val="0"/>
          <w:sz w:val="24"/>
          <w:szCs w:val="24"/>
        </w:rPr>
        <w:t>标准表</w:t>
      </w:r>
      <w:r>
        <w:rPr>
          <w:rFonts w:hint="default" w:ascii="宋体" w:hAnsi="宋体" w:eastAsia="宋体" w:cs="宋体"/>
          <w:kern w:val="0"/>
          <w:sz w:val="24"/>
          <w:szCs w:val="24"/>
          <w:lang w:val="en-US" w:eastAsia="zh-CN"/>
        </w:rPr>
        <w:t>设计</w:t>
      </w:r>
      <w:r>
        <w:rPr>
          <w:rFonts w:hint="default" w:ascii="宋体" w:hAnsi="宋体" w:eastAsia="宋体" w:cs="宋体"/>
          <w:kern w:val="0"/>
          <w:sz w:val="24"/>
          <w:szCs w:val="24"/>
        </w:rPr>
        <w:t>、</w:t>
      </w:r>
      <w:r>
        <w:rPr>
          <w:rFonts w:hint="default" w:ascii="宋体" w:hAnsi="宋体" w:eastAsia="宋体" w:cs="宋体"/>
          <w:kern w:val="0"/>
          <w:sz w:val="24"/>
          <w:szCs w:val="24"/>
          <w:lang w:val="en-US" w:eastAsia="zh-CN"/>
        </w:rPr>
        <w:t>转换规则梳理</w:t>
      </w:r>
      <w:r>
        <w:rPr>
          <w:rFonts w:hint="default" w:ascii="宋体" w:hAnsi="宋体" w:eastAsia="宋体" w:cs="宋体"/>
          <w:kern w:val="0"/>
          <w:sz w:val="24"/>
          <w:szCs w:val="24"/>
        </w:rPr>
        <w:t>、标准化转换、</w:t>
      </w:r>
      <w:r>
        <w:rPr>
          <w:rFonts w:hint="default" w:ascii="宋体" w:hAnsi="宋体" w:eastAsia="宋体" w:cs="宋体"/>
          <w:kern w:val="0"/>
          <w:sz w:val="24"/>
          <w:szCs w:val="24"/>
          <w:lang w:val="en-US" w:eastAsia="zh-CN"/>
        </w:rPr>
        <w:t>数据校验和处理</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工作</w:t>
      </w:r>
      <w:r>
        <w:rPr>
          <w:rFonts w:hint="default" w:ascii="宋体" w:hAnsi="宋体" w:eastAsia="宋体" w:cs="宋体"/>
          <w:kern w:val="0"/>
          <w:sz w:val="24"/>
          <w:szCs w:val="24"/>
        </w:rPr>
        <w:t>。</w:t>
      </w:r>
    </w:p>
    <w:p w14:paraId="323927B6">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6" w:name="_Toc21246"/>
      <w:r>
        <w:rPr>
          <w:rFonts w:hint="eastAsia" w:ascii="Times New Roman" w:hAnsi="Times New Roman"/>
          <w:sz w:val="24"/>
          <w:lang w:val="en-US" w:eastAsia="zh-CN"/>
        </w:rPr>
        <w:t>协商在线数据</w:t>
      </w:r>
      <w:bookmarkEnd w:id="156"/>
    </w:p>
    <w:p w14:paraId="4D6CAFB5">
      <w:pPr>
        <w:widowControl/>
        <w:spacing w:line="360" w:lineRule="auto"/>
        <w:ind w:firstLine="496" w:firstLineChars="200"/>
        <w:rPr>
          <w:rFonts w:hint="default" w:ascii="宋体" w:hAnsi="宋体" w:eastAsia="宋体" w:cs="宋体"/>
          <w:kern w:val="0"/>
          <w:sz w:val="24"/>
          <w:szCs w:val="24"/>
        </w:rPr>
      </w:pPr>
      <w:r>
        <w:rPr>
          <w:rFonts w:hint="default" w:ascii="宋体" w:hAnsi="宋体" w:eastAsia="宋体" w:cs="宋体"/>
          <w:kern w:val="0"/>
          <w:sz w:val="24"/>
          <w:szCs w:val="24"/>
          <w:lang w:val="en-US" w:eastAsia="zh-CN"/>
        </w:rPr>
        <w:t>协商在线</w:t>
      </w:r>
      <w:r>
        <w:rPr>
          <w:rFonts w:hint="default" w:ascii="宋体" w:hAnsi="宋体" w:eastAsia="宋体" w:cs="宋体"/>
          <w:kern w:val="0"/>
          <w:sz w:val="24"/>
          <w:szCs w:val="24"/>
        </w:rPr>
        <w:t>数据包</w:t>
      </w:r>
      <w:r>
        <w:rPr>
          <w:rFonts w:hint="default" w:ascii="宋体" w:hAnsi="宋体" w:eastAsia="宋体" w:cs="宋体"/>
          <w:kern w:val="0"/>
          <w:sz w:val="24"/>
          <w:szCs w:val="24"/>
          <w:lang w:val="en-US" w:eastAsia="zh-CN"/>
        </w:rPr>
        <w:t>括活动安排信息，协商计划信息数据，协商活动审核信息数据、协商活动通知公告、大会发言、会议文件、会议简报，参阅资料等数据</w:t>
      </w:r>
      <w:r>
        <w:rPr>
          <w:rFonts w:hint="default" w:ascii="宋体" w:hAnsi="宋体" w:eastAsia="宋体" w:cs="宋体"/>
          <w:kern w:val="0"/>
          <w:sz w:val="24"/>
          <w:szCs w:val="24"/>
        </w:rPr>
        <w:t>。</w:t>
      </w:r>
      <w:r>
        <w:rPr>
          <w:rFonts w:hint="default" w:ascii="宋体" w:hAnsi="宋体" w:eastAsia="宋体" w:cs="宋体"/>
          <w:kern w:val="0"/>
          <w:sz w:val="24"/>
          <w:szCs w:val="24"/>
          <w:lang w:val="en-US" w:eastAsia="zh-CN"/>
        </w:rPr>
        <w:t>围绕上述建设内容，开展</w:t>
      </w:r>
      <w:r>
        <w:rPr>
          <w:rFonts w:hint="default" w:ascii="宋体" w:hAnsi="宋体" w:eastAsia="宋体" w:cs="宋体"/>
          <w:kern w:val="0"/>
          <w:sz w:val="24"/>
          <w:szCs w:val="24"/>
        </w:rPr>
        <w:t>标准表</w:t>
      </w:r>
      <w:r>
        <w:rPr>
          <w:rFonts w:hint="default" w:ascii="宋体" w:hAnsi="宋体" w:eastAsia="宋体" w:cs="宋体"/>
          <w:kern w:val="0"/>
          <w:sz w:val="24"/>
          <w:szCs w:val="24"/>
          <w:lang w:val="en-US" w:eastAsia="zh-CN"/>
        </w:rPr>
        <w:t>设计</w:t>
      </w:r>
      <w:r>
        <w:rPr>
          <w:rFonts w:hint="default" w:ascii="宋体" w:hAnsi="宋体" w:eastAsia="宋体" w:cs="宋体"/>
          <w:kern w:val="0"/>
          <w:sz w:val="24"/>
          <w:szCs w:val="24"/>
        </w:rPr>
        <w:t>、</w:t>
      </w:r>
      <w:r>
        <w:rPr>
          <w:rFonts w:hint="default" w:ascii="宋体" w:hAnsi="宋体" w:eastAsia="宋体" w:cs="宋体"/>
          <w:kern w:val="0"/>
          <w:sz w:val="24"/>
          <w:szCs w:val="24"/>
          <w:lang w:val="en-US" w:eastAsia="zh-CN"/>
        </w:rPr>
        <w:t>转换规则梳理</w:t>
      </w:r>
      <w:r>
        <w:rPr>
          <w:rFonts w:hint="default" w:ascii="宋体" w:hAnsi="宋体" w:eastAsia="宋体" w:cs="宋体"/>
          <w:kern w:val="0"/>
          <w:sz w:val="24"/>
          <w:szCs w:val="24"/>
        </w:rPr>
        <w:t>、标准化转换、</w:t>
      </w:r>
      <w:r>
        <w:rPr>
          <w:rFonts w:hint="default" w:ascii="宋体" w:hAnsi="宋体" w:eastAsia="宋体" w:cs="宋体"/>
          <w:kern w:val="0"/>
          <w:sz w:val="24"/>
          <w:szCs w:val="24"/>
          <w:lang w:val="en-US" w:eastAsia="zh-CN"/>
        </w:rPr>
        <w:t>数据校验和处理</w:t>
      </w:r>
      <w:r>
        <w:rPr>
          <w:rFonts w:hint="default" w:ascii="宋体" w:hAnsi="宋体" w:eastAsia="宋体" w:cs="宋体"/>
          <w:kern w:val="0"/>
          <w:sz w:val="24"/>
          <w:szCs w:val="24"/>
        </w:rPr>
        <w:t>等</w:t>
      </w:r>
      <w:r>
        <w:rPr>
          <w:rFonts w:hint="default" w:ascii="宋体" w:hAnsi="宋体" w:eastAsia="宋体" w:cs="宋体"/>
          <w:kern w:val="0"/>
          <w:sz w:val="24"/>
          <w:szCs w:val="24"/>
          <w:lang w:val="en-US" w:eastAsia="zh-CN"/>
        </w:rPr>
        <w:t>工作</w:t>
      </w:r>
      <w:r>
        <w:rPr>
          <w:rFonts w:hint="default" w:ascii="宋体" w:hAnsi="宋体" w:eastAsia="宋体" w:cs="宋体"/>
          <w:kern w:val="0"/>
          <w:sz w:val="24"/>
          <w:szCs w:val="24"/>
        </w:rPr>
        <w:t>。</w:t>
      </w:r>
    </w:p>
    <w:p w14:paraId="0C7E2F69">
      <w:pPr>
        <w:keepNext w:val="0"/>
        <w:keepLines w:val="0"/>
        <w:pageBreakBefore w:val="0"/>
        <w:widowControl/>
        <w:numPr>
          <w:ilvl w:val="0"/>
          <w:numId w:val="9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主题数据库</w:t>
      </w:r>
    </w:p>
    <w:p w14:paraId="69741791">
      <w:pPr>
        <w:widowControl/>
        <w:spacing w:line="360" w:lineRule="auto"/>
        <w:ind w:firstLine="496" w:firstLineChars="200"/>
        <w:rPr>
          <w:rFonts w:hint="default" w:ascii="Times New Roman" w:hAnsi="Times New Roman" w:eastAsia="宋体" w:cs="宋体"/>
          <w:kern w:val="0"/>
          <w:sz w:val="24"/>
          <w:szCs w:val="24"/>
        </w:rPr>
      </w:pPr>
      <w:r>
        <w:rPr>
          <w:rFonts w:hint="default" w:ascii="Times New Roman" w:hAnsi="Times New Roman" w:eastAsia="宋体" w:cs="宋体"/>
          <w:kern w:val="0"/>
          <w:sz w:val="24"/>
          <w:szCs w:val="24"/>
        </w:rPr>
        <w:t>基于治理、融合、标准化后的基础数据和标准数据，结合</w:t>
      </w:r>
      <w:r>
        <w:rPr>
          <w:rFonts w:hint="default" w:ascii="Times New Roman" w:hAnsi="Times New Roman" w:eastAsia="宋体" w:cs="宋体"/>
          <w:kern w:val="0"/>
          <w:sz w:val="24"/>
          <w:szCs w:val="24"/>
          <w:lang w:val="en-US" w:eastAsia="zh-CN"/>
        </w:rPr>
        <w:t>市政协</w:t>
      </w:r>
      <w:r>
        <w:rPr>
          <w:rFonts w:hint="default" w:ascii="Times New Roman" w:hAnsi="Times New Roman" w:eastAsia="宋体" w:cs="宋体"/>
          <w:kern w:val="0"/>
          <w:sz w:val="24"/>
          <w:szCs w:val="24"/>
        </w:rPr>
        <w:t>业务分析应用需求，进行数据的</w:t>
      </w:r>
      <w:r>
        <w:rPr>
          <w:rFonts w:hint="default" w:ascii="Times New Roman" w:hAnsi="Times New Roman" w:eastAsia="宋体" w:cs="宋体"/>
          <w:kern w:val="0"/>
          <w:sz w:val="24"/>
          <w:szCs w:val="24"/>
          <w:lang w:val="en-US" w:eastAsia="zh-CN"/>
        </w:rPr>
        <w:t>轻度汇总</w:t>
      </w:r>
      <w:r>
        <w:rPr>
          <w:rFonts w:hint="default" w:ascii="Times New Roman" w:hAnsi="Times New Roman" w:eastAsia="宋体" w:cs="宋体"/>
          <w:kern w:val="0"/>
          <w:sz w:val="24"/>
          <w:szCs w:val="24"/>
        </w:rPr>
        <w:t>加工处理，形成</w:t>
      </w:r>
      <w:r>
        <w:rPr>
          <w:rFonts w:hint="default" w:ascii="Times New Roman" w:hAnsi="Times New Roman" w:eastAsia="宋体" w:cs="宋体"/>
          <w:kern w:val="0"/>
          <w:sz w:val="24"/>
          <w:szCs w:val="24"/>
          <w:lang w:val="en-US" w:eastAsia="zh-CN"/>
        </w:rPr>
        <w:t>人员主题库、提案在线、社情民意在线、履职在线、学习在线、协商在线</w:t>
      </w:r>
      <w:r>
        <w:rPr>
          <w:rFonts w:hint="default" w:ascii="Times New Roman" w:hAnsi="Times New Roman" w:eastAsia="宋体" w:cs="宋体"/>
          <w:kern w:val="0"/>
          <w:sz w:val="24"/>
          <w:szCs w:val="24"/>
        </w:rPr>
        <w:t>等主题数据库。</w:t>
      </w:r>
    </w:p>
    <w:p w14:paraId="71821FDA">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7" w:name="_Toc14751"/>
      <w:r>
        <w:rPr>
          <w:rFonts w:hint="eastAsia" w:ascii="Times New Roman" w:hAnsi="Times New Roman"/>
          <w:sz w:val="24"/>
          <w:lang w:val="en-US" w:eastAsia="zh-CN"/>
        </w:rPr>
        <w:t>人员主题库</w:t>
      </w:r>
      <w:bookmarkEnd w:id="157"/>
    </w:p>
    <w:p w14:paraId="5401EBDE">
      <w:pPr>
        <w:widowControl/>
        <w:numPr>
          <w:ilvl w:val="-1"/>
          <w:numId w:val="0"/>
        </w:numPr>
        <w:spacing w:line="360" w:lineRule="auto"/>
        <w:ind w:firstLine="496" w:firstLineChars="200"/>
        <w:rPr>
          <w:rFonts w:hint="default"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委员信息</w:t>
      </w:r>
      <w:r>
        <w:rPr>
          <w:rFonts w:hint="eastAsia" w:ascii="Times New Roman" w:hAnsi="Times New Roman" w:eastAsia="宋体" w:cs="宋体"/>
          <w:kern w:val="0"/>
          <w:sz w:val="24"/>
          <w:szCs w:val="24"/>
          <w:lang w:val="en-US" w:eastAsia="zh-CN"/>
        </w:rPr>
        <w:t>：</w:t>
      </w:r>
      <w:r>
        <w:rPr>
          <w:rFonts w:hint="default" w:ascii="Times New Roman" w:hAnsi="Times New Roman" w:eastAsia="宋体" w:cs="宋体"/>
          <w:kern w:val="0"/>
          <w:sz w:val="24"/>
          <w:szCs w:val="24"/>
          <w:lang w:val="en-US" w:eastAsia="zh-CN"/>
        </w:rPr>
        <w:t>委员信息包括基本信息、政协信息、家庭信息、履职信息、人事信息等方面数据信息。围绕上述建设内容及建设需求，开展指标梳理、专项分析、汇总加工等工作。</w:t>
      </w:r>
    </w:p>
    <w:p w14:paraId="466399C0">
      <w:pPr>
        <w:widowControl/>
        <w:spacing w:line="360" w:lineRule="auto"/>
        <w:ind w:firstLine="496" w:firstLineChars="200"/>
        <w:rPr>
          <w:rFonts w:hint="default"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机关人员信息</w:t>
      </w:r>
      <w:r>
        <w:rPr>
          <w:rFonts w:hint="eastAsia" w:ascii="Times New Roman" w:hAnsi="Times New Roman" w:eastAsia="宋体" w:cs="宋体"/>
          <w:kern w:val="0"/>
          <w:sz w:val="24"/>
          <w:szCs w:val="24"/>
          <w:lang w:val="en-US" w:eastAsia="zh-CN"/>
        </w:rPr>
        <w:t>：</w:t>
      </w:r>
      <w:r>
        <w:rPr>
          <w:rFonts w:hint="default" w:ascii="Times New Roman" w:hAnsi="Times New Roman" w:eastAsia="宋体" w:cs="宋体"/>
          <w:kern w:val="0"/>
          <w:sz w:val="24"/>
          <w:szCs w:val="24"/>
          <w:lang w:val="en-US" w:eastAsia="zh-CN"/>
        </w:rPr>
        <w:t>机关信息包括基本信息、政协信息、家庭信息、履职信息、人事信息等方面数据信息。围绕上述建设内容及建设需求，开展指标梳理、专项分析、汇总加工等工作。</w:t>
      </w:r>
    </w:p>
    <w:p w14:paraId="43B645D5">
      <w:pPr>
        <w:widowControl/>
        <w:spacing w:line="360" w:lineRule="auto"/>
        <w:ind w:firstLine="496" w:firstLineChars="200"/>
        <w:rPr>
          <w:rFonts w:hint="default"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党派团体人员信息</w:t>
      </w:r>
      <w:r>
        <w:rPr>
          <w:rFonts w:hint="eastAsia" w:ascii="Times New Roman" w:hAnsi="Times New Roman" w:eastAsia="宋体" w:cs="宋体"/>
          <w:kern w:val="0"/>
          <w:sz w:val="24"/>
          <w:szCs w:val="24"/>
          <w:lang w:val="en-US" w:eastAsia="zh-CN"/>
        </w:rPr>
        <w:t>：</w:t>
      </w:r>
      <w:r>
        <w:rPr>
          <w:rFonts w:hint="default" w:ascii="Times New Roman" w:hAnsi="Times New Roman" w:eastAsia="宋体" w:cs="宋体"/>
          <w:kern w:val="0"/>
          <w:sz w:val="24"/>
          <w:szCs w:val="24"/>
          <w:lang w:val="en-US" w:eastAsia="zh-CN"/>
        </w:rPr>
        <w:t>机关信息包括基本信息、单位信息、家庭信息、履职信息、人事信息等方面数据。围绕上述建设内容及建设需求，开展指标梳理、专项分析、汇总加工等工作。</w:t>
      </w:r>
    </w:p>
    <w:p w14:paraId="5F9125A0">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8" w:name="_Toc29094"/>
      <w:r>
        <w:rPr>
          <w:rFonts w:hint="eastAsia" w:ascii="Times New Roman" w:hAnsi="Times New Roman"/>
          <w:sz w:val="24"/>
          <w:lang w:val="en-US" w:eastAsia="zh-CN"/>
        </w:rPr>
        <w:t>提案在线主题库</w:t>
      </w:r>
      <w:bookmarkEnd w:id="158"/>
    </w:p>
    <w:p w14:paraId="5B4AECEF">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提案信息包括提案基本信息数据，提案审查信息数据，提案办理信息数据，提案督办信息数据、提案反馈及评价信息数据。围绕上述建设内容及建设需求，开展指标梳理、专项分析、汇总加工等工作。</w:t>
      </w:r>
    </w:p>
    <w:p w14:paraId="28469DCE">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59" w:name="_Toc26240"/>
      <w:r>
        <w:rPr>
          <w:rFonts w:hint="eastAsia" w:ascii="Times New Roman" w:hAnsi="Times New Roman"/>
          <w:sz w:val="24"/>
          <w:lang w:val="en-US" w:eastAsia="zh-CN"/>
        </w:rPr>
        <w:t>社情民意在线主题库</w:t>
      </w:r>
      <w:bookmarkEnd w:id="159"/>
    </w:p>
    <w:p w14:paraId="28D30D94">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宋体"/>
          <w:kern w:val="0"/>
          <w:sz w:val="24"/>
          <w:szCs w:val="24"/>
          <w:lang w:val="en-US" w:eastAsia="zh-CN"/>
        </w:rPr>
      </w:pPr>
      <w:r>
        <w:rPr>
          <w:rFonts w:hint="default" w:ascii="Times New Roman" w:hAnsi="Times New Roman" w:eastAsia="宋体" w:cs="宋体"/>
          <w:kern w:val="0"/>
          <w:sz w:val="24"/>
          <w:szCs w:val="24"/>
          <w:lang w:val="en-US" w:eastAsia="zh-CN"/>
        </w:rPr>
        <w:t>社情民意信息包括社情民意上报信息数据，社情民意编辑审核信息数据，社情民意采用反馈信息数据。围绕上述建设内容及建设需求，开展指标梳理、专项分析、汇总加工等工作。</w:t>
      </w:r>
    </w:p>
    <w:p w14:paraId="130823AA">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60" w:name="_Toc31635"/>
      <w:r>
        <w:rPr>
          <w:rFonts w:hint="eastAsia" w:ascii="Times New Roman" w:hAnsi="Times New Roman"/>
          <w:sz w:val="24"/>
          <w:lang w:val="en-US" w:eastAsia="zh-CN"/>
        </w:rPr>
        <w:t>履职在线主题库</w:t>
      </w:r>
      <w:bookmarkEnd w:id="160"/>
    </w:p>
    <w:p w14:paraId="6659F06E">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宋体"/>
          <w:kern w:val="0"/>
          <w:sz w:val="24"/>
          <w:lang w:val="en-US" w:eastAsia="zh-CN"/>
        </w:rPr>
      </w:pPr>
      <w:r>
        <w:rPr>
          <w:rFonts w:hint="default" w:ascii="Times New Roman" w:hAnsi="Times New Roman" w:eastAsia="宋体" w:cs="宋体"/>
          <w:kern w:val="0"/>
          <w:sz w:val="24"/>
          <w:lang w:val="en-US" w:eastAsia="zh-CN"/>
        </w:rPr>
        <w:t>履职在线信息包括履职活动计划信息数据，履职活动审核信息数据，履职活动成果信息数据。围绕上述建设内容及建设需求，开展指标梳理、专项分析、汇总加工等工作。</w:t>
      </w:r>
    </w:p>
    <w:p w14:paraId="026A48D1">
      <w:pPr>
        <w:keepNext w:val="0"/>
        <w:keepLines w:val="0"/>
        <w:pageBreakBefore w:val="0"/>
        <w:widowControl/>
        <w:numPr>
          <w:ilvl w:val="0"/>
          <w:numId w:val="95"/>
        </w:numPr>
        <w:kinsoku/>
        <w:wordWrap/>
        <w:overflowPunct/>
        <w:topLinePunct w:val="0"/>
        <w:autoSpaceDE/>
        <w:autoSpaceDN/>
        <w:bidi w:val="0"/>
        <w:adjustRightInd w:val="0"/>
        <w:snapToGrid/>
        <w:spacing w:line="360" w:lineRule="auto"/>
        <w:ind w:left="0" w:firstLine="496" w:firstLineChars="200"/>
        <w:textAlignment w:val="auto"/>
        <w:rPr>
          <w:rFonts w:hint="eastAsia" w:ascii="Times New Roman" w:hAnsi="Times New Roman" w:eastAsia="宋体" w:cs="宋体"/>
          <w:kern w:val="0"/>
          <w:sz w:val="24"/>
          <w:szCs w:val="22"/>
          <w:lang w:val="en-US" w:eastAsia="zh-Hans"/>
        </w:rPr>
      </w:pPr>
      <w:r>
        <w:rPr>
          <w:rFonts w:hint="eastAsia" w:ascii="Times New Roman" w:hAnsi="Times New Roman" w:eastAsia="宋体" w:cs="宋体"/>
          <w:kern w:val="0"/>
          <w:sz w:val="24"/>
          <w:szCs w:val="22"/>
          <w:lang w:val="en-US" w:eastAsia="zh-CN"/>
        </w:rPr>
        <w:t>专题数据库</w:t>
      </w:r>
    </w:p>
    <w:p w14:paraId="27920CB0">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宋体"/>
          <w:kern w:val="0"/>
          <w:sz w:val="24"/>
          <w:lang w:val="en-US" w:eastAsia="zh-CN"/>
        </w:rPr>
      </w:pPr>
      <w:r>
        <w:rPr>
          <w:rFonts w:hint="default" w:ascii="Times New Roman" w:hAnsi="Times New Roman" w:eastAsia="宋体" w:cs="宋体"/>
          <w:kern w:val="0"/>
          <w:sz w:val="24"/>
          <w:lang w:val="en-US" w:eastAsia="zh-CN"/>
        </w:rPr>
        <w:t>基于治理、融合、加工后的基础数据、标准数据和主题数据，结合市政协业务分析应用需求，进行数据的深度加工处理和模型计算，形成专题数据库。</w:t>
      </w:r>
    </w:p>
    <w:p w14:paraId="10D9FD29">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61" w:name="_Toc31469"/>
      <w:r>
        <w:rPr>
          <w:rFonts w:hint="eastAsia" w:ascii="Times New Roman" w:hAnsi="Times New Roman"/>
          <w:sz w:val="24"/>
          <w:lang w:val="en-US" w:eastAsia="zh-CN"/>
        </w:rPr>
        <w:t>综合分析专题库</w:t>
      </w:r>
      <w:bookmarkEnd w:id="161"/>
    </w:p>
    <w:p w14:paraId="50107D92">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对市（含县区）政协组织概况、提案、社情民意、委员履职、协商议政等总体情况进行分析构建委员、机关工作人员和其他人员的数量。委员展示市本级及县区政协委员的总数，人员结构组成情况，按组成结构、年龄、党派、地市数量，围绕上述建设内容及建设需求，开展数据选择、专项治理、指标梳理、模型加工等工作。</w:t>
      </w:r>
    </w:p>
    <w:p w14:paraId="5DA46F89">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62" w:name="_Toc4418"/>
      <w:r>
        <w:rPr>
          <w:rFonts w:hint="eastAsia" w:ascii="Times New Roman" w:hAnsi="Times New Roman"/>
          <w:sz w:val="24"/>
          <w:lang w:val="en-US" w:eastAsia="zh-CN"/>
        </w:rPr>
        <w:t>提案在线指标专题</w:t>
      </w:r>
      <w:bookmarkEnd w:id="162"/>
    </w:p>
    <w:p w14:paraId="54A3BD27">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对市本级及县区政协提案数量的趋势分析，对历史提案和立案数据进行同比环比，对提案类别、提案人、重点提案、优秀提案的数量和占比、提案状态、提案来源等方面进行挖掘分析等信息。根据专题建设需求，开展数据选择、专项治理、指标梳理、模型加工等工作。</w:t>
      </w:r>
    </w:p>
    <w:p w14:paraId="733D5B25">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63" w:name="_Toc6598"/>
      <w:r>
        <w:rPr>
          <w:rFonts w:hint="eastAsia" w:ascii="Times New Roman" w:hAnsi="Times New Roman"/>
          <w:sz w:val="24"/>
          <w:lang w:val="en-US" w:eastAsia="zh-CN"/>
        </w:rPr>
        <w:t>社情民意在线指标专题</w:t>
      </w:r>
      <w:bookmarkEnd w:id="163"/>
    </w:p>
    <w:p w14:paraId="3F0F40DA">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分析市本级及县区政协社情民意概况、来稿情况、按主题、采纳情况进行挖掘分析，对本年度的各设区市政协、信息直报点或各党派团体、各专委会的总积分、来稿量、重合率、采用率相关数据进行统计、对来稿总量、今日来稿数量、编报数量、采纳情况进行统计，根据专题建设需求，开展数据选择、专项治理、指标梳理、模型加工等工作。</w:t>
      </w:r>
    </w:p>
    <w:p w14:paraId="623B317A">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sz w:val="24"/>
          <w:lang w:val="en-US" w:eastAsia="zh-CN"/>
        </w:rPr>
      </w:pPr>
      <w:bookmarkStart w:id="164" w:name="_Toc13668"/>
      <w:r>
        <w:rPr>
          <w:rFonts w:hint="eastAsia" w:ascii="Times New Roman" w:hAnsi="Times New Roman"/>
          <w:sz w:val="24"/>
          <w:lang w:val="en-US" w:eastAsia="zh-CN"/>
        </w:rPr>
        <w:t>履职在线专题库</w:t>
      </w:r>
      <w:bookmarkEnd w:id="164"/>
    </w:p>
    <w:p w14:paraId="1BD220C5">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val="en-US" w:eastAsia="zh-CN"/>
        </w:rPr>
      </w:pPr>
      <w:r>
        <w:rPr>
          <w:rFonts w:hint="default" w:ascii="Times New Roman" w:hAnsi="Times New Roman" w:eastAsia="宋体" w:cs="宋体"/>
          <w:kern w:val="0"/>
          <w:sz w:val="24"/>
          <w:lang w:val="en-US" w:eastAsia="zh-CN"/>
        </w:rPr>
        <w:t>对委员网络议政、公众网络议政的议题数、参与人数、发帖数、市本级及县区政协履职工作报表统计、社情民意工作报表统计、平台运行情况报表统计、协商议政工作专题分析、提案工作专题分析、社情民意专题分析、 学习专题分析、各种</w:t>
      </w:r>
      <w:r>
        <w:rPr>
          <w:rFonts w:hint="eastAsia" w:ascii="Times New Roman" w:hAnsi="Times New Roman" w:eastAsia="宋体" w:cs="宋体"/>
          <w:kern w:val="0"/>
          <w:sz w:val="24"/>
          <w:lang w:val="en-US" w:eastAsia="zh-CN"/>
        </w:rPr>
        <w:t>维度</w:t>
      </w:r>
      <w:r>
        <w:rPr>
          <w:rFonts w:hint="default" w:ascii="Times New Roman" w:hAnsi="Times New Roman" w:eastAsia="宋体" w:cs="宋体"/>
          <w:kern w:val="0"/>
          <w:sz w:val="24"/>
          <w:lang w:val="en-US" w:eastAsia="zh-CN"/>
        </w:rPr>
        <w:t>履职积分，根据专题建设需求，开展数据选择、专项治理、指标梳理、模型加工等工作。</w:t>
      </w:r>
    </w:p>
    <w:p w14:paraId="34113D79">
      <w:pPr>
        <w:pStyle w:val="6"/>
        <w:numPr>
          <w:ilvl w:val="4"/>
          <w:numId w:val="0"/>
        </w:numPr>
        <w:bidi w:val="0"/>
        <w:ind w:leftChars="0"/>
        <w:rPr>
          <w:rFonts w:hint="eastAsia"/>
          <w:lang w:val="en-US" w:eastAsia="zh-CN"/>
        </w:rPr>
      </w:pPr>
      <w:r>
        <w:rPr>
          <w:rFonts w:hint="eastAsia" w:ascii="黑体" w:hAnsi="黑体" w:eastAsia="黑体" w:cstheme="minorBidi"/>
          <w:kern w:val="2"/>
          <w:sz w:val="28"/>
          <w:szCs w:val="24"/>
          <w:lang w:val="en-US" w:eastAsia="zh-CN" w:bidi="ar-SA"/>
        </w:rPr>
        <w:t>4.2.9</w:t>
      </w:r>
      <w:r>
        <w:rPr>
          <w:rFonts w:hint="eastAsia"/>
          <w:lang w:val="en-US" w:eastAsia="zh-CN"/>
        </w:rPr>
        <w:t>历史数据迁移</w:t>
      </w:r>
    </w:p>
    <w:p w14:paraId="4A6B3417">
      <w:pPr>
        <w:widowControl/>
        <w:numPr>
          <w:ilvl w:val="0"/>
          <w:numId w:val="100"/>
        </w:numPr>
        <w:spacing w:line="360" w:lineRule="auto"/>
        <w:ind w:left="932" w:hanging="440" w:firstLineChars="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提案系统数据迁移</w:t>
      </w:r>
    </w:p>
    <w:p w14:paraId="6BE73DC1">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对现有系统提案管理系统的全量历史数据进行迁移，包括提案档案数据、提案办理信息数据等。</w:t>
      </w:r>
    </w:p>
    <w:p w14:paraId="6F9E3CF6">
      <w:pPr>
        <w:widowControl/>
        <w:numPr>
          <w:ilvl w:val="0"/>
          <w:numId w:val="100"/>
        </w:numPr>
        <w:spacing w:line="360" w:lineRule="auto"/>
        <w:ind w:left="932" w:hanging="440" w:firstLineChars="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委员履职数据迁移</w:t>
      </w:r>
    </w:p>
    <w:p w14:paraId="632E2A0E">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对现有系统委员履职服务平台的全量历史数据进行迁移，包括委员履职等数据等。</w:t>
      </w:r>
    </w:p>
    <w:p w14:paraId="70B655EC">
      <w:pPr>
        <w:widowControl/>
        <w:numPr>
          <w:ilvl w:val="0"/>
          <w:numId w:val="100"/>
        </w:numPr>
        <w:spacing w:line="360" w:lineRule="auto"/>
        <w:ind w:left="932" w:hanging="440" w:firstLineChars="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西安市委员会会议系统数据迁移</w:t>
      </w:r>
    </w:p>
    <w:p w14:paraId="5D662A04">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对现有西安市委员会会议系统的全量历史数据进行迁移，包括会议记录等数据等数据等。</w:t>
      </w:r>
    </w:p>
    <w:p w14:paraId="439C4BF3">
      <w:pPr>
        <w:rPr>
          <w:rFonts w:hint="eastAsia" w:ascii="黑体" w:hAnsi="黑体" w:eastAsia="黑体" w:cstheme="minorBidi"/>
          <w:kern w:val="2"/>
          <w:sz w:val="28"/>
          <w:szCs w:val="24"/>
          <w:lang w:val="en-US" w:eastAsia="zh-CN" w:bidi="ar-SA"/>
        </w:rPr>
      </w:pPr>
      <w:r>
        <w:rPr>
          <w:rFonts w:hint="eastAsia" w:ascii="黑体" w:hAnsi="黑体" w:eastAsia="黑体" w:cstheme="minorBidi"/>
          <w:kern w:val="2"/>
          <w:sz w:val="28"/>
          <w:szCs w:val="24"/>
          <w:lang w:val="en-US" w:eastAsia="zh-CN" w:bidi="ar-SA"/>
        </w:rPr>
        <w:br w:type="page"/>
      </w:r>
    </w:p>
    <w:p w14:paraId="50AC627B">
      <w:pPr>
        <w:pStyle w:val="6"/>
        <w:numPr>
          <w:ilvl w:val="4"/>
          <w:numId w:val="0"/>
        </w:numPr>
        <w:bidi w:val="0"/>
        <w:ind w:leftChars="0"/>
        <w:rPr>
          <w:rFonts w:hint="eastAsia"/>
          <w:lang w:val="en-US" w:eastAsia="zh-CN"/>
        </w:rPr>
      </w:pPr>
      <w:r>
        <w:rPr>
          <w:rFonts w:hint="eastAsia" w:ascii="黑体" w:hAnsi="黑体" w:eastAsia="黑体" w:cstheme="minorBidi"/>
          <w:kern w:val="2"/>
          <w:sz w:val="28"/>
          <w:szCs w:val="24"/>
          <w:lang w:val="en-US" w:eastAsia="zh-CN" w:bidi="ar-SA"/>
        </w:rPr>
        <w:t>4.2.10</w:t>
      </w:r>
      <w:r>
        <w:rPr>
          <w:rFonts w:hint="eastAsia"/>
          <w:lang w:val="en-US" w:eastAsia="zh-CN"/>
        </w:rPr>
        <w:t>外部对接</w:t>
      </w:r>
    </w:p>
    <w:p w14:paraId="060BC233">
      <w:pPr>
        <w:widowControl/>
        <w:adjustRightInd w:val="0"/>
        <w:spacing w:line="360" w:lineRule="auto"/>
        <w:ind w:firstLine="496" w:firstLineChars="200"/>
        <w:rPr>
          <w:rFonts w:hint="eastAsia" w:ascii="Times New Roman" w:hAnsi="Times New Roman" w:eastAsia="宋体" w:cs="仿宋"/>
          <w:kern w:val="0"/>
          <w:sz w:val="24"/>
          <w:lang w:eastAsia="zh-CN"/>
        </w:rPr>
      </w:pPr>
      <w:r>
        <w:rPr>
          <w:rFonts w:hint="eastAsia" w:ascii="Times New Roman" w:hAnsi="Times New Roman" w:eastAsia="宋体" w:cs="仿宋"/>
          <w:kern w:val="0"/>
          <w:sz w:val="24"/>
          <w:lang w:eastAsia="zh-CN"/>
        </w:rPr>
        <w:t>与市级数据共享交换平台、秦商量、市级12345市民热线平台、县区政协实现、无纸化会议系统对接，完成数据交互。</w:t>
      </w:r>
    </w:p>
    <w:p w14:paraId="52117D25">
      <w:pPr>
        <w:widowControl/>
        <w:numPr>
          <w:ilvl w:val="0"/>
          <w:numId w:val="101"/>
        </w:numPr>
        <w:spacing w:line="360" w:lineRule="auto"/>
        <w:ind w:left="932" w:hanging="440" w:firstLineChars="0"/>
        <w:rPr>
          <w:rFonts w:hint="eastAsia" w:ascii="Times New Roman" w:hAnsi="Times New Roman" w:eastAsia="宋体" w:cs="宋体"/>
          <w:kern w:val="0"/>
          <w:sz w:val="24"/>
        </w:rPr>
      </w:pPr>
      <w:r>
        <w:rPr>
          <w:rFonts w:hint="eastAsia" w:ascii="Times New Roman" w:hAnsi="Times New Roman" w:eastAsia="宋体" w:cs="宋体"/>
          <w:kern w:val="0"/>
          <w:sz w:val="24"/>
        </w:rPr>
        <w:t>与</w:t>
      </w:r>
      <w:r>
        <w:rPr>
          <w:rFonts w:hint="eastAsia" w:ascii="Times New Roman" w:hAnsi="Times New Roman" w:eastAsia="宋体" w:cs="宋体"/>
          <w:kern w:val="0"/>
          <w:sz w:val="24"/>
          <w:lang w:eastAsia="zh-CN"/>
        </w:rPr>
        <w:t>市级数据共享交换平台</w:t>
      </w:r>
      <w:r>
        <w:rPr>
          <w:rFonts w:hint="eastAsia" w:ascii="Times New Roman" w:hAnsi="Times New Roman" w:eastAsia="宋体" w:cs="宋体"/>
          <w:kern w:val="0"/>
          <w:sz w:val="24"/>
        </w:rPr>
        <w:t>系统对接</w:t>
      </w:r>
    </w:p>
    <w:p w14:paraId="3E6D2D9B">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为了进一步推进我市政务数据开放工作向制度化规范化发展，提升政府治理能力和公共服务水平，按照市委、市政府工作部署，根据西安市大数据资源管理局印发的《西安市政务数据开放管理办法（试行）》通知（市数据发〔2022〕20 号）要求，市大数据建设政务数据统一开放平台，本项目提供政协信息数据共享接口，实现与</w:t>
      </w:r>
      <w:r>
        <w:rPr>
          <w:rFonts w:hint="eastAsia" w:ascii="Times New Roman" w:hAnsi="Times New Roman" w:eastAsia="宋体" w:cs="仿宋"/>
          <w:kern w:val="0"/>
          <w:sz w:val="24"/>
          <w:lang w:eastAsia="zh-CN"/>
        </w:rPr>
        <w:t>市级数据共享交换平台</w:t>
      </w:r>
      <w:r>
        <w:rPr>
          <w:rFonts w:hint="eastAsia" w:ascii="Times New Roman" w:hAnsi="Times New Roman" w:eastAsia="宋体" w:cs="仿宋"/>
          <w:kern w:val="0"/>
          <w:sz w:val="24"/>
        </w:rPr>
        <w:t>的数据共享和交换，主要包括委员政协履职成果数据、宣传在线数据的共享。</w:t>
      </w:r>
    </w:p>
    <w:p w14:paraId="05A5FDDA">
      <w:pPr>
        <w:widowControl/>
        <w:adjustRightInd w:val="0"/>
        <w:spacing w:line="360" w:lineRule="auto"/>
        <w:ind w:firstLine="468" w:firstLineChars="0"/>
        <w:rPr>
          <w:rFonts w:ascii="Times New Roman" w:hAnsi="Times New Roman" w:eastAsia="宋体" w:cs="宋体"/>
          <w:kern w:val="0"/>
          <w:sz w:val="24"/>
          <w:szCs w:val="22"/>
        </w:rPr>
      </w:pPr>
      <w:r>
        <w:rPr>
          <w:rFonts w:ascii="Times New Roman" w:hAnsi="Times New Roman" w:eastAsia="宋体" w:cs="宋体"/>
          <w:kern w:val="0"/>
          <w:sz w:val="24"/>
          <w:szCs w:val="22"/>
        </w:rPr>
        <w:t>对接内容：</w:t>
      </w:r>
    </w:p>
    <w:p w14:paraId="4837A23F">
      <w:pPr>
        <w:keepNext w:val="0"/>
        <w:keepLines w:val="0"/>
        <w:pageBreakBefore w:val="0"/>
        <w:widowControl/>
        <w:numPr>
          <w:ilvl w:val="0"/>
          <w:numId w:val="102"/>
        </w:numPr>
        <w:kinsoku/>
        <w:wordWrap/>
        <w:overflowPunct/>
        <w:topLinePunct w:val="0"/>
        <w:autoSpaceDE/>
        <w:autoSpaceDN/>
        <w:bidi w:val="0"/>
        <w:adjustRightInd w:val="0"/>
        <w:snapToGrid/>
        <w:spacing w:line="360" w:lineRule="auto"/>
        <w:ind w:left="0" w:leftChars="0" w:firstLine="496" w:firstLineChars="200"/>
        <w:textAlignment w:val="auto"/>
        <w:rPr>
          <w:rFonts w:ascii="Times New Roman" w:hAnsi="Times New Roman" w:eastAsia="宋体" w:cs="宋体"/>
          <w:kern w:val="0"/>
          <w:sz w:val="24"/>
          <w:szCs w:val="22"/>
        </w:rPr>
      </w:pPr>
      <w:r>
        <w:rPr>
          <w:rFonts w:ascii="Times New Roman" w:hAnsi="Times New Roman" w:eastAsia="宋体" w:cs="宋体"/>
          <w:kern w:val="0"/>
          <w:sz w:val="24"/>
          <w:szCs w:val="22"/>
        </w:rPr>
        <w:t>提案数据</w:t>
      </w:r>
    </w:p>
    <w:p w14:paraId="1462B3AC">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包括提案编号、案由、提案正文、提案类别、届、次、提案状态、个人集体类别、栏目、采纳情况、落实情况、执笔人、参与人、是否民生、是否优秀、是否重点、是否重要、是否专项等内容。</w:t>
      </w:r>
    </w:p>
    <w:p w14:paraId="6CE6C369">
      <w:pPr>
        <w:keepNext w:val="0"/>
        <w:keepLines w:val="0"/>
        <w:pageBreakBefore w:val="0"/>
        <w:widowControl/>
        <w:numPr>
          <w:ilvl w:val="0"/>
          <w:numId w:val="102"/>
        </w:numPr>
        <w:kinsoku/>
        <w:wordWrap/>
        <w:overflowPunct/>
        <w:topLinePunct w:val="0"/>
        <w:autoSpaceDE/>
        <w:autoSpaceDN/>
        <w:bidi w:val="0"/>
        <w:adjustRightInd w:val="0"/>
        <w:snapToGrid/>
        <w:spacing w:line="360" w:lineRule="auto"/>
        <w:ind w:left="0" w:leftChars="0" w:firstLine="496" w:firstLineChars="200"/>
        <w:textAlignment w:val="auto"/>
        <w:rPr>
          <w:rFonts w:ascii="Times New Roman" w:hAnsi="Times New Roman" w:eastAsia="宋体" w:cs="宋体"/>
          <w:kern w:val="0"/>
          <w:sz w:val="24"/>
          <w:szCs w:val="22"/>
        </w:rPr>
      </w:pPr>
      <w:r>
        <w:rPr>
          <w:rFonts w:ascii="Times New Roman" w:hAnsi="Times New Roman" w:eastAsia="宋体" w:cs="宋体"/>
          <w:kern w:val="0"/>
          <w:sz w:val="24"/>
          <w:szCs w:val="22"/>
        </w:rPr>
        <w:t>提案办理数据</w:t>
      </w:r>
    </w:p>
    <w:p w14:paraId="3DEF19CD">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包括提案编号、承办单位、主会办类别、办理时间、单位采纳情况、单位落实情况、沟通方式、办理方式、办理意见正文、签收时间、办理状态等内容。</w:t>
      </w:r>
    </w:p>
    <w:p w14:paraId="7E69EB01">
      <w:pPr>
        <w:keepNext w:val="0"/>
        <w:keepLines w:val="0"/>
        <w:pageBreakBefore w:val="0"/>
        <w:widowControl/>
        <w:numPr>
          <w:ilvl w:val="0"/>
          <w:numId w:val="102"/>
        </w:numPr>
        <w:kinsoku/>
        <w:wordWrap/>
        <w:overflowPunct/>
        <w:topLinePunct w:val="0"/>
        <w:autoSpaceDE/>
        <w:autoSpaceDN/>
        <w:bidi w:val="0"/>
        <w:adjustRightInd w:val="0"/>
        <w:snapToGrid/>
        <w:spacing w:line="360" w:lineRule="auto"/>
        <w:ind w:left="0" w:leftChars="0" w:firstLine="496" w:firstLineChars="200"/>
        <w:textAlignment w:val="auto"/>
        <w:rPr>
          <w:rFonts w:ascii="Times New Roman" w:hAnsi="Times New Roman" w:eastAsia="宋体" w:cs="宋体"/>
          <w:kern w:val="0"/>
          <w:sz w:val="24"/>
          <w:szCs w:val="22"/>
        </w:rPr>
      </w:pPr>
      <w:r>
        <w:rPr>
          <w:rFonts w:ascii="Times New Roman" w:hAnsi="Times New Roman" w:eastAsia="宋体" w:cs="宋体"/>
          <w:kern w:val="0"/>
          <w:sz w:val="24"/>
          <w:szCs w:val="22"/>
        </w:rPr>
        <w:t>用户业务日志</w:t>
      </w:r>
    </w:p>
    <w:p w14:paraId="14B8D684">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包括操作时间、操作类型、模块名称、参数、操作结果。</w:t>
      </w:r>
    </w:p>
    <w:p w14:paraId="0CEFC244">
      <w:pPr>
        <w:widowControl/>
        <w:numPr>
          <w:ilvl w:val="0"/>
          <w:numId w:val="101"/>
        </w:numPr>
        <w:spacing w:line="360" w:lineRule="auto"/>
        <w:ind w:left="932" w:hanging="440" w:firstLineChars="0"/>
        <w:rPr>
          <w:rFonts w:hint="eastAsia" w:ascii="Times New Roman" w:hAnsi="Times New Roman" w:eastAsia="宋体" w:cs="宋体"/>
          <w:kern w:val="0"/>
          <w:sz w:val="24"/>
        </w:rPr>
      </w:pPr>
      <w:r>
        <w:rPr>
          <w:rFonts w:hint="eastAsia" w:ascii="Times New Roman" w:hAnsi="Times New Roman" w:eastAsia="宋体" w:cs="宋体"/>
          <w:kern w:val="0"/>
          <w:sz w:val="24"/>
        </w:rPr>
        <w:t>与市级12345市民热线平台对接</w:t>
      </w:r>
    </w:p>
    <w:p w14:paraId="19E27710">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根据</w:t>
      </w:r>
      <w:r>
        <w:rPr>
          <w:rFonts w:hint="eastAsia" w:ascii="Times New Roman" w:hAnsi="Times New Roman" w:eastAsia="宋体" w:cs="仿宋"/>
          <w:kern w:val="0"/>
          <w:sz w:val="24"/>
          <w:lang w:eastAsia="zh-CN"/>
        </w:rPr>
        <w:t>市级数据共享交换平台</w:t>
      </w:r>
      <w:r>
        <w:rPr>
          <w:rFonts w:hint="eastAsia" w:ascii="Times New Roman" w:hAnsi="Times New Roman" w:eastAsia="宋体" w:cs="仿宋"/>
          <w:kern w:val="0"/>
          <w:sz w:val="24"/>
        </w:rPr>
        <w:t>数据交互规范和标准要求，对接获取市级12345市民热线平台系统相关数据，12345热线服务系统每天</w:t>
      </w:r>
      <w:r>
        <w:rPr>
          <w:rFonts w:hint="eastAsia" w:ascii="Times New Roman" w:hAnsi="Times New Roman" w:eastAsia="宋体" w:cs="仿宋"/>
          <w:kern w:val="0"/>
          <w:sz w:val="24"/>
          <w:lang w:val="en-US" w:eastAsia="zh-CN"/>
        </w:rPr>
        <w:t>推送最近</w:t>
      </w:r>
      <w:r>
        <w:rPr>
          <w:rFonts w:hint="eastAsia" w:ascii="Times New Roman" w:hAnsi="Times New Roman" w:eastAsia="宋体" w:cs="仿宋"/>
          <w:kern w:val="0"/>
          <w:sz w:val="24"/>
        </w:rPr>
        <w:t>1周内的热点事件内容给数字政协平台数据接口，事件信息分类包括：咨询、建议、求助。信息内容包括：主题、内容、分类、采集时间、事件所属辖区。分类代码由12345平台提供。</w:t>
      </w:r>
    </w:p>
    <w:p w14:paraId="6D1DC435">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数字政协平台向12345热线服务系统推送事件信息。内容按12345热线服务系统的接口规范实现。12345服务热线系统办理后，需要把办理结果信息推送至数字政协系统，办理反馈接口规范由数字政协提供。</w:t>
      </w:r>
    </w:p>
    <w:p w14:paraId="3B7779CB">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0" w:leftChars="0" w:firstLine="420" w:firstLineChars="0"/>
        <w:jc w:val="center"/>
        <w:textAlignment w:val="auto"/>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与12345市民热线平台的对接表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159"/>
        <w:gridCol w:w="3577"/>
        <w:gridCol w:w="1190"/>
        <w:gridCol w:w="1225"/>
        <w:gridCol w:w="728"/>
      </w:tblGrid>
      <w:tr w14:paraId="7AE4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4" w:type="pct"/>
            <w:shd w:val="clear" w:color="auto" w:fill="D7D7D7" w:themeFill="background1" w:themeFillShade="D8"/>
            <w:noWrap w:val="0"/>
            <w:vAlign w:val="center"/>
          </w:tcPr>
          <w:p w14:paraId="0FD7E737">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序号</w:t>
            </w:r>
          </w:p>
        </w:tc>
        <w:tc>
          <w:tcPr>
            <w:tcW w:w="680" w:type="pct"/>
            <w:shd w:val="clear" w:color="auto" w:fill="D7D7D7" w:themeFill="background1" w:themeFillShade="D8"/>
            <w:noWrap w:val="0"/>
            <w:vAlign w:val="center"/>
          </w:tcPr>
          <w:p w14:paraId="38BCCF93">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服务接口</w:t>
            </w:r>
          </w:p>
        </w:tc>
        <w:tc>
          <w:tcPr>
            <w:tcW w:w="2099" w:type="pct"/>
            <w:shd w:val="clear" w:color="auto" w:fill="D7D7D7" w:themeFill="background1" w:themeFillShade="D8"/>
            <w:noWrap w:val="0"/>
            <w:vAlign w:val="center"/>
          </w:tcPr>
          <w:p w14:paraId="53E2EDE5">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数据项</w:t>
            </w:r>
          </w:p>
        </w:tc>
        <w:tc>
          <w:tcPr>
            <w:tcW w:w="698" w:type="pct"/>
            <w:shd w:val="clear" w:color="auto" w:fill="D7D7D7" w:themeFill="background1" w:themeFillShade="D8"/>
            <w:noWrap w:val="0"/>
            <w:vAlign w:val="center"/>
          </w:tcPr>
          <w:p w14:paraId="4C4AA1C0">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提供方</w:t>
            </w:r>
          </w:p>
        </w:tc>
        <w:tc>
          <w:tcPr>
            <w:tcW w:w="719" w:type="pct"/>
            <w:shd w:val="clear" w:color="auto" w:fill="D7D7D7" w:themeFill="background1" w:themeFillShade="D8"/>
            <w:noWrap w:val="0"/>
            <w:vAlign w:val="center"/>
          </w:tcPr>
          <w:p w14:paraId="5537E31A">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调用方</w:t>
            </w:r>
          </w:p>
        </w:tc>
        <w:tc>
          <w:tcPr>
            <w:tcW w:w="427" w:type="pct"/>
            <w:shd w:val="clear" w:color="auto" w:fill="D7D7D7" w:themeFill="background1" w:themeFillShade="D8"/>
            <w:noWrap w:val="0"/>
            <w:vAlign w:val="center"/>
          </w:tcPr>
          <w:p w14:paraId="2D1CC108">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调用频率</w:t>
            </w:r>
          </w:p>
        </w:tc>
      </w:tr>
      <w:tr w14:paraId="4AE7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4" w:type="pct"/>
            <w:noWrap w:val="0"/>
            <w:vAlign w:val="center"/>
          </w:tcPr>
          <w:p w14:paraId="17CB93DC">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680" w:type="pct"/>
            <w:noWrap w:val="0"/>
            <w:vAlign w:val="center"/>
          </w:tcPr>
          <w:p w14:paraId="24DC9C12">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热点事件数据获取接口</w:t>
            </w:r>
          </w:p>
        </w:tc>
        <w:tc>
          <w:tcPr>
            <w:tcW w:w="2099" w:type="pct"/>
            <w:noWrap w:val="0"/>
            <w:vAlign w:val="center"/>
          </w:tcPr>
          <w:p w14:paraId="133D7A54">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color w:val="000000"/>
                <w:kern w:val="0"/>
                <w:sz w:val="21"/>
                <w:szCs w:val="21"/>
              </w:rPr>
              <w:t>主题、内容、分类、采集时间、事件所属辖区</w:t>
            </w:r>
          </w:p>
        </w:tc>
        <w:tc>
          <w:tcPr>
            <w:tcW w:w="698" w:type="pct"/>
            <w:noWrap w:val="0"/>
            <w:vAlign w:val="center"/>
          </w:tcPr>
          <w:p w14:paraId="334B9C6B">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数字政协系统</w:t>
            </w:r>
          </w:p>
        </w:tc>
        <w:tc>
          <w:tcPr>
            <w:tcW w:w="719" w:type="pct"/>
            <w:noWrap w:val="0"/>
            <w:vAlign w:val="center"/>
          </w:tcPr>
          <w:p w14:paraId="27DFF7DC">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12345热线服务平台</w:t>
            </w:r>
          </w:p>
        </w:tc>
        <w:tc>
          <w:tcPr>
            <w:tcW w:w="427" w:type="pct"/>
            <w:noWrap w:val="0"/>
            <w:vAlign w:val="center"/>
          </w:tcPr>
          <w:p w14:paraId="731017F4">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每天</w:t>
            </w:r>
          </w:p>
        </w:tc>
      </w:tr>
      <w:tr w14:paraId="7746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4" w:type="pct"/>
            <w:noWrap w:val="0"/>
            <w:vAlign w:val="center"/>
          </w:tcPr>
          <w:p w14:paraId="3B2F11B1">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680" w:type="pct"/>
            <w:noWrap w:val="0"/>
            <w:vAlign w:val="center"/>
          </w:tcPr>
          <w:p w14:paraId="2803A22F">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事件写入接口</w:t>
            </w:r>
          </w:p>
        </w:tc>
        <w:tc>
          <w:tcPr>
            <w:tcW w:w="2099" w:type="pct"/>
            <w:noWrap w:val="0"/>
            <w:vAlign w:val="center"/>
          </w:tcPr>
          <w:p w14:paraId="47A466C7">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标题（非必填），</w:t>
            </w:r>
          </w:p>
          <w:p w14:paraId="7D7B7FAB">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类别（ 必填 基层治理平台提供分类码表），内容(含图片)（必填）</w:t>
            </w:r>
          </w:p>
          <w:p w14:paraId="24D13A23">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bidi="ar"/>
              </w:rPr>
              <w:t>联系人（非必填 委员姓名）</w:t>
            </w:r>
          </w:p>
          <w:p w14:paraId="1BD87329">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bidi="ar"/>
              </w:rPr>
              <w:t>联系方式（非必填）</w:t>
            </w:r>
          </w:p>
          <w:p w14:paraId="0C0E7A5E">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bidi="ar"/>
              </w:rPr>
              <w:t>发生时间（非必填）</w:t>
            </w:r>
          </w:p>
          <w:p w14:paraId="1007DC7D">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经度（非必填），纬度（非必填），</w:t>
            </w:r>
          </w:p>
          <w:p w14:paraId="536F0BD9">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事项code(必填，唯一码)，</w:t>
            </w:r>
          </w:p>
          <w:p w14:paraId="2C52EAF4">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应用系统代码（必填，唯一码）</w:t>
            </w:r>
          </w:p>
        </w:tc>
        <w:tc>
          <w:tcPr>
            <w:tcW w:w="698" w:type="pct"/>
            <w:noWrap w:val="0"/>
            <w:vAlign w:val="center"/>
          </w:tcPr>
          <w:p w14:paraId="64F0E715">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12345热线服务平台</w:t>
            </w:r>
          </w:p>
        </w:tc>
        <w:tc>
          <w:tcPr>
            <w:tcW w:w="719" w:type="pct"/>
            <w:noWrap w:val="0"/>
            <w:vAlign w:val="center"/>
          </w:tcPr>
          <w:p w14:paraId="0B3F542B">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数字政协系统</w:t>
            </w:r>
          </w:p>
        </w:tc>
        <w:tc>
          <w:tcPr>
            <w:tcW w:w="427" w:type="pct"/>
            <w:noWrap w:val="0"/>
            <w:vAlign w:val="center"/>
          </w:tcPr>
          <w:p w14:paraId="3BCD4745">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每天</w:t>
            </w:r>
          </w:p>
        </w:tc>
      </w:tr>
      <w:tr w14:paraId="5F73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4" w:type="pct"/>
            <w:noWrap w:val="0"/>
            <w:vAlign w:val="center"/>
          </w:tcPr>
          <w:p w14:paraId="7DC65B9C">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p>
        </w:tc>
        <w:tc>
          <w:tcPr>
            <w:tcW w:w="680" w:type="pct"/>
            <w:noWrap w:val="0"/>
            <w:vAlign w:val="center"/>
          </w:tcPr>
          <w:p w14:paraId="62BA576C">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事件办理反馈接口</w:t>
            </w:r>
          </w:p>
        </w:tc>
        <w:tc>
          <w:tcPr>
            <w:tcW w:w="2099" w:type="pct"/>
            <w:noWrap w:val="0"/>
            <w:vAlign w:val="center"/>
          </w:tcPr>
          <w:p w14:paraId="60ECC7EB">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接收办理反馈信息：</w:t>
            </w:r>
          </w:p>
          <w:p w14:paraId="03835AA2">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1.办理情况类型（必填，已办理/未办理）</w:t>
            </w:r>
          </w:p>
          <w:p w14:paraId="3A34A726">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2.解决情况（必填，已解决/基本解决/未解决）</w:t>
            </w:r>
          </w:p>
          <w:p w14:paraId="66D20F86">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3.办理情况描述（非必填）</w:t>
            </w:r>
          </w:p>
          <w:p w14:paraId="51F34B54">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4.事项code(必填，唯一码)</w:t>
            </w:r>
          </w:p>
        </w:tc>
        <w:tc>
          <w:tcPr>
            <w:tcW w:w="698" w:type="pct"/>
            <w:noWrap w:val="0"/>
            <w:vAlign w:val="center"/>
          </w:tcPr>
          <w:p w14:paraId="781FB9CE">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数字政协系统</w:t>
            </w:r>
          </w:p>
        </w:tc>
        <w:tc>
          <w:tcPr>
            <w:tcW w:w="719" w:type="pct"/>
            <w:noWrap w:val="0"/>
            <w:vAlign w:val="center"/>
          </w:tcPr>
          <w:p w14:paraId="103C7E3B">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12345热线服务平台</w:t>
            </w:r>
          </w:p>
        </w:tc>
        <w:tc>
          <w:tcPr>
            <w:tcW w:w="427" w:type="pct"/>
            <w:noWrap w:val="0"/>
            <w:vAlign w:val="center"/>
          </w:tcPr>
          <w:p w14:paraId="3A3A92AD">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每天</w:t>
            </w:r>
          </w:p>
        </w:tc>
      </w:tr>
    </w:tbl>
    <w:p w14:paraId="749559F3">
      <w:pPr>
        <w:widowControl/>
        <w:numPr>
          <w:ilvl w:val="0"/>
          <w:numId w:val="101"/>
        </w:numPr>
        <w:spacing w:line="360" w:lineRule="auto"/>
        <w:ind w:left="932" w:hanging="440" w:firstLineChars="0"/>
        <w:rPr>
          <w:rFonts w:hint="eastAsia" w:ascii="Times New Roman" w:hAnsi="Times New Roman" w:eastAsia="宋体" w:cs="宋体"/>
          <w:kern w:val="0"/>
          <w:sz w:val="24"/>
        </w:rPr>
      </w:pPr>
      <w:r>
        <w:rPr>
          <w:rFonts w:hint="eastAsia" w:ascii="Times New Roman" w:hAnsi="Times New Roman" w:eastAsia="宋体" w:cs="宋体"/>
          <w:kern w:val="0"/>
          <w:sz w:val="24"/>
        </w:rPr>
        <w:t>与“秦商量”平台对接</w:t>
      </w:r>
    </w:p>
    <w:p w14:paraId="51A51995">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根据陕西省级“秦商量”平台对接入规范，实现本系统与“秦商量”平台相关信息的对接。</w:t>
      </w:r>
    </w:p>
    <w:p w14:paraId="04F0D08F">
      <w:pPr>
        <w:keepNext w:val="0"/>
        <w:keepLines w:val="0"/>
        <w:pageBreakBefore w:val="0"/>
        <w:widowControl/>
        <w:numPr>
          <w:ilvl w:val="0"/>
          <w:numId w:val="103"/>
        </w:numPr>
        <w:kinsoku/>
        <w:wordWrap/>
        <w:overflowPunct/>
        <w:topLinePunct w:val="0"/>
        <w:autoSpaceDE/>
        <w:autoSpaceDN/>
        <w:bidi w:val="0"/>
        <w:adjustRightInd w:val="0"/>
        <w:snapToGrid/>
        <w:spacing w:line="360" w:lineRule="auto"/>
        <w:ind w:left="0" w:leftChars="0" w:firstLine="496" w:firstLineChars="200"/>
        <w:textAlignment w:val="auto"/>
        <w:rPr>
          <w:rFonts w:ascii="Times New Roman" w:hAnsi="Times New Roman" w:eastAsia="宋体" w:cs="宋体"/>
          <w:kern w:val="0"/>
          <w:sz w:val="24"/>
          <w:szCs w:val="22"/>
        </w:rPr>
      </w:pPr>
      <w:r>
        <w:rPr>
          <w:rFonts w:ascii="Times New Roman" w:hAnsi="Times New Roman" w:eastAsia="宋体" w:cs="宋体"/>
          <w:kern w:val="0"/>
          <w:sz w:val="24"/>
          <w:szCs w:val="22"/>
        </w:rPr>
        <w:t>对接机构上报/更新及删除接口，实现对机构信息的同步，包括机构单位Id、机构单位名称、上级机构Id及机构排序。</w:t>
      </w:r>
    </w:p>
    <w:p w14:paraId="3A108245">
      <w:pPr>
        <w:keepNext w:val="0"/>
        <w:keepLines w:val="0"/>
        <w:pageBreakBefore w:val="0"/>
        <w:widowControl/>
        <w:numPr>
          <w:ilvl w:val="0"/>
          <w:numId w:val="103"/>
        </w:numPr>
        <w:kinsoku/>
        <w:wordWrap/>
        <w:overflowPunct/>
        <w:topLinePunct w:val="0"/>
        <w:autoSpaceDE/>
        <w:autoSpaceDN/>
        <w:bidi w:val="0"/>
        <w:adjustRightInd w:val="0"/>
        <w:snapToGrid/>
        <w:spacing w:line="360" w:lineRule="auto"/>
        <w:ind w:left="0" w:leftChars="0" w:firstLine="496" w:firstLineChars="200"/>
        <w:textAlignment w:val="auto"/>
        <w:rPr>
          <w:rFonts w:ascii="Times New Roman" w:hAnsi="Times New Roman" w:eastAsia="宋体" w:cs="宋体"/>
          <w:kern w:val="0"/>
          <w:sz w:val="24"/>
          <w:szCs w:val="22"/>
        </w:rPr>
      </w:pPr>
      <w:r>
        <w:rPr>
          <w:rFonts w:ascii="Times New Roman" w:hAnsi="Times New Roman" w:eastAsia="宋体" w:cs="宋体"/>
          <w:kern w:val="0"/>
          <w:sz w:val="24"/>
          <w:szCs w:val="22"/>
        </w:rPr>
        <w:t>对接用户信息上报/更新及删除接口，实现对用户信息的同步，包括用户Id、用户姓名、头像、手机号码、性别、身份证、出生年月、民族、机构单位Id、岗位及职务、邮政编码、联系地址、邮箱、健康状况、党派、籍贯、个人荣誉、社会贡献、办公室电话、毕业学校、所学专业、学位、学历、个人简介、职称、行政级别、所属专委会、家族住址、党员类型、参加工作日期、委员证号、委员所属界别、委员当选类型、是否政协常委、政协职务、备注、用户角色。</w:t>
      </w:r>
    </w:p>
    <w:p w14:paraId="6AFD3CA4">
      <w:pPr>
        <w:widowControl/>
        <w:numPr>
          <w:ilvl w:val="0"/>
          <w:numId w:val="101"/>
        </w:numPr>
        <w:spacing w:line="360" w:lineRule="auto"/>
        <w:ind w:left="932" w:hanging="440" w:firstLineChars="0"/>
        <w:rPr>
          <w:rFonts w:hint="eastAsia" w:ascii="Times New Roman" w:hAnsi="Times New Roman" w:eastAsia="宋体" w:cs="宋体"/>
          <w:kern w:val="0"/>
          <w:sz w:val="24"/>
        </w:rPr>
      </w:pPr>
      <w:r>
        <w:rPr>
          <w:rFonts w:hint="eastAsia" w:ascii="Times New Roman" w:hAnsi="Times New Roman" w:eastAsia="宋体" w:cs="宋体"/>
          <w:kern w:val="0"/>
          <w:sz w:val="24"/>
        </w:rPr>
        <w:t>与县区政协系统对接</w:t>
      </w:r>
    </w:p>
    <w:p w14:paraId="2231F4FF">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与县区政协系统对接，通过数据对接或系统对接方式实现。市政协提供标准接口，供区县政协业务系统对接，实现数据上传和下发，包括提案信息、社情民意信息、委员履职信息等。</w:t>
      </w:r>
    </w:p>
    <w:p w14:paraId="05C67246">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0" w:leftChars="0" w:firstLine="420" w:firstLineChars="0"/>
        <w:jc w:val="center"/>
        <w:textAlignment w:val="auto"/>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与县区政协的对接</w:t>
      </w:r>
    </w:p>
    <w:tbl>
      <w:tblPr>
        <w:tblStyle w:val="3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615"/>
        <w:gridCol w:w="3127"/>
        <w:gridCol w:w="1110"/>
        <w:gridCol w:w="1167"/>
        <w:gridCol w:w="801"/>
      </w:tblGrid>
      <w:tr w14:paraId="1C73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shd w:val="clear" w:color="000000" w:fill="D7D7D7" w:themeFill="background1" w:themeFillShade="D8"/>
            <w:noWrap w:val="0"/>
            <w:vAlign w:val="center"/>
          </w:tcPr>
          <w:p w14:paraId="4EBA75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948" w:type="pct"/>
            <w:shd w:val="clear" w:color="000000" w:fill="D7D7D7" w:themeFill="background1" w:themeFillShade="D8"/>
            <w:noWrap w:val="0"/>
            <w:vAlign w:val="center"/>
          </w:tcPr>
          <w:p w14:paraId="694911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资源名称</w:t>
            </w:r>
          </w:p>
        </w:tc>
        <w:tc>
          <w:tcPr>
            <w:tcW w:w="1836" w:type="pct"/>
            <w:shd w:val="clear" w:color="000000" w:fill="D7D7D7" w:themeFill="background1" w:themeFillShade="D8"/>
            <w:noWrap w:val="0"/>
            <w:vAlign w:val="center"/>
          </w:tcPr>
          <w:p w14:paraId="33F017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对接内容</w:t>
            </w:r>
          </w:p>
        </w:tc>
        <w:tc>
          <w:tcPr>
            <w:tcW w:w="652" w:type="pct"/>
            <w:shd w:val="clear" w:color="000000" w:fill="D7D7D7" w:themeFill="background1" w:themeFillShade="D8"/>
            <w:noWrap w:val="0"/>
            <w:vAlign w:val="center"/>
          </w:tcPr>
          <w:p w14:paraId="67A086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提供方</w:t>
            </w:r>
          </w:p>
        </w:tc>
        <w:tc>
          <w:tcPr>
            <w:tcW w:w="685" w:type="pct"/>
            <w:shd w:val="clear" w:color="000000" w:fill="D7D7D7" w:themeFill="background1" w:themeFillShade="D8"/>
            <w:noWrap w:val="0"/>
            <w:vAlign w:val="center"/>
          </w:tcPr>
          <w:p w14:paraId="2E9699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kern w:val="0"/>
                <w:sz w:val="21"/>
                <w:szCs w:val="21"/>
              </w:rPr>
              <w:t>提供方式</w:t>
            </w:r>
          </w:p>
        </w:tc>
        <w:tc>
          <w:tcPr>
            <w:tcW w:w="470" w:type="pct"/>
            <w:shd w:val="clear" w:color="000000" w:fill="D7D7D7" w:themeFill="background1" w:themeFillShade="D8"/>
            <w:noWrap w:val="0"/>
            <w:vAlign w:val="center"/>
          </w:tcPr>
          <w:p w14:paraId="0D8CE2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kern w:val="0"/>
                <w:sz w:val="21"/>
                <w:szCs w:val="21"/>
              </w:rPr>
              <w:t>调用频率</w:t>
            </w:r>
          </w:p>
        </w:tc>
      </w:tr>
      <w:tr w14:paraId="04E8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shd w:val="clear" w:color="000000" w:fill="FFFFFF"/>
            <w:noWrap w:val="0"/>
            <w:vAlign w:val="center"/>
          </w:tcPr>
          <w:p w14:paraId="49ED61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48" w:type="pct"/>
            <w:shd w:val="clear" w:color="000000" w:fill="FFFFFF"/>
            <w:noWrap w:val="0"/>
            <w:vAlign w:val="center"/>
          </w:tcPr>
          <w:p w14:paraId="4C1362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委员履职信息</w:t>
            </w:r>
          </w:p>
        </w:tc>
        <w:tc>
          <w:tcPr>
            <w:tcW w:w="1836" w:type="pct"/>
            <w:shd w:val="clear" w:color="000000" w:fill="FFFFFF"/>
            <w:noWrap w:val="0"/>
            <w:vAlign w:val="center"/>
          </w:tcPr>
          <w:p w14:paraId="21988C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履职类型、活动时间、履职活动、人员类型、组织方式、创建人、组织名称、所属机构、所属界别活动组/专委会等</w:t>
            </w:r>
          </w:p>
        </w:tc>
        <w:tc>
          <w:tcPr>
            <w:tcW w:w="652" w:type="pct"/>
            <w:shd w:val="clear" w:color="000000" w:fill="FFFFFF"/>
            <w:noWrap w:val="0"/>
            <w:vAlign w:val="center"/>
          </w:tcPr>
          <w:p w14:paraId="50FD00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县区政协</w:t>
            </w:r>
          </w:p>
        </w:tc>
        <w:tc>
          <w:tcPr>
            <w:tcW w:w="685" w:type="pct"/>
            <w:shd w:val="clear" w:color="000000" w:fill="FFFFFF"/>
            <w:noWrap w:val="0"/>
            <w:vAlign w:val="center"/>
          </w:tcPr>
          <w:p w14:paraId="4F28B5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接口/数据</w:t>
            </w:r>
          </w:p>
        </w:tc>
        <w:tc>
          <w:tcPr>
            <w:tcW w:w="470" w:type="pct"/>
            <w:shd w:val="clear" w:color="000000" w:fill="FFFFFF"/>
            <w:noWrap/>
            <w:vAlign w:val="center"/>
          </w:tcPr>
          <w:p w14:paraId="41CA3C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每日</w:t>
            </w:r>
          </w:p>
        </w:tc>
      </w:tr>
      <w:tr w14:paraId="7D16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shd w:val="clear" w:color="000000" w:fill="FFFFFF"/>
            <w:noWrap w:val="0"/>
            <w:vAlign w:val="center"/>
          </w:tcPr>
          <w:p w14:paraId="206A20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48" w:type="pct"/>
            <w:shd w:val="clear" w:color="000000" w:fill="FFFFFF"/>
            <w:noWrap w:val="0"/>
            <w:vAlign w:val="center"/>
          </w:tcPr>
          <w:p w14:paraId="08CA69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提案信息</w:t>
            </w:r>
          </w:p>
        </w:tc>
        <w:tc>
          <w:tcPr>
            <w:tcW w:w="1836" w:type="pct"/>
            <w:shd w:val="clear" w:color="000000" w:fill="FFFFFF"/>
            <w:noWrap w:val="0"/>
            <w:vAlign w:val="center"/>
          </w:tcPr>
          <w:p w14:paraId="5E5180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提案编号、案由、正文、提案类别、届次、提案状态、个人集体类别、落实情况、承办单位、主办单位、所属政协单位、领衔人、采纳情况等</w:t>
            </w:r>
          </w:p>
        </w:tc>
        <w:tc>
          <w:tcPr>
            <w:tcW w:w="652" w:type="pct"/>
            <w:shd w:val="clear" w:color="000000" w:fill="FFFFFF"/>
            <w:noWrap w:val="0"/>
            <w:vAlign w:val="center"/>
          </w:tcPr>
          <w:p w14:paraId="6BC4F4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县区政协</w:t>
            </w:r>
          </w:p>
        </w:tc>
        <w:tc>
          <w:tcPr>
            <w:tcW w:w="685" w:type="pct"/>
            <w:shd w:val="clear" w:color="000000" w:fill="FFFFFF"/>
            <w:noWrap w:val="0"/>
            <w:vAlign w:val="center"/>
          </w:tcPr>
          <w:p w14:paraId="5645FB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接口/数据</w:t>
            </w:r>
          </w:p>
        </w:tc>
        <w:tc>
          <w:tcPr>
            <w:tcW w:w="470" w:type="pct"/>
            <w:shd w:val="clear" w:color="000000" w:fill="FFFFFF"/>
            <w:noWrap/>
            <w:vAlign w:val="center"/>
          </w:tcPr>
          <w:p w14:paraId="14B14B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每日</w:t>
            </w:r>
          </w:p>
        </w:tc>
      </w:tr>
      <w:tr w14:paraId="1CDF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 w:type="pct"/>
            <w:shd w:val="clear" w:color="000000" w:fill="FFFFFF"/>
            <w:noWrap w:val="0"/>
            <w:vAlign w:val="center"/>
          </w:tcPr>
          <w:p w14:paraId="287700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948" w:type="pct"/>
            <w:shd w:val="clear" w:color="000000" w:fill="FFFFFF"/>
            <w:noWrap w:val="0"/>
            <w:vAlign w:val="center"/>
          </w:tcPr>
          <w:p w14:paraId="354CFF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社情民意信息</w:t>
            </w:r>
          </w:p>
        </w:tc>
        <w:tc>
          <w:tcPr>
            <w:tcW w:w="1836" w:type="pct"/>
            <w:shd w:val="clear" w:color="000000" w:fill="FFFFFF"/>
            <w:noWrap w:val="0"/>
            <w:vAlign w:val="center"/>
          </w:tcPr>
          <w:p w14:paraId="7CC2BF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信息来源、所属政协单位、报送单位、报送时间、紧急程度、正文内容、上报人、反映人、签发人、刊物名称、稿件状态等</w:t>
            </w:r>
          </w:p>
        </w:tc>
        <w:tc>
          <w:tcPr>
            <w:tcW w:w="652" w:type="pct"/>
            <w:shd w:val="clear" w:color="000000" w:fill="FFFFFF"/>
            <w:noWrap w:val="0"/>
            <w:vAlign w:val="center"/>
          </w:tcPr>
          <w:p w14:paraId="505EE2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县区政协</w:t>
            </w:r>
          </w:p>
        </w:tc>
        <w:tc>
          <w:tcPr>
            <w:tcW w:w="685" w:type="pct"/>
            <w:shd w:val="clear" w:color="000000" w:fill="FFFFFF"/>
            <w:noWrap w:val="0"/>
            <w:vAlign w:val="center"/>
          </w:tcPr>
          <w:p w14:paraId="5ED281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接口/数据</w:t>
            </w:r>
          </w:p>
        </w:tc>
        <w:tc>
          <w:tcPr>
            <w:tcW w:w="470" w:type="pct"/>
            <w:shd w:val="clear" w:color="000000" w:fill="FFFFFF"/>
            <w:noWrap/>
            <w:vAlign w:val="center"/>
          </w:tcPr>
          <w:p w14:paraId="7B7DC8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每日</w:t>
            </w:r>
          </w:p>
        </w:tc>
      </w:tr>
    </w:tbl>
    <w:p w14:paraId="60E5F80C">
      <w:pPr>
        <w:widowControl/>
        <w:numPr>
          <w:ilvl w:val="0"/>
          <w:numId w:val="101"/>
        </w:numPr>
        <w:spacing w:line="360" w:lineRule="auto"/>
        <w:ind w:left="932" w:hanging="440" w:firstLineChars="0"/>
        <w:rPr>
          <w:rFonts w:hint="eastAsia" w:ascii="Times New Roman" w:hAnsi="Times New Roman" w:eastAsia="宋体" w:cs="宋体"/>
          <w:kern w:val="0"/>
          <w:sz w:val="24"/>
        </w:rPr>
      </w:pPr>
      <w:r>
        <w:rPr>
          <w:rFonts w:hint="eastAsia" w:ascii="Times New Roman" w:hAnsi="Times New Roman" w:eastAsia="宋体" w:cs="宋体"/>
          <w:kern w:val="0"/>
          <w:sz w:val="24"/>
        </w:rPr>
        <w:t>与无纸化会议系统对接</w:t>
      </w:r>
    </w:p>
    <w:p w14:paraId="0786B0C9">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与无纸化会议系统对接，实现用户认证体系对接，以及会议相关信息如会议通知信息、参会信息、会议纪要信息、会议资料信息的共享。</w:t>
      </w:r>
    </w:p>
    <w:p w14:paraId="6AE92860">
      <w:pPr>
        <w:keepNext w:val="0"/>
        <w:keepLines w:val="0"/>
        <w:pageBreakBefore w:val="0"/>
        <w:widowControl/>
        <w:numPr>
          <w:ilvl w:val="0"/>
          <w:numId w:val="104"/>
        </w:numPr>
        <w:kinsoku/>
        <w:wordWrap/>
        <w:overflowPunct/>
        <w:topLinePunct w:val="0"/>
        <w:autoSpaceDE/>
        <w:autoSpaceDN/>
        <w:bidi w:val="0"/>
        <w:adjustRightInd w:val="0"/>
        <w:snapToGrid/>
        <w:spacing w:line="360" w:lineRule="auto"/>
        <w:ind w:left="0" w:leftChars="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用户认证体系对接</w:t>
      </w:r>
    </w:p>
    <w:p w14:paraId="2C0527C3">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无纸化系统用户体系与统一用户认证系统人员信息进行同步关联。实现与统一用户认证系统的单点登录功能。</w:t>
      </w:r>
    </w:p>
    <w:p w14:paraId="7929DAB1">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统一认证系统提供人员信息获取接口、人员密码认证接口、人员扫码认证接口和人员短信码认证接口。</w:t>
      </w:r>
    </w:p>
    <w:p w14:paraId="503F7A8A">
      <w:pPr>
        <w:keepNext w:val="0"/>
        <w:keepLines w:val="0"/>
        <w:pageBreakBefore w:val="0"/>
        <w:widowControl/>
        <w:numPr>
          <w:ilvl w:val="0"/>
          <w:numId w:val="104"/>
        </w:numPr>
        <w:kinsoku/>
        <w:wordWrap/>
        <w:overflowPunct/>
        <w:topLinePunct w:val="0"/>
        <w:autoSpaceDE/>
        <w:autoSpaceDN/>
        <w:bidi w:val="0"/>
        <w:adjustRightInd w:val="0"/>
        <w:snapToGrid/>
        <w:spacing w:line="360" w:lineRule="auto"/>
        <w:ind w:left="0" w:leftChars="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应用功能集成</w:t>
      </w:r>
    </w:p>
    <w:p w14:paraId="09820BD1">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无纸系统会议详情查看、会议计划查看功能页面供协商在线子系统调用集成。方便协商在线查看会议相关的安排情况，人员情况，会议资料情况。协商在线把签到的信息通过数据接口推送至无纸化会议系统。</w:t>
      </w:r>
    </w:p>
    <w:p w14:paraId="35CA5531">
      <w:pPr>
        <w:keepNext w:val="0"/>
        <w:keepLines w:val="0"/>
        <w:pageBreakBefore w:val="0"/>
        <w:widowControl/>
        <w:numPr>
          <w:ilvl w:val="0"/>
          <w:numId w:val="104"/>
        </w:numPr>
        <w:kinsoku/>
        <w:wordWrap/>
        <w:overflowPunct/>
        <w:topLinePunct w:val="0"/>
        <w:autoSpaceDE/>
        <w:autoSpaceDN/>
        <w:bidi w:val="0"/>
        <w:adjustRightInd w:val="0"/>
        <w:snapToGrid/>
        <w:spacing w:line="360" w:lineRule="auto"/>
        <w:ind w:left="0" w:leftChars="0" w:firstLine="496" w:firstLineChars="200"/>
        <w:textAlignment w:val="auto"/>
        <w:rPr>
          <w:rFonts w:hint="eastAsia" w:ascii="Times New Roman" w:hAnsi="Times New Roman" w:eastAsia="宋体" w:cs="宋体"/>
          <w:kern w:val="0"/>
          <w:sz w:val="24"/>
          <w:szCs w:val="22"/>
        </w:rPr>
      </w:pPr>
      <w:r>
        <w:rPr>
          <w:rFonts w:hint="eastAsia" w:ascii="Times New Roman" w:hAnsi="Times New Roman" w:eastAsia="宋体" w:cs="宋体"/>
          <w:kern w:val="0"/>
          <w:sz w:val="24"/>
          <w:szCs w:val="22"/>
        </w:rPr>
        <w:t>页面适配开发</w:t>
      </w:r>
    </w:p>
    <w:p w14:paraId="707D37A2">
      <w:pPr>
        <w:widowControl/>
        <w:adjustRightInd w:val="0"/>
        <w:spacing w:line="360" w:lineRule="auto"/>
        <w:ind w:firstLine="496" w:firstLineChars="200"/>
        <w:rPr>
          <w:rFonts w:hint="eastAsia" w:ascii="Times New Roman" w:hAnsi="Times New Roman" w:eastAsia="宋体" w:cs="仿宋"/>
          <w:kern w:val="0"/>
          <w:sz w:val="24"/>
        </w:rPr>
      </w:pPr>
      <w:r>
        <w:rPr>
          <w:rFonts w:hint="eastAsia" w:ascii="Times New Roman" w:hAnsi="Times New Roman" w:eastAsia="宋体" w:cs="仿宋"/>
          <w:kern w:val="0"/>
          <w:sz w:val="24"/>
        </w:rPr>
        <w:t>无纸化系统提供会议计划详情查看接口、会议安排列表查看接口、会议参会人员查看接口、会议安排信息写入接口、会议签到信息写入接口、参会人员信息写入接口。提供会议管理界面接口、会议安排详情界面接口，适配协商在线移动端界面风格。</w:t>
      </w:r>
    </w:p>
    <w:p w14:paraId="3C9FC14C">
      <w:pPr>
        <w:widowControl/>
        <w:numPr>
          <w:ilvl w:val="0"/>
          <w:numId w:val="101"/>
        </w:numPr>
        <w:spacing w:line="360" w:lineRule="auto"/>
        <w:ind w:left="932" w:hanging="440" w:firstLineChars="0"/>
        <w:rPr>
          <w:rFonts w:hint="default" w:ascii="Times New Roman" w:hAnsi="Times New Roman" w:eastAsia="宋体" w:cs="宋体"/>
          <w:kern w:val="0"/>
          <w:sz w:val="24"/>
          <w:lang w:val="en-US" w:eastAsia="zh-CN"/>
        </w:rPr>
      </w:pPr>
      <w:r>
        <w:rPr>
          <w:rFonts w:hint="default" w:ascii="Times New Roman" w:hAnsi="Times New Roman" w:eastAsia="宋体" w:cs="宋体"/>
          <w:kern w:val="0"/>
          <w:sz w:val="24"/>
          <w:lang w:val="en-US" w:eastAsia="zh-CN"/>
        </w:rPr>
        <w:t>与音视频系统对接</w:t>
      </w:r>
    </w:p>
    <w:p w14:paraId="0E7C8135">
      <w:pPr>
        <w:widowControl/>
        <w:adjustRightInd w:val="0"/>
        <w:spacing w:line="360" w:lineRule="auto"/>
        <w:ind w:firstLine="496" w:firstLineChars="200"/>
        <w:rPr>
          <w:rFonts w:hint="default"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本项目PAD端需要实现与音视频系统对接，调用音、视频SDK接口实现远程在线协商。</w:t>
      </w:r>
    </w:p>
    <w:p w14:paraId="50995542">
      <w:pPr>
        <w:widowControl/>
        <w:numPr>
          <w:ilvl w:val="0"/>
          <w:numId w:val="101"/>
        </w:numPr>
        <w:spacing w:line="360" w:lineRule="auto"/>
        <w:ind w:left="932" w:hanging="440" w:firstLineChars="0"/>
        <w:rPr>
          <w:rFonts w:hint="default"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与i西安App系统对接</w:t>
      </w:r>
    </w:p>
    <w:p w14:paraId="5F6B8156">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本项目委员和机关办公端应用需要在i西安AppG端运行环境上架，并需要遵守i西安App平台技术规范和上架流程实现应用上架运行。</w:t>
      </w:r>
    </w:p>
    <w:p w14:paraId="1D26087B">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本项目公众端应用需要在i西安AppC端运行环境上架，并需要遵守i西安平台技术规范和上架流程实现应用上架运行。</w:t>
      </w:r>
    </w:p>
    <w:p w14:paraId="103C5C7C">
      <w:pPr>
        <w:widowControl/>
        <w:numPr>
          <w:ilvl w:val="0"/>
          <w:numId w:val="101"/>
        </w:numPr>
        <w:spacing w:line="360" w:lineRule="auto"/>
        <w:ind w:left="932" w:hanging="440" w:firstLineChars="0"/>
        <w:rPr>
          <w:rFonts w:hint="default" w:ascii="Times New Roman" w:hAnsi="Times New Roman" w:eastAsia="宋体" w:cs="宋体"/>
          <w:kern w:val="0"/>
          <w:sz w:val="24"/>
        </w:rPr>
      </w:pPr>
      <w:r>
        <w:rPr>
          <w:rFonts w:hint="eastAsia" w:ascii="Times New Roman" w:hAnsi="Times New Roman" w:eastAsia="宋体" w:cs="宋体"/>
          <w:kern w:val="0"/>
          <w:sz w:val="24"/>
          <w:lang w:val="en-US" w:eastAsia="zh-CN"/>
        </w:rPr>
        <w:t>密码应用平台对接</w:t>
      </w:r>
    </w:p>
    <w:p w14:paraId="4BFFC82E">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default" w:ascii="Times New Roman" w:hAnsi="Times New Roman" w:eastAsia="宋体" w:cs="仿宋"/>
          <w:kern w:val="0"/>
          <w:sz w:val="24"/>
          <w:lang w:val="en-US" w:eastAsia="zh-CN"/>
        </w:rPr>
        <w:t>本项目与密码应用平台实现对接，调用密码应用平台加密算法，实现本项目的平台应用安全。</w:t>
      </w:r>
    </w:p>
    <w:p w14:paraId="303AC22F">
      <w:pPr>
        <w:widowControl/>
        <w:numPr>
          <w:ilvl w:val="0"/>
          <w:numId w:val="101"/>
        </w:numPr>
        <w:spacing w:line="360" w:lineRule="auto"/>
        <w:ind w:left="932" w:hanging="440" w:firstLineChars="0"/>
        <w:rPr>
          <w:rFonts w:hint="eastAsia" w:ascii="Times New Roman" w:hAnsi="Times New Roman" w:eastAsia="宋体" w:cs="宋体"/>
          <w:kern w:val="0"/>
          <w:sz w:val="24"/>
        </w:rPr>
      </w:pPr>
      <w:r>
        <w:rPr>
          <w:rFonts w:hint="default" w:ascii="Times New Roman" w:hAnsi="Times New Roman" w:eastAsia="宋体" w:cs="宋体"/>
          <w:kern w:val="0"/>
          <w:sz w:val="24"/>
          <w:lang w:val="en-US" w:eastAsia="zh-CN"/>
        </w:rPr>
        <w:t>SSL</w:t>
      </w:r>
      <w:r>
        <w:rPr>
          <w:rFonts w:hint="eastAsia" w:ascii="Times New Roman" w:hAnsi="Times New Roman" w:eastAsia="宋体" w:cs="宋体"/>
          <w:kern w:val="0"/>
          <w:sz w:val="24"/>
          <w:lang w:val="en-US" w:eastAsia="zh-CN"/>
        </w:rPr>
        <w:t>证书对接</w:t>
      </w:r>
    </w:p>
    <w:p w14:paraId="709D0933">
      <w:pPr>
        <w:widowControl/>
        <w:adjustRightInd w:val="0"/>
        <w:spacing w:line="360" w:lineRule="auto"/>
        <w:ind w:firstLine="496" w:firstLineChars="200"/>
        <w:rPr>
          <w:rFonts w:hint="default" w:ascii="Times New Roman" w:hAnsi="Times New Roman" w:eastAsia="宋体" w:cs="仿宋"/>
          <w:kern w:val="0"/>
          <w:sz w:val="24"/>
          <w:lang w:val="en-US" w:eastAsia="zh-CN"/>
        </w:rPr>
      </w:pPr>
      <w:r>
        <w:rPr>
          <w:rFonts w:hint="default" w:ascii="Times New Roman" w:hAnsi="Times New Roman" w:eastAsia="宋体" w:cs="仿宋"/>
          <w:kern w:val="0"/>
          <w:sz w:val="24"/>
          <w:lang w:val="en-US" w:eastAsia="zh-CN"/>
        </w:rPr>
        <w:t>通过系统部署中间件集成对接SSL安全证书，创建政协二级域名与SSL进行绑定，确保系统访问为HTTPS安全通道，对信息传输进行加密管理。</w:t>
      </w:r>
    </w:p>
    <w:p w14:paraId="054491A8">
      <w:pPr>
        <w:pStyle w:val="5"/>
        <w:bidi w:val="0"/>
        <w:rPr>
          <w:rFonts w:hint="eastAsia"/>
          <w:lang w:val="en-US" w:eastAsia="zh-CN"/>
        </w:rPr>
      </w:pPr>
      <w:r>
        <w:rPr>
          <w:rFonts w:hint="eastAsia"/>
          <w:lang w:val="en-US" w:eastAsia="zh-CN"/>
        </w:rPr>
        <w:t>（五）、其他技术要求</w:t>
      </w:r>
    </w:p>
    <w:p w14:paraId="741834E0">
      <w:pPr>
        <w:pStyle w:val="2"/>
        <w:numPr>
          <w:ilvl w:val="3"/>
          <w:numId w:val="0"/>
        </w:numPr>
        <w:bidi w:val="0"/>
        <w:ind w:leftChars="0"/>
        <w:rPr>
          <w:rFonts w:hint="eastAsia" w:ascii="Arial" w:hAnsi="Arial"/>
          <w:lang w:val="en-US" w:eastAsia="zh-CN"/>
        </w:rPr>
      </w:pPr>
      <w:r>
        <w:rPr>
          <w:rFonts w:hint="eastAsia"/>
          <w:lang w:val="en-US" w:eastAsia="zh-CN"/>
        </w:rPr>
        <w:t>5.1总体性能</w:t>
      </w:r>
    </w:p>
    <w:p w14:paraId="1FBC937D">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平台应用分离部署支持应用管理平台和应用分离部署，高访问量的应用不会影响其他应用和应用管理平台性能；容错性在集群模式下，运行环境出现故障时仍能提供稳定、持续的服务。高性能系统能够在大规模用户的访问的情况下仍然能够提供高速运行的服务。随着用户数的增长及功能应用的增长，软件系统随硬件性能的调整而保持相对的稳定性。</w:t>
      </w:r>
    </w:p>
    <w:p w14:paraId="6BF12B81">
      <w:pPr>
        <w:keepNext w:val="0"/>
        <w:keepLines w:val="0"/>
        <w:pageBreakBefore w:val="0"/>
        <w:widowControl/>
        <w:numPr>
          <w:ilvl w:val="0"/>
          <w:numId w:val="105"/>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数据完整性、准确性</w:t>
      </w:r>
    </w:p>
    <w:p w14:paraId="1436A63C">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重要的系统数据须配置可靠的数据备份机制，系统必须采用增量备份和全备份相结合的方式定期备份重要的系统数据，确保数据的高可靠性和可恢复性。</w:t>
      </w:r>
    </w:p>
    <w:p w14:paraId="07E14FD2">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备份过程应实现自动化，数据应异机保存，并输出明确的备份结果。</w:t>
      </w:r>
    </w:p>
    <w:p w14:paraId="63FE8834">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每天本地备份时间不多于 1 小时，而且不影响对数据库正常运行。</w:t>
      </w:r>
    </w:p>
    <w:p w14:paraId="18902355">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RTO(复原时间目标)为不大于 52 分钟，RPO(复原点目标)不大于 30 分钟。</w:t>
      </w:r>
    </w:p>
    <w:p w14:paraId="01F56728">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数据备份需保障数据的完整性和可靠性。</w:t>
      </w:r>
    </w:p>
    <w:p w14:paraId="4B819DC1">
      <w:pPr>
        <w:keepNext w:val="0"/>
        <w:keepLines w:val="0"/>
        <w:pageBreakBefore w:val="0"/>
        <w:widowControl/>
        <w:numPr>
          <w:ilvl w:val="0"/>
          <w:numId w:val="105"/>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系统可扩展性</w:t>
      </w:r>
    </w:p>
    <w:p w14:paraId="286CDC72">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系统功能、设备必须具有扩展能力，并且系统具有开放的业务开发接口。</w:t>
      </w:r>
    </w:p>
    <w:p w14:paraId="2325348A">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系统的扩展能力包括设备容量的扩展能力，端口密度的扩展能力、带宽的扩展、网络规模的扩展能力和系统功能的扩展等。</w:t>
      </w:r>
    </w:p>
    <w:p w14:paraId="1B5A52B3">
      <w:pPr>
        <w:keepNext w:val="0"/>
        <w:keepLines w:val="0"/>
        <w:pageBreakBefore w:val="0"/>
        <w:widowControl/>
        <w:numPr>
          <w:ilvl w:val="0"/>
          <w:numId w:val="105"/>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可靠性</w:t>
      </w:r>
    </w:p>
    <w:p w14:paraId="6EB7E332">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系统必须支持连续7×24小时不间断地工作。</w:t>
      </w:r>
    </w:p>
    <w:p w14:paraId="1241FD4B">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关键节点（冗余热备后节点）达到 99％以上的可靠标准。</w:t>
      </w:r>
    </w:p>
    <w:p w14:paraId="0A3EC7E7">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操作系统必须是常用操作系统，最大程度保证系统架构的稳定性和可靠性。</w:t>
      </w:r>
    </w:p>
    <w:p w14:paraId="092A7914">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应用系统必须确保连续7×24小时不间断地正常工作，应用软件中的任一模块更新、加载时不影响业务运转和服务。</w:t>
      </w:r>
    </w:p>
    <w:p w14:paraId="076937CE">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关键系统应具备故障守护恢复机制，即当发生一般性障碍时，系统应具有自纠恢复能力。</w:t>
      </w:r>
    </w:p>
    <w:p w14:paraId="1D981378">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接口应用程序应具备自我监控能力、能通过可灵活配置的告警方式(如Email、短信等)向维护人员发出故障告警。</w:t>
      </w:r>
    </w:p>
    <w:p w14:paraId="4ACD63CC">
      <w:pPr>
        <w:keepNext w:val="0"/>
        <w:keepLines w:val="0"/>
        <w:pageBreakBefore w:val="0"/>
        <w:widowControl/>
        <w:numPr>
          <w:ilvl w:val="0"/>
          <w:numId w:val="105"/>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可维护性</w:t>
      </w:r>
    </w:p>
    <w:p w14:paraId="0757A9C2">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系统在运行过程中所发生的任何错误都应该有明确的错误编号，并能在系统的相应维护手册中查到错误处理方法与步骤。</w:t>
      </w:r>
    </w:p>
    <w:p w14:paraId="097BF05D">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系统应该支持通过统一的图形界面，监控各应用构件的运行状态。</w:t>
      </w:r>
    </w:p>
    <w:p w14:paraId="173F5F03">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系统必须支持通过统一的图形界面，能够监控到应用系统所有的报警、异常信息。</w:t>
      </w:r>
    </w:p>
    <w:p w14:paraId="7FFB553C">
      <w:pPr>
        <w:widowControl/>
        <w:adjustRightInd w:val="0"/>
        <w:spacing w:line="360" w:lineRule="auto"/>
        <w:ind w:firstLine="496" w:firstLineChars="200"/>
        <w:rPr>
          <w:rFonts w:hint="eastAsia" w:ascii="Times New Roman" w:hAnsi="Times New Roman" w:eastAsia="宋体" w:cs="仿宋"/>
          <w:kern w:val="0"/>
          <w:sz w:val="24"/>
          <w:lang w:val="en-US" w:eastAsia="zh-CN"/>
        </w:rPr>
      </w:pPr>
      <w:r>
        <w:rPr>
          <w:rFonts w:hint="eastAsia" w:ascii="Times New Roman" w:hAnsi="Times New Roman" w:eastAsia="宋体" w:cs="仿宋"/>
          <w:kern w:val="0"/>
          <w:sz w:val="24"/>
          <w:lang w:val="en-US" w:eastAsia="zh-CN"/>
        </w:rPr>
        <w:t>系统应该采用构件化设计思想，系统框架与业务逻辑分离，要求具备开放的体系结构。</w:t>
      </w:r>
    </w:p>
    <w:p w14:paraId="203E85DF">
      <w:pPr>
        <w:pStyle w:val="2"/>
        <w:numPr>
          <w:ilvl w:val="3"/>
          <w:numId w:val="0"/>
        </w:numPr>
        <w:bidi w:val="0"/>
        <w:ind w:leftChars="0"/>
        <w:rPr>
          <w:rFonts w:hint="eastAsia" w:ascii="Arial" w:hAnsi="Arial"/>
          <w:lang w:val="en-US" w:eastAsia="zh-CN"/>
        </w:rPr>
      </w:pPr>
      <w:r>
        <w:rPr>
          <w:rFonts w:hint="eastAsia"/>
          <w:lang w:val="en-US" w:eastAsia="zh-CN"/>
        </w:rPr>
        <w:t>5.2系统性能要求</w:t>
      </w:r>
    </w:p>
    <w:p w14:paraId="422877CA">
      <w:pPr>
        <w:keepNext w:val="0"/>
        <w:keepLines w:val="0"/>
        <w:pageBreakBefore w:val="0"/>
        <w:widowControl/>
        <w:numPr>
          <w:ilvl w:val="0"/>
          <w:numId w:val="10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bookmarkStart w:id="165" w:name="_Toc11228"/>
      <w:r>
        <w:rPr>
          <w:rFonts w:hint="eastAsia" w:ascii="Times New Roman" w:hAnsi="Times New Roman" w:eastAsia="宋体" w:cs="宋体"/>
          <w:b w:val="0"/>
          <w:bCs w:val="0"/>
          <w:kern w:val="0"/>
          <w:sz w:val="24"/>
          <w:lang w:val="en-US" w:eastAsia="zh-CN"/>
        </w:rPr>
        <w:t>系统处理能力分析</w:t>
      </w:r>
      <w:bookmarkEnd w:id="165"/>
    </w:p>
    <w:p w14:paraId="4B0A6B02">
      <w:pPr>
        <w:widowControl/>
        <w:spacing w:line="360" w:lineRule="auto"/>
        <w:ind w:firstLine="570" w:firstLineChars="230"/>
        <w:rPr>
          <w:rFonts w:ascii="Times New Roman" w:hAnsi="Times New Roman" w:eastAsia="宋体" w:cs="宋体"/>
          <w:kern w:val="0"/>
          <w:sz w:val="24"/>
        </w:rPr>
      </w:pPr>
      <w:r>
        <w:rPr>
          <w:rFonts w:hint="eastAsia" w:ascii="Times New Roman" w:hAnsi="Times New Roman" w:eastAsia="宋体" w:cs="宋体"/>
          <w:kern w:val="0"/>
          <w:sz w:val="24"/>
        </w:rPr>
        <w:t>主要从系统响应时间给出系统性能指标，硬件系统本身的性能指标通过对本章信息量的测算及数据量、处理能力的计算得到。</w:t>
      </w:r>
    </w:p>
    <w:p w14:paraId="0A05641A">
      <w:pPr>
        <w:widowControl/>
        <w:spacing w:line="360" w:lineRule="auto"/>
        <w:ind w:firstLine="570" w:firstLineChars="230"/>
        <w:rPr>
          <w:rFonts w:ascii="Times New Roman" w:hAnsi="Times New Roman" w:eastAsia="宋体" w:cs="宋体"/>
          <w:kern w:val="0"/>
          <w:sz w:val="24"/>
        </w:rPr>
      </w:pPr>
      <w:r>
        <w:rPr>
          <w:rFonts w:hint="eastAsia" w:ascii="Times New Roman" w:hAnsi="Times New Roman" w:eastAsia="宋体" w:cs="宋体"/>
          <w:kern w:val="0"/>
          <w:sz w:val="24"/>
        </w:rPr>
        <w:t>响应时间指完成目标系统中的交互或批量业务处理所需的时间。根据业务处理类型的不同，可以把交易划分为三类：交互类业务、查询类业务、数据交换服务，分别给出响应时间要求的参考值，包括峰值响应时间、平均响应时间。</w:t>
      </w:r>
    </w:p>
    <w:p w14:paraId="7F1BA2DC">
      <w:pPr>
        <w:keepNext w:val="0"/>
        <w:keepLines w:val="0"/>
        <w:pageBreakBefore w:val="0"/>
        <w:widowControl/>
        <w:numPr>
          <w:ilvl w:val="0"/>
          <w:numId w:val="10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交互类业务</w:t>
      </w:r>
    </w:p>
    <w:p w14:paraId="7543EE08">
      <w:pPr>
        <w:widowControl/>
        <w:spacing w:line="360" w:lineRule="auto"/>
        <w:ind w:firstLine="570" w:firstLineChars="230"/>
        <w:rPr>
          <w:rFonts w:ascii="Times New Roman" w:hAnsi="Times New Roman" w:eastAsia="宋体" w:cs="宋体"/>
          <w:kern w:val="0"/>
          <w:sz w:val="24"/>
        </w:rPr>
      </w:pPr>
      <w:r>
        <w:rPr>
          <w:rFonts w:hint="eastAsia" w:ascii="Times New Roman" w:hAnsi="Times New Roman" w:eastAsia="宋体" w:cs="宋体"/>
          <w:kern w:val="0"/>
          <w:sz w:val="24"/>
        </w:rPr>
        <w:t>交互类业务是指平时工作中在系统中进行的业务处理，如录入、修改或删除一条记录、发布一条信息等操作。</w:t>
      </w:r>
    </w:p>
    <w:p w14:paraId="0ED9634F">
      <w:pPr>
        <w:widowControl/>
        <w:numPr>
          <w:ilvl w:val="0"/>
          <w:numId w:val="108"/>
        </w:numPr>
        <w:spacing w:line="360" w:lineRule="auto"/>
        <w:ind w:left="989" w:hanging="440" w:firstLineChars="0"/>
        <w:rPr>
          <w:rFonts w:ascii="Times New Roman" w:hAnsi="Times New Roman" w:eastAsia="宋体" w:cs="宋体"/>
          <w:kern w:val="0"/>
          <w:sz w:val="24"/>
        </w:rPr>
      </w:pPr>
      <w:r>
        <w:rPr>
          <w:rFonts w:hint="eastAsia" w:ascii="Times New Roman" w:hAnsi="Times New Roman" w:eastAsia="宋体" w:cs="宋体"/>
          <w:kern w:val="0"/>
          <w:sz w:val="24"/>
        </w:rPr>
        <w:t>平均响应时间不大于</w:t>
      </w:r>
      <w:r>
        <w:rPr>
          <w:rFonts w:ascii="Times New Roman" w:hAnsi="Times New Roman" w:eastAsia="宋体" w:cs="宋体"/>
          <w:kern w:val="0"/>
          <w:sz w:val="24"/>
        </w:rPr>
        <w:t>2</w:t>
      </w:r>
      <w:r>
        <w:rPr>
          <w:rFonts w:hint="eastAsia" w:ascii="Times New Roman" w:hAnsi="Times New Roman" w:eastAsia="宋体" w:cs="宋体"/>
          <w:kern w:val="0"/>
          <w:sz w:val="24"/>
        </w:rPr>
        <w:t>秒；</w:t>
      </w:r>
    </w:p>
    <w:p w14:paraId="7FE0B723">
      <w:pPr>
        <w:widowControl/>
        <w:numPr>
          <w:ilvl w:val="0"/>
          <w:numId w:val="108"/>
        </w:numPr>
        <w:spacing w:line="360" w:lineRule="auto"/>
        <w:ind w:left="989" w:hanging="440" w:firstLineChars="0"/>
        <w:rPr>
          <w:rFonts w:ascii="Times New Roman" w:hAnsi="Times New Roman" w:eastAsia="宋体" w:cs="宋体"/>
          <w:kern w:val="0"/>
          <w:sz w:val="24"/>
        </w:rPr>
      </w:pPr>
      <w:r>
        <w:rPr>
          <w:rFonts w:hint="eastAsia" w:ascii="Times New Roman" w:hAnsi="Times New Roman" w:eastAsia="宋体" w:cs="宋体"/>
          <w:kern w:val="0"/>
          <w:sz w:val="24"/>
        </w:rPr>
        <w:t>一般表单填报界面数据上报响应时间不大于3秒。</w:t>
      </w:r>
    </w:p>
    <w:p w14:paraId="39340B40">
      <w:pPr>
        <w:keepNext w:val="0"/>
        <w:keepLines w:val="0"/>
        <w:pageBreakBefore w:val="0"/>
        <w:widowControl/>
        <w:numPr>
          <w:ilvl w:val="0"/>
          <w:numId w:val="10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查询类业务</w:t>
      </w:r>
    </w:p>
    <w:p w14:paraId="40F989B3">
      <w:pPr>
        <w:widowControl/>
        <w:spacing w:line="360" w:lineRule="auto"/>
        <w:ind w:firstLine="570" w:firstLineChars="230"/>
        <w:rPr>
          <w:rFonts w:ascii="Times New Roman" w:hAnsi="Times New Roman" w:eastAsia="宋体" w:cs="宋体"/>
          <w:kern w:val="0"/>
          <w:sz w:val="24"/>
        </w:rPr>
      </w:pPr>
      <w:r>
        <w:rPr>
          <w:rFonts w:hint="eastAsia" w:ascii="Times New Roman" w:hAnsi="Times New Roman" w:eastAsia="宋体" w:cs="宋体"/>
          <w:kern w:val="0"/>
          <w:sz w:val="24"/>
        </w:rPr>
        <w:t>查询业务由于受到查询的复杂程度、查询的数据量大小等因素的影响，需要根据具体情况而定，在此给出一个参考范围。</w:t>
      </w:r>
    </w:p>
    <w:p w14:paraId="1698AC46">
      <w:pPr>
        <w:widowControl/>
        <w:numPr>
          <w:ilvl w:val="1"/>
          <w:numId w:val="109"/>
        </w:numPr>
        <w:spacing w:line="360" w:lineRule="auto"/>
        <w:ind w:left="989" w:hanging="440" w:firstLineChars="0"/>
        <w:rPr>
          <w:rFonts w:ascii="Times New Roman" w:hAnsi="Times New Roman" w:eastAsia="宋体" w:cs="宋体"/>
          <w:kern w:val="0"/>
          <w:sz w:val="24"/>
        </w:rPr>
      </w:pPr>
      <w:r>
        <w:rPr>
          <w:rFonts w:hint="eastAsia" w:ascii="Times New Roman" w:hAnsi="Times New Roman" w:eastAsia="宋体" w:cs="宋体"/>
          <w:kern w:val="0"/>
          <w:sz w:val="24"/>
        </w:rPr>
        <w:t>简单查询平均响应时间不大于</w:t>
      </w:r>
      <w:r>
        <w:rPr>
          <w:rFonts w:ascii="Times New Roman" w:hAnsi="Times New Roman" w:eastAsia="宋体" w:cs="宋体"/>
          <w:kern w:val="0"/>
          <w:sz w:val="24"/>
        </w:rPr>
        <w:t>2</w:t>
      </w:r>
      <w:r>
        <w:rPr>
          <w:rFonts w:hint="eastAsia" w:ascii="Times New Roman" w:hAnsi="Times New Roman" w:eastAsia="宋体" w:cs="宋体"/>
          <w:kern w:val="0"/>
          <w:sz w:val="24"/>
        </w:rPr>
        <w:t>秒；</w:t>
      </w:r>
    </w:p>
    <w:p w14:paraId="5FF3F22A">
      <w:pPr>
        <w:widowControl/>
        <w:numPr>
          <w:ilvl w:val="1"/>
          <w:numId w:val="109"/>
        </w:numPr>
        <w:spacing w:line="360" w:lineRule="auto"/>
        <w:ind w:left="989" w:hanging="440" w:firstLineChars="0"/>
        <w:rPr>
          <w:rFonts w:ascii="Times New Roman" w:hAnsi="Times New Roman" w:eastAsia="宋体" w:cs="宋体"/>
          <w:kern w:val="0"/>
          <w:sz w:val="24"/>
        </w:rPr>
      </w:pPr>
      <w:r>
        <w:rPr>
          <w:rFonts w:hint="eastAsia" w:ascii="Times New Roman" w:hAnsi="Times New Roman" w:eastAsia="宋体" w:cs="宋体"/>
          <w:kern w:val="0"/>
          <w:sz w:val="24"/>
        </w:rPr>
        <w:t>复杂查询平均响应时间不大于3秒；</w:t>
      </w:r>
    </w:p>
    <w:p w14:paraId="6E693CB2">
      <w:pPr>
        <w:widowControl/>
        <w:numPr>
          <w:ilvl w:val="1"/>
          <w:numId w:val="109"/>
        </w:numPr>
        <w:spacing w:line="360" w:lineRule="auto"/>
        <w:ind w:left="989" w:hanging="440" w:firstLineChars="0"/>
        <w:rPr>
          <w:rFonts w:ascii="Times New Roman" w:hAnsi="Times New Roman" w:eastAsia="宋体" w:cs="宋体"/>
          <w:kern w:val="0"/>
          <w:sz w:val="24"/>
        </w:rPr>
      </w:pPr>
      <w:r>
        <w:rPr>
          <w:rFonts w:hint="eastAsia" w:ascii="Times New Roman" w:hAnsi="Times New Roman" w:eastAsia="宋体" w:cs="宋体"/>
          <w:kern w:val="0"/>
          <w:sz w:val="24"/>
        </w:rPr>
        <w:t>视频播放平均响应时间不大于5秒。</w:t>
      </w:r>
    </w:p>
    <w:p w14:paraId="52CA321C">
      <w:pPr>
        <w:keepNext w:val="0"/>
        <w:keepLines w:val="0"/>
        <w:pageBreakBefore w:val="0"/>
        <w:widowControl/>
        <w:numPr>
          <w:ilvl w:val="0"/>
          <w:numId w:val="107"/>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数据交换服务</w:t>
      </w:r>
    </w:p>
    <w:p w14:paraId="2C862CA4">
      <w:pPr>
        <w:widowControl/>
        <w:numPr>
          <w:ilvl w:val="1"/>
          <w:numId w:val="110"/>
        </w:numPr>
        <w:spacing w:line="360" w:lineRule="auto"/>
        <w:ind w:left="989" w:hanging="440" w:firstLineChars="0"/>
        <w:rPr>
          <w:rFonts w:ascii="Times New Roman" w:hAnsi="Times New Roman" w:eastAsia="宋体" w:cs="宋体"/>
          <w:kern w:val="0"/>
          <w:sz w:val="24"/>
        </w:rPr>
      </w:pPr>
      <w:r>
        <w:rPr>
          <w:rFonts w:hint="eastAsia" w:ascii="Times New Roman" w:hAnsi="Times New Roman" w:eastAsia="宋体" w:cs="宋体"/>
          <w:kern w:val="0"/>
          <w:sz w:val="24"/>
        </w:rPr>
        <w:t>单条记录交易接口平均响应时间不大于</w:t>
      </w:r>
      <w:r>
        <w:rPr>
          <w:rFonts w:ascii="Times New Roman" w:hAnsi="Times New Roman" w:eastAsia="宋体" w:cs="宋体"/>
          <w:kern w:val="0"/>
          <w:sz w:val="24"/>
        </w:rPr>
        <w:t>2</w:t>
      </w:r>
      <w:r>
        <w:rPr>
          <w:rFonts w:hint="eastAsia" w:ascii="Times New Roman" w:hAnsi="Times New Roman" w:eastAsia="宋体" w:cs="宋体"/>
          <w:kern w:val="0"/>
          <w:sz w:val="24"/>
        </w:rPr>
        <w:t>秒；</w:t>
      </w:r>
    </w:p>
    <w:p w14:paraId="030E5EA4">
      <w:pPr>
        <w:widowControl/>
        <w:numPr>
          <w:ilvl w:val="1"/>
          <w:numId w:val="110"/>
        </w:numPr>
        <w:spacing w:line="360" w:lineRule="auto"/>
        <w:ind w:left="989" w:hanging="440" w:firstLineChars="0"/>
        <w:rPr>
          <w:rFonts w:ascii="Times New Roman" w:hAnsi="Times New Roman" w:eastAsia="宋体" w:cs="宋体"/>
          <w:kern w:val="0"/>
          <w:sz w:val="24"/>
        </w:rPr>
      </w:pPr>
      <w:r>
        <w:rPr>
          <w:rFonts w:hint="eastAsia" w:ascii="Times New Roman" w:hAnsi="Times New Roman" w:eastAsia="宋体" w:cs="宋体"/>
          <w:kern w:val="0"/>
          <w:sz w:val="24"/>
        </w:rPr>
        <w:t>多条记录（100条）接口平均响应时间不大于</w:t>
      </w:r>
      <w:r>
        <w:rPr>
          <w:rFonts w:ascii="Times New Roman" w:hAnsi="Times New Roman" w:eastAsia="宋体" w:cs="宋体"/>
          <w:kern w:val="0"/>
          <w:sz w:val="24"/>
        </w:rPr>
        <w:t>5</w:t>
      </w:r>
      <w:r>
        <w:rPr>
          <w:rFonts w:hint="eastAsia" w:ascii="Times New Roman" w:hAnsi="Times New Roman" w:eastAsia="宋体" w:cs="宋体"/>
          <w:kern w:val="0"/>
          <w:sz w:val="24"/>
        </w:rPr>
        <w:t>秒。</w:t>
      </w:r>
    </w:p>
    <w:p w14:paraId="3B228EF9">
      <w:pPr>
        <w:keepNext w:val="0"/>
        <w:keepLines w:val="0"/>
        <w:pageBreakBefore w:val="0"/>
        <w:widowControl/>
        <w:numPr>
          <w:ilvl w:val="0"/>
          <w:numId w:val="10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响应与并发要求</w:t>
      </w:r>
    </w:p>
    <w:p w14:paraId="140D7A2D">
      <w:pPr>
        <w:widowControl/>
        <w:numPr>
          <w:ilvl w:val="1"/>
          <w:numId w:val="110"/>
        </w:numPr>
        <w:spacing w:line="360" w:lineRule="auto"/>
        <w:ind w:left="851" w:hanging="302" w:firstLineChars="0"/>
        <w:rPr>
          <w:rFonts w:ascii="Times New Roman" w:hAnsi="Times New Roman" w:eastAsia="宋体" w:cs="宋体"/>
          <w:kern w:val="0"/>
          <w:sz w:val="24"/>
        </w:rPr>
      </w:pPr>
      <w:r>
        <w:rPr>
          <w:rFonts w:hint="eastAsia" w:ascii="Times New Roman" w:hAnsi="Times New Roman" w:eastAsia="宋体" w:cs="宋体"/>
          <w:kern w:val="0"/>
          <w:sz w:val="24"/>
        </w:rPr>
        <w:t>支撑视频会议系统、即时通讯系统同时在线用户数500人，</w:t>
      </w:r>
      <w:r>
        <w:rPr>
          <w:rFonts w:hint="eastAsia" w:ascii="Times New Roman" w:hAnsi="Times New Roman" w:eastAsia="宋体" w:cs="宋体"/>
          <w:kern w:val="0"/>
          <w:sz w:val="24"/>
          <w:lang w:val="en-US" w:eastAsia="zh-CN"/>
        </w:rPr>
        <w:t>政协</w:t>
      </w:r>
      <w:r>
        <w:rPr>
          <w:rFonts w:hint="eastAsia" w:ascii="Times New Roman" w:hAnsi="Times New Roman" w:eastAsia="宋体" w:cs="宋体"/>
          <w:kern w:val="0"/>
          <w:sz w:val="24"/>
        </w:rPr>
        <w:t>业务系统同时在线用户数1000人。</w:t>
      </w:r>
    </w:p>
    <w:p w14:paraId="7E9FE40C">
      <w:pPr>
        <w:widowControl/>
        <w:numPr>
          <w:ilvl w:val="1"/>
          <w:numId w:val="110"/>
        </w:numPr>
        <w:spacing w:line="360" w:lineRule="auto"/>
        <w:ind w:left="851" w:hanging="302" w:firstLineChars="0"/>
        <w:rPr>
          <w:rFonts w:hint="eastAsia" w:ascii="Times New Roman" w:hAnsi="Times New Roman" w:eastAsia="宋体" w:cs="宋体"/>
          <w:kern w:val="0"/>
          <w:sz w:val="24"/>
        </w:rPr>
      </w:pPr>
      <w:r>
        <w:rPr>
          <w:rFonts w:hint="eastAsia" w:ascii="Times New Roman" w:hAnsi="Times New Roman" w:eastAsia="宋体" w:cs="宋体"/>
          <w:kern w:val="0"/>
          <w:sz w:val="24"/>
        </w:rPr>
        <w:t>支撑视频会议系统、即时通讯系统200</w:t>
      </w:r>
      <w:r>
        <w:rPr>
          <w:rFonts w:hint="eastAsia" w:ascii="Times New Roman" w:hAnsi="Times New Roman" w:eastAsia="宋体" w:cs="宋体"/>
          <w:kern w:val="0"/>
          <w:sz w:val="24"/>
          <w:lang w:val="en-US" w:eastAsia="zh-CN"/>
        </w:rPr>
        <w:t>连接数</w:t>
      </w:r>
      <w:r>
        <w:rPr>
          <w:rFonts w:hint="eastAsia" w:ascii="Times New Roman" w:hAnsi="Times New Roman" w:eastAsia="宋体" w:cs="宋体"/>
          <w:kern w:val="0"/>
          <w:sz w:val="24"/>
        </w:rPr>
        <w:t>同时并发访问系统，</w:t>
      </w:r>
      <w:r>
        <w:rPr>
          <w:rFonts w:hint="eastAsia" w:ascii="Times New Roman" w:hAnsi="Times New Roman" w:eastAsia="宋体" w:cs="宋体"/>
          <w:kern w:val="0"/>
          <w:sz w:val="24"/>
          <w:lang w:val="en-US" w:eastAsia="zh-CN"/>
        </w:rPr>
        <w:t>政协</w:t>
      </w:r>
      <w:r>
        <w:rPr>
          <w:rFonts w:hint="eastAsia" w:ascii="Times New Roman" w:hAnsi="Times New Roman" w:eastAsia="宋体" w:cs="宋体"/>
          <w:kern w:val="0"/>
          <w:sz w:val="24"/>
        </w:rPr>
        <w:t>业务系统</w:t>
      </w:r>
      <w:r>
        <w:rPr>
          <w:rFonts w:hint="eastAsia" w:ascii="Times New Roman" w:hAnsi="Times New Roman" w:eastAsia="宋体" w:cs="宋体"/>
          <w:kern w:val="0"/>
          <w:sz w:val="24"/>
          <w:lang w:val="en-US" w:eastAsia="zh-CN"/>
        </w:rPr>
        <w:t>100连接数</w:t>
      </w:r>
      <w:r>
        <w:rPr>
          <w:rFonts w:hint="eastAsia" w:ascii="Times New Roman" w:hAnsi="Times New Roman" w:eastAsia="宋体" w:cs="宋体"/>
          <w:kern w:val="0"/>
          <w:sz w:val="24"/>
        </w:rPr>
        <w:t>同时并发访问。</w:t>
      </w:r>
    </w:p>
    <w:p w14:paraId="1B7FE90F">
      <w:pPr>
        <w:keepNext w:val="0"/>
        <w:keepLines w:val="0"/>
        <w:pageBreakBefore w:val="0"/>
        <w:widowControl/>
        <w:numPr>
          <w:ilvl w:val="0"/>
          <w:numId w:val="10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可靠性要求</w:t>
      </w:r>
    </w:p>
    <w:p w14:paraId="47AD05F6">
      <w:pPr>
        <w:widowControl/>
        <w:spacing w:line="360" w:lineRule="auto"/>
        <w:ind w:firstLine="570" w:firstLineChars="230"/>
        <w:rPr>
          <w:rFonts w:hint="eastAsia" w:ascii="Times New Roman" w:hAnsi="Times New Roman" w:eastAsia="宋体" w:cs="宋体"/>
          <w:kern w:val="0"/>
          <w:sz w:val="24"/>
        </w:rPr>
      </w:pPr>
      <w:r>
        <w:rPr>
          <w:rFonts w:hint="eastAsia" w:ascii="Times New Roman" w:hAnsi="Times New Roman" w:eastAsia="宋体" w:cs="宋体"/>
          <w:kern w:val="0"/>
          <w:sz w:val="24"/>
        </w:rPr>
        <w:t>西安数字政协平台应用功能运行正常，出错率低于1%，系统运行支持7x24小时，可靠性到达99%。</w:t>
      </w:r>
    </w:p>
    <w:p w14:paraId="3BBB1844">
      <w:pPr>
        <w:keepNext w:val="0"/>
        <w:keepLines w:val="0"/>
        <w:pageBreakBefore w:val="0"/>
        <w:widowControl/>
        <w:numPr>
          <w:ilvl w:val="0"/>
          <w:numId w:val="10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稳定性要求</w:t>
      </w:r>
    </w:p>
    <w:p w14:paraId="11920DDC">
      <w:pPr>
        <w:widowControl/>
        <w:spacing w:line="360" w:lineRule="auto"/>
        <w:ind w:firstLine="570" w:firstLineChars="230"/>
        <w:rPr>
          <w:rFonts w:ascii="Times New Roman" w:hAnsi="Times New Roman" w:eastAsia="宋体" w:cs="宋体"/>
          <w:kern w:val="0"/>
          <w:sz w:val="24"/>
        </w:rPr>
      </w:pPr>
      <w:r>
        <w:rPr>
          <w:rFonts w:hint="eastAsia" w:ascii="Times New Roman" w:hAnsi="Times New Roman" w:eastAsia="宋体" w:cs="宋体"/>
          <w:kern w:val="0"/>
          <w:sz w:val="24"/>
        </w:rPr>
        <w:t>平台需稳定运行，要求系统意外故障恢复时间不大于1小时。</w:t>
      </w:r>
    </w:p>
    <w:p w14:paraId="36D41DF4">
      <w:pPr>
        <w:keepNext w:val="0"/>
        <w:keepLines w:val="0"/>
        <w:pageBreakBefore w:val="0"/>
        <w:widowControl/>
        <w:numPr>
          <w:ilvl w:val="0"/>
          <w:numId w:val="106"/>
        </w:numPr>
        <w:kinsoku/>
        <w:wordWrap/>
        <w:overflowPunct/>
        <w:topLinePunct w:val="0"/>
        <w:autoSpaceDE/>
        <w:autoSpaceDN/>
        <w:bidi w:val="0"/>
        <w:adjustRightInd/>
        <w:snapToGrid/>
        <w:spacing w:line="360" w:lineRule="auto"/>
        <w:ind w:left="0" w:leftChars="0" w:firstLine="496" w:firstLineChars="200"/>
        <w:textAlignment w:val="auto"/>
        <w:rPr>
          <w:rFonts w:hint="eastAsia" w:ascii="Times New Roman" w:hAnsi="Times New Roman" w:eastAsia="宋体" w:cs="宋体"/>
          <w:b w:val="0"/>
          <w:bCs w:val="0"/>
          <w:kern w:val="0"/>
          <w:sz w:val="24"/>
          <w:lang w:val="en-US" w:eastAsia="zh-CN"/>
        </w:rPr>
      </w:pPr>
      <w:r>
        <w:rPr>
          <w:rFonts w:hint="eastAsia" w:ascii="Times New Roman" w:hAnsi="Times New Roman" w:eastAsia="宋体" w:cs="宋体"/>
          <w:b w:val="0"/>
          <w:bCs w:val="0"/>
          <w:kern w:val="0"/>
          <w:sz w:val="24"/>
          <w:lang w:val="en-US" w:eastAsia="zh-CN"/>
        </w:rPr>
        <w:t>可扩展性要求</w:t>
      </w:r>
    </w:p>
    <w:p w14:paraId="55101BDC">
      <w:pPr>
        <w:widowControl/>
        <w:spacing w:line="360" w:lineRule="auto"/>
        <w:ind w:firstLine="496" w:firstLineChars="200"/>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（1）在硬件条件满足的情况下，并发处理能力应该近似线性增长。</w:t>
      </w:r>
    </w:p>
    <w:p w14:paraId="7C4776DD">
      <w:pPr>
        <w:widowControl/>
        <w:spacing w:line="360" w:lineRule="auto"/>
        <w:ind w:firstLine="496" w:firstLineChars="200"/>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（2）系统必须是构件化、面向对象的，可做到灵活扩展，对一些后续性的功能，能够方便进行扩充或者二次开发。</w:t>
      </w:r>
    </w:p>
    <w:p w14:paraId="06DFD504">
      <w:pPr>
        <w:pStyle w:val="2"/>
        <w:numPr>
          <w:ilvl w:val="3"/>
          <w:numId w:val="0"/>
        </w:numPr>
        <w:bidi w:val="0"/>
        <w:ind w:leftChars="0"/>
        <w:rPr>
          <w:rFonts w:hint="eastAsia" w:ascii="Arial" w:hAnsi="Arial"/>
          <w:lang w:val="en-US" w:eastAsia="zh-CN"/>
        </w:rPr>
      </w:pPr>
      <w:r>
        <w:rPr>
          <w:rStyle w:val="78"/>
          <w:rFonts w:hint="eastAsia"/>
          <w:bCs/>
          <w:lang w:val="en-US" w:eastAsia="zh-CN"/>
        </w:rPr>
        <w:t>5.3系统信创要求</w:t>
      </w:r>
      <w:r>
        <w:rPr>
          <w:rFonts w:hint="eastAsia" w:ascii="Arial" w:hAnsi="Arial"/>
          <w:lang w:val="en-US" w:eastAsia="zh-CN"/>
        </w:rPr>
        <w:t xml:space="preserve"> </w:t>
      </w:r>
    </w:p>
    <w:p w14:paraId="4AC993A4">
      <w:pPr>
        <w:widowControl/>
        <w:spacing w:line="360" w:lineRule="auto"/>
        <w:ind w:firstLine="570" w:firstLineChars="230"/>
        <w:rPr>
          <w:rFonts w:hint="eastAsia" w:ascii="Times New Roman" w:hAnsi="Times New Roman" w:eastAsia="宋体" w:cs="宋体"/>
          <w:kern w:val="0"/>
          <w:sz w:val="24"/>
        </w:rPr>
      </w:pPr>
      <w:r>
        <w:rPr>
          <w:rFonts w:hint="eastAsia" w:ascii="Times New Roman" w:hAnsi="Times New Roman" w:eastAsia="宋体" w:cs="宋体"/>
          <w:kern w:val="0"/>
          <w:sz w:val="24"/>
          <w:lang w:val="en-US" w:eastAsia="zh-CN"/>
        </w:rPr>
        <w:t>为了响应国家要求，提升平台安全性，从平台安全性、稳定性、易用性考虑，系统需满足国产化要求。</w:t>
      </w:r>
    </w:p>
    <w:p w14:paraId="2E1DEA0F">
      <w:pPr>
        <w:pStyle w:val="2"/>
        <w:numPr>
          <w:ilvl w:val="3"/>
          <w:numId w:val="0"/>
        </w:numPr>
        <w:bidi w:val="0"/>
        <w:ind w:leftChars="0"/>
        <w:rPr>
          <w:rFonts w:hint="eastAsia" w:ascii="Arial" w:hAnsi="Arial"/>
          <w:lang w:val="en-US" w:eastAsia="zh-CN"/>
        </w:rPr>
      </w:pPr>
      <w:r>
        <w:rPr>
          <w:rStyle w:val="78"/>
          <w:rFonts w:hint="eastAsia"/>
          <w:bCs/>
          <w:lang w:val="en-US" w:eastAsia="zh-CN"/>
        </w:rPr>
        <w:t>5.4系统安全设计要求</w:t>
      </w:r>
      <w:r>
        <w:rPr>
          <w:rFonts w:hint="eastAsia" w:ascii="Arial" w:hAnsi="Arial"/>
          <w:lang w:val="en-US" w:eastAsia="zh-CN"/>
        </w:rPr>
        <w:t xml:space="preserve"> </w:t>
      </w:r>
    </w:p>
    <w:p w14:paraId="62880021">
      <w:pPr>
        <w:widowControl/>
        <w:spacing w:line="360" w:lineRule="auto"/>
        <w:ind w:firstLine="570" w:firstLineChars="230"/>
        <w:rPr>
          <w:rFonts w:hint="eastAsia" w:ascii="Times New Roman" w:hAnsi="Times New Roman" w:eastAsia="宋体" w:cs="宋体"/>
          <w:kern w:val="0"/>
          <w:sz w:val="24"/>
        </w:rPr>
      </w:pPr>
      <w:r>
        <w:rPr>
          <w:rFonts w:hint="eastAsia" w:ascii="Times New Roman" w:hAnsi="Times New Roman" w:eastAsia="宋体" w:cs="宋体"/>
          <w:kern w:val="0"/>
          <w:sz w:val="24"/>
          <w:lang w:val="en-US" w:eastAsia="zh-CN"/>
        </w:rPr>
        <w:t>根据 GBT22240-2020《信息安全技术信息系统安全等级保护定级指南》等级保护相关管理文件，结合本项目的实际情况，西安市城市运行管理服务平台将采用等保三级设计，本项目部署于西安市政务云，安全防护依托于政务云建设的等保三级相关措施。</w:t>
      </w:r>
    </w:p>
    <w:p w14:paraId="6036606D">
      <w:pPr>
        <w:widowControl/>
        <w:spacing w:line="360" w:lineRule="auto"/>
        <w:ind w:firstLine="570" w:firstLineChars="230"/>
        <w:rPr>
          <w:rFonts w:hint="eastAsia" w:ascii="Times New Roman" w:hAnsi="Times New Roman" w:eastAsia="宋体" w:cs="宋体"/>
          <w:kern w:val="0"/>
          <w:sz w:val="24"/>
        </w:rPr>
      </w:pPr>
      <w:r>
        <w:rPr>
          <w:rFonts w:hint="eastAsia" w:ascii="Times New Roman" w:hAnsi="Times New Roman" w:eastAsia="宋体" w:cs="宋体"/>
          <w:kern w:val="0"/>
          <w:sz w:val="24"/>
          <w:lang w:val="en-US" w:eastAsia="zh-CN"/>
        </w:rPr>
        <w:t>关于信息化软件系统安全需满足数据安全、应用安全等等保三级相关要求，以保障本项目系统的安全可靠运行，投标供应商应按照以上要求，规划设计合理可行的信息化软件系统安全设计方案。</w:t>
      </w:r>
    </w:p>
    <w:p w14:paraId="7C2940B6">
      <w:pPr>
        <w:widowControl/>
        <w:spacing w:line="360" w:lineRule="auto"/>
        <w:ind w:firstLine="570" w:firstLineChars="230"/>
        <w:rPr>
          <w:rFonts w:hint="eastAsia" w:ascii="Times New Roman" w:hAnsi="Times New Roman" w:eastAsia="宋体" w:cs="宋体"/>
          <w:kern w:val="0"/>
          <w:sz w:val="24"/>
        </w:rPr>
      </w:pPr>
      <w:r>
        <w:rPr>
          <w:rFonts w:hint="eastAsia" w:ascii="Times New Roman" w:hAnsi="Times New Roman" w:eastAsia="宋体" w:cs="宋体"/>
          <w:kern w:val="0"/>
          <w:sz w:val="24"/>
          <w:lang w:val="en-US" w:eastAsia="zh-CN"/>
        </w:rPr>
        <w:t>本项目通过对接后调用政务云现有密码平台及密码设备，以满足本系统密码应用需求。主要包括调用安全认证网关、智能密码钥匙、国密浏览器等实现网络与通信安全及用户、设备身份鉴别；调用服务器密码机、签名验签服务器、时间戳服务器、密码服务管理平台，保障业务数据的机密性、完整性和抗抵赖保护。所用密码设备和软件系统由政务云密码支撑体系提供。</w:t>
      </w:r>
    </w:p>
    <w:p w14:paraId="636411BC">
      <w:pPr>
        <w:pStyle w:val="2"/>
        <w:numPr>
          <w:ilvl w:val="3"/>
          <w:numId w:val="0"/>
        </w:numPr>
        <w:bidi w:val="0"/>
        <w:ind w:leftChars="0"/>
        <w:rPr>
          <w:rFonts w:hint="eastAsia" w:ascii="Arial" w:hAnsi="Arial"/>
          <w:lang w:val="en-US" w:eastAsia="zh-CN"/>
        </w:rPr>
      </w:pPr>
      <w:r>
        <w:rPr>
          <w:rStyle w:val="78"/>
          <w:rFonts w:hint="eastAsia"/>
          <w:bCs/>
          <w:lang w:val="en-US" w:eastAsia="zh-CN"/>
        </w:rPr>
        <w:t>5.5备份要求</w:t>
      </w:r>
      <w:r>
        <w:rPr>
          <w:rFonts w:hint="eastAsia" w:ascii="Arial" w:hAnsi="Arial"/>
          <w:lang w:val="en-US" w:eastAsia="zh-CN"/>
        </w:rPr>
        <w:t xml:space="preserve"> </w:t>
      </w:r>
    </w:p>
    <w:p w14:paraId="59EA97F1">
      <w:pPr>
        <w:widowControl/>
        <w:spacing w:line="360" w:lineRule="auto"/>
        <w:ind w:firstLine="570" w:firstLineChars="230"/>
        <w:rPr>
          <w:rFonts w:hint="eastAsia" w:ascii="黑体" w:hAnsi="黑体" w:eastAsia="黑体" w:cs="黑体"/>
          <w:sz w:val="28"/>
          <w:szCs w:val="24"/>
          <w:lang w:val="en-US" w:eastAsia="zh-CN" w:bidi="ar-SA"/>
        </w:rPr>
      </w:pPr>
      <w:r>
        <w:rPr>
          <w:rFonts w:hint="eastAsia" w:ascii="Times New Roman" w:hAnsi="Times New Roman" w:eastAsia="宋体" w:cs="宋体"/>
          <w:kern w:val="0"/>
          <w:sz w:val="24"/>
          <w:lang w:val="en-US" w:eastAsia="zh-CN"/>
        </w:rPr>
        <w:t>为保证业务和数据的可靠性，充分考虑业务容灾和数据备份，需对系统数据的灾备进行设计，按照市数据局要求部署和备份，由数据局配合协调相关资源。</w:t>
      </w:r>
    </w:p>
    <w:p w14:paraId="060B11B4">
      <w:pPr>
        <w:rPr>
          <w:rFonts w:hint="eastAsia" w:ascii="宋体" w:hAnsi="宋体" w:eastAsia="宋体" w:cs="宋体"/>
          <w:highlight w:val="none"/>
        </w:rPr>
      </w:pPr>
      <w:r>
        <w:rPr>
          <w:rFonts w:hint="eastAsia" w:ascii="宋体" w:hAnsi="宋体" w:eastAsia="宋体" w:cs="宋体"/>
          <w:highlight w:val="none"/>
        </w:rPr>
        <w:br w:type="page"/>
      </w:r>
    </w:p>
    <w:p w14:paraId="5C5BB656">
      <w:pPr>
        <w:pStyle w:val="5"/>
        <w:bidi w:val="0"/>
        <w:rPr>
          <w:rFonts w:hint="eastAsia"/>
          <w:lang w:val="en-US" w:eastAsia="zh-CN"/>
        </w:rPr>
      </w:pPr>
      <w:r>
        <w:rPr>
          <w:rFonts w:hint="eastAsia"/>
          <w:lang w:val="en-US" w:eastAsia="zh-CN"/>
        </w:rPr>
        <w:t>（六）、采购清单</w:t>
      </w:r>
    </w:p>
    <w:p w14:paraId="57751277">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采购清单表</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1177"/>
        <w:gridCol w:w="1765"/>
        <w:gridCol w:w="4878"/>
      </w:tblGrid>
      <w:tr w14:paraId="373E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7"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B96C52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27" w:type="pct"/>
            <w:gridSpan w:val="2"/>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7DAA9A2">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品项</w:t>
            </w:r>
          </w:p>
        </w:tc>
        <w:tc>
          <w:tcPr>
            <w:tcW w:w="286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2AF1C09">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建设内容</w:t>
            </w:r>
          </w:p>
        </w:tc>
      </w:tr>
      <w:tr w14:paraId="04D8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852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B47D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rPr>
            </w:pPr>
            <w:r>
              <w:rPr>
                <w:rFonts w:hint="eastAsia" w:ascii="宋体" w:hAnsi="宋体" w:eastAsia="宋体" w:cs="宋体"/>
                <w:i w:val="0"/>
                <w:iCs w:val="0"/>
                <w:color w:val="000000"/>
                <w:kern w:val="0"/>
                <w:sz w:val="21"/>
                <w:szCs w:val="21"/>
                <w:u w:val="none"/>
                <w:lang w:val="en-US" w:eastAsia="zh-CN" w:bidi="ar"/>
              </w:rPr>
              <w:t>应用支撑服务中心</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7A0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统一门户管理</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166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开发PC端和移动端统一门户管理并整合优化PC端后台</w:t>
            </w:r>
          </w:p>
        </w:tc>
      </w:tr>
      <w:tr w14:paraId="5130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AB08E">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CE044">
            <w:pPr>
              <w:widowControl/>
              <w:spacing w:line="240" w:lineRule="auto"/>
              <w:ind w:firstLine="0" w:firstLineChars="0"/>
              <w:jc w:val="center"/>
              <w:rPr>
                <w:rFonts w:hint="eastAsia" w:ascii="宋体" w:hAnsi="宋体" w:eastAsia="宋体" w:cs="宋体"/>
                <w:i w:val="0"/>
                <w:iCs w:val="0"/>
                <w:color w:val="000000"/>
                <w:kern w:val="0"/>
                <w:sz w:val="21"/>
                <w:szCs w:val="21"/>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AB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统一用户体系</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F3B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建立统一门户、统一用户、业务支撑服务组件等</w:t>
            </w:r>
          </w:p>
        </w:tc>
      </w:tr>
      <w:tr w14:paraId="7373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4A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62FD">
            <w:pPr>
              <w:widowControl/>
              <w:spacing w:line="240" w:lineRule="auto"/>
              <w:ind w:firstLine="0" w:firstLineChars="0"/>
              <w:jc w:val="center"/>
              <w:rPr>
                <w:rFonts w:hint="eastAsia" w:ascii="宋体" w:hAnsi="宋体" w:eastAsia="宋体" w:cs="宋体"/>
                <w:i w:val="0"/>
                <w:iCs w:val="0"/>
                <w:color w:val="000000"/>
                <w:kern w:val="0"/>
                <w:sz w:val="21"/>
                <w:szCs w:val="21"/>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B7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基础支撑组件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860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提供算法模型后台服务组件、日志服务、模板引擎、接口管理后台服务组件、任务调度后台服务组件、文件服务、流程引擎、消息服务、业务数据交换服务、即时消息服务、规则引擎、查重服务</w:t>
            </w:r>
          </w:p>
        </w:tc>
      </w:tr>
      <w:tr w14:paraId="550B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FA6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95AB">
            <w:pPr>
              <w:widowControl/>
              <w:spacing w:line="240" w:lineRule="auto"/>
              <w:ind w:firstLine="0" w:firstLineChars="0"/>
              <w:jc w:val="center"/>
              <w:rPr>
                <w:rFonts w:hint="eastAsia" w:ascii="宋体" w:hAnsi="宋体" w:eastAsia="宋体" w:cs="宋体"/>
                <w:i w:val="0"/>
                <w:iCs w:val="0"/>
                <w:color w:val="000000"/>
                <w:kern w:val="0"/>
                <w:sz w:val="21"/>
                <w:szCs w:val="21"/>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EDE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基础应用组件</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4A83">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文本编辑控件、可视化渲染引擎、远程协商服务、直播流媒体服务、实时语音转写服务</w:t>
            </w:r>
          </w:p>
        </w:tc>
      </w:tr>
      <w:tr w14:paraId="2EF4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8EE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082D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Ai智能小助手</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A6F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建设知识库管理平台、数据分析平台、通用管理系统、智能对话系统，实现智能咨询、满意度收集</w:t>
            </w:r>
          </w:p>
        </w:tc>
      </w:tr>
      <w:tr w14:paraId="24DB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F46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FD4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履职在线</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543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履职管理系统</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3C7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建设履职管理系统，包括我的履职、履职管理、综合分析、配置管理等功能，以及履职在线委员移动端、履职在线管理移动端</w:t>
            </w:r>
          </w:p>
        </w:tc>
      </w:tr>
      <w:tr w14:paraId="09EA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9C1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01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提案在线</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61D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提案管理系统</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D78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提案管理系统，包括提案工作台、提案提出、提案审查和处理、提案办理、评议表彰、重点提案协办督办、服务管理、提案查询统计等功能，以及移动端提案者功能、提案委功能、两办单位功能、承办单位功能，含历史数据迁移及测试</w:t>
            </w:r>
          </w:p>
        </w:tc>
      </w:tr>
      <w:tr w14:paraId="52D4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BC2F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E3D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社情民意在线</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7B2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社情民意管理系统</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C9B0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开发建设社情民意管理系统，包含社情民意工作台、信息征集、信息编辑、采用反馈、转提案线索信息、社情民意期刊、查询统计、交流互动、系统设置等功能，以及移动端上报端功能、管理端功能、领导端功能</w:t>
            </w:r>
          </w:p>
        </w:tc>
      </w:tr>
      <w:tr w14:paraId="0BAF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5C2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48A7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协商在线</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9C0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智能会议管理系统</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7C1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提供两会会议智能服务，包括PC端、移动端，包含通知管理、全体会议管理、视频会议系统、数据全会通信息、全会服务站管理、酒店住宿管理、会议资料管理</w:t>
            </w:r>
          </w:p>
        </w:tc>
      </w:tr>
      <w:tr w14:paraId="704D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722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7841">
            <w:pPr>
              <w:widowControl/>
              <w:spacing w:line="240" w:lineRule="auto"/>
              <w:ind w:firstLine="0" w:firstLineChars="0"/>
              <w:jc w:val="center"/>
              <w:rPr>
                <w:rFonts w:hint="eastAsia" w:ascii="宋体" w:hAnsi="宋体" w:eastAsia="宋体" w:cs="宋体"/>
                <w:i w:val="0"/>
                <w:iCs w:val="0"/>
                <w:color w:val="000000"/>
                <w:kern w:val="0"/>
                <w:sz w:val="21"/>
                <w:szCs w:val="21"/>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DE9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协商议政系统</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CB4A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建设协商工作台，包括选定协商议题、开展调查研究、组织协商活动、综合运用成果、促进成果转化、协商配置管理等功能，同时建设协商议政市局移动端、委员移动端、群众移动端以及活动使用的协商码</w:t>
            </w:r>
          </w:p>
        </w:tc>
      </w:tr>
      <w:tr w14:paraId="5788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C049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9F0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学习在线</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50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数字文史馆</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0578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对数字文史馆功能开发建设，包括西安文史、工作信息、文史征集、文史资料、书画院、栏目管理、内容管理、全站检索以及移动端相应功能，包括文史资料、文史征集、书画院等</w:t>
            </w:r>
          </w:p>
        </w:tc>
      </w:tr>
      <w:tr w14:paraId="365C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B60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C81C0">
            <w:pPr>
              <w:widowControl/>
              <w:spacing w:line="240" w:lineRule="auto"/>
              <w:ind w:firstLine="0" w:firstLineChars="0"/>
              <w:jc w:val="center"/>
              <w:rPr>
                <w:rFonts w:hint="eastAsia" w:ascii="宋体" w:hAnsi="宋体" w:eastAsia="宋体" w:cs="宋体"/>
                <w:i w:val="0"/>
                <w:iCs w:val="0"/>
                <w:color w:val="000000"/>
                <w:kern w:val="0"/>
                <w:sz w:val="21"/>
                <w:szCs w:val="21"/>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E5B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政协书院</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A7C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包括栏目管理、权限管理、我的书院、模型管理、模板管理，移动端提供工作信息、文化大讲堂、委员报告会、政协书库等功能</w:t>
            </w:r>
          </w:p>
        </w:tc>
      </w:tr>
      <w:tr w14:paraId="1CD3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FF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8D2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数智管理平台</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80A4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数智管理展现、一键搜、数智管理分析</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393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提供委员履职视窗、数智管理分析；通过可视化图表和数据动态分析，展示西安数字政协履职全景，完成提案专题视窗、社情民意专题视窗、一键搜以及平台使用情况统计</w:t>
            </w:r>
          </w:p>
        </w:tc>
      </w:tr>
      <w:tr w14:paraId="690F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676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704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数字化基座</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7B0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数据管理平台</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B7EB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建立政协基础库、业务库和文书库等，具备数据源管理、数据采集、数据资源目录管理以及数据治理管理能力，数据指标模型管理和数据服务平台</w:t>
            </w:r>
          </w:p>
        </w:tc>
      </w:tr>
      <w:tr w14:paraId="3BC4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B9F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0F8C0">
            <w:pPr>
              <w:widowControl/>
              <w:spacing w:line="240" w:lineRule="auto"/>
              <w:ind w:firstLine="0" w:firstLineChars="0"/>
              <w:jc w:val="center"/>
              <w:rPr>
                <w:rFonts w:hint="eastAsia" w:ascii="宋体" w:hAnsi="宋体" w:eastAsia="宋体" w:cs="宋体"/>
                <w:i w:val="0"/>
                <w:iCs w:val="0"/>
                <w:color w:val="000000"/>
                <w:kern w:val="0"/>
                <w:sz w:val="21"/>
                <w:szCs w:val="21"/>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8A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数据处理服务</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336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lang w:val="en-US"/>
              </w:rPr>
            </w:pPr>
            <w:r>
              <w:rPr>
                <w:rFonts w:hint="eastAsia" w:ascii="宋体" w:hAnsi="宋体" w:eastAsia="宋体" w:cs="宋体"/>
                <w:i w:val="0"/>
                <w:iCs w:val="0"/>
                <w:color w:val="000000"/>
                <w:kern w:val="0"/>
                <w:sz w:val="21"/>
                <w:szCs w:val="21"/>
                <w:u w:val="none"/>
                <w:lang w:val="en-US" w:eastAsia="zh-CN" w:bidi="ar"/>
              </w:rPr>
              <w:t>标准规范体系建设、数据采集汇聚、数据治理、数据管理、数据共享服务、数据资源中心建设</w:t>
            </w:r>
          </w:p>
        </w:tc>
      </w:tr>
      <w:tr w14:paraId="698A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63B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87AE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历史数据迁移</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7C0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完成原系统提案信息等历史数据的迁移</w:t>
            </w:r>
          </w:p>
        </w:tc>
      </w:tr>
      <w:tr w14:paraId="7F22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9E6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1882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外部对接</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50B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与市级数据共享交换平台、秦商量、市级12345市民热线平台、县区政协实现、无纸化会议系统对接，完成数据交互。</w:t>
            </w:r>
          </w:p>
        </w:tc>
      </w:tr>
    </w:tbl>
    <w:p w14:paraId="47056501">
      <w:r>
        <w:br w:type="page"/>
      </w:r>
    </w:p>
    <w:p w14:paraId="319DDA4F">
      <w:pPr>
        <w:pStyle w:val="3"/>
        <w:numPr>
          <w:ilvl w:val="255"/>
          <w:numId w:val="0"/>
        </w:numPr>
        <w:rPr>
          <w:rFonts w:ascii="宋体" w:hAnsi="宋体" w:eastAsia="宋体" w:cs="宋体"/>
          <w:highlight w:val="none"/>
        </w:rPr>
      </w:pPr>
      <w:r>
        <w:rPr>
          <w:rFonts w:hint="eastAsia" w:ascii="宋体" w:hAnsi="宋体" w:eastAsia="宋体" w:cs="宋体"/>
          <w:highlight w:val="none"/>
        </w:rPr>
        <w:t>第四章 合同文本</w:t>
      </w:r>
      <w:bookmarkEnd w:id="77"/>
    </w:p>
    <w:p w14:paraId="2F351005">
      <w:pPr>
        <w:spacing w:line="480" w:lineRule="auto"/>
        <w:jc w:val="center"/>
        <w:rPr>
          <w:rFonts w:ascii="宋体" w:hAnsi="宋体" w:eastAsia="宋体" w:cs="宋体"/>
          <w:b/>
          <w:bCs/>
          <w:sz w:val="44"/>
          <w:szCs w:val="44"/>
          <w:highlight w:val="none"/>
        </w:rPr>
      </w:pPr>
    </w:p>
    <w:p w14:paraId="2096F89A">
      <w:pPr>
        <w:spacing w:line="480" w:lineRule="auto"/>
        <w:jc w:val="center"/>
        <w:rPr>
          <w:rFonts w:ascii="宋体" w:hAnsi="宋体" w:eastAsia="宋体" w:cs="宋体"/>
          <w:b/>
          <w:bCs/>
          <w:sz w:val="44"/>
          <w:szCs w:val="44"/>
          <w:highlight w:val="none"/>
        </w:rPr>
      </w:pPr>
    </w:p>
    <w:p w14:paraId="16ACE973">
      <w:pPr>
        <w:jc w:val="center"/>
        <w:rPr>
          <w:rFonts w:ascii="宋体" w:hAnsi="宋体" w:eastAsia="宋体" w:cs="宋体"/>
          <w:b/>
          <w:sz w:val="28"/>
          <w:szCs w:val="28"/>
          <w:highlight w:val="none"/>
        </w:rPr>
      </w:pPr>
      <w:r>
        <w:rPr>
          <w:rFonts w:hint="eastAsia" w:ascii="宋体" w:hAnsi="宋体" w:eastAsia="宋体" w:cs="宋体"/>
          <w:b/>
          <w:sz w:val="28"/>
          <w:szCs w:val="28"/>
          <w:highlight w:val="none"/>
        </w:rPr>
        <w:t>中国人民政治协商会议西安市委员会办公厅</w:t>
      </w:r>
    </w:p>
    <w:p w14:paraId="2E3414BA">
      <w:pPr>
        <w:jc w:val="center"/>
        <w:rPr>
          <w:rFonts w:ascii="宋体" w:hAnsi="宋体" w:eastAsia="宋体" w:cs="宋体"/>
          <w:highlight w:val="none"/>
        </w:rPr>
      </w:pPr>
      <w:r>
        <w:rPr>
          <w:rFonts w:hint="eastAsia" w:ascii="宋体" w:hAnsi="宋体" w:eastAsia="宋体" w:cs="宋体"/>
          <w:b/>
          <w:sz w:val="28"/>
          <w:szCs w:val="28"/>
          <w:highlight w:val="none"/>
        </w:rPr>
        <w:t>西安市“数字政协”项目</w:t>
      </w:r>
    </w:p>
    <w:p w14:paraId="0836C20F">
      <w:pPr>
        <w:jc w:val="center"/>
        <w:rPr>
          <w:rFonts w:ascii="宋体" w:hAnsi="宋体" w:eastAsia="宋体" w:cs="宋体"/>
          <w:highlight w:val="none"/>
        </w:rPr>
      </w:pPr>
    </w:p>
    <w:p w14:paraId="1F698131">
      <w:pPr>
        <w:jc w:val="center"/>
        <w:rPr>
          <w:rFonts w:ascii="宋体" w:hAnsi="宋体" w:eastAsia="宋体" w:cs="宋体"/>
          <w:highlight w:val="none"/>
        </w:rPr>
      </w:pPr>
    </w:p>
    <w:p w14:paraId="01B6E91F">
      <w:pPr>
        <w:jc w:val="center"/>
        <w:rPr>
          <w:rFonts w:ascii="宋体" w:hAnsi="宋体" w:eastAsia="宋体" w:cs="宋体"/>
          <w:highlight w:val="none"/>
        </w:rPr>
      </w:pPr>
    </w:p>
    <w:p w14:paraId="7E6B56C6">
      <w:pPr>
        <w:jc w:val="center"/>
        <w:rPr>
          <w:rFonts w:ascii="宋体" w:hAnsi="宋体" w:eastAsia="宋体" w:cs="宋体"/>
          <w:highlight w:val="none"/>
        </w:rPr>
      </w:pPr>
    </w:p>
    <w:p w14:paraId="09917FEE">
      <w:pPr>
        <w:jc w:val="center"/>
        <w:rPr>
          <w:rFonts w:ascii="宋体" w:hAnsi="宋体" w:eastAsia="宋体" w:cs="宋体"/>
          <w:highlight w:val="none"/>
        </w:rPr>
      </w:pPr>
    </w:p>
    <w:p w14:paraId="74E1CF89">
      <w:pPr>
        <w:jc w:val="center"/>
        <w:rPr>
          <w:rFonts w:ascii="宋体" w:hAnsi="宋体" w:eastAsia="宋体" w:cs="宋体"/>
          <w:highlight w:val="none"/>
        </w:rPr>
      </w:pPr>
    </w:p>
    <w:p w14:paraId="5924CFCF">
      <w:pPr>
        <w:jc w:val="center"/>
        <w:rPr>
          <w:rFonts w:ascii="宋体" w:hAnsi="宋体" w:eastAsia="宋体" w:cs="宋体"/>
          <w:highlight w:val="none"/>
        </w:rPr>
      </w:pPr>
    </w:p>
    <w:p w14:paraId="38E4C7E0">
      <w:pPr>
        <w:jc w:val="center"/>
        <w:rPr>
          <w:rFonts w:ascii="宋体" w:hAnsi="宋体" w:eastAsia="宋体" w:cs="宋体"/>
          <w:highlight w:val="none"/>
        </w:rPr>
      </w:pPr>
    </w:p>
    <w:p w14:paraId="639A3CB7">
      <w:pPr>
        <w:jc w:val="center"/>
        <w:rPr>
          <w:rFonts w:ascii="宋体" w:hAnsi="宋体" w:eastAsia="宋体" w:cs="宋体"/>
          <w:highlight w:val="none"/>
        </w:rPr>
      </w:pPr>
    </w:p>
    <w:p w14:paraId="1316638A">
      <w:pPr>
        <w:jc w:val="center"/>
        <w:rPr>
          <w:rFonts w:ascii="宋体" w:hAnsi="宋体" w:eastAsia="宋体" w:cs="宋体"/>
          <w:highlight w:val="none"/>
        </w:rPr>
      </w:pPr>
    </w:p>
    <w:p w14:paraId="4BFF8BC0">
      <w:pPr>
        <w:jc w:val="center"/>
        <w:rPr>
          <w:rFonts w:ascii="宋体" w:hAnsi="宋体" w:eastAsia="宋体" w:cs="宋体"/>
          <w:highlight w:val="none"/>
        </w:rPr>
      </w:pPr>
    </w:p>
    <w:p w14:paraId="50D27F4F">
      <w:pPr>
        <w:rPr>
          <w:rFonts w:ascii="宋体" w:hAnsi="宋体" w:eastAsia="宋体" w:cs="宋体"/>
          <w:highlight w:val="none"/>
        </w:rPr>
      </w:pPr>
    </w:p>
    <w:p w14:paraId="60941BAD">
      <w:pPr>
        <w:spacing w:line="480" w:lineRule="auto"/>
        <w:ind w:firstLine="2304" w:firstLineChars="800"/>
        <w:rPr>
          <w:rFonts w:ascii="宋体" w:hAnsi="宋体" w:eastAsia="宋体" w:cs="宋体"/>
          <w:sz w:val="28"/>
          <w:szCs w:val="28"/>
          <w:highlight w:val="none"/>
        </w:rPr>
      </w:pPr>
      <w:r>
        <w:rPr>
          <w:rFonts w:hint="eastAsia" w:ascii="宋体" w:hAnsi="宋体" w:eastAsia="宋体" w:cs="宋体"/>
          <w:sz w:val="28"/>
          <w:szCs w:val="28"/>
          <w:highlight w:val="none"/>
        </w:rPr>
        <w:t>项目编号：SXWZ2024ZB-SZX-265</w:t>
      </w:r>
    </w:p>
    <w:p w14:paraId="34E167FA">
      <w:pPr>
        <w:spacing w:line="480" w:lineRule="auto"/>
        <w:ind w:firstLine="2304" w:firstLineChars="800"/>
        <w:rPr>
          <w:rFonts w:ascii="宋体" w:hAnsi="宋体" w:eastAsia="宋体" w:cs="宋体"/>
          <w:sz w:val="28"/>
          <w:szCs w:val="28"/>
          <w:highlight w:val="none"/>
        </w:rPr>
      </w:pPr>
      <w:r>
        <w:rPr>
          <w:rFonts w:hint="eastAsia" w:ascii="宋体" w:hAnsi="宋体" w:eastAsia="宋体" w:cs="宋体"/>
          <w:sz w:val="28"/>
          <w:szCs w:val="28"/>
          <w:highlight w:val="none"/>
        </w:rPr>
        <w:t>甲    方：</w:t>
      </w:r>
    </w:p>
    <w:p w14:paraId="1603E96A">
      <w:pPr>
        <w:spacing w:line="480" w:lineRule="auto"/>
        <w:ind w:firstLine="2304" w:firstLineChars="800"/>
        <w:rPr>
          <w:rFonts w:ascii="宋体" w:hAnsi="宋体" w:eastAsia="宋体" w:cs="宋体"/>
          <w:sz w:val="28"/>
          <w:szCs w:val="28"/>
          <w:highlight w:val="none"/>
        </w:rPr>
      </w:pPr>
      <w:r>
        <w:rPr>
          <w:rFonts w:hint="eastAsia" w:ascii="宋体" w:hAnsi="宋体" w:eastAsia="宋体" w:cs="宋体"/>
          <w:sz w:val="28"/>
          <w:szCs w:val="28"/>
          <w:highlight w:val="none"/>
        </w:rPr>
        <w:t>乙    方：</w:t>
      </w:r>
    </w:p>
    <w:p w14:paraId="1F0E3A44">
      <w:pPr>
        <w:spacing w:line="480" w:lineRule="auto"/>
        <w:ind w:firstLine="2304" w:firstLineChars="800"/>
        <w:rPr>
          <w:rFonts w:ascii="宋体" w:hAnsi="宋体" w:eastAsia="宋体" w:cs="宋体"/>
          <w:sz w:val="28"/>
          <w:szCs w:val="28"/>
          <w:highlight w:val="none"/>
        </w:rPr>
      </w:pPr>
      <w:r>
        <w:rPr>
          <w:rFonts w:hint="eastAsia" w:ascii="宋体" w:hAnsi="宋体" w:eastAsia="宋体" w:cs="宋体"/>
          <w:sz w:val="28"/>
          <w:szCs w:val="28"/>
          <w:highlight w:val="none"/>
        </w:rPr>
        <w:t>鉴 证 方：</w:t>
      </w:r>
    </w:p>
    <w:p w14:paraId="20E62BBE">
      <w:pPr>
        <w:rPr>
          <w:rFonts w:ascii="宋体" w:hAnsi="宋体" w:eastAsia="宋体" w:cs="宋体"/>
          <w:b/>
          <w:sz w:val="32"/>
          <w:szCs w:val="32"/>
          <w:highlight w:val="none"/>
        </w:rPr>
      </w:pPr>
    </w:p>
    <w:p w14:paraId="13AC5C6B">
      <w:pPr>
        <w:rPr>
          <w:rFonts w:ascii="宋体" w:hAnsi="宋体" w:eastAsia="宋体" w:cs="宋体"/>
          <w:highlight w:val="none"/>
        </w:rPr>
      </w:pPr>
    </w:p>
    <w:p w14:paraId="639E9685">
      <w:pPr>
        <w:adjustRightInd w:val="0"/>
        <w:snapToGrid w:val="0"/>
        <w:rPr>
          <w:rFonts w:ascii="宋体" w:hAnsi="宋体" w:eastAsia="宋体" w:cs="宋体"/>
          <w:sz w:val="28"/>
          <w:szCs w:val="28"/>
          <w:highlight w:val="none"/>
        </w:rPr>
      </w:pPr>
      <w:bookmarkStart w:id="166" w:name="_Toc26893"/>
      <w:bookmarkStart w:id="167" w:name="_Toc11252"/>
      <w:bookmarkStart w:id="168" w:name="_Toc32018"/>
      <w:bookmarkStart w:id="169" w:name="_Toc24356"/>
      <w:r>
        <w:rPr>
          <w:rFonts w:hint="eastAsia" w:ascii="宋体" w:hAnsi="宋体" w:eastAsia="宋体" w:cs="宋体"/>
          <w:b/>
          <w:highlight w:val="none"/>
          <w:u w:val="single"/>
        </w:rPr>
        <w:br w:type="page"/>
      </w:r>
      <w:bookmarkEnd w:id="166"/>
      <w:bookmarkEnd w:id="167"/>
      <w:bookmarkEnd w:id="168"/>
      <w:bookmarkEnd w:id="169"/>
      <w:r>
        <w:rPr>
          <w:rFonts w:hint="eastAsia" w:ascii="宋体" w:hAnsi="宋体" w:eastAsia="宋体" w:cs="宋体"/>
          <w:b/>
          <w:bCs/>
          <w:sz w:val="28"/>
          <w:szCs w:val="28"/>
          <w:highlight w:val="none"/>
        </w:rPr>
        <w:t xml:space="preserve">注：本合同仅为合同的参考文本，合同签订双方可根据项目的具体要求进行修订。 </w:t>
      </w:r>
      <w:r>
        <w:rPr>
          <w:rFonts w:hint="eastAsia" w:ascii="宋体" w:hAnsi="宋体" w:eastAsia="宋体" w:cs="宋体"/>
          <w:sz w:val="28"/>
          <w:szCs w:val="28"/>
          <w:highlight w:val="none"/>
        </w:rPr>
        <w:t xml:space="preserve">                   </w:t>
      </w:r>
    </w:p>
    <w:p w14:paraId="53D2869B">
      <w:pPr>
        <w:spacing w:before="395" w:beforeLines="100" w:after="395" w:afterLines="100" w:line="480" w:lineRule="exact"/>
        <w:jc w:val="center"/>
        <w:rPr>
          <w:rFonts w:ascii="宋体" w:hAnsi="宋体" w:eastAsia="宋体" w:cs="宋体"/>
          <w:sz w:val="28"/>
          <w:szCs w:val="28"/>
          <w:highlight w:val="none"/>
        </w:rPr>
      </w:pPr>
      <w:bookmarkStart w:id="170" w:name="_Toc30224_WPSOffice_Level1"/>
      <w:r>
        <w:rPr>
          <w:rFonts w:hint="eastAsia" w:ascii="宋体" w:hAnsi="宋体" w:eastAsia="宋体" w:cs="宋体"/>
          <w:b/>
          <w:sz w:val="28"/>
          <w:szCs w:val="28"/>
          <w:highlight w:val="none"/>
        </w:rPr>
        <w:t>合同主要条款</w:t>
      </w:r>
      <w:bookmarkEnd w:id="170"/>
    </w:p>
    <w:p w14:paraId="6A4C771E">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甲方：中国人民政治协商会议西安市委员会办公厅</w:t>
      </w:r>
    </w:p>
    <w:p w14:paraId="4628ACC7">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 xml:space="preserve">乙方：             </w:t>
      </w:r>
    </w:p>
    <w:p w14:paraId="1AF73879">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 xml:space="preserve">鉴证方：陕西万泽招标有限公司       </w:t>
      </w:r>
    </w:p>
    <w:p w14:paraId="580C69F3">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鉴证方就甲方所需服务，在西安市财政局政府采购管理处的监督管理下，按照政府采购程序组织公开招标采购，确定乙方为   项目(项目编号： )成交供应商。依据《中华人民共和国政府采购法》、《中华人民共和国民法典》以及公开招标采购文件、</w:t>
      </w:r>
      <w:r>
        <w:rPr>
          <w:rFonts w:hint="eastAsia" w:ascii="宋体" w:hAnsi="宋体" w:eastAsia="宋体" w:cs="宋体"/>
          <w:sz w:val="28"/>
          <w:szCs w:val="28"/>
          <w:highlight w:val="none"/>
          <w:lang w:val="en-US" w:eastAsia="zh-CN"/>
        </w:rPr>
        <w:t>中标</w:t>
      </w:r>
      <w:r>
        <w:rPr>
          <w:rFonts w:hint="eastAsia" w:ascii="宋体" w:hAnsi="宋体" w:eastAsia="宋体" w:cs="宋体"/>
          <w:sz w:val="28"/>
          <w:szCs w:val="28"/>
          <w:highlight w:val="none"/>
        </w:rPr>
        <w:t>通知书，经甲、乙双方协商，鉴证方确认,达成如下合同条款。</w:t>
      </w:r>
    </w:p>
    <w:p w14:paraId="3CF9F366">
      <w:pPr>
        <w:adjustRightInd w:val="0"/>
        <w:snapToGrid w:val="0"/>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　　一、政府采购合同文件</w:t>
      </w:r>
    </w:p>
    <w:p w14:paraId="24A62441">
      <w:pPr>
        <w:adjustRightInd w:val="0"/>
        <w:snapToGrid w:val="0"/>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 xml:space="preserve">    下列文件是构成本合同不可分割的部分：</w:t>
      </w:r>
    </w:p>
    <w:p w14:paraId="3704DE0B">
      <w:pPr>
        <w:adjustRightInd w:val="0"/>
        <w:snapToGrid w:val="0"/>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1.招标文件（招标文件编号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4D56E2E7">
      <w:pPr>
        <w:adjustRightInd w:val="0"/>
        <w:snapToGrid w:val="0"/>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2.招标文件的更正公告、变更公告；</w:t>
      </w:r>
    </w:p>
    <w:p w14:paraId="0E57525A">
      <w:pPr>
        <w:adjustRightInd w:val="0"/>
        <w:snapToGrid w:val="0"/>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3.中标供应商提交的投标文件；</w:t>
      </w:r>
    </w:p>
    <w:p w14:paraId="4E5F63FB">
      <w:pPr>
        <w:adjustRightInd w:val="0"/>
        <w:snapToGrid w:val="0"/>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4.中标通知书；</w:t>
      </w:r>
    </w:p>
    <w:p w14:paraId="4B32CB0A">
      <w:pPr>
        <w:adjustRightInd w:val="0"/>
        <w:snapToGrid w:val="0"/>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5.本合同及其补充合同、变更协议。</w:t>
      </w:r>
    </w:p>
    <w:p w14:paraId="501AF289">
      <w:pPr>
        <w:adjustRightInd w:val="0"/>
        <w:snapToGrid w:val="0"/>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　　二、合同标的</w:t>
      </w:r>
    </w:p>
    <w:p w14:paraId="2264D91F">
      <w:pPr>
        <w:adjustRightInd w:val="0"/>
        <w:snapToGrid w:val="0"/>
        <w:spacing w:line="360" w:lineRule="auto"/>
        <w:rPr>
          <w:rFonts w:ascii="宋体" w:hAnsi="宋体" w:eastAsia="宋体" w:cs="宋体"/>
          <w:sz w:val="28"/>
          <w:szCs w:val="28"/>
          <w:highlight w:val="none"/>
        </w:rPr>
      </w:pPr>
      <w:r>
        <w:rPr>
          <w:rFonts w:hint="eastAsia" w:ascii="宋体" w:hAnsi="宋体" w:eastAsia="宋体" w:cs="宋体"/>
          <w:sz w:val="28"/>
          <w:szCs w:val="28"/>
          <w:highlight w:val="none"/>
        </w:rPr>
        <w:t xml:space="preserve">    本合同的标的物内容及数量以响应文件正本和澄清表〈函〉为准。</w:t>
      </w:r>
    </w:p>
    <w:p w14:paraId="69AE007C">
      <w:pPr>
        <w:adjustRightInd w:val="0"/>
        <w:snapToGrid w:val="0"/>
        <w:spacing w:line="360" w:lineRule="auto"/>
        <w:ind w:firstLine="497" w:firstLineChars="173"/>
        <w:rPr>
          <w:rFonts w:ascii="宋体" w:hAnsi="宋体" w:eastAsia="宋体" w:cs="宋体"/>
          <w:sz w:val="28"/>
          <w:szCs w:val="28"/>
          <w:highlight w:val="none"/>
        </w:rPr>
      </w:pPr>
      <w:bookmarkStart w:id="171" w:name="_Toc14026"/>
      <w:bookmarkStart w:id="172" w:name="_Toc14446"/>
      <w:r>
        <w:rPr>
          <w:rFonts w:hint="eastAsia" w:ascii="宋体" w:hAnsi="宋体" w:eastAsia="宋体" w:cs="宋体"/>
          <w:sz w:val="28"/>
          <w:szCs w:val="28"/>
          <w:highlight w:val="none"/>
        </w:rPr>
        <w:t>三、服务时间和地点：</w:t>
      </w:r>
      <w:bookmarkEnd w:id="171"/>
      <w:bookmarkEnd w:id="172"/>
    </w:p>
    <w:p w14:paraId="1F370A40">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(一)服务地点：甲方指定地点</w:t>
      </w:r>
    </w:p>
    <w:p w14:paraId="4409F701">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(二)服务期：自合同签订之日起24个月</w:t>
      </w:r>
    </w:p>
    <w:p w14:paraId="4E9C58D8">
      <w:pPr>
        <w:adjustRightInd w:val="0"/>
        <w:snapToGrid w:val="0"/>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　　</w:t>
      </w:r>
    </w:p>
    <w:p w14:paraId="1B7E81C7">
      <w:pPr>
        <w:adjustRightInd w:val="0"/>
        <w:snapToGrid w:val="0"/>
        <w:spacing w:line="360" w:lineRule="auto"/>
        <w:ind w:firstLine="576" w:firstLineChars="200"/>
        <w:rPr>
          <w:rFonts w:ascii="宋体" w:hAnsi="宋体" w:eastAsia="宋体" w:cs="宋体"/>
          <w:b/>
          <w:sz w:val="28"/>
          <w:szCs w:val="28"/>
          <w:highlight w:val="none"/>
        </w:rPr>
      </w:pPr>
      <w:r>
        <w:rPr>
          <w:rFonts w:hint="eastAsia" w:ascii="宋体" w:hAnsi="宋体" w:eastAsia="宋体" w:cs="宋体"/>
          <w:b/>
          <w:sz w:val="28"/>
          <w:szCs w:val="28"/>
          <w:highlight w:val="none"/>
        </w:rPr>
        <w:t>四、政府采购合同金额</w:t>
      </w:r>
    </w:p>
    <w:p w14:paraId="0AFC2059">
      <w:pPr>
        <w:adjustRightInd w:val="0"/>
        <w:snapToGrid w:val="0"/>
        <w:spacing w:line="360" w:lineRule="auto"/>
        <w:ind w:left="12" w:leftChars="5" w:firstLine="483" w:firstLineChars="168"/>
        <w:rPr>
          <w:rFonts w:ascii="宋体" w:hAnsi="宋体" w:eastAsia="宋体" w:cs="宋体"/>
          <w:sz w:val="28"/>
          <w:szCs w:val="28"/>
          <w:highlight w:val="none"/>
        </w:rPr>
      </w:pPr>
      <w:r>
        <w:rPr>
          <w:rFonts w:hint="eastAsia" w:ascii="宋体" w:hAnsi="宋体" w:eastAsia="宋体" w:cs="宋体"/>
          <w:sz w:val="28"/>
          <w:szCs w:val="28"/>
          <w:highlight w:val="none"/>
        </w:rPr>
        <w:t>(一)合同总价款为人民币（大写）      元；￥  （小写）    元。</w:t>
      </w:r>
    </w:p>
    <w:p w14:paraId="47BEB5DC">
      <w:pPr>
        <w:adjustRightInd w:val="0"/>
        <w:snapToGrid w:val="0"/>
        <w:spacing w:line="360" w:lineRule="auto"/>
        <w:ind w:left="12" w:leftChars="5" w:firstLine="483" w:firstLineChars="168"/>
        <w:rPr>
          <w:rFonts w:ascii="宋体" w:hAnsi="宋体" w:eastAsia="宋体" w:cs="宋体"/>
          <w:sz w:val="28"/>
          <w:szCs w:val="28"/>
          <w:highlight w:val="none"/>
        </w:rPr>
      </w:pPr>
      <w:r>
        <w:rPr>
          <w:rFonts w:hint="eastAsia" w:ascii="宋体" w:hAnsi="宋体" w:eastAsia="宋体" w:cs="宋体"/>
          <w:sz w:val="28"/>
          <w:szCs w:val="28"/>
          <w:highlight w:val="none"/>
        </w:rPr>
        <w:t>(二)合同总价一次性包死，不受市场价格变化因素的影响。</w:t>
      </w:r>
    </w:p>
    <w:p w14:paraId="449F7BA1">
      <w:pPr>
        <w:adjustRightInd w:val="0"/>
        <w:snapToGrid w:val="0"/>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　  五、付款方式及条件</w:t>
      </w:r>
    </w:p>
    <w:p w14:paraId="64BFB09F">
      <w:pPr>
        <w:adjustRightInd w:val="0"/>
        <w:snapToGrid w:val="0"/>
        <w:spacing w:line="360" w:lineRule="auto"/>
        <w:ind w:firstLine="497" w:firstLineChars="173"/>
        <w:rPr>
          <w:rFonts w:ascii="宋体" w:hAnsi="宋体" w:eastAsia="宋体" w:cs="宋体"/>
          <w:bCs/>
          <w:sz w:val="28"/>
          <w:szCs w:val="28"/>
          <w:highlight w:val="none"/>
        </w:rPr>
      </w:pPr>
      <w:r>
        <w:rPr>
          <w:rFonts w:hint="eastAsia" w:ascii="宋体" w:hAnsi="宋体" w:eastAsia="宋体" w:cs="宋体"/>
          <w:bCs/>
          <w:sz w:val="28"/>
          <w:szCs w:val="28"/>
          <w:highlight w:val="none"/>
        </w:rPr>
        <w:t>（一）合同签订后30个工作日内，甲方向乙方支付项目合同价款的</w:t>
      </w:r>
      <w:r>
        <w:rPr>
          <w:rFonts w:hint="eastAsia" w:ascii="宋体" w:hAnsi="宋体" w:eastAsia="宋体" w:cs="宋体"/>
          <w:bCs/>
          <w:sz w:val="28"/>
          <w:szCs w:val="28"/>
          <w:highlight w:val="none"/>
          <w:lang w:val="en-US" w:eastAsia="zh-CN"/>
        </w:rPr>
        <w:t>5</w:t>
      </w:r>
      <w:r>
        <w:rPr>
          <w:rFonts w:hint="eastAsia" w:ascii="宋体" w:hAnsi="宋体" w:eastAsia="宋体" w:cs="宋体"/>
          <w:bCs/>
          <w:sz w:val="28"/>
          <w:szCs w:val="28"/>
          <w:highlight w:val="none"/>
        </w:rPr>
        <w:t>0%。即人民币（大写）     ；￥      元；服务期满10个月，采购人组织初次服务验收并通过后，扣除相关款项（根据合同约定的考核要求计算的服务不达标扣除款项等），采购人向中标服务商支付项目合同价款的</w:t>
      </w: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rPr>
        <w:t>0%，即人民币（大写）     ；￥      元；服务期结束后一个月内，采购人组织整体服务验收并通过后，扣除相关款项（根据合同约定的考核要求计算的服务不达标扣除款项等），采购人向中标服务商支付剩余合同价款（不超过</w:t>
      </w: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rPr>
        <w:t>0%）。即人民币（大写）     ；￥      元；。</w:t>
      </w:r>
    </w:p>
    <w:p w14:paraId="7FACCE52">
      <w:pPr>
        <w:adjustRightInd w:val="0"/>
        <w:snapToGrid w:val="0"/>
        <w:spacing w:line="360" w:lineRule="auto"/>
        <w:ind w:firstLine="497" w:firstLineChars="173"/>
        <w:rPr>
          <w:rFonts w:ascii="宋体" w:hAnsi="宋体" w:eastAsia="宋体" w:cs="宋体"/>
          <w:bCs/>
          <w:sz w:val="28"/>
          <w:szCs w:val="28"/>
          <w:highlight w:val="none"/>
        </w:rPr>
      </w:pPr>
      <w:r>
        <w:rPr>
          <w:rFonts w:hint="eastAsia" w:ascii="宋体" w:hAnsi="宋体" w:eastAsia="宋体" w:cs="宋体"/>
          <w:bCs/>
          <w:sz w:val="28"/>
          <w:szCs w:val="28"/>
          <w:highlight w:val="none"/>
        </w:rPr>
        <w:t>（二）支付方式：银行转账。</w:t>
      </w:r>
    </w:p>
    <w:p w14:paraId="062C524F">
      <w:pPr>
        <w:adjustRightInd w:val="0"/>
        <w:snapToGrid w:val="0"/>
        <w:spacing w:line="360" w:lineRule="auto"/>
        <w:ind w:firstLine="497" w:firstLineChars="173"/>
        <w:rPr>
          <w:rFonts w:hint="default" w:ascii="宋体" w:hAnsi="宋体" w:eastAsia="宋体" w:cs="宋体"/>
          <w:b/>
          <w:sz w:val="28"/>
          <w:szCs w:val="28"/>
          <w:highlight w:val="none"/>
          <w:lang w:val="en-US" w:eastAsia="zh-CN"/>
        </w:rPr>
      </w:pPr>
      <w:r>
        <w:rPr>
          <w:rFonts w:hint="eastAsia" w:ascii="宋体" w:hAnsi="宋体" w:eastAsia="宋体" w:cs="宋体"/>
          <w:bCs/>
          <w:sz w:val="28"/>
          <w:szCs w:val="28"/>
          <w:highlight w:val="none"/>
        </w:rPr>
        <w:t>（三）结算方式：乙方开具发票，持</w:t>
      </w:r>
      <w:r>
        <w:rPr>
          <w:rFonts w:hint="eastAsia" w:ascii="宋体" w:hAnsi="宋体" w:eastAsia="宋体" w:cs="宋体"/>
          <w:bCs/>
          <w:sz w:val="28"/>
          <w:szCs w:val="28"/>
          <w:highlight w:val="none"/>
          <w:lang w:eastAsia="zh-Hans"/>
        </w:rPr>
        <w:t>结算等额</w:t>
      </w:r>
      <w:r>
        <w:rPr>
          <w:rFonts w:hint="eastAsia" w:ascii="宋体" w:hAnsi="宋体" w:eastAsia="宋体" w:cs="宋体"/>
          <w:bCs/>
          <w:sz w:val="28"/>
          <w:szCs w:val="28"/>
          <w:highlight w:val="none"/>
        </w:rPr>
        <w:t>发票，与甲方结算。</w:t>
      </w:r>
      <w:r>
        <w:rPr>
          <w:rFonts w:hint="eastAsia" w:ascii="宋体" w:hAnsi="宋体" w:eastAsia="宋体" w:cs="宋体"/>
          <w:b/>
          <w:sz w:val="28"/>
          <w:szCs w:val="28"/>
          <w:highlight w:val="none"/>
        </w:rPr>
        <w:t>　</w:t>
      </w:r>
    </w:p>
    <w:p w14:paraId="73C21DCF">
      <w:pPr>
        <w:adjustRightInd w:val="0"/>
        <w:snapToGrid w:val="0"/>
        <w:spacing w:line="360" w:lineRule="auto"/>
        <w:ind w:firstLine="576" w:firstLineChars="200"/>
        <w:rPr>
          <w:rFonts w:ascii="宋体" w:hAnsi="宋体" w:eastAsia="宋体" w:cs="宋体"/>
          <w:b/>
          <w:sz w:val="28"/>
          <w:szCs w:val="28"/>
          <w:highlight w:val="none"/>
        </w:rPr>
      </w:pPr>
      <w:r>
        <w:rPr>
          <w:rFonts w:hint="eastAsia" w:ascii="宋体" w:hAnsi="宋体" w:eastAsia="宋体" w:cs="宋体"/>
          <w:b/>
          <w:sz w:val="28"/>
          <w:szCs w:val="28"/>
          <w:highlight w:val="none"/>
        </w:rPr>
        <w:t>六、双方的权利和义务</w:t>
      </w:r>
    </w:p>
    <w:p w14:paraId="51069786">
      <w:pPr>
        <w:adjustRightInd w:val="0"/>
        <w:snapToGrid w:val="0"/>
        <w:spacing w:line="360" w:lineRule="auto"/>
        <w:ind w:firstLine="576" w:firstLineChars="200"/>
        <w:rPr>
          <w:rFonts w:ascii="宋体" w:hAnsi="宋体" w:eastAsia="宋体" w:cs="宋体"/>
          <w:bCs/>
          <w:sz w:val="28"/>
          <w:szCs w:val="28"/>
          <w:highlight w:val="none"/>
        </w:rPr>
      </w:pPr>
      <w:r>
        <w:rPr>
          <w:rFonts w:hint="eastAsia" w:ascii="宋体" w:hAnsi="宋体" w:eastAsia="宋体" w:cs="宋体"/>
          <w:bCs/>
          <w:sz w:val="28"/>
          <w:szCs w:val="28"/>
          <w:highlight w:val="none"/>
        </w:rPr>
        <w:t>（由甲乙双方协商确定）</w:t>
      </w:r>
    </w:p>
    <w:p w14:paraId="2E02E731">
      <w:pPr>
        <w:adjustRightInd w:val="0"/>
        <w:snapToGrid w:val="0"/>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　　七、验收要求</w:t>
      </w:r>
    </w:p>
    <w:p w14:paraId="06609A30">
      <w:pPr>
        <w:adjustRightInd w:val="0"/>
        <w:snapToGrid w:val="0"/>
        <w:spacing w:line="360" w:lineRule="auto"/>
        <w:ind w:firstLine="497" w:firstLineChars="173"/>
        <w:rPr>
          <w:rFonts w:ascii="宋体" w:hAnsi="宋体" w:eastAsia="宋体" w:cs="宋体"/>
          <w:bCs/>
          <w:sz w:val="28"/>
          <w:szCs w:val="28"/>
          <w:highlight w:val="none"/>
        </w:rPr>
      </w:pPr>
      <w:r>
        <w:rPr>
          <w:rFonts w:hint="eastAsia" w:ascii="宋体" w:hAnsi="宋体" w:eastAsia="宋体" w:cs="宋体"/>
          <w:b/>
          <w:sz w:val="28"/>
          <w:szCs w:val="28"/>
          <w:highlight w:val="none"/>
        </w:rPr>
        <w:t xml:space="preserve"> </w:t>
      </w:r>
      <w:r>
        <w:rPr>
          <w:rFonts w:hint="eastAsia" w:ascii="宋体" w:hAnsi="宋体" w:eastAsia="宋体" w:cs="宋体"/>
          <w:bCs/>
          <w:sz w:val="28"/>
          <w:szCs w:val="28"/>
          <w:highlight w:val="none"/>
        </w:rPr>
        <w:t xml:space="preserve"> (一)项目结束后进行验收。先由乙方进行自检，自检合格后申请甲方进行验收。甲方确认乙方的自检内容后，组织乙方(必要时请有关专家)进行最终验收，验收时乙方应派人员参加，共同对验收结果进行确认，并承担相关责任。验收合格后，填写政府采购项目履约验收单作为对服务的最终认可。</w:t>
      </w:r>
    </w:p>
    <w:p w14:paraId="141E2B31">
      <w:pPr>
        <w:adjustRightInd w:val="0"/>
        <w:snapToGrid w:val="0"/>
        <w:spacing w:line="360" w:lineRule="auto"/>
        <w:ind w:firstLine="497" w:firstLineChars="173"/>
        <w:rPr>
          <w:rFonts w:ascii="宋体" w:hAnsi="宋体" w:eastAsia="宋体" w:cs="宋体"/>
          <w:bCs/>
          <w:sz w:val="28"/>
          <w:szCs w:val="28"/>
          <w:highlight w:val="none"/>
        </w:rPr>
      </w:pPr>
      <w:r>
        <w:rPr>
          <w:rFonts w:hint="eastAsia" w:ascii="宋体" w:hAnsi="宋体" w:eastAsia="宋体" w:cs="宋体"/>
          <w:bCs/>
          <w:sz w:val="28"/>
          <w:szCs w:val="28"/>
          <w:highlight w:val="none"/>
        </w:rPr>
        <w:t>(二)乙方向甲方提交服务实施过程中的所有资料。</w:t>
      </w:r>
    </w:p>
    <w:p w14:paraId="3F137AE0">
      <w:pPr>
        <w:adjustRightInd w:val="0"/>
        <w:snapToGrid w:val="0"/>
        <w:spacing w:line="360" w:lineRule="auto"/>
        <w:ind w:firstLine="497" w:firstLineChars="173"/>
        <w:rPr>
          <w:rFonts w:ascii="宋体" w:hAnsi="宋体" w:eastAsia="宋体" w:cs="宋体"/>
          <w:bCs/>
          <w:sz w:val="28"/>
          <w:szCs w:val="28"/>
          <w:highlight w:val="none"/>
        </w:rPr>
      </w:pPr>
      <w:r>
        <w:rPr>
          <w:rFonts w:hint="eastAsia" w:ascii="宋体" w:hAnsi="宋体" w:eastAsia="宋体" w:cs="宋体"/>
          <w:bCs/>
          <w:sz w:val="28"/>
          <w:szCs w:val="28"/>
          <w:highlight w:val="none"/>
        </w:rPr>
        <w:t>(三)验收依据</w:t>
      </w:r>
    </w:p>
    <w:p w14:paraId="6BC17662">
      <w:pPr>
        <w:adjustRightInd w:val="0"/>
        <w:snapToGrid w:val="0"/>
        <w:spacing w:line="360" w:lineRule="auto"/>
        <w:ind w:firstLine="497" w:firstLineChars="173"/>
        <w:rPr>
          <w:rFonts w:ascii="宋体" w:hAnsi="宋体" w:eastAsia="宋体" w:cs="宋体"/>
          <w:bCs/>
          <w:sz w:val="28"/>
          <w:szCs w:val="28"/>
          <w:highlight w:val="none"/>
        </w:rPr>
      </w:pPr>
      <w:r>
        <w:rPr>
          <w:rFonts w:hint="eastAsia" w:ascii="宋体" w:hAnsi="宋体" w:eastAsia="宋体" w:cs="宋体"/>
          <w:bCs/>
          <w:sz w:val="28"/>
          <w:szCs w:val="28"/>
          <w:highlight w:val="none"/>
        </w:rPr>
        <w:t>1、招标文件、投标文件、澄清表（函）；</w:t>
      </w:r>
    </w:p>
    <w:p w14:paraId="49F85E62">
      <w:pPr>
        <w:adjustRightInd w:val="0"/>
        <w:snapToGrid w:val="0"/>
        <w:spacing w:line="360" w:lineRule="auto"/>
        <w:ind w:firstLine="497" w:firstLineChars="173"/>
        <w:rPr>
          <w:rFonts w:ascii="宋体" w:hAnsi="宋体" w:eastAsia="宋体" w:cs="宋体"/>
          <w:bCs/>
          <w:sz w:val="28"/>
          <w:szCs w:val="28"/>
          <w:highlight w:val="none"/>
        </w:rPr>
      </w:pPr>
      <w:r>
        <w:rPr>
          <w:rFonts w:hint="eastAsia" w:ascii="宋体" w:hAnsi="宋体" w:eastAsia="宋体" w:cs="宋体"/>
          <w:bCs/>
          <w:sz w:val="28"/>
          <w:szCs w:val="28"/>
          <w:highlight w:val="none"/>
        </w:rPr>
        <w:t>2、本合同及附件文本；</w:t>
      </w:r>
    </w:p>
    <w:p w14:paraId="29FFB3E6">
      <w:pPr>
        <w:adjustRightInd w:val="0"/>
        <w:snapToGrid w:val="0"/>
        <w:spacing w:line="360" w:lineRule="auto"/>
        <w:ind w:firstLine="497" w:firstLineChars="173"/>
        <w:rPr>
          <w:rFonts w:ascii="宋体" w:hAnsi="宋体" w:eastAsia="宋体" w:cs="宋体"/>
          <w:bCs/>
          <w:sz w:val="28"/>
          <w:szCs w:val="28"/>
          <w:highlight w:val="none"/>
        </w:rPr>
      </w:pPr>
      <w:r>
        <w:rPr>
          <w:rFonts w:hint="eastAsia" w:ascii="宋体" w:hAnsi="宋体" w:eastAsia="宋体" w:cs="宋体"/>
          <w:bCs/>
          <w:sz w:val="28"/>
          <w:szCs w:val="28"/>
          <w:highlight w:val="none"/>
        </w:rPr>
        <w:t>3、国家相应的标准、规范；</w:t>
      </w:r>
    </w:p>
    <w:p w14:paraId="10FD2890">
      <w:pPr>
        <w:adjustRightInd w:val="0"/>
        <w:snapToGrid w:val="0"/>
        <w:spacing w:line="360" w:lineRule="auto"/>
        <w:ind w:firstLine="497" w:firstLineChars="173"/>
        <w:rPr>
          <w:rFonts w:ascii="宋体" w:hAnsi="宋体" w:eastAsia="宋体" w:cs="宋体"/>
          <w:sz w:val="28"/>
          <w:szCs w:val="28"/>
          <w:highlight w:val="none"/>
          <w:u w:val="single"/>
        </w:rPr>
      </w:pPr>
      <w:r>
        <w:rPr>
          <w:rFonts w:hint="eastAsia" w:ascii="宋体" w:hAnsi="宋体" w:eastAsia="宋体" w:cs="宋体"/>
          <w:bCs/>
          <w:sz w:val="28"/>
          <w:szCs w:val="28"/>
          <w:highlight w:val="none"/>
        </w:rPr>
        <w:t>4、验收时按照乙方响应文件中的参数响应表逐条验收，采购人发现相关产品有虚假参数时，乙方承诺按照国家相关法律承担相应责任，同时承诺对采购人进行成交金额的全款赔付。</w:t>
      </w:r>
    </w:p>
    <w:p w14:paraId="3F6FD15A">
      <w:pPr>
        <w:adjustRightInd w:val="0"/>
        <w:snapToGrid w:val="0"/>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 xml:space="preserve">    八、违约责任</w:t>
      </w:r>
    </w:p>
    <w:p w14:paraId="251DBDB8">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(一)按《民法典》中的相关条款执行。</w:t>
      </w:r>
    </w:p>
    <w:p w14:paraId="066924FB">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二)未按合同要求提供服务或服务质量不能满足合同要求，甲方应当将乙方违约的情况以及拟采取的措施以书面形式报市财政局，根据市财政局的处理意见，甲方有权依据《民法典》有关条款及合同约定终止合同，并要求乙方承担违约责任。同时，政府采购监管部门有权依据《政府采购法》及相关法律法规对乙方的违法行为进行相应的处罚。</w:t>
      </w:r>
    </w:p>
    <w:p w14:paraId="383B121F">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(三)如发生以上需支付违约金情况，验收后由甲方通知乙方通过银行转账支付甲方相应账号。</w:t>
      </w:r>
    </w:p>
    <w:p w14:paraId="10D2BD75">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四）乙方应保证所提供产品和服务不会出现因第三方提出侵犯其专利权、商标权或其它知识产权而引发法律或经济纠纷，否则由乙方承担全部责任。任何被乙方用于未经授权的商业目的行为所造成的违约或侵权责任由乙方承担。</w:t>
      </w:r>
    </w:p>
    <w:p w14:paraId="7EDF6EF2">
      <w:pPr>
        <w:adjustRightInd w:val="0"/>
        <w:snapToGrid w:val="0"/>
        <w:spacing w:line="360" w:lineRule="auto"/>
        <w:ind w:firstLine="497" w:firstLineChars="173"/>
        <w:rPr>
          <w:rFonts w:ascii="宋体" w:hAnsi="宋体" w:eastAsia="宋体" w:cs="宋体"/>
          <w:b/>
          <w:bCs/>
          <w:sz w:val="28"/>
          <w:szCs w:val="28"/>
          <w:highlight w:val="none"/>
        </w:rPr>
      </w:pPr>
      <w:r>
        <w:rPr>
          <w:rFonts w:hint="eastAsia" w:ascii="宋体" w:hAnsi="宋体" w:eastAsia="宋体" w:cs="宋体"/>
          <w:b/>
          <w:bCs/>
          <w:sz w:val="28"/>
          <w:szCs w:val="28"/>
          <w:highlight w:val="none"/>
        </w:rPr>
        <w:t>九、保密条款</w:t>
      </w:r>
    </w:p>
    <w:p w14:paraId="4C3BC0B2">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一)乙方应遵守国家有关保密的法律法规和行业规定，并对甲方提供的资料负有保密义务。未经甲方同意，不得将所承接的政府服务项目获得的政府、公民个人等各种信息和资料提供给其他单位和个人。如发生以上情况，甲方有权索赔。</w:t>
      </w:r>
    </w:p>
    <w:p w14:paraId="3F218A3D">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212AE30E">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(三）本条款为独立条款,本合同的无效、变更、解除和终止均不影响本条款的效力。</w:t>
      </w:r>
    </w:p>
    <w:p w14:paraId="3F1024A8">
      <w:pPr>
        <w:adjustRightInd w:val="0"/>
        <w:snapToGrid w:val="0"/>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 xml:space="preserve">    十、争议解决</w:t>
      </w:r>
    </w:p>
    <w:p w14:paraId="1195095F">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（一）本合同在履行过程中发生的争议,由甲、乙双方当事人协商解决,协商不成的按下列第 2种方式解决:</w:t>
      </w:r>
    </w:p>
    <w:p w14:paraId="11DAE9DE">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1、提交西安仲裁委员会仲裁;</w:t>
      </w:r>
    </w:p>
    <w:p w14:paraId="7800791A">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2、依法向甲方所在地人民法院起诉。</w:t>
      </w:r>
    </w:p>
    <w:p w14:paraId="763A439C">
      <w:pPr>
        <w:adjustRightInd w:val="0"/>
        <w:snapToGrid w:val="0"/>
        <w:spacing w:line="360" w:lineRule="auto"/>
        <w:ind w:firstLine="497" w:firstLineChars="173"/>
        <w:rPr>
          <w:rFonts w:ascii="宋体" w:hAnsi="宋体" w:eastAsia="宋体" w:cs="宋体"/>
          <w:sz w:val="30"/>
          <w:szCs w:val="30"/>
          <w:highlight w:val="none"/>
        </w:rPr>
      </w:pPr>
      <w:r>
        <w:rPr>
          <w:rFonts w:hint="eastAsia" w:ascii="宋体" w:hAnsi="宋体" w:eastAsia="宋体" w:cs="宋体"/>
          <w:sz w:val="28"/>
          <w:szCs w:val="28"/>
          <w:highlight w:val="none"/>
        </w:rPr>
        <w:t>（二）本条款为独立条款,本合同的无效、变更、解除和终止均不影响本条款的效力。</w:t>
      </w:r>
    </w:p>
    <w:p w14:paraId="61623088">
      <w:pPr>
        <w:adjustRightInd w:val="0"/>
        <w:snapToGrid w:val="0"/>
        <w:spacing w:line="360" w:lineRule="auto"/>
        <w:ind w:firstLine="497" w:firstLineChars="173"/>
        <w:rPr>
          <w:rFonts w:ascii="宋体" w:hAnsi="宋体" w:eastAsia="宋体" w:cs="宋体"/>
          <w:b/>
          <w:bCs/>
          <w:sz w:val="28"/>
          <w:szCs w:val="28"/>
          <w:highlight w:val="none"/>
        </w:rPr>
      </w:pPr>
      <w:r>
        <w:rPr>
          <w:rFonts w:hint="eastAsia" w:ascii="宋体" w:hAnsi="宋体" w:eastAsia="宋体" w:cs="宋体"/>
          <w:b/>
          <w:bCs/>
          <w:sz w:val="28"/>
          <w:szCs w:val="28"/>
          <w:highlight w:val="none"/>
        </w:rPr>
        <w:t>十一、合同变更</w:t>
      </w:r>
    </w:p>
    <w:p w14:paraId="469C95CD">
      <w:pPr>
        <w:adjustRightInd w:val="0"/>
        <w:snapToGrid w:val="0"/>
        <w:spacing w:line="360" w:lineRule="auto"/>
        <w:ind w:firstLine="497" w:firstLineChars="173"/>
        <w:rPr>
          <w:rFonts w:ascii="宋体" w:hAnsi="宋体" w:eastAsia="宋体" w:cs="宋体"/>
          <w:sz w:val="28"/>
          <w:szCs w:val="28"/>
          <w:highlight w:val="none"/>
        </w:rPr>
      </w:pPr>
      <w:r>
        <w:rPr>
          <w:rFonts w:hint="eastAsia" w:ascii="宋体" w:hAnsi="宋体" w:eastAsia="宋体" w:cs="宋体"/>
          <w:sz w:val="28"/>
          <w:szCs w:val="28"/>
          <w:highlight w:val="none"/>
        </w:rPr>
        <w:t>在合同的执行期内,双方均不得随意变更或解除合同。如因项目需求情况发生变化,需要项目变更的,应双方协商后签订项目变更协议,并经鉴证方确认后生效（如双方变更事项不能达成一致的,仍按原合同履行, 否则视为违约）。</w:t>
      </w:r>
    </w:p>
    <w:p w14:paraId="02B2E0DE">
      <w:pPr>
        <w:adjustRightInd w:val="0"/>
        <w:snapToGrid w:val="0"/>
        <w:spacing w:line="360" w:lineRule="auto"/>
        <w:ind w:firstLine="576"/>
        <w:rPr>
          <w:rFonts w:ascii="宋体" w:hAnsi="宋体" w:eastAsia="宋体" w:cs="宋体"/>
          <w:sz w:val="28"/>
          <w:szCs w:val="28"/>
          <w:highlight w:val="none"/>
        </w:rPr>
      </w:pPr>
      <w:bookmarkStart w:id="173" w:name="_Toc16477"/>
      <w:bookmarkStart w:id="174" w:name="_Toc31543"/>
      <w:r>
        <w:rPr>
          <w:rFonts w:hint="eastAsia" w:ascii="宋体" w:hAnsi="宋体" w:eastAsia="宋体" w:cs="宋体"/>
          <w:sz w:val="28"/>
          <w:szCs w:val="28"/>
          <w:highlight w:val="none"/>
        </w:rPr>
        <w:t>十二、其他事项</w:t>
      </w:r>
      <w:bookmarkEnd w:id="173"/>
      <w:bookmarkEnd w:id="174"/>
    </w:p>
    <w:p w14:paraId="311146E2">
      <w:pPr>
        <w:adjustRightInd w:val="0"/>
        <w:snapToGrid w:val="0"/>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（由甲乙双方协商确定。）</w:t>
      </w:r>
    </w:p>
    <w:p w14:paraId="5FB17445">
      <w:pPr>
        <w:adjustRightInd w:val="0"/>
        <w:snapToGrid w:val="0"/>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 xml:space="preserve">    十三、合同生效</w:t>
      </w:r>
    </w:p>
    <w:p w14:paraId="0C31554C">
      <w:pPr>
        <w:adjustRightInd w:val="0"/>
        <w:snapToGrid w:val="0"/>
        <w:spacing w:line="360" w:lineRule="auto"/>
        <w:ind w:firstLine="576"/>
        <w:rPr>
          <w:rFonts w:ascii="宋体" w:hAnsi="宋体" w:eastAsia="宋体" w:cs="宋体"/>
          <w:sz w:val="28"/>
          <w:szCs w:val="28"/>
          <w:highlight w:val="none"/>
        </w:rPr>
      </w:pPr>
      <w:r>
        <w:rPr>
          <w:rFonts w:hint="eastAsia" w:ascii="宋体" w:hAnsi="宋体" w:eastAsia="宋体" w:cs="宋体"/>
          <w:sz w:val="28"/>
          <w:szCs w:val="28"/>
          <w:highlight w:val="none"/>
        </w:rPr>
        <w:t>本合同一式</w:t>
      </w:r>
      <w:r>
        <w:rPr>
          <w:rFonts w:hint="eastAsia" w:ascii="宋体" w:hAnsi="宋体" w:eastAsia="宋体" w:cs="宋体"/>
          <w:sz w:val="28"/>
          <w:szCs w:val="28"/>
          <w:highlight w:val="none"/>
          <w:lang w:val="en-US" w:eastAsia="zh-CN"/>
        </w:rPr>
        <w:t>捌</w:t>
      </w:r>
      <w:r>
        <w:rPr>
          <w:rFonts w:hint="eastAsia" w:ascii="宋体" w:hAnsi="宋体" w:eastAsia="宋体" w:cs="宋体"/>
          <w:sz w:val="28"/>
          <w:szCs w:val="28"/>
          <w:highlight w:val="none"/>
        </w:rPr>
        <w:t>份,甲方持</w:t>
      </w:r>
      <w:r>
        <w:rPr>
          <w:rFonts w:hint="eastAsia" w:ascii="宋体" w:hAnsi="宋体" w:eastAsia="宋体" w:cs="宋体"/>
          <w:sz w:val="28"/>
          <w:szCs w:val="28"/>
          <w:highlight w:val="none"/>
          <w:lang w:val="en-US" w:eastAsia="zh-CN"/>
        </w:rPr>
        <w:t>肆</w:t>
      </w:r>
      <w:r>
        <w:rPr>
          <w:rFonts w:hint="eastAsia" w:ascii="宋体" w:hAnsi="宋体" w:eastAsia="宋体" w:cs="宋体"/>
          <w:sz w:val="28"/>
          <w:szCs w:val="28"/>
          <w:highlight w:val="none"/>
        </w:rPr>
        <w:t>份,乙方持</w:t>
      </w:r>
      <w:r>
        <w:rPr>
          <w:rFonts w:hint="eastAsia" w:ascii="宋体" w:hAnsi="宋体" w:eastAsia="宋体" w:cs="宋体"/>
          <w:sz w:val="28"/>
          <w:szCs w:val="28"/>
          <w:highlight w:val="none"/>
          <w:lang w:val="en-US" w:eastAsia="zh-CN"/>
        </w:rPr>
        <w:t>贰</w:t>
      </w:r>
      <w:r>
        <w:rPr>
          <w:rFonts w:hint="eastAsia" w:ascii="宋体" w:hAnsi="宋体" w:eastAsia="宋体" w:cs="宋体"/>
          <w:sz w:val="28"/>
          <w:szCs w:val="28"/>
          <w:highlight w:val="none"/>
        </w:rPr>
        <w:t>份,鉴证方持</w:t>
      </w:r>
      <w:r>
        <w:rPr>
          <w:rFonts w:hint="eastAsia" w:ascii="宋体" w:hAnsi="宋体" w:eastAsia="宋体" w:cs="宋体"/>
          <w:sz w:val="28"/>
          <w:szCs w:val="28"/>
          <w:highlight w:val="none"/>
          <w:lang w:val="en-US" w:eastAsia="zh-CN"/>
        </w:rPr>
        <w:t>壹</w:t>
      </w:r>
      <w:r>
        <w:rPr>
          <w:rFonts w:hint="eastAsia" w:ascii="宋体" w:hAnsi="宋体" w:eastAsia="宋体" w:cs="宋体"/>
          <w:sz w:val="28"/>
          <w:szCs w:val="28"/>
          <w:highlight w:val="none"/>
        </w:rPr>
        <w:t>份, 西安市财政局政府采购管理处备案</w:t>
      </w:r>
      <w:r>
        <w:rPr>
          <w:rFonts w:hint="eastAsia" w:ascii="宋体" w:hAnsi="宋体" w:eastAsia="宋体" w:cs="宋体"/>
          <w:sz w:val="28"/>
          <w:szCs w:val="28"/>
          <w:highlight w:val="none"/>
          <w:lang w:val="en-US" w:eastAsia="zh-CN"/>
        </w:rPr>
        <w:t>壹</w:t>
      </w:r>
      <w:r>
        <w:rPr>
          <w:rFonts w:hint="eastAsia" w:ascii="宋体" w:hAnsi="宋体" w:eastAsia="宋体" w:cs="宋体"/>
          <w:sz w:val="28"/>
          <w:szCs w:val="28"/>
          <w:highlight w:val="none"/>
        </w:rPr>
        <w:t>份,本合同甲、乙、鉴证各方签字盖章后生效,合同执行完毕后,自动失效（合同的服务承诺则长期有效）。</w:t>
      </w:r>
    </w:p>
    <w:tbl>
      <w:tblPr>
        <w:tblStyle w:val="34"/>
        <w:tblW w:w="9319"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2774"/>
        <w:gridCol w:w="3280"/>
      </w:tblGrid>
      <w:tr w14:paraId="1F8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265" w:type="dxa"/>
          </w:tcPr>
          <w:p w14:paraId="65F6438A">
            <w:pPr>
              <w:pStyle w:val="29"/>
              <w:spacing w:before="0" w:beforeAutospacing="0" w:after="0" w:afterAutospacing="0"/>
              <w:jc w:val="center"/>
              <w:rPr>
                <w:rFonts w:eastAsia="宋体"/>
                <w:highlight w:val="none"/>
              </w:rPr>
            </w:pPr>
            <w:r>
              <w:rPr>
                <w:rFonts w:hint="eastAsia" w:eastAsia="宋体"/>
                <w:highlight w:val="none"/>
              </w:rPr>
              <w:t>甲方</w:t>
            </w:r>
          </w:p>
        </w:tc>
        <w:tc>
          <w:tcPr>
            <w:tcW w:w="2774" w:type="dxa"/>
          </w:tcPr>
          <w:p w14:paraId="4C0FBA69">
            <w:pPr>
              <w:pStyle w:val="29"/>
              <w:spacing w:before="0" w:beforeAutospacing="0" w:after="0" w:afterAutospacing="0"/>
              <w:jc w:val="center"/>
              <w:rPr>
                <w:rFonts w:eastAsia="宋体"/>
                <w:highlight w:val="none"/>
              </w:rPr>
            </w:pPr>
            <w:r>
              <w:rPr>
                <w:rFonts w:hint="eastAsia" w:eastAsia="宋体"/>
                <w:highlight w:val="none"/>
              </w:rPr>
              <w:t>乙方</w:t>
            </w:r>
          </w:p>
        </w:tc>
        <w:tc>
          <w:tcPr>
            <w:tcW w:w="3280" w:type="dxa"/>
          </w:tcPr>
          <w:p w14:paraId="038C135B">
            <w:pPr>
              <w:pStyle w:val="29"/>
              <w:spacing w:before="0" w:beforeAutospacing="0" w:after="0" w:afterAutospacing="0"/>
              <w:jc w:val="center"/>
              <w:rPr>
                <w:rFonts w:eastAsia="宋体"/>
                <w:highlight w:val="none"/>
              </w:rPr>
            </w:pPr>
            <w:r>
              <w:rPr>
                <w:rFonts w:hint="eastAsia" w:eastAsia="宋体"/>
                <w:highlight w:val="none"/>
              </w:rPr>
              <w:t>鉴证方</w:t>
            </w:r>
          </w:p>
        </w:tc>
      </w:tr>
      <w:tr w14:paraId="1F2C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265" w:type="dxa"/>
          </w:tcPr>
          <w:p w14:paraId="79390878">
            <w:pPr>
              <w:pStyle w:val="29"/>
              <w:spacing w:before="0" w:beforeAutospacing="0" w:after="0" w:afterAutospacing="0"/>
              <w:jc w:val="center"/>
              <w:rPr>
                <w:rFonts w:eastAsia="宋体"/>
                <w:highlight w:val="none"/>
              </w:rPr>
            </w:pPr>
          </w:p>
          <w:p w14:paraId="11A0D670">
            <w:pPr>
              <w:pStyle w:val="29"/>
              <w:spacing w:before="0" w:beforeAutospacing="0" w:after="0" w:afterAutospacing="0"/>
              <w:jc w:val="center"/>
              <w:rPr>
                <w:rFonts w:eastAsia="宋体"/>
                <w:sz w:val="21"/>
                <w:szCs w:val="21"/>
                <w:highlight w:val="none"/>
              </w:rPr>
            </w:pPr>
            <w:r>
              <w:rPr>
                <w:rFonts w:hint="eastAsia" w:eastAsia="宋体"/>
                <w:sz w:val="21"/>
                <w:szCs w:val="21"/>
                <w:highlight w:val="none"/>
              </w:rPr>
              <w:t>中国人民政治协商会议西安市委员会办公厅</w:t>
            </w:r>
          </w:p>
          <w:p w14:paraId="4F74627B">
            <w:pPr>
              <w:pStyle w:val="29"/>
              <w:spacing w:before="0" w:beforeAutospacing="0" w:after="0" w:afterAutospacing="0"/>
              <w:jc w:val="center"/>
              <w:rPr>
                <w:rFonts w:eastAsia="宋体"/>
                <w:highlight w:val="none"/>
              </w:rPr>
            </w:pPr>
            <w:r>
              <w:rPr>
                <w:rFonts w:hint="eastAsia" w:eastAsia="宋体"/>
                <w:sz w:val="21"/>
                <w:szCs w:val="21"/>
                <w:highlight w:val="none"/>
              </w:rPr>
              <w:t>（盖章）</w:t>
            </w:r>
          </w:p>
        </w:tc>
        <w:tc>
          <w:tcPr>
            <w:tcW w:w="2774" w:type="dxa"/>
          </w:tcPr>
          <w:p w14:paraId="5DEBED05">
            <w:pPr>
              <w:pStyle w:val="29"/>
              <w:spacing w:before="0" w:beforeAutospacing="0" w:after="0" w:afterAutospacing="0"/>
              <w:jc w:val="center"/>
              <w:rPr>
                <w:rFonts w:eastAsia="宋体"/>
                <w:highlight w:val="none"/>
              </w:rPr>
            </w:pPr>
          </w:p>
          <w:p w14:paraId="3CD7CDB7">
            <w:pPr>
              <w:pStyle w:val="29"/>
              <w:spacing w:before="0" w:beforeAutospacing="0" w:after="0" w:afterAutospacing="0"/>
              <w:jc w:val="center"/>
              <w:rPr>
                <w:rFonts w:eastAsia="宋体"/>
                <w:highlight w:val="none"/>
              </w:rPr>
            </w:pPr>
            <w:r>
              <w:rPr>
                <w:rFonts w:hint="eastAsia" w:eastAsia="宋体"/>
                <w:sz w:val="21"/>
                <w:szCs w:val="21"/>
                <w:highlight w:val="none"/>
              </w:rPr>
              <w:t>（盖章）</w:t>
            </w:r>
          </w:p>
        </w:tc>
        <w:tc>
          <w:tcPr>
            <w:tcW w:w="3280" w:type="dxa"/>
          </w:tcPr>
          <w:p w14:paraId="50E169EA">
            <w:pPr>
              <w:pStyle w:val="29"/>
              <w:spacing w:before="0" w:beforeAutospacing="0" w:after="0" w:afterAutospacing="0"/>
              <w:ind w:firstLine="218" w:firstLineChars="100"/>
              <w:jc w:val="both"/>
              <w:rPr>
                <w:rFonts w:eastAsia="宋体"/>
                <w:sz w:val="21"/>
                <w:szCs w:val="21"/>
                <w:highlight w:val="none"/>
              </w:rPr>
            </w:pPr>
          </w:p>
          <w:p w14:paraId="21AB27D6">
            <w:pPr>
              <w:pStyle w:val="29"/>
              <w:spacing w:before="0" w:beforeAutospacing="0" w:after="0" w:afterAutospacing="0"/>
              <w:ind w:firstLine="436" w:firstLineChars="200"/>
              <w:jc w:val="both"/>
              <w:rPr>
                <w:rFonts w:eastAsia="宋体"/>
                <w:sz w:val="21"/>
                <w:szCs w:val="21"/>
                <w:highlight w:val="none"/>
              </w:rPr>
            </w:pPr>
            <w:r>
              <w:rPr>
                <w:rFonts w:hint="eastAsia" w:eastAsia="宋体"/>
                <w:sz w:val="21"/>
                <w:szCs w:val="21"/>
                <w:highlight w:val="none"/>
              </w:rPr>
              <w:t>陕西万泽招标有限公司</w:t>
            </w:r>
          </w:p>
          <w:p w14:paraId="51210487">
            <w:pPr>
              <w:pStyle w:val="29"/>
              <w:spacing w:before="0" w:beforeAutospacing="0" w:after="0" w:afterAutospacing="0"/>
              <w:ind w:firstLine="218" w:firstLineChars="100"/>
              <w:jc w:val="both"/>
              <w:rPr>
                <w:rFonts w:eastAsia="宋体"/>
                <w:sz w:val="21"/>
                <w:szCs w:val="21"/>
                <w:highlight w:val="none"/>
              </w:rPr>
            </w:pPr>
          </w:p>
          <w:p w14:paraId="10566F54">
            <w:pPr>
              <w:pStyle w:val="29"/>
              <w:spacing w:before="0" w:beforeAutospacing="0" w:after="0" w:afterAutospacing="0"/>
              <w:ind w:firstLine="218" w:firstLineChars="100"/>
              <w:jc w:val="center"/>
              <w:rPr>
                <w:rFonts w:eastAsia="宋体"/>
                <w:sz w:val="21"/>
                <w:szCs w:val="21"/>
                <w:highlight w:val="none"/>
              </w:rPr>
            </w:pPr>
            <w:r>
              <w:rPr>
                <w:rFonts w:hint="eastAsia" w:eastAsia="宋体"/>
                <w:sz w:val="21"/>
                <w:szCs w:val="21"/>
                <w:highlight w:val="none"/>
              </w:rPr>
              <w:t>（盖章）</w:t>
            </w:r>
          </w:p>
        </w:tc>
      </w:tr>
      <w:tr w14:paraId="30CB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265" w:type="dxa"/>
          </w:tcPr>
          <w:p w14:paraId="7EE6ECC9">
            <w:pPr>
              <w:pStyle w:val="29"/>
              <w:spacing w:before="0" w:beforeAutospacing="0" w:after="0" w:afterAutospacing="0"/>
              <w:jc w:val="center"/>
              <w:rPr>
                <w:rFonts w:eastAsia="宋体"/>
                <w:sz w:val="21"/>
                <w:szCs w:val="21"/>
                <w:highlight w:val="none"/>
              </w:rPr>
            </w:pPr>
          </w:p>
          <w:p w14:paraId="697BB6BE">
            <w:pPr>
              <w:pStyle w:val="29"/>
              <w:spacing w:before="0" w:beforeAutospacing="0" w:after="0" w:afterAutospacing="0"/>
              <w:jc w:val="center"/>
              <w:rPr>
                <w:rFonts w:eastAsia="宋体"/>
                <w:sz w:val="21"/>
                <w:szCs w:val="21"/>
                <w:highlight w:val="none"/>
              </w:rPr>
            </w:pPr>
            <w:r>
              <w:rPr>
                <w:rFonts w:hint="eastAsia" w:eastAsia="宋体"/>
                <w:sz w:val="21"/>
                <w:szCs w:val="21"/>
                <w:highlight w:val="none"/>
              </w:rPr>
              <w:t>地址：西安市凤城八路85号</w:t>
            </w:r>
          </w:p>
        </w:tc>
        <w:tc>
          <w:tcPr>
            <w:tcW w:w="2774" w:type="dxa"/>
          </w:tcPr>
          <w:p w14:paraId="3EF45FB8">
            <w:pPr>
              <w:pStyle w:val="29"/>
              <w:spacing w:before="0" w:beforeAutospacing="0" w:after="0" w:afterAutospacing="0"/>
              <w:jc w:val="center"/>
              <w:rPr>
                <w:rFonts w:eastAsia="宋体"/>
                <w:sz w:val="21"/>
                <w:szCs w:val="21"/>
                <w:highlight w:val="none"/>
              </w:rPr>
            </w:pPr>
          </w:p>
          <w:p w14:paraId="4D8EC9E4">
            <w:pPr>
              <w:pStyle w:val="29"/>
              <w:spacing w:before="0" w:beforeAutospacing="0" w:after="0" w:afterAutospacing="0"/>
              <w:rPr>
                <w:rFonts w:eastAsia="宋体"/>
                <w:sz w:val="21"/>
                <w:szCs w:val="21"/>
                <w:highlight w:val="none"/>
              </w:rPr>
            </w:pPr>
            <w:r>
              <w:rPr>
                <w:rFonts w:hint="eastAsia" w:eastAsia="宋体"/>
                <w:sz w:val="21"/>
                <w:szCs w:val="21"/>
                <w:highlight w:val="none"/>
              </w:rPr>
              <w:t>地址：</w:t>
            </w:r>
          </w:p>
        </w:tc>
        <w:tc>
          <w:tcPr>
            <w:tcW w:w="3280" w:type="dxa"/>
          </w:tcPr>
          <w:p w14:paraId="30F3576F">
            <w:pPr>
              <w:pStyle w:val="29"/>
              <w:spacing w:before="0" w:beforeAutospacing="0" w:after="0" w:afterAutospacing="0"/>
              <w:jc w:val="center"/>
              <w:rPr>
                <w:rFonts w:eastAsia="宋体"/>
                <w:sz w:val="21"/>
                <w:szCs w:val="21"/>
                <w:highlight w:val="none"/>
              </w:rPr>
            </w:pPr>
          </w:p>
          <w:p w14:paraId="7EF9F346">
            <w:pPr>
              <w:pStyle w:val="29"/>
              <w:spacing w:before="0" w:beforeAutospacing="0" w:after="0" w:afterAutospacing="0"/>
              <w:jc w:val="center"/>
              <w:rPr>
                <w:rFonts w:eastAsia="宋体"/>
                <w:sz w:val="21"/>
                <w:szCs w:val="21"/>
                <w:highlight w:val="none"/>
              </w:rPr>
            </w:pPr>
            <w:r>
              <w:rPr>
                <w:rFonts w:hint="eastAsia" w:eastAsia="宋体"/>
                <w:sz w:val="21"/>
                <w:szCs w:val="21"/>
                <w:highlight w:val="none"/>
              </w:rPr>
              <w:t>地址：西安市雁塔区唐延路35号旺座现代城 C 座 25 楼 2502室</w:t>
            </w:r>
          </w:p>
        </w:tc>
      </w:tr>
      <w:tr w14:paraId="729C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65" w:type="dxa"/>
          </w:tcPr>
          <w:p w14:paraId="27E91608">
            <w:pPr>
              <w:pStyle w:val="29"/>
              <w:spacing w:before="0" w:beforeAutospacing="0" w:after="0" w:afterAutospacing="0"/>
              <w:jc w:val="center"/>
              <w:rPr>
                <w:rFonts w:eastAsia="宋体"/>
                <w:sz w:val="21"/>
                <w:szCs w:val="21"/>
                <w:highlight w:val="none"/>
              </w:rPr>
            </w:pPr>
          </w:p>
          <w:p w14:paraId="17A93463">
            <w:pPr>
              <w:pStyle w:val="29"/>
              <w:spacing w:before="0" w:beforeAutospacing="0" w:after="0" w:afterAutospacing="0"/>
              <w:jc w:val="both"/>
              <w:rPr>
                <w:rFonts w:eastAsia="宋体"/>
                <w:sz w:val="21"/>
                <w:szCs w:val="21"/>
                <w:highlight w:val="none"/>
              </w:rPr>
            </w:pPr>
            <w:r>
              <w:rPr>
                <w:rFonts w:hint="eastAsia" w:eastAsia="宋体"/>
                <w:sz w:val="21"/>
                <w:szCs w:val="21"/>
                <w:highlight w:val="none"/>
              </w:rPr>
              <w:t>邮编：710000</w:t>
            </w:r>
          </w:p>
        </w:tc>
        <w:tc>
          <w:tcPr>
            <w:tcW w:w="2774" w:type="dxa"/>
          </w:tcPr>
          <w:p w14:paraId="3C5C1761">
            <w:pPr>
              <w:pStyle w:val="29"/>
              <w:spacing w:before="0" w:beforeAutospacing="0" w:after="0" w:afterAutospacing="0"/>
              <w:jc w:val="center"/>
              <w:rPr>
                <w:rFonts w:eastAsia="宋体"/>
                <w:sz w:val="21"/>
                <w:szCs w:val="21"/>
                <w:highlight w:val="none"/>
              </w:rPr>
            </w:pPr>
          </w:p>
          <w:p w14:paraId="47734159">
            <w:pPr>
              <w:pStyle w:val="29"/>
              <w:spacing w:before="0" w:beforeAutospacing="0" w:after="0" w:afterAutospacing="0"/>
              <w:rPr>
                <w:rFonts w:eastAsia="宋体"/>
                <w:sz w:val="21"/>
                <w:szCs w:val="21"/>
                <w:highlight w:val="none"/>
              </w:rPr>
            </w:pPr>
            <w:r>
              <w:rPr>
                <w:rFonts w:hint="eastAsia" w:eastAsia="宋体"/>
                <w:sz w:val="21"/>
                <w:szCs w:val="21"/>
                <w:highlight w:val="none"/>
              </w:rPr>
              <w:t>邮编：</w:t>
            </w:r>
          </w:p>
        </w:tc>
        <w:tc>
          <w:tcPr>
            <w:tcW w:w="3280" w:type="dxa"/>
          </w:tcPr>
          <w:p w14:paraId="56A43163">
            <w:pPr>
              <w:pStyle w:val="29"/>
              <w:spacing w:before="0" w:beforeAutospacing="0" w:after="0" w:afterAutospacing="0"/>
              <w:jc w:val="center"/>
              <w:rPr>
                <w:rFonts w:eastAsia="宋体"/>
                <w:sz w:val="21"/>
                <w:szCs w:val="21"/>
                <w:highlight w:val="none"/>
              </w:rPr>
            </w:pPr>
          </w:p>
          <w:p w14:paraId="2A97EA5E">
            <w:pPr>
              <w:pStyle w:val="29"/>
              <w:spacing w:before="0" w:beforeAutospacing="0" w:after="0" w:afterAutospacing="0"/>
              <w:rPr>
                <w:rFonts w:eastAsia="宋体"/>
                <w:sz w:val="21"/>
                <w:szCs w:val="21"/>
                <w:highlight w:val="none"/>
              </w:rPr>
            </w:pPr>
            <w:r>
              <w:rPr>
                <w:rFonts w:hint="eastAsia" w:eastAsia="宋体"/>
                <w:sz w:val="21"/>
                <w:szCs w:val="21"/>
                <w:highlight w:val="none"/>
              </w:rPr>
              <w:t>邮编：710065</w:t>
            </w:r>
          </w:p>
        </w:tc>
      </w:tr>
      <w:tr w14:paraId="665D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65" w:type="dxa"/>
          </w:tcPr>
          <w:p w14:paraId="4177F301">
            <w:pPr>
              <w:pStyle w:val="29"/>
              <w:spacing w:before="0" w:beforeAutospacing="0" w:after="0" w:afterAutospacing="0"/>
              <w:jc w:val="both"/>
              <w:rPr>
                <w:rFonts w:eastAsia="宋体"/>
                <w:sz w:val="21"/>
                <w:szCs w:val="21"/>
                <w:highlight w:val="none"/>
              </w:rPr>
            </w:pPr>
          </w:p>
          <w:p w14:paraId="069FD8A5">
            <w:pPr>
              <w:pStyle w:val="29"/>
              <w:spacing w:before="0" w:beforeAutospacing="0" w:after="0" w:afterAutospacing="0"/>
              <w:jc w:val="both"/>
              <w:rPr>
                <w:rFonts w:eastAsia="宋体"/>
                <w:sz w:val="21"/>
                <w:szCs w:val="21"/>
                <w:highlight w:val="none"/>
              </w:rPr>
            </w:pPr>
            <w:r>
              <w:rPr>
                <w:rFonts w:hint="eastAsia" w:eastAsia="宋体"/>
                <w:sz w:val="21"/>
                <w:szCs w:val="21"/>
                <w:highlight w:val="none"/>
              </w:rPr>
              <w:t>法定代表人：</w:t>
            </w:r>
          </w:p>
        </w:tc>
        <w:tc>
          <w:tcPr>
            <w:tcW w:w="2774" w:type="dxa"/>
          </w:tcPr>
          <w:p w14:paraId="25B3070A">
            <w:pPr>
              <w:pStyle w:val="29"/>
              <w:spacing w:before="0" w:beforeAutospacing="0" w:after="0" w:afterAutospacing="0"/>
              <w:rPr>
                <w:rFonts w:eastAsia="宋体"/>
                <w:sz w:val="21"/>
                <w:szCs w:val="21"/>
                <w:highlight w:val="none"/>
              </w:rPr>
            </w:pPr>
          </w:p>
          <w:p w14:paraId="2ACB14CA">
            <w:pPr>
              <w:pStyle w:val="29"/>
              <w:spacing w:before="0" w:beforeAutospacing="0" w:after="0" w:afterAutospacing="0"/>
              <w:rPr>
                <w:rFonts w:eastAsia="宋体"/>
                <w:sz w:val="21"/>
                <w:szCs w:val="21"/>
                <w:highlight w:val="none"/>
              </w:rPr>
            </w:pPr>
            <w:r>
              <w:rPr>
                <w:rFonts w:hint="eastAsia" w:eastAsia="宋体"/>
                <w:sz w:val="21"/>
                <w:szCs w:val="21"/>
                <w:highlight w:val="none"/>
              </w:rPr>
              <w:t>法定代表人（负责人）：</w:t>
            </w:r>
          </w:p>
        </w:tc>
        <w:tc>
          <w:tcPr>
            <w:tcW w:w="3280" w:type="dxa"/>
          </w:tcPr>
          <w:p w14:paraId="309432BC">
            <w:pPr>
              <w:pStyle w:val="29"/>
              <w:spacing w:before="0" w:beforeAutospacing="0" w:after="0" w:afterAutospacing="0"/>
              <w:rPr>
                <w:rFonts w:eastAsia="宋体"/>
                <w:sz w:val="21"/>
                <w:szCs w:val="21"/>
                <w:highlight w:val="none"/>
              </w:rPr>
            </w:pPr>
          </w:p>
          <w:p w14:paraId="2E75A913">
            <w:pPr>
              <w:pStyle w:val="29"/>
              <w:spacing w:before="0" w:beforeAutospacing="0" w:after="0" w:afterAutospacing="0"/>
              <w:rPr>
                <w:rFonts w:eastAsia="宋体"/>
                <w:sz w:val="21"/>
                <w:szCs w:val="21"/>
                <w:highlight w:val="none"/>
              </w:rPr>
            </w:pPr>
            <w:r>
              <w:rPr>
                <w:rFonts w:hint="eastAsia" w:eastAsia="宋体"/>
                <w:sz w:val="21"/>
                <w:szCs w:val="21"/>
                <w:highlight w:val="none"/>
              </w:rPr>
              <w:t>法定代表人：</w:t>
            </w:r>
          </w:p>
        </w:tc>
      </w:tr>
      <w:tr w14:paraId="3809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265" w:type="dxa"/>
          </w:tcPr>
          <w:p w14:paraId="306743B3">
            <w:pPr>
              <w:pStyle w:val="29"/>
              <w:spacing w:before="0" w:beforeAutospacing="0" w:after="0" w:afterAutospacing="0"/>
              <w:jc w:val="both"/>
              <w:rPr>
                <w:rFonts w:eastAsia="宋体"/>
                <w:sz w:val="21"/>
                <w:szCs w:val="21"/>
                <w:highlight w:val="none"/>
              </w:rPr>
            </w:pPr>
          </w:p>
          <w:p w14:paraId="3550C303">
            <w:pPr>
              <w:pStyle w:val="29"/>
              <w:spacing w:before="0" w:beforeAutospacing="0" w:after="0" w:afterAutospacing="0"/>
              <w:jc w:val="both"/>
              <w:rPr>
                <w:rFonts w:eastAsia="宋体"/>
                <w:sz w:val="21"/>
                <w:szCs w:val="21"/>
                <w:highlight w:val="none"/>
              </w:rPr>
            </w:pPr>
            <w:r>
              <w:rPr>
                <w:rFonts w:hint="eastAsia" w:eastAsia="宋体"/>
                <w:sz w:val="21"/>
                <w:szCs w:val="21"/>
                <w:highlight w:val="none"/>
              </w:rPr>
              <w:t>被授权代表：（签字）</w:t>
            </w:r>
          </w:p>
        </w:tc>
        <w:tc>
          <w:tcPr>
            <w:tcW w:w="2774" w:type="dxa"/>
          </w:tcPr>
          <w:p w14:paraId="508EB27E">
            <w:pPr>
              <w:pStyle w:val="29"/>
              <w:spacing w:before="0" w:beforeAutospacing="0" w:after="0" w:afterAutospacing="0"/>
              <w:rPr>
                <w:rFonts w:eastAsia="宋体"/>
                <w:sz w:val="21"/>
                <w:szCs w:val="21"/>
                <w:highlight w:val="none"/>
              </w:rPr>
            </w:pPr>
          </w:p>
          <w:p w14:paraId="1C16FEB1">
            <w:pPr>
              <w:pStyle w:val="29"/>
              <w:spacing w:before="0" w:beforeAutospacing="0" w:after="0" w:afterAutospacing="0"/>
              <w:rPr>
                <w:rFonts w:eastAsia="宋体"/>
                <w:sz w:val="21"/>
                <w:szCs w:val="21"/>
                <w:highlight w:val="none"/>
              </w:rPr>
            </w:pPr>
            <w:r>
              <w:rPr>
                <w:rFonts w:hint="eastAsia" w:eastAsia="宋体"/>
                <w:sz w:val="21"/>
                <w:szCs w:val="21"/>
                <w:highlight w:val="none"/>
              </w:rPr>
              <w:t>被授权代表：（签字）</w:t>
            </w:r>
          </w:p>
        </w:tc>
        <w:tc>
          <w:tcPr>
            <w:tcW w:w="3280" w:type="dxa"/>
          </w:tcPr>
          <w:p w14:paraId="63A9A5F2">
            <w:pPr>
              <w:pStyle w:val="29"/>
              <w:spacing w:before="0" w:beforeAutospacing="0" w:after="0" w:afterAutospacing="0"/>
              <w:rPr>
                <w:rFonts w:eastAsia="宋体"/>
                <w:sz w:val="21"/>
                <w:szCs w:val="21"/>
                <w:highlight w:val="none"/>
              </w:rPr>
            </w:pPr>
          </w:p>
          <w:p w14:paraId="3963B214">
            <w:pPr>
              <w:pStyle w:val="29"/>
              <w:spacing w:before="0" w:beforeAutospacing="0" w:after="0" w:afterAutospacing="0"/>
              <w:rPr>
                <w:rFonts w:eastAsia="宋体"/>
                <w:sz w:val="21"/>
                <w:szCs w:val="21"/>
                <w:highlight w:val="none"/>
              </w:rPr>
            </w:pPr>
            <w:r>
              <w:rPr>
                <w:rFonts w:hint="eastAsia" w:eastAsia="宋体"/>
                <w:sz w:val="21"/>
                <w:szCs w:val="21"/>
                <w:highlight w:val="none"/>
              </w:rPr>
              <w:t>项目负责人（签字）：</w:t>
            </w:r>
          </w:p>
        </w:tc>
      </w:tr>
      <w:tr w14:paraId="0F0F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265" w:type="dxa"/>
          </w:tcPr>
          <w:p w14:paraId="033553BD">
            <w:pPr>
              <w:pStyle w:val="29"/>
              <w:spacing w:before="0" w:beforeAutospacing="0" w:after="0" w:afterAutospacing="0"/>
              <w:jc w:val="both"/>
              <w:rPr>
                <w:rFonts w:eastAsia="宋体"/>
                <w:sz w:val="21"/>
                <w:szCs w:val="21"/>
                <w:highlight w:val="none"/>
              </w:rPr>
            </w:pPr>
          </w:p>
          <w:p w14:paraId="3126F675">
            <w:pPr>
              <w:pStyle w:val="29"/>
              <w:spacing w:before="0" w:beforeAutospacing="0" w:after="0" w:afterAutospacing="0"/>
              <w:jc w:val="both"/>
              <w:rPr>
                <w:rFonts w:eastAsia="宋体"/>
                <w:sz w:val="21"/>
                <w:szCs w:val="21"/>
                <w:highlight w:val="none"/>
              </w:rPr>
            </w:pPr>
            <w:r>
              <w:rPr>
                <w:rFonts w:hint="eastAsia" w:eastAsia="宋体"/>
                <w:sz w:val="21"/>
                <w:szCs w:val="21"/>
                <w:highlight w:val="none"/>
              </w:rPr>
              <w:t>电话：</w:t>
            </w:r>
          </w:p>
        </w:tc>
        <w:tc>
          <w:tcPr>
            <w:tcW w:w="2774" w:type="dxa"/>
          </w:tcPr>
          <w:p w14:paraId="71D1E692">
            <w:pPr>
              <w:pStyle w:val="29"/>
              <w:spacing w:before="0" w:beforeAutospacing="0" w:after="0" w:afterAutospacing="0"/>
              <w:rPr>
                <w:rFonts w:eastAsia="宋体"/>
                <w:sz w:val="21"/>
                <w:szCs w:val="21"/>
                <w:highlight w:val="none"/>
              </w:rPr>
            </w:pPr>
          </w:p>
          <w:p w14:paraId="4D9C0577">
            <w:pPr>
              <w:pStyle w:val="29"/>
              <w:spacing w:before="0" w:beforeAutospacing="0" w:after="0" w:afterAutospacing="0"/>
              <w:rPr>
                <w:rFonts w:eastAsia="宋体"/>
                <w:sz w:val="21"/>
                <w:szCs w:val="21"/>
                <w:highlight w:val="none"/>
              </w:rPr>
            </w:pPr>
            <w:r>
              <w:rPr>
                <w:rFonts w:hint="eastAsia" w:eastAsia="宋体"/>
                <w:sz w:val="21"/>
                <w:szCs w:val="21"/>
                <w:highlight w:val="none"/>
              </w:rPr>
              <w:t>电话：</w:t>
            </w:r>
          </w:p>
        </w:tc>
        <w:tc>
          <w:tcPr>
            <w:tcW w:w="3280" w:type="dxa"/>
          </w:tcPr>
          <w:p w14:paraId="52CBCDE2">
            <w:pPr>
              <w:pStyle w:val="29"/>
              <w:spacing w:before="0" w:beforeAutospacing="0" w:after="0" w:afterAutospacing="0"/>
              <w:rPr>
                <w:rFonts w:eastAsia="宋体"/>
                <w:sz w:val="21"/>
                <w:szCs w:val="21"/>
                <w:highlight w:val="none"/>
              </w:rPr>
            </w:pPr>
          </w:p>
          <w:p w14:paraId="46803C23">
            <w:pPr>
              <w:pStyle w:val="29"/>
              <w:spacing w:before="0" w:beforeAutospacing="0" w:after="0" w:afterAutospacing="0"/>
              <w:rPr>
                <w:rFonts w:eastAsia="宋体"/>
                <w:sz w:val="21"/>
                <w:szCs w:val="21"/>
                <w:highlight w:val="none"/>
              </w:rPr>
            </w:pPr>
            <w:r>
              <w:rPr>
                <w:rFonts w:hint="eastAsia" w:eastAsia="宋体"/>
                <w:sz w:val="21"/>
                <w:szCs w:val="21"/>
                <w:highlight w:val="none"/>
              </w:rPr>
              <w:t>电话：029-88319689</w:t>
            </w:r>
          </w:p>
        </w:tc>
      </w:tr>
      <w:tr w14:paraId="261F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265" w:type="dxa"/>
          </w:tcPr>
          <w:p w14:paraId="3D9D6887">
            <w:pPr>
              <w:pStyle w:val="29"/>
              <w:spacing w:before="0" w:beforeAutospacing="0" w:after="0" w:afterAutospacing="0"/>
              <w:jc w:val="both"/>
              <w:rPr>
                <w:rFonts w:eastAsia="宋体"/>
                <w:sz w:val="21"/>
                <w:szCs w:val="21"/>
                <w:highlight w:val="none"/>
              </w:rPr>
            </w:pPr>
          </w:p>
          <w:p w14:paraId="7CF21154">
            <w:pPr>
              <w:pStyle w:val="29"/>
              <w:spacing w:before="0" w:beforeAutospacing="0" w:after="0" w:afterAutospacing="0"/>
              <w:jc w:val="both"/>
              <w:rPr>
                <w:rFonts w:eastAsia="宋体"/>
                <w:sz w:val="21"/>
                <w:szCs w:val="21"/>
                <w:highlight w:val="none"/>
              </w:rPr>
            </w:pPr>
            <w:r>
              <w:rPr>
                <w:rFonts w:hint="eastAsia" w:eastAsia="宋体"/>
                <w:sz w:val="21"/>
                <w:szCs w:val="21"/>
                <w:highlight w:val="none"/>
              </w:rPr>
              <w:t>传真：</w:t>
            </w:r>
          </w:p>
        </w:tc>
        <w:tc>
          <w:tcPr>
            <w:tcW w:w="2774" w:type="dxa"/>
          </w:tcPr>
          <w:p w14:paraId="39AFB590">
            <w:pPr>
              <w:pStyle w:val="29"/>
              <w:spacing w:before="0" w:beforeAutospacing="0" w:after="0" w:afterAutospacing="0"/>
              <w:rPr>
                <w:rFonts w:eastAsia="宋体"/>
                <w:sz w:val="21"/>
                <w:szCs w:val="21"/>
                <w:highlight w:val="none"/>
              </w:rPr>
            </w:pPr>
          </w:p>
          <w:p w14:paraId="38E0DAC8">
            <w:pPr>
              <w:pStyle w:val="29"/>
              <w:spacing w:before="0" w:beforeAutospacing="0" w:after="0" w:afterAutospacing="0"/>
              <w:rPr>
                <w:rFonts w:eastAsia="宋体"/>
                <w:sz w:val="21"/>
                <w:szCs w:val="21"/>
                <w:highlight w:val="none"/>
              </w:rPr>
            </w:pPr>
            <w:r>
              <w:rPr>
                <w:rFonts w:hint="eastAsia" w:eastAsia="宋体"/>
                <w:sz w:val="21"/>
                <w:szCs w:val="21"/>
                <w:highlight w:val="none"/>
              </w:rPr>
              <w:t>传真：</w:t>
            </w:r>
          </w:p>
        </w:tc>
        <w:tc>
          <w:tcPr>
            <w:tcW w:w="3280" w:type="dxa"/>
          </w:tcPr>
          <w:p w14:paraId="3E35063D">
            <w:pPr>
              <w:pStyle w:val="29"/>
              <w:spacing w:before="0" w:beforeAutospacing="0" w:after="0" w:afterAutospacing="0"/>
              <w:rPr>
                <w:rFonts w:eastAsia="宋体"/>
                <w:sz w:val="21"/>
                <w:szCs w:val="21"/>
                <w:highlight w:val="none"/>
              </w:rPr>
            </w:pPr>
          </w:p>
          <w:p w14:paraId="63C7412C">
            <w:pPr>
              <w:pStyle w:val="29"/>
              <w:spacing w:before="0" w:beforeAutospacing="0" w:after="0" w:afterAutospacing="0"/>
              <w:rPr>
                <w:rFonts w:eastAsia="宋体"/>
                <w:sz w:val="21"/>
                <w:szCs w:val="21"/>
                <w:highlight w:val="none"/>
              </w:rPr>
            </w:pPr>
            <w:r>
              <w:rPr>
                <w:rFonts w:hint="eastAsia" w:eastAsia="宋体"/>
                <w:sz w:val="21"/>
                <w:szCs w:val="21"/>
                <w:highlight w:val="none"/>
              </w:rPr>
              <w:t>传真：029-88319689</w:t>
            </w:r>
          </w:p>
        </w:tc>
      </w:tr>
      <w:tr w14:paraId="7BDE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5" w:type="dxa"/>
          </w:tcPr>
          <w:p w14:paraId="6604D1F5">
            <w:pPr>
              <w:pStyle w:val="29"/>
              <w:spacing w:before="0" w:beforeAutospacing="0" w:after="0" w:afterAutospacing="0"/>
              <w:rPr>
                <w:rFonts w:eastAsia="宋体"/>
                <w:sz w:val="21"/>
                <w:szCs w:val="21"/>
                <w:highlight w:val="none"/>
              </w:rPr>
            </w:pPr>
            <w:r>
              <w:rPr>
                <w:rFonts w:hint="eastAsia" w:eastAsia="宋体"/>
                <w:sz w:val="21"/>
                <w:szCs w:val="21"/>
                <w:highlight w:val="none"/>
              </w:rPr>
              <w:t>开户银行：</w:t>
            </w:r>
          </w:p>
        </w:tc>
        <w:tc>
          <w:tcPr>
            <w:tcW w:w="2774" w:type="dxa"/>
          </w:tcPr>
          <w:p w14:paraId="61E4EFF8">
            <w:pPr>
              <w:pStyle w:val="29"/>
              <w:spacing w:before="0" w:beforeAutospacing="0" w:after="0" w:afterAutospacing="0"/>
              <w:rPr>
                <w:rFonts w:eastAsia="宋体"/>
                <w:sz w:val="21"/>
                <w:szCs w:val="21"/>
                <w:highlight w:val="none"/>
              </w:rPr>
            </w:pPr>
          </w:p>
          <w:p w14:paraId="26BF13A0">
            <w:pPr>
              <w:pStyle w:val="29"/>
              <w:spacing w:before="0" w:beforeAutospacing="0" w:after="0" w:afterAutospacing="0"/>
              <w:rPr>
                <w:rFonts w:eastAsia="宋体"/>
                <w:sz w:val="21"/>
                <w:szCs w:val="21"/>
                <w:highlight w:val="none"/>
              </w:rPr>
            </w:pPr>
            <w:r>
              <w:rPr>
                <w:rFonts w:hint="eastAsia" w:eastAsia="宋体"/>
                <w:sz w:val="21"/>
                <w:szCs w:val="21"/>
                <w:highlight w:val="none"/>
              </w:rPr>
              <w:t>开户银行：</w:t>
            </w:r>
          </w:p>
        </w:tc>
        <w:tc>
          <w:tcPr>
            <w:tcW w:w="3280" w:type="dxa"/>
          </w:tcPr>
          <w:p w14:paraId="7A5D19DE">
            <w:pPr>
              <w:pStyle w:val="29"/>
              <w:spacing w:before="0" w:beforeAutospacing="0" w:after="0" w:afterAutospacing="0"/>
              <w:rPr>
                <w:rFonts w:eastAsia="宋体"/>
                <w:sz w:val="21"/>
                <w:szCs w:val="21"/>
                <w:highlight w:val="none"/>
              </w:rPr>
            </w:pPr>
          </w:p>
          <w:p w14:paraId="7D3AC989">
            <w:pPr>
              <w:pStyle w:val="29"/>
              <w:spacing w:before="0" w:beforeAutospacing="0" w:after="0" w:afterAutospacing="0"/>
              <w:rPr>
                <w:rFonts w:eastAsia="宋体"/>
                <w:sz w:val="21"/>
                <w:szCs w:val="21"/>
                <w:highlight w:val="none"/>
              </w:rPr>
            </w:pPr>
          </w:p>
        </w:tc>
      </w:tr>
      <w:tr w14:paraId="419A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5" w:type="dxa"/>
          </w:tcPr>
          <w:p w14:paraId="70003A65">
            <w:pPr>
              <w:pStyle w:val="29"/>
              <w:spacing w:before="0" w:beforeAutospacing="0" w:after="0" w:afterAutospacing="0"/>
              <w:rPr>
                <w:rFonts w:eastAsia="宋体"/>
                <w:sz w:val="21"/>
                <w:szCs w:val="21"/>
                <w:highlight w:val="none"/>
              </w:rPr>
            </w:pPr>
          </w:p>
          <w:p w14:paraId="4D55EBCE">
            <w:pPr>
              <w:pStyle w:val="29"/>
              <w:spacing w:before="0" w:beforeAutospacing="0" w:after="0" w:afterAutospacing="0"/>
              <w:rPr>
                <w:rFonts w:eastAsia="宋体"/>
                <w:sz w:val="21"/>
                <w:szCs w:val="21"/>
                <w:highlight w:val="none"/>
              </w:rPr>
            </w:pPr>
            <w:r>
              <w:rPr>
                <w:rFonts w:hint="eastAsia" w:eastAsia="宋体"/>
                <w:sz w:val="21"/>
                <w:szCs w:val="21"/>
                <w:highlight w:val="none"/>
              </w:rPr>
              <w:t>账号：</w:t>
            </w:r>
          </w:p>
        </w:tc>
        <w:tc>
          <w:tcPr>
            <w:tcW w:w="2774" w:type="dxa"/>
          </w:tcPr>
          <w:p w14:paraId="04AD5E69">
            <w:pPr>
              <w:pStyle w:val="29"/>
              <w:spacing w:before="0" w:beforeAutospacing="0" w:after="0" w:afterAutospacing="0"/>
              <w:rPr>
                <w:rFonts w:eastAsia="宋体"/>
                <w:sz w:val="21"/>
                <w:szCs w:val="21"/>
                <w:highlight w:val="none"/>
              </w:rPr>
            </w:pPr>
          </w:p>
          <w:p w14:paraId="16B1B4EB">
            <w:pPr>
              <w:pStyle w:val="29"/>
              <w:spacing w:before="0" w:beforeAutospacing="0" w:after="0" w:afterAutospacing="0"/>
              <w:rPr>
                <w:rFonts w:eastAsia="宋体"/>
                <w:sz w:val="21"/>
                <w:szCs w:val="21"/>
                <w:highlight w:val="none"/>
              </w:rPr>
            </w:pPr>
            <w:r>
              <w:rPr>
                <w:rFonts w:hint="eastAsia" w:eastAsia="宋体"/>
                <w:sz w:val="21"/>
                <w:szCs w:val="21"/>
                <w:highlight w:val="none"/>
              </w:rPr>
              <w:t>账号：</w:t>
            </w:r>
          </w:p>
        </w:tc>
        <w:tc>
          <w:tcPr>
            <w:tcW w:w="3280" w:type="dxa"/>
          </w:tcPr>
          <w:p w14:paraId="74E430BA">
            <w:pPr>
              <w:pStyle w:val="29"/>
              <w:spacing w:before="0" w:beforeAutospacing="0" w:after="0" w:afterAutospacing="0"/>
              <w:rPr>
                <w:rFonts w:eastAsia="宋体"/>
                <w:sz w:val="21"/>
                <w:szCs w:val="21"/>
                <w:highlight w:val="none"/>
              </w:rPr>
            </w:pPr>
          </w:p>
        </w:tc>
      </w:tr>
      <w:tr w14:paraId="6185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65" w:type="dxa"/>
          </w:tcPr>
          <w:p w14:paraId="7F6807F0">
            <w:pPr>
              <w:pStyle w:val="29"/>
              <w:spacing w:before="0" w:beforeAutospacing="0" w:after="0" w:afterAutospacing="0"/>
              <w:jc w:val="both"/>
              <w:rPr>
                <w:rFonts w:eastAsia="宋体"/>
                <w:sz w:val="21"/>
                <w:szCs w:val="21"/>
                <w:highlight w:val="none"/>
              </w:rPr>
            </w:pPr>
          </w:p>
          <w:p w14:paraId="44C83E79">
            <w:pPr>
              <w:pStyle w:val="29"/>
              <w:spacing w:before="0" w:beforeAutospacing="0" w:after="0" w:afterAutospacing="0"/>
              <w:jc w:val="both"/>
              <w:rPr>
                <w:rFonts w:eastAsia="宋体"/>
                <w:sz w:val="21"/>
                <w:szCs w:val="21"/>
                <w:highlight w:val="none"/>
              </w:rPr>
            </w:pPr>
            <w:r>
              <w:rPr>
                <w:rFonts w:hint="eastAsia" w:eastAsia="宋体"/>
                <w:sz w:val="21"/>
                <w:szCs w:val="21"/>
                <w:highlight w:val="none"/>
              </w:rPr>
              <w:t>日期：   年      月     日</w:t>
            </w:r>
          </w:p>
        </w:tc>
        <w:tc>
          <w:tcPr>
            <w:tcW w:w="2774" w:type="dxa"/>
          </w:tcPr>
          <w:p w14:paraId="72A93C69">
            <w:pPr>
              <w:pStyle w:val="29"/>
              <w:spacing w:before="0" w:beforeAutospacing="0" w:after="0" w:afterAutospacing="0"/>
              <w:rPr>
                <w:rFonts w:eastAsia="宋体"/>
                <w:sz w:val="21"/>
                <w:szCs w:val="21"/>
                <w:highlight w:val="none"/>
              </w:rPr>
            </w:pPr>
          </w:p>
          <w:p w14:paraId="4E21CBDC">
            <w:pPr>
              <w:pStyle w:val="29"/>
              <w:spacing w:before="0" w:beforeAutospacing="0" w:after="0" w:afterAutospacing="0"/>
              <w:rPr>
                <w:rFonts w:eastAsia="宋体"/>
                <w:sz w:val="21"/>
                <w:szCs w:val="21"/>
                <w:highlight w:val="none"/>
              </w:rPr>
            </w:pPr>
            <w:r>
              <w:rPr>
                <w:rFonts w:hint="eastAsia" w:eastAsia="宋体"/>
                <w:sz w:val="21"/>
                <w:szCs w:val="21"/>
                <w:highlight w:val="none"/>
              </w:rPr>
              <w:t>日期：  年    月   日</w:t>
            </w:r>
          </w:p>
        </w:tc>
        <w:tc>
          <w:tcPr>
            <w:tcW w:w="3280" w:type="dxa"/>
          </w:tcPr>
          <w:p w14:paraId="181AD16E">
            <w:pPr>
              <w:pStyle w:val="29"/>
              <w:spacing w:before="0" w:beforeAutospacing="0" w:after="0" w:afterAutospacing="0"/>
              <w:rPr>
                <w:rFonts w:eastAsia="宋体"/>
                <w:sz w:val="21"/>
                <w:szCs w:val="21"/>
                <w:highlight w:val="none"/>
              </w:rPr>
            </w:pPr>
          </w:p>
          <w:p w14:paraId="059C0245">
            <w:pPr>
              <w:pStyle w:val="29"/>
              <w:spacing w:before="0" w:beforeAutospacing="0" w:after="0" w:afterAutospacing="0"/>
              <w:rPr>
                <w:rFonts w:eastAsia="宋体"/>
                <w:sz w:val="21"/>
                <w:szCs w:val="21"/>
                <w:highlight w:val="none"/>
              </w:rPr>
            </w:pPr>
            <w:r>
              <w:rPr>
                <w:rFonts w:hint="eastAsia" w:eastAsia="宋体"/>
                <w:sz w:val="21"/>
                <w:szCs w:val="21"/>
                <w:highlight w:val="none"/>
              </w:rPr>
              <w:t>日期：  年     月   日</w:t>
            </w:r>
          </w:p>
        </w:tc>
      </w:tr>
    </w:tbl>
    <w:p w14:paraId="3451A7D5">
      <w:pPr>
        <w:jc w:val="center"/>
        <w:rPr>
          <w:rFonts w:ascii="宋体" w:hAnsi="宋体" w:eastAsia="宋体" w:cs="宋体"/>
          <w:sz w:val="32"/>
          <w:szCs w:val="32"/>
          <w:highlight w:val="none"/>
        </w:rPr>
      </w:pPr>
    </w:p>
    <w:p w14:paraId="787F8ABD">
      <w:pPr>
        <w:jc w:val="center"/>
        <w:rPr>
          <w:rFonts w:ascii="宋体" w:hAnsi="宋体" w:eastAsia="宋体" w:cs="宋体"/>
          <w:sz w:val="32"/>
          <w:szCs w:val="32"/>
          <w:highlight w:val="none"/>
        </w:rPr>
      </w:pPr>
    </w:p>
    <w:p w14:paraId="45E349B6">
      <w:pPr>
        <w:jc w:val="center"/>
        <w:rPr>
          <w:rFonts w:ascii="宋体" w:hAnsi="宋体" w:eastAsia="宋体" w:cs="宋体"/>
          <w:sz w:val="32"/>
          <w:szCs w:val="32"/>
          <w:highlight w:val="none"/>
        </w:rPr>
      </w:pPr>
    </w:p>
    <w:p w14:paraId="61E1B140">
      <w:pPr>
        <w:jc w:val="center"/>
        <w:rPr>
          <w:rFonts w:ascii="宋体" w:hAnsi="宋体" w:eastAsia="宋体" w:cs="宋体"/>
          <w:sz w:val="32"/>
          <w:szCs w:val="32"/>
          <w:highlight w:val="none"/>
        </w:rPr>
      </w:pPr>
    </w:p>
    <w:p w14:paraId="7A7E5C1C">
      <w:pPr>
        <w:pStyle w:val="3"/>
        <w:rPr>
          <w:rFonts w:ascii="宋体" w:hAnsi="宋体" w:eastAsia="宋体" w:cs="宋体"/>
          <w:highlight w:val="none"/>
        </w:rPr>
      </w:pPr>
      <w:bookmarkStart w:id="175" w:name="_Toc7851"/>
      <w:bookmarkStart w:id="176" w:name="_Toc29427"/>
      <w:bookmarkStart w:id="177" w:name="_Toc23496"/>
      <w:r>
        <w:rPr>
          <w:rFonts w:hint="eastAsia" w:ascii="宋体" w:hAnsi="宋体" w:eastAsia="宋体" w:cs="宋体"/>
          <w:highlight w:val="none"/>
        </w:rPr>
        <w:t>第五章  投标文件构成及格式</w:t>
      </w:r>
      <w:bookmarkEnd w:id="78"/>
      <w:bookmarkEnd w:id="175"/>
      <w:bookmarkEnd w:id="176"/>
      <w:bookmarkEnd w:id="177"/>
    </w:p>
    <w:p w14:paraId="70FE32AC">
      <w:pPr>
        <w:spacing w:line="560" w:lineRule="exact"/>
        <w:ind w:firstLine="656" w:firstLineChars="200"/>
        <w:jc w:val="both"/>
        <w:rPr>
          <w:rFonts w:ascii="宋体" w:hAnsi="宋体" w:eastAsia="宋体" w:cs="宋体"/>
          <w:sz w:val="32"/>
          <w:szCs w:val="32"/>
          <w:highlight w:val="none"/>
        </w:rPr>
      </w:pPr>
    </w:p>
    <w:p w14:paraId="0BC6A5BB">
      <w:pPr>
        <w:spacing w:line="560" w:lineRule="exact"/>
        <w:ind w:firstLine="656" w:firstLineChars="200"/>
        <w:jc w:val="both"/>
        <w:rPr>
          <w:rFonts w:ascii="宋体" w:hAnsi="宋体" w:eastAsia="宋体" w:cs="宋体"/>
          <w:sz w:val="32"/>
          <w:szCs w:val="32"/>
          <w:highlight w:val="none"/>
        </w:rPr>
      </w:pPr>
    </w:p>
    <w:p w14:paraId="6B3C3898">
      <w:pPr>
        <w:spacing w:line="560" w:lineRule="exact"/>
        <w:ind w:firstLine="656" w:firstLineChars="200"/>
        <w:jc w:val="both"/>
        <w:rPr>
          <w:rFonts w:ascii="宋体" w:hAnsi="宋体" w:eastAsia="宋体" w:cs="宋体"/>
          <w:b/>
          <w:bCs/>
          <w:sz w:val="32"/>
          <w:szCs w:val="32"/>
          <w:highlight w:val="none"/>
        </w:rPr>
      </w:pPr>
      <w:r>
        <w:rPr>
          <w:rFonts w:hint="eastAsia" w:ascii="宋体" w:hAnsi="宋体" w:eastAsia="宋体" w:cs="宋体"/>
          <w:b/>
          <w:bCs/>
          <w:sz w:val="32"/>
          <w:szCs w:val="32"/>
          <w:highlight w:val="none"/>
        </w:rPr>
        <w:t>中国人民政治协商会议西安市委员会办公厅</w:t>
      </w:r>
    </w:p>
    <w:p w14:paraId="28309737">
      <w:pPr>
        <w:spacing w:line="560" w:lineRule="exact"/>
        <w:ind w:firstLine="1968" w:firstLineChars="600"/>
        <w:jc w:val="both"/>
        <w:rPr>
          <w:rFonts w:ascii="宋体" w:hAnsi="宋体" w:eastAsia="宋体" w:cs="宋体"/>
          <w:b/>
          <w:bCs/>
          <w:sz w:val="32"/>
          <w:szCs w:val="32"/>
          <w:highlight w:val="none"/>
        </w:rPr>
      </w:pPr>
      <w:r>
        <w:rPr>
          <w:rFonts w:hint="eastAsia" w:ascii="宋体" w:hAnsi="宋体" w:eastAsia="宋体" w:cs="宋体"/>
          <w:b/>
          <w:bCs/>
          <w:sz w:val="32"/>
          <w:szCs w:val="32"/>
          <w:highlight w:val="none"/>
        </w:rPr>
        <w:t>西安市“数字政协”项目</w:t>
      </w:r>
    </w:p>
    <w:p w14:paraId="6F6E1425">
      <w:pPr>
        <w:spacing w:line="560" w:lineRule="exact"/>
        <w:ind w:firstLine="1640" w:firstLineChars="500"/>
        <w:jc w:val="both"/>
        <w:rPr>
          <w:rFonts w:ascii="宋体" w:hAnsi="宋体" w:eastAsia="宋体" w:cs="宋体"/>
          <w:b/>
          <w:bCs/>
          <w:sz w:val="32"/>
          <w:szCs w:val="32"/>
          <w:highlight w:val="none"/>
        </w:rPr>
      </w:pPr>
    </w:p>
    <w:p w14:paraId="22EA319F">
      <w:pPr>
        <w:spacing w:line="560" w:lineRule="exact"/>
        <w:ind w:firstLine="1640" w:firstLineChars="500"/>
        <w:jc w:val="both"/>
        <w:rPr>
          <w:rFonts w:ascii="宋体" w:hAnsi="宋体" w:eastAsia="宋体" w:cs="宋体"/>
          <w:b/>
          <w:bCs/>
          <w:sz w:val="32"/>
          <w:szCs w:val="32"/>
          <w:highlight w:val="none"/>
        </w:rPr>
      </w:pPr>
    </w:p>
    <w:p w14:paraId="0484CA2B">
      <w:pPr>
        <w:spacing w:line="560" w:lineRule="exact"/>
        <w:ind w:firstLine="1640" w:firstLineChars="500"/>
        <w:jc w:val="both"/>
        <w:rPr>
          <w:rFonts w:ascii="宋体" w:hAnsi="宋体" w:eastAsia="宋体" w:cs="宋体"/>
          <w:b/>
          <w:bCs/>
          <w:sz w:val="32"/>
          <w:szCs w:val="32"/>
          <w:highlight w:val="none"/>
        </w:rPr>
      </w:pPr>
    </w:p>
    <w:p w14:paraId="7D12BC1F">
      <w:pPr>
        <w:spacing w:line="560" w:lineRule="exact"/>
        <w:ind w:firstLine="1640" w:firstLineChars="500"/>
        <w:jc w:val="both"/>
        <w:rPr>
          <w:rFonts w:ascii="宋体" w:hAnsi="宋体" w:eastAsia="宋体" w:cs="宋体"/>
          <w:b/>
          <w:bCs/>
          <w:sz w:val="32"/>
          <w:szCs w:val="32"/>
          <w:highlight w:val="none"/>
        </w:rPr>
      </w:pPr>
    </w:p>
    <w:p w14:paraId="4B5E3837">
      <w:pPr>
        <w:spacing w:line="560" w:lineRule="exact"/>
        <w:ind w:firstLine="1640" w:firstLineChars="500"/>
        <w:jc w:val="both"/>
        <w:rPr>
          <w:rFonts w:ascii="宋体" w:hAnsi="宋体" w:eastAsia="宋体" w:cs="宋体"/>
          <w:b/>
          <w:bCs/>
          <w:sz w:val="32"/>
          <w:szCs w:val="32"/>
          <w:highlight w:val="none"/>
        </w:rPr>
      </w:pPr>
    </w:p>
    <w:p w14:paraId="595DC741">
      <w:pPr>
        <w:spacing w:line="560" w:lineRule="exact"/>
        <w:ind w:firstLine="1640" w:firstLineChars="500"/>
        <w:jc w:val="both"/>
        <w:rPr>
          <w:rFonts w:ascii="宋体" w:hAnsi="宋体" w:eastAsia="宋体" w:cs="宋体"/>
          <w:sz w:val="32"/>
          <w:szCs w:val="32"/>
          <w:highlight w:val="none"/>
        </w:rPr>
      </w:pPr>
      <w:r>
        <w:rPr>
          <w:rFonts w:hint="eastAsia" w:ascii="宋体" w:hAnsi="宋体" w:eastAsia="宋体" w:cs="宋体"/>
          <w:b/>
          <w:bCs/>
          <w:sz w:val="32"/>
          <w:szCs w:val="32"/>
          <w:highlight w:val="none"/>
        </w:rPr>
        <w:t>项目编号：SXWZ2024ZB-SZX-265</w:t>
      </w:r>
    </w:p>
    <w:p w14:paraId="4D73774D">
      <w:pPr>
        <w:spacing w:line="560" w:lineRule="exact"/>
        <w:ind w:firstLine="656" w:firstLineChars="200"/>
        <w:jc w:val="both"/>
        <w:rPr>
          <w:rFonts w:ascii="宋体" w:hAnsi="宋体" w:eastAsia="宋体" w:cs="宋体"/>
          <w:sz w:val="32"/>
          <w:szCs w:val="32"/>
          <w:highlight w:val="none"/>
        </w:rPr>
      </w:pPr>
    </w:p>
    <w:p w14:paraId="229D53B9">
      <w:pPr>
        <w:spacing w:line="560" w:lineRule="exact"/>
        <w:ind w:firstLine="656" w:firstLineChars="200"/>
        <w:jc w:val="both"/>
        <w:rPr>
          <w:rFonts w:ascii="宋体" w:hAnsi="宋体" w:eastAsia="宋体" w:cs="宋体"/>
          <w:sz w:val="32"/>
          <w:szCs w:val="32"/>
          <w:highlight w:val="none"/>
        </w:rPr>
      </w:pPr>
    </w:p>
    <w:p w14:paraId="5DC6207C">
      <w:pPr>
        <w:spacing w:line="560" w:lineRule="exact"/>
        <w:ind w:firstLine="656" w:firstLineChars="200"/>
        <w:jc w:val="both"/>
        <w:rPr>
          <w:rFonts w:ascii="宋体" w:hAnsi="宋体" w:eastAsia="宋体" w:cs="宋体"/>
          <w:sz w:val="32"/>
          <w:szCs w:val="32"/>
          <w:highlight w:val="none"/>
        </w:rPr>
      </w:pPr>
    </w:p>
    <w:p w14:paraId="3AD49D5F">
      <w:pPr>
        <w:spacing w:line="560" w:lineRule="exact"/>
        <w:ind w:firstLine="656" w:firstLineChars="200"/>
        <w:jc w:val="both"/>
        <w:rPr>
          <w:rFonts w:ascii="宋体" w:hAnsi="宋体" w:eastAsia="宋体" w:cs="宋体"/>
          <w:sz w:val="32"/>
          <w:szCs w:val="32"/>
          <w:highlight w:val="none"/>
        </w:rPr>
      </w:pPr>
    </w:p>
    <w:p w14:paraId="2DBEAB4C">
      <w:pPr>
        <w:spacing w:line="560" w:lineRule="exact"/>
        <w:ind w:firstLine="656" w:firstLineChars="200"/>
        <w:jc w:val="both"/>
        <w:rPr>
          <w:rFonts w:ascii="宋体" w:hAnsi="宋体" w:eastAsia="宋体" w:cs="宋体"/>
          <w:sz w:val="32"/>
          <w:szCs w:val="32"/>
          <w:highlight w:val="none"/>
        </w:rPr>
      </w:pPr>
    </w:p>
    <w:p w14:paraId="75CE524C">
      <w:pPr>
        <w:spacing w:line="560" w:lineRule="exact"/>
        <w:ind w:firstLine="656" w:firstLineChars="200"/>
        <w:jc w:val="both"/>
        <w:rPr>
          <w:rFonts w:ascii="宋体" w:hAnsi="宋体" w:eastAsia="宋体" w:cs="宋体"/>
          <w:sz w:val="32"/>
          <w:szCs w:val="32"/>
          <w:highlight w:val="none"/>
        </w:rPr>
      </w:pPr>
    </w:p>
    <w:p w14:paraId="4C8401C4">
      <w:pPr>
        <w:spacing w:line="560" w:lineRule="exact"/>
        <w:ind w:firstLine="656" w:firstLineChars="200"/>
        <w:jc w:val="both"/>
        <w:rPr>
          <w:rFonts w:ascii="宋体" w:hAnsi="宋体" w:eastAsia="宋体" w:cs="宋体"/>
          <w:sz w:val="32"/>
          <w:szCs w:val="32"/>
          <w:highlight w:val="none"/>
        </w:rPr>
      </w:pPr>
    </w:p>
    <w:p w14:paraId="04BC3923">
      <w:pPr>
        <w:snapToGrid w:val="0"/>
        <w:spacing w:line="480" w:lineRule="auto"/>
        <w:ind w:firstLine="992" w:firstLineChars="400"/>
        <w:rPr>
          <w:rFonts w:ascii="宋体" w:hAnsi="宋体" w:eastAsia="宋体" w:cs="宋体"/>
          <w:highlight w:val="none"/>
          <w:lang w:val="zh-CN"/>
        </w:rPr>
      </w:pPr>
      <w:r>
        <w:rPr>
          <w:rFonts w:hint="eastAsia" w:ascii="宋体" w:hAnsi="宋体" w:eastAsia="宋体" w:cs="宋体"/>
          <w:highlight w:val="none"/>
          <w:lang w:val="zh-CN"/>
        </w:rPr>
        <w:t>供应商（单位名称及公章）：</w:t>
      </w:r>
    </w:p>
    <w:p w14:paraId="6E6A250C">
      <w:pPr>
        <w:snapToGrid w:val="0"/>
        <w:spacing w:line="480" w:lineRule="auto"/>
        <w:ind w:firstLine="992" w:firstLineChars="400"/>
        <w:jc w:val="both"/>
        <w:rPr>
          <w:rFonts w:ascii="宋体" w:hAnsi="宋体" w:eastAsia="宋体" w:cs="宋体"/>
          <w:highlight w:val="none"/>
        </w:rPr>
      </w:pPr>
      <w:r>
        <w:rPr>
          <w:rFonts w:hint="eastAsia" w:ascii="宋体" w:hAnsi="宋体" w:eastAsia="宋体" w:cs="宋体"/>
          <w:highlight w:val="none"/>
        </w:rPr>
        <w:t>法定代表人（负责人）或被授权人（签字或盖章）：</w:t>
      </w:r>
    </w:p>
    <w:p w14:paraId="4ABAE237">
      <w:pPr>
        <w:snapToGrid w:val="0"/>
        <w:spacing w:line="480" w:lineRule="auto"/>
        <w:ind w:firstLine="992" w:firstLineChars="400"/>
        <w:rPr>
          <w:rFonts w:ascii="宋体" w:hAnsi="宋体" w:eastAsia="宋体" w:cs="宋体"/>
          <w:highlight w:val="none"/>
          <w:u w:val="single"/>
        </w:rPr>
      </w:pPr>
      <w:r>
        <w:rPr>
          <w:rFonts w:hint="eastAsia" w:ascii="宋体" w:hAnsi="宋体" w:eastAsia="宋体" w:cs="宋体"/>
          <w:highlight w:val="none"/>
        </w:rPr>
        <w:t>日   期</w:t>
      </w:r>
      <w:r>
        <w:rPr>
          <w:rFonts w:hint="eastAsia" w:ascii="宋体" w:hAnsi="宋体" w:eastAsia="宋体" w:cs="宋体"/>
          <w:highlight w:val="none"/>
          <w:lang w:val="zh-CN"/>
        </w:rPr>
        <w:t>：</w:t>
      </w:r>
    </w:p>
    <w:p w14:paraId="2B1AB1A7">
      <w:pPr>
        <w:spacing w:line="560" w:lineRule="exact"/>
        <w:ind w:firstLine="496" w:firstLineChars="200"/>
        <w:jc w:val="both"/>
        <w:rPr>
          <w:rFonts w:ascii="宋体" w:hAnsi="宋体" w:eastAsia="宋体" w:cs="宋体"/>
          <w:sz w:val="32"/>
          <w:szCs w:val="32"/>
          <w:highlight w:val="none"/>
        </w:rPr>
      </w:pPr>
      <w:r>
        <w:rPr>
          <w:rFonts w:hint="eastAsia" w:ascii="宋体" w:hAnsi="宋体" w:eastAsia="宋体" w:cs="宋体"/>
          <w:highlight w:val="none"/>
        </w:rPr>
        <w:br w:type="page"/>
      </w:r>
    </w:p>
    <w:p w14:paraId="3D41494E">
      <w:pPr>
        <w:spacing w:line="560" w:lineRule="exact"/>
        <w:ind w:firstLine="896" w:firstLineChars="200"/>
        <w:jc w:val="center"/>
        <w:rPr>
          <w:rFonts w:ascii="宋体" w:hAnsi="宋体" w:eastAsia="宋体" w:cs="宋体"/>
          <w:sz w:val="44"/>
          <w:szCs w:val="44"/>
          <w:highlight w:val="none"/>
        </w:rPr>
      </w:pPr>
    </w:p>
    <w:p w14:paraId="35A463DD">
      <w:pPr>
        <w:spacing w:line="560" w:lineRule="exact"/>
        <w:ind w:firstLine="896" w:firstLineChars="200"/>
        <w:jc w:val="center"/>
        <w:rPr>
          <w:rFonts w:ascii="宋体" w:hAnsi="宋体" w:eastAsia="宋体" w:cs="宋体"/>
          <w:sz w:val="44"/>
          <w:szCs w:val="44"/>
          <w:highlight w:val="none"/>
        </w:rPr>
      </w:pPr>
      <w:r>
        <w:rPr>
          <w:rFonts w:hint="eastAsia" w:ascii="宋体" w:hAnsi="宋体" w:eastAsia="宋体" w:cs="宋体"/>
          <w:sz w:val="44"/>
          <w:szCs w:val="44"/>
          <w:highlight w:val="none"/>
        </w:rPr>
        <w:t>目    录</w:t>
      </w:r>
    </w:p>
    <w:p w14:paraId="284949ED">
      <w:pPr>
        <w:spacing w:line="560" w:lineRule="exact"/>
        <w:ind w:firstLine="656" w:firstLineChars="200"/>
        <w:jc w:val="both"/>
        <w:rPr>
          <w:rFonts w:ascii="宋体" w:hAnsi="宋体" w:eastAsia="宋体" w:cs="宋体"/>
          <w:sz w:val="32"/>
          <w:szCs w:val="32"/>
          <w:highlight w:val="none"/>
        </w:rPr>
      </w:pPr>
    </w:p>
    <w:p w14:paraId="03201BB5">
      <w:pPr>
        <w:pStyle w:val="19"/>
        <w:snapToGrid w:val="0"/>
        <w:spacing w:line="480" w:lineRule="auto"/>
        <w:ind w:firstLine="576" w:firstLineChars="200"/>
        <w:rPr>
          <w:rFonts w:hAnsi="宋体" w:eastAsia="宋体" w:cs="宋体"/>
          <w:b/>
          <w:bCs/>
          <w:sz w:val="28"/>
          <w:szCs w:val="28"/>
          <w:highlight w:val="none"/>
        </w:rPr>
      </w:pPr>
      <w:bookmarkStart w:id="178" w:name="_Toc3727_WPSOffice_Level1"/>
      <w:r>
        <w:rPr>
          <w:rFonts w:hint="eastAsia" w:hAnsi="宋体" w:eastAsia="宋体" w:cs="宋体"/>
          <w:b/>
          <w:bCs/>
          <w:sz w:val="28"/>
          <w:szCs w:val="28"/>
          <w:highlight w:val="none"/>
        </w:rPr>
        <w:t>第一章  投标函</w:t>
      </w:r>
      <w:bookmarkEnd w:id="178"/>
    </w:p>
    <w:p w14:paraId="661A9494">
      <w:pPr>
        <w:snapToGrid w:val="0"/>
        <w:spacing w:line="480" w:lineRule="auto"/>
        <w:ind w:firstLine="576" w:firstLineChars="200"/>
        <w:rPr>
          <w:rFonts w:ascii="宋体" w:hAnsi="宋体" w:eastAsia="宋体" w:cs="宋体"/>
          <w:b/>
          <w:sz w:val="28"/>
          <w:szCs w:val="28"/>
          <w:highlight w:val="none"/>
        </w:rPr>
      </w:pPr>
      <w:bookmarkStart w:id="179" w:name="_Toc23436_WPSOffice_Level1"/>
      <w:r>
        <w:rPr>
          <w:rFonts w:hint="eastAsia" w:ascii="宋体" w:hAnsi="宋体" w:eastAsia="宋体" w:cs="宋体"/>
          <w:b/>
          <w:sz w:val="28"/>
          <w:szCs w:val="28"/>
          <w:highlight w:val="none"/>
        </w:rPr>
        <w:t>第二</w:t>
      </w:r>
      <w:r>
        <w:rPr>
          <w:rFonts w:hint="eastAsia" w:ascii="宋体" w:hAnsi="宋体" w:eastAsia="宋体" w:cs="宋体"/>
          <w:b/>
          <w:bCs/>
          <w:sz w:val="28"/>
          <w:szCs w:val="28"/>
          <w:highlight w:val="none"/>
        </w:rPr>
        <w:t xml:space="preserve">章  </w:t>
      </w:r>
      <w:r>
        <w:rPr>
          <w:rFonts w:hint="eastAsia" w:ascii="宋体" w:hAnsi="宋体" w:eastAsia="宋体" w:cs="宋体"/>
          <w:b/>
          <w:sz w:val="28"/>
          <w:szCs w:val="28"/>
          <w:highlight w:val="none"/>
        </w:rPr>
        <w:t>开标一览表</w:t>
      </w:r>
      <w:bookmarkEnd w:id="179"/>
    </w:p>
    <w:p w14:paraId="46BA39D5">
      <w:pPr>
        <w:pStyle w:val="19"/>
        <w:snapToGrid w:val="0"/>
        <w:spacing w:line="480" w:lineRule="auto"/>
        <w:ind w:firstLine="576" w:firstLineChars="200"/>
        <w:rPr>
          <w:rFonts w:hAnsi="宋体" w:eastAsia="宋体" w:cs="宋体"/>
          <w:b/>
          <w:sz w:val="28"/>
          <w:szCs w:val="28"/>
          <w:highlight w:val="none"/>
        </w:rPr>
      </w:pPr>
      <w:bookmarkStart w:id="180" w:name="_Toc11444_WPSOffice_Level1"/>
      <w:r>
        <w:rPr>
          <w:rFonts w:hint="eastAsia" w:hAnsi="宋体" w:eastAsia="宋体" w:cs="宋体"/>
          <w:b/>
          <w:sz w:val="28"/>
          <w:szCs w:val="28"/>
          <w:highlight w:val="none"/>
        </w:rPr>
        <w:t>第三</w:t>
      </w:r>
      <w:r>
        <w:rPr>
          <w:rFonts w:hint="eastAsia" w:hAnsi="宋体" w:eastAsia="宋体" w:cs="宋体"/>
          <w:b/>
          <w:bCs/>
          <w:sz w:val="28"/>
          <w:szCs w:val="28"/>
          <w:highlight w:val="none"/>
        </w:rPr>
        <w:t xml:space="preserve">章  </w:t>
      </w:r>
      <w:bookmarkEnd w:id="180"/>
      <w:r>
        <w:rPr>
          <w:rFonts w:hint="eastAsia" w:hAnsi="宋体" w:eastAsia="宋体" w:cs="宋体"/>
          <w:b/>
          <w:sz w:val="28"/>
          <w:szCs w:val="28"/>
          <w:highlight w:val="none"/>
        </w:rPr>
        <w:t>资格证明资料</w:t>
      </w:r>
    </w:p>
    <w:p w14:paraId="3C216C47">
      <w:pPr>
        <w:pStyle w:val="19"/>
        <w:snapToGrid w:val="0"/>
        <w:spacing w:line="480" w:lineRule="auto"/>
        <w:ind w:firstLine="576" w:firstLineChars="200"/>
        <w:rPr>
          <w:rFonts w:hAnsi="宋体" w:eastAsia="宋体" w:cs="宋体"/>
          <w:b/>
          <w:sz w:val="28"/>
          <w:szCs w:val="28"/>
          <w:highlight w:val="none"/>
        </w:rPr>
      </w:pPr>
      <w:r>
        <w:rPr>
          <w:rFonts w:hint="eastAsia" w:hAnsi="宋体" w:eastAsia="宋体" w:cs="宋体"/>
          <w:b/>
          <w:sz w:val="28"/>
          <w:szCs w:val="28"/>
          <w:highlight w:val="none"/>
        </w:rPr>
        <w:t>第四</w:t>
      </w:r>
      <w:r>
        <w:rPr>
          <w:rFonts w:hint="eastAsia" w:hAnsi="宋体" w:eastAsia="宋体" w:cs="宋体"/>
          <w:b/>
          <w:bCs/>
          <w:sz w:val="28"/>
          <w:szCs w:val="28"/>
          <w:highlight w:val="none"/>
        </w:rPr>
        <w:t>章  供应商概况</w:t>
      </w:r>
    </w:p>
    <w:p w14:paraId="0E048D25">
      <w:pPr>
        <w:pStyle w:val="19"/>
        <w:snapToGrid w:val="0"/>
        <w:spacing w:line="480" w:lineRule="auto"/>
        <w:ind w:firstLine="576" w:firstLineChars="200"/>
        <w:rPr>
          <w:rFonts w:hAnsi="宋体" w:eastAsia="宋体" w:cs="宋体"/>
          <w:b/>
          <w:bCs/>
          <w:sz w:val="28"/>
          <w:szCs w:val="28"/>
          <w:highlight w:val="none"/>
        </w:rPr>
      </w:pPr>
      <w:bookmarkStart w:id="181" w:name="_Toc5905_WPSOffice_Level1"/>
      <w:r>
        <w:rPr>
          <w:rFonts w:hint="eastAsia" w:hAnsi="宋体" w:eastAsia="宋体" w:cs="宋体"/>
          <w:b/>
          <w:sz w:val="28"/>
          <w:szCs w:val="28"/>
          <w:highlight w:val="none"/>
        </w:rPr>
        <w:t>第五</w:t>
      </w:r>
      <w:r>
        <w:rPr>
          <w:rFonts w:hint="eastAsia" w:hAnsi="宋体" w:eastAsia="宋体" w:cs="宋体"/>
          <w:b/>
          <w:bCs/>
          <w:sz w:val="28"/>
          <w:szCs w:val="28"/>
          <w:highlight w:val="none"/>
        </w:rPr>
        <w:t>章  商务和需求响应偏离表</w:t>
      </w:r>
    </w:p>
    <w:p w14:paraId="505F178B">
      <w:pPr>
        <w:pStyle w:val="19"/>
        <w:snapToGrid w:val="0"/>
        <w:spacing w:line="480" w:lineRule="auto"/>
        <w:ind w:firstLine="576" w:firstLineChars="200"/>
        <w:rPr>
          <w:rFonts w:hAnsi="宋体" w:eastAsia="宋体" w:cs="宋体"/>
          <w:b/>
          <w:bCs/>
          <w:sz w:val="28"/>
          <w:szCs w:val="28"/>
          <w:highlight w:val="none"/>
        </w:rPr>
      </w:pPr>
      <w:r>
        <w:rPr>
          <w:rFonts w:hint="eastAsia" w:hAnsi="宋体" w:eastAsia="宋体" w:cs="宋体"/>
          <w:b/>
          <w:bCs/>
          <w:sz w:val="28"/>
          <w:szCs w:val="28"/>
          <w:highlight w:val="none"/>
        </w:rPr>
        <w:t>第六章  服务方案</w:t>
      </w:r>
    </w:p>
    <w:p w14:paraId="2028076C">
      <w:pPr>
        <w:pStyle w:val="19"/>
        <w:snapToGrid w:val="0"/>
        <w:spacing w:line="480" w:lineRule="auto"/>
        <w:ind w:firstLine="576" w:firstLineChars="200"/>
        <w:rPr>
          <w:rFonts w:hAnsi="宋体" w:eastAsia="宋体" w:cs="宋体"/>
          <w:b/>
          <w:bCs/>
          <w:sz w:val="28"/>
          <w:szCs w:val="28"/>
          <w:highlight w:val="none"/>
        </w:rPr>
      </w:pPr>
      <w:r>
        <w:rPr>
          <w:rFonts w:hint="eastAsia" w:hAnsi="宋体" w:eastAsia="宋体" w:cs="宋体"/>
          <w:b/>
          <w:sz w:val="28"/>
          <w:szCs w:val="28"/>
          <w:highlight w:val="none"/>
        </w:rPr>
        <w:t>第</w:t>
      </w:r>
      <w:bookmarkEnd w:id="181"/>
      <w:r>
        <w:rPr>
          <w:rFonts w:hint="eastAsia" w:hAnsi="宋体" w:eastAsia="宋体" w:cs="宋体"/>
          <w:b/>
          <w:sz w:val="28"/>
          <w:szCs w:val="28"/>
          <w:highlight w:val="none"/>
        </w:rPr>
        <w:t>七</w:t>
      </w:r>
      <w:r>
        <w:rPr>
          <w:rFonts w:hint="eastAsia" w:hAnsi="宋体" w:eastAsia="宋体" w:cs="宋体"/>
          <w:b/>
          <w:bCs/>
          <w:sz w:val="28"/>
          <w:szCs w:val="28"/>
          <w:highlight w:val="none"/>
        </w:rPr>
        <w:t>章  服务保障措施</w:t>
      </w:r>
    </w:p>
    <w:p w14:paraId="37B5E103">
      <w:pPr>
        <w:pStyle w:val="19"/>
        <w:snapToGrid w:val="0"/>
        <w:spacing w:line="480" w:lineRule="auto"/>
        <w:ind w:firstLine="576" w:firstLineChars="200"/>
        <w:rPr>
          <w:rFonts w:hAnsi="宋体" w:eastAsia="宋体" w:cs="宋体"/>
          <w:b/>
          <w:bCs/>
          <w:sz w:val="28"/>
          <w:szCs w:val="28"/>
          <w:highlight w:val="none"/>
        </w:rPr>
      </w:pPr>
      <w:r>
        <w:rPr>
          <w:rFonts w:hint="eastAsia" w:hAnsi="宋体" w:eastAsia="宋体" w:cs="宋体"/>
          <w:b/>
          <w:bCs/>
          <w:sz w:val="28"/>
          <w:szCs w:val="28"/>
          <w:highlight w:val="none"/>
        </w:rPr>
        <w:t>第八章  供应商业绩一览表</w:t>
      </w:r>
    </w:p>
    <w:p w14:paraId="5D0CA67A">
      <w:pPr>
        <w:pStyle w:val="19"/>
        <w:snapToGrid w:val="0"/>
        <w:spacing w:line="480" w:lineRule="auto"/>
        <w:ind w:firstLine="576" w:firstLineChars="200"/>
        <w:rPr>
          <w:rFonts w:hAnsi="宋体" w:eastAsia="宋体" w:cs="宋体"/>
          <w:b/>
          <w:bCs/>
          <w:sz w:val="28"/>
          <w:szCs w:val="28"/>
          <w:highlight w:val="none"/>
        </w:rPr>
      </w:pPr>
      <w:bookmarkStart w:id="182" w:name="_Toc1523_WPSOffice_Level1"/>
      <w:r>
        <w:rPr>
          <w:rFonts w:hint="eastAsia" w:hAnsi="宋体" w:eastAsia="宋体" w:cs="宋体"/>
          <w:b/>
          <w:bCs/>
          <w:sz w:val="28"/>
          <w:szCs w:val="28"/>
          <w:highlight w:val="none"/>
        </w:rPr>
        <w:t xml:space="preserve">第九章  </w:t>
      </w:r>
      <w:bookmarkEnd w:id="182"/>
      <w:r>
        <w:rPr>
          <w:rFonts w:hint="eastAsia" w:hAnsi="宋体" w:eastAsia="宋体" w:cs="宋体"/>
          <w:b/>
          <w:bCs/>
          <w:sz w:val="28"/>
          <w:szCs w:val="28"/>
          <w:highlight w:val="none"/>
        </w:rPr>
        <w:t>供应商认为有必要说明的其他问题</w:t>
      </w:r>
    </w:p>
    <w:p w14:paraId="3F6F41F4">
      <w:pPr>
        <w:spacing w:line="360" w:lineRule="auto"/>
        <w:ind w:firstLine="576" w:firstLineChars="200"/>
        <w:rPr>
          <w:rFonts w:ascii="宋体" w:hAnsi="宋体" w:eastAsia="宋体" w:cs="宋体"/>
          <w:b/>
          <w:bCs/>
          <w:sz w:val="28"/>
          <w:szCs w:val="28"/>
          <w:highlight w:val="none"/>
        </w:rPr>
      </w:pPr>
      <w:r>
        <w:rPr>
          <w:rFonts w:hint="eastAsia" w:ascii="宋体" w:hAnsi="宋体" w:eastAsia="宋体" w:cs="宋体"/>
          <w:b/>
          <w:bCs/>
          <w:sz w:val="28"/>
          <w:szCs w:val="28"/>
          <w:highlight w:val="none"/>
        </w:rPr>
        <w:t>第十部分  供应商参加政府采购活动承诺书</w:t>
      </w:r>
    </w:p>
    <w:p w14:paraId="33760A2F">
      <w:pPr>
        <w:rPr>
          <w:rFonts w:ascii="宋体" w:hAnsi="宋体" w:eastAsia="宋体" w:cs="宋体"/>
          <w:sz w:val="32"/>
          <w:szCs w:val="32"/>
          <w:highlight w:val="none"/>
        </w:rPr>
      </w:pPr>
      <w:r>
        <w:rPr>
          <w:rFonts w:hint="eastAsia" w:ascii="宋体" w:hAnsi="宋体" w:eastAsia="宋体" w:cs="宋体"/>
          <w:highlight w:val="none"/>
        </w:rPr>
        <w:br w:type="page"/>
      </w:r>
    </w:p>
    <w:p w14:paraId="624AF46C">
      <w:pPr>
        <w:pStyle w:val="4"/>
        <w:spacing w:line="500" w:lineRule="exact"/>
        <w:ind w:firstLine="497"/>
        <w:jc w:val="center"/>
        <w:rPr>
          <w:rFonts w:ascii="宋体" w:hAnsi="宋体" w:cs="宋体"/>
          <w:sz w:val="24"/>
          <w:szCs w:val="24"/>
          <w:highlight w:val="none"/>
        </w:rPr>
      </w:pPr>
      <w:bookmarkStart w:id="183" w:name="_Toc23169"/>
      <w:bookmarkStart w:id="184" w:name="_Toc9847"/>
      <w:bookmarkStart w:id="185" w:name="_Toc12425"/>
      <w:r>
        <w:rPr>
          <w:rFonts w:hint="eastAsia" w:ascii="宋体" w:hAnsi="宋体" w:cs="宋体"/>
          <w:sz w:val="24"/>
          <w:szCs w:val="24"/>
          <w:highlight w:val="none"/>
        </w:rPr>
        <w:t>第一部分  投标函</w:t>
      </w:r>
      <w:bookmarkEnd w:id="183"/>
      <w:bookmarkEnd w:id="184"/>
      <w:bookmarkEnd w:id="185"/>
    </w:p>
    <w:p w14:paraId="22FA1DEB">
      <w:pPr>
        <w:spacing w:line="500" w:lineRule="exact"/>
        <w:jc w:val="both"/>
        <w:rPr>
          <w:rFonts w:ascii="宋体" w:hAnsi="宋体" w:eastAsia="宋体" w:cs="宋体"/>
          <w:highlight w:val="none"/>
        </w:rPr>
      </w:pPr>
      <w:r>
        <w:rPr>
          <w:rFonts w:hint="eastAsia" w:ascii="宋体" w:hAnsi="宋体" w:eastAsia="宋体" w:cs="宋体"/>
          <w:highlight w:val="none"/>
        </w:rPr>
        <w:t>陕西万泽招标有限公司：</w:t>
      </w:r>
    </w:p>
    <w:p w14:paraId="1EC6A263">
      <w:pPr>
        <w:spacing w:line="500" w:lineRule="exact"/>
        <w:ind w:firstLine="496" w:firstLineChars="200"/>
        <w:rPr>
          <w:rFonts w:ascii="宋体" w:hAnsi="宋体" w:eastAsia="宋体" w:cs="宋体"/>
          <w:highlight w:val="none"/>
        </w:rPr>
      </w:pPr>
      <w:r>
        <w:rPr>
          <w:rFonts w:hint="eastAsia" w:ascii="宋体" w:hAnsi="宋体" w:eastAsia="宋体" w:cs="宋体"/>
          <w:highlight w:val="none"/>
        </w:rPr>
        <w:t>我单位收到项目名称为：</w:t>
      </w:r>
      <w:r>
        <w:rPr>
          <w:rFonts w:hint="eastAsia" w:ascii="宋体" w:hAnsi="宋体" w:eastAsia="宋体" w:cs="宋体"/>
          <w:highlight w:val="none"/>
          <w:u w:val="single"/>
        </w:rPr>
        <w:t xml:space="preserve">                  </w:t>
      </w:r>
      <w:r>
        <w:rPr>
          <w:rFonts w:hint="eastAsia" w:ascii="宋体" w:hAnsi="宋体" w:eastAsia="宋体" w:cs="宋体"/>
          <w:highlight w:val="none"/>
        </w:rPr>
        <w:t>（项目编号为</w:t>
      </w:r>
      <w:r>
        <w:rPr>
          <w:rFonts w:hint="eastAsia" w:ascii="宋体" w:hAnsi="宋体" w:eastAsia="宋体" w:cs="宋体"/>
          <w:highlight w:val="none"/>
          <w:u w:val="single"/>
        </w:rPr>
        <w:t xml:space="preserve">：       </w:t>
      </w:r>
      <w:r>
        <w:rPr>
          <w:rFonts w:hint="eastAsia" w:ascii="宋体" w:hAnsi="宋体" w:eastAsia="宋体" w:cs="宋体"/>
          <w:highlight w:val="none"/>
        </w:rPr>
        <w:t>） 的招标文件，经详细研究，我公司决定参加本次招标活动。为此，我方郑重承诺以下诸点，并负法律责任。</w:t>
      </w:r>
    </w:p>
    <w:p w14:paraId="0BC0C0D8">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1．我方已详细阅读了招标文件，完全理解并同意招标文件的所有事项及内容。</w:t>
      </w:r>
    </w:p>
    <w:p w14:paraId="5FDF225D">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397E26D0">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3．我方同意向贵单位提供与本次招标有关的全部证明材料，并保证所提交的证明材料真实、合法、有效。</w:t>
      </w:r>
    </w:p>
    <w:p w14:paraId="35128E9E">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4．我方理解最低价不是成交的唯一条件，并尊重评标委员会的评审结果。</w:t>
      </w:r>
    </w:p>
    <w:p w14:paraId="26F1D8B7">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5．我方投标文件在开启之日起___个日历日（应不少于90个日历日）内有效。</w:t>
      </w:r>
    </w:p>
    <w:p w14:paraId="5706FCC2">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6．若我方成交，我方承诺：（1）将投标文件有效期延长至合同执行完毕；（2）遵照招标文件中的要求，完成本项目的合同责任和义务。</w:t>
      </w:r>
    </w:p>
    <w:p w14:paraId="2B95431C">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7．所有关于此次招标活动的函电，请按下列方式联系：</w:t>
      </w:r>
    </w:p>
    <w:p w14:paraId="2320CE75">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供应商：（供应商全称并加盖公章）</w:t>
      </w:r>
    </w:p>
    <w:p w14:paraId="5049EA92">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法定代表人（负责人）或委托代理人：（签字或盖章）</w:t>
      </w:r>
    </w:p>
    <w:p w14:paraId="108DE422">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联系电话：</w:t>
      </w:r>
    </w:p>
    <w:p w14:paraId="1CADF3F8">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通讯地址：</w:t>
      </w:r>
    </w:p>
    <w:p w14:paraId="751479E4">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邮    编：</w:t>
      </w:r>
    </w:p>
    <w:p w14:paraId="4328741B">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电子邮箱：</w:t>
      </w:r>
    </w:p>
    <w:p w14:paraId="1F8BF5BD">
      <w:pPr>
        <w:spacing w:line="500" w:lineRule="exact"/>
        <w:ind w:firstLine="496" w:firstLineChars="200"/>
        <w:jc w:val="both"/>
        <w:rPr>
          <w:rFonts w:ascii="宋体" w:hAnsi="宋体" w:eastAsia="宋体" w:cs="宋体"/>
          <w:highlight w:val="none"/>
        </w:rPr>
      </w:pPr>
      <w:r>
        <w:rPr>
          <w:rFonts w:hint="eastAsia" w:ascii="宋体" w:hAnsi="宋体" w:eastAsia="宋体" w:cs="宋体"/>
          <w:highlight w:val="none"/>
        </w:rPr>
        <w:t>日    期：    年  月  日</w:t>
      </w:r>
    </w:p>
    <w:p w14:paraId="21854204">
      <w:pPr>
        <w:rPr>
          <w:rFonts w:ascii="宋体" w:hAnsi="宋体" w:eastAsia="宋体" w:cs="宋体"/>
          <w:highlight w:val="none"/>
        </w:rPr>
      </w:pPr>
      <w:r>
        <w:rPr>
          <w:rFonts w:hint="eastAsia" w:ascii="宋体" w:hAnsi="宋体" w:eastAsia="宋体" w:cs="宋体"/>
          <w:highlight w:val="none"/>
        </w:rPr>
        <w:br w:type="page"/>
      </w:r>
    </w:p>
    <w:p w14:paraId="582134E1">
      <w:pPr>
        <w:pStyle w:val="4"/>
        <w:numPr>
          <w:ilvl w:val="0"/>
          <w:numId w:val="111"/>
        </w:numPr>
        <w:ind w:firstLine="657"/>
        <w:jc w:val="center"/>
        <w:rPr>
          <w:rFonts w:ascii="宋体" w:hAnsi="宋体" w:cs="宋体"/>
          <w:highlight w:val="none"/>
        </w:rPr>
      </w:pPr>
      <w:r>
        <w:rPr>
          <w:rFonts w:hint="eastAsia" w:ascii="宋体" w:hAnsi="宋体" w:cs="宋体"/>
          <w:highlight w:val="none"/>
        </w:rPr>
        <w:t xml:space="preserve"> </w:t>
      </w:r>
      <w:bookmarkStart w:id="186" w:name="_Toc22487"/>
      <w:bookmarkStart w:id="187" w:name="_Toc15126"/>
      <w:bookmarkStart w:id="188" w:name="_Toc11323"/>
      <w:r>
        <w:rPr>
          <w:rFonts w:hint="eastAsia" w:ascii="宋体" w:hAnsi="宋体" w:cs="宋体"/>
          <w:highlight w:val="none"/>
        </w:rPr>
        <w:t>开标一览表</w:t>
      </w:r>
      <w:bookmarkEnd w:id="186"/>
      <w:bookmarkEnd w:id="187"/>
      <w:bookmarkEnd w:id="188"/>
    </w:p>
    <w:p w14:paraId="041ADB5E">
      <w:pPr>
        <w:pStyle w:val="11"/>
        <w:ind w:firstLine="0"/>
        <w:rPr>
          <w:rFonts w:ascii="宋体" w:hAnsi="宋体" w:eastAsia="宋体" w:cs="宋体"/>
          <w:highlight w:val="none"/>
        </w:rPr>
      </w:pPr>
    </w:p>
    <w:p w14:paraId="33EADF37">
      <w:pPr>
        <w:pStyle w:val="11"/>
        <w:ind w:firstLine="0"/>
        <w:rPr>
          <w:rFonts w:ascii="宋体" w:hAnsi="宋体" w:eastAsia="宋体" w:cs="宋体"/>
          <w:highlight w:val="none"/>
          <w:u w:val="single"/>
        </w:rPr>
      </w:pPr>
      <w:r>
        <w:rPr>
          <w:rFonts w:hint="eastAsia" w:ascii="宋体" w:hAnsi="宋体" w:eastAsia="宋体" w:cs="宋体"/>
          <w:highlight w:val="none"/>
        </w:rPr>
        <w:t>项目名称：中国人民政治协商会议西安市委员会办公厅西安市“数字政协”项目</w:t>
      </w:r>
    </w:p>
    <w:p w14:paraId="66DB36B1">
      <w:pPr>
        <w:pStyle w:val="11"/>
        <w:ind w:firstLine="0"/>
        <w:rPr>
          <w:rFonts w:ascii="宋体" w:hAnsi="宋体" w:eastAsia="宋体" w:cs="宋体"/>
          <w:kern w:val="2"/>
          <w:highlight w:val="none"/>
        </w:rPr>
      </w:pPr>
      <w:r>
        <w:rPr>
          <w:rFonts w:hint="eastAsia" w:ascii="宋体" w:hAnsi="宋体" w:eastAsia="宋体" w:cs="宋体"/>
          <w:kern w:val="2"/>
          <w:highlight w:val="none"/>
        </w:rPr>
        <w:t>项目编号：SXWZ2024ZB-SZX-265</w:t>
      </w:r>
    </w:p>
    <w:p w14:paraId="12657200">
      <w:pPr>
        <w:rPr>
          <w:rFonts w:ascii="宋体" w:hAnsi="宋体" w:eastAsia="宋体" w:cs="宋体"/>
          <w:highlight w:val="none"/>
        </w:rPr>
      </w:pPr>
      <w:r>
        <w:rPr>
          <w:rFonts w:hint="eastAsia" w:ascii="宋体" w:hAnsi="宋体" w:eastAsia="宋体" w:cs="宋体"/>
          <w:highlight w:val="none"/>
        </w:rPr>
        <w:t xml:space="preserve">单位：元  </w:t>
      </w:r>
    </w:p>
    <w:tbl>
      <w:tblPr>
        <w:tblStyle w:val="34"/>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3174"/>
        <w:gridCol w:w="2972"/>
      </w:tblGrid>
      <w:tr w14:paraId="5BE2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3233" w:type="dxa"/>
            <w:tcBorders>
              <w:tl2br w:val="single" w:color="auto" w:sz="4" w:space="0"/>
            </w:tcBorders>
          </w:tcPr>
          <w:p w14:paraId="668517BA">
            <w:pPr>
              <w:kinsoku w:val="0"/>
              <w:spacing w:line="480" w:lineRule="auto"/>
              <w:ind w:right="-235" w:rightChars="-95" w:firstLine="1488" w:firstLineChars="600"/>
              <w:rPr>
                <w:rFonts w:ascii="宋体" w:hAnsi="宋体" w:eastAsia="宋体" w:cs="宋体"/>
                <w:highlight w:val="none"/>
              </w:rPr>
            </w:pPr>
            <w:r>
              <w:rPr>
                <w:rFonts w:hint="eastAsia" w:ascii="宋体" w:hAnsi="宋体" w:eastAsia="宋体" w:cs="宋体"/>
                <w:highlight w:val="none"/>
              </w:rPr>
              <w:t>报价内容</w:t>
            </w:r>
          </w:p>
          <w:p w14:paraId="4C8D4504">
            <w:pPr>
              <w:kinsoku w:val="0"/>
              <w:spacing w:line="480" w:lineRule="auto"/>
              <w:ind w:left="10" w:right="-235" w:rightChars="-95" w:firstLine="517" w:firstLineChars="209"/>
              <w:rPr>
                <w:rFonts w:ascii="宋体" w:hAnsi="宋体" w:eastAsia="宋体" w:cs="宋体"/>
                <w:highlight w:val="none"/>
              </w:rPr>
            </w:pPr>
          </w:p>
          <w:p w14:paraId="7C65131C">
            <w:pPr>
              <w:kinsoku w:val="0"/>
              <w:spacing w:line="480" w:lineRule="auto"/>
              <w:ind w:right="-235" w:rightChars="-95"/>
              <w:rPr>
                <w:rFonts w:ascii="宋体" w:hAnsi="宋体" w:eastAsia="宋体" w:cs="宋体"/>
                <w:highlight w:val="none"/>
              </w:rPr>
            </w:pPr>
            <w:r>
              <w:rPr>
                <w:rFonts w:hint="eastAsia" w:ascii="宋体" w:hAnsi="宋体" w:eastAsia="宋体" w:cs="宋体"/>
                <w:highlight w:val="none"/>
              </w:rPr>
              <w:t>投标内容</w:t>
            </w:r>
          </w:p>
        </w:tc>
        <w:tc>
          <w:tcPr>
            <w:tcW w:w="3174" w:type="dxa"/>
            <w:vAlign w:val="center"/>
          </w:tcPr>
          <w:p w14:paraId="3E8F7841">
            <w:pPr>
              <w:kinsoku w:val="0"/>
              <w:spacing w:line="480" w:lineRule="auto"/>
              <w:ind w:right="-235" w:rightChars="-95"/>
              <w:jc w:val="center"/>
              <w:rPr>
                <w:rFonts w:ascii="宋体" w:hAnsi="宋体" w:eastAsia="宋体" w:cs="宋体"/>
                <w:highlight w:val="none"/>
              </w:rPr>
            </w:pPr>
            <w:r>
              <w:rPr>
                <w:rFonts w:hint="eastAsia" w:ascii="宋体" w:hAnsi="宋体" w:eastAsia="宋体" w:cs="宋体"/>
                <w:highlight w:val="none"/>
              </w:rPr>
              <w:t>总报价（元）</w:t>
            </w:r>
          </w:p>
        </w:tc>
        <w:tc>
          <w:tcPr>
            <w:tcW w:w="2972" w:type="dxa"/>
            <w:vAlign w:val="center"/>
          </w:tcPr>
          <w:p w14:paraId="1CE3A947">
            <w:pPr>
              <w:kinsoku w:val="0"/>
              <w:ind w:right="-235" w:rightChars="-95"/>
              <w:jc w:val="center"/>
              <w:rPr>
                <w:rFonts w:ascii="宋体" w:hAnsi="宋体" w:eastAsia="宋体" w:cs="宋体"/>
                <w:highlight w:val="none"/>
              </w:rPr>
            </w:pPr>
            <w:r>
              <w:rPr>
                <w:rFonts w:hint="eastAsia" w:ascii="宋体" w:hAnsi="宋体" w:eastAsia="宋体" w:cs="宋体"/>
                <w:highlight w:val="none"/>
              </w:rPr>
              <w:t>服务期</w:t>
            </w:r>
          </w:p>
        </w:tc>
      </w:tr>
      <w:tr w14:paraId="6158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3233" w:type="dxa"/>
            <w:vAlign w:val="center"/>
          </w:tcPr>
          <w:p w14:paraId="7F91BB98">
            <w:pPr>
              <w:kinsoku w:val="0"/>
              <w:ind w:right="69" w:rightChars="28"/>
              <w:jc w:val="center"/>
              <w:rPr>
                <w:rFonts w:ascii="宋体" w:hAnsi="宋体" w:eastAsia="宋体" w:cs="宋体"/>
                <w:highlight w:val="none"/>
              </w:rPr>
            </w:pPr>
            <w:r>
              <w:rPr>
                <w:rFonts w:hint="eastAsia" w:ascii="宋体" w:hAnsi="宋体" w:eastAsia="宋体" w:cs="宋体"/>
                <w:highlight w:val="none"/>
              </w:rPr>
              <w:t>中国人民政治协商会议西安市委员会办公厅西安市“数字政协”项目</w:t>
            </w:r>
          </w:p>
        </w:tc>
        <w:tc>
          <w:tcPr>
            <w:tcW w:w="3174" w:type="dxa"/>
            <w:vAlign w:val="center"/>
          </w:tcPr>
          <w:p w14:paraId="1E8721C6">
            <w:pPr>
              <w:kinsoku w:val="0"/>
              <w:spacing w:line="480" w:lineRule="auto"/>
              <w:ind w:left="10" w:right="-235" w:rightChars="-95" w:firstLine="517" w:firstLineChars="209"/>
              <w:jc w:val="center"/>
              <w:rPr>
                <w:rFonts w:ascii="宋体" w:hAnsi="宋体" w:eastAsia="宋体" w:cs="宋体"/>
                <w:highlight w:val="none"/>
              </w:rPr>
            </w:pPr>
          </w:p>
        </w:tc>
        <w:tc>
          <w:tcPr>
            <w:tcW w:w="2972" w:type="dxa"/>
            <w:vAlign w:val="center"/>
          </w:tcPr>
          <w:p w14:paraId="4C002647">
            <w:pPr>
              <w:kinsoku w:val="0"/>
              <w:spacing w:line="480" w:lineRule="auto"/>
              <w:ind w:left="10" w:right="-235" w:rightChars="-95" w:firstLine="517" w:firstLineChars="209"/>
              <w:jc w:val="center"/>
              <w:rPr>
                <w:rFonts w:ascii="宋体" w:hAnsi="宋体" w:eastAsia="宋体" w:cs="宋体"/>
                <w:highlight w:val="none"/>
              </w:rPr>
            </w:pPr>
          </w:p>
        </w:tc>
      </w:tr>
      <w:tr w14:paraId="06FF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379" w:type="dxa"/>
            <w:gridSpan w:val="3"/>
          </w:tcPr>
          <w:p w14:paraId="57AB03B8">
            <w:pPr>
              <w:kinsoku w:val="0"/>
              <w:ind w:right="-235" w:rightChars="-95"/>
              <w:rPr>
                <w:rFonts w:ascii="宋体" w:hAnsi="宋体" w:eastAsia="宋体" w:cs="宋体"/>
                <w:b/>
                <w:bCs/>
                <w:highlight w:val="none"/>
              </w:rPr>
            </w:pPr>
          </w:p>
          <w:p w14:paraId="4884A02E">
            <w:pPr>
              <w:kinsoku w:val="0"/>
              <w:ind w:right="-235" w:rightChars="-95"/>
              <w:rPr>
                <w:rFonts w:ascii="宋体" w:hAnsi="宋体" w:eastAsia="宋体" w:cs="宋体"/>
                <w:highlight w:val="none"/>
              </w:rPr>
            </w:pPr>
            <w:bookmarkStart w:id="189" w:name="OLE_LINK9"/>
            <w:r>
              <w:rPr>
                <w:rFonts w:hint="eastAsia" w:ascii="宋体" w:hAnsi="宋体" w:eastAsia="宋体" w:cs="宋体"/>
                <w:highlight w:val="none"/>
              </w:rPr>
              <w:t>总报价：（大写）________________（小写）_________________ 元</w:t>
            </w:r>
            <w:bookmarkEnd w:id="189"/>
          </w:p>
        </w:tc>
      </w:tr>
      <w:tr w14:paraId="1428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379" w:type="dxa"/>
            <w:gridSpan w:val="3"/>
            <w:vAlign w:val="center"/>
          </w:tcPr>
          <w:p w14:paraId="62D106F7">
            <w:pPr>
              <w:kinsoku w:val="0"/>
              <w:spacing w:line="480" w:lineRule="auto"/>
              <w:ind w:firstLine="496" w:firstLineChars="200"/>
              <w:rPr>
                <w:rFonts w:ascii="宋体" w:hAnsi="宋体" w:eastAsia="宋体" w:cs="宋体"/>
                <w:highlight w:val="none"/>
              </w:rPr>
            </w:pPr>
            <w:r>
              <w:rPr>
                <w:rFonts w:hint="eastAsia" w:ascii="宋体" w:hAnsi="宋体" w:eastAsia="宋体" w:cs="宋体"/>
                <w:highlight w:val="none"/>
              </w:rPr>
              <w:t>备注：1.表内报价内容以元为单位，精确到小数点后两位；</w:t>
            </w:r>
          </w:p>
          <w:p w14:paraId="38A3812D">
            <w:pPr>
              <w:kinsoku w:val="0"/>
              <w:ind w:right="-235" w:rightChars="-95" w:firstLine="1240" w:firstLineChars="500"/>
              <w:rPr>
                <w:rFonts w:ascii="宋体" w:hAnsi="宋体" w:eastAsia="宋体" w:cs="宋体"/>
                <w:highlight w:val="none"/>
              </w:rPr>
            </w:pPr>
            <w:r>
              <w:rPr>
                <w:rFonts w:hint="eastAsia" w:ascii="宋体" w:hAnsi="宋体" w:eastAsia="宋体" w:cs="宋体"/>
                <w:highlight w:val="none"/>
              </w:rPr>
              <w:t>2.服务期见第三章采购要求。</w:t>
            </w:r>
          </w:p>
        </w:tc>
      </w:tr>
    </w:tbl>
    <w:p w14:paraId="3677E9B0">
      <w:pPr>
        <w:adjustRightInd w:val="0"/>
        <w:snapToGrid w:val="0"/>
        <w:spacing w:line="480" w:lineRule="auto"/>
        <w:rPr>
          <w:rFonts w:ascii="宋体" w:hAnsi="宋体" w:eastAsia="宋体" w:cs="宋体"/>
          <w:highlight w:val="none"/>
        </w:rPr>
      </w:pPr>
      <w:r>
        <w:rPr>
          <w:rFonts w:hint="eastAsia" w:ascii="宋体" w:hAnsi="宋体" w:eastAsia="宋体" w:cs="宋体"/>
          <w:highlight w:val="none"/>
        </w:rPr>
        <w:t>供应商（单位名称及公章）：___________________________</w:t>
      </w:r>
    </w:p>
    <w:p w14:paraId="68C7A7F4">
      <w:pPr>
        <w:adjustRightInd w:val="0"/>
        <w:snapToGrid w:val="0"/>
        <w:spacing w:line="480" w:lineRule="auto"/>
        <w:rPr>
          <w:rFonts w:ascii="宋体" w:hAnsi="宋体" w:eastAsia="宋体" w:cs="宋体"/>
          <w:highlight w:val="none"/>
        </w:rPr>
      </w:pPr>
      <w:r>
        <w:rPr>
          <w:rFonts w:hint="eastAsia" w:ascii="宋体" w:hAnsi="宋体" w:eastAsia="宋体" w:cs="宋体"/>
          <w:highlight w:val="none"/>
        </w:rPr>
        <w:t>法定代表人（负责人）或被授权人（签字或盖章）：__________________</w:t>
      </w:r>
    </w:p>
    <w:p w14:paraId="47A2F592">
      <w:pPr>
        <w:adjustRightInd w:val="0"/>
        <w:snapToGrid w:val="0"/>
        <w:spacing w:line="480" w:lineRule="auto"/>
        <w:rPr>
          <w:rFonts w:ascii="宋体" w:hAnsi="宋体" w:eastAsia="宋体" w:cs="宋体"/>
          <w:highlight w:val="none"/>
        </w:rPr>
      </w:pPr>
      <w:r>
        <w:rPr>
          <w:rFonts w:hint="eastAsia" w:ascii="宋体" w:hAnsi="宋体" w:eastAsia="宋体" w:cs="宋体"/>
          <w:highlight w:val="none"/>
        </w:rPr>
        <w:t>时间：_______年________月_______日</w:t>
      </w:r>
    </w:p>
    <w:p w14:paraId="735B7AEB">
      <w:pPr>
        <w:spacing w:line="560" w:lineRule="exact"/>
        <w:ind w:firstLine="656" w:firstLineChars="200"/>
        <w:jc w:val="both"/>
        <w:rPr>
          <w:rFonts w:ascii="宋体" w:hAnsi="宋体" w:eastAsia="宋体" w:cs="宋体"/>
          <w:sz w:val="32"/>
          <w:szCs w:val="32"/>
          <w:highlight w:val="none"/>
        </w:rPr>
      </w:pPr>
    </w:p>
    <w:p w14:paraId="071F8CE5">
      <w:pPr>
        <w:spacing w:line="560" w:lineRule="exact"/>
        <w:ind w:firstLine="656" w:firstLineChars="200"/>
        <w:jc w:val="both"/>
        <w:rPr>
          <w:rFonts w:ascii="宋体" w:hAnsi="宋体" w:eastAsia="宋体" w:cs="宋体"/>
          <w:sz w:val="32"/>
          <w:szCs w:val="32"/>
          <w:highlight w:val="none"/>
        </w:rPr>
      </w:pPr>
    </w:p>
    <w:p w14:paraId="3FE26FCB">
      <w:pPr>
        <w:spacing w:line="560" w:lineRule="exact"/>
        <w:ind w:firstLine="656" w:firstLineChars="200"/>
        <w:jc w:val="both"/>
        <w:rPr>
          <w:rFonts w:ascii="宋体" w:hAnsi="宋体" w:eastAsia="宋体" w:cs="宋体"/>
          <w:sz w:val="32"/>
          <w:szCs w:val="32"/>
          <w:highlight w:val="none"/>
        </w:rPr>
      </w:pPr>
      <w:r>
        <w:rPr>
          <w:rFonts w:hint="eastAsia" w:ascii="宋体" w:hAnsi="宋体" w:eastAsia="宋体" w:cs="宋体"/>
          <w:sz w:val="32"/>
          <w:szCs w:val="32"/>
          <w:highlight w:val="none"/>
        </w:rPr>
        <w:br w:type="page"/>
      </w:r>
    </w:p>
    <w:p w14:paraId="5838CE48">
      <w:pPr>
        <w:jc w:val="center"/>
        <w:rPr>
          <w:rFonts w:ascii="宋体" w:hAnsi="宋体" w:eastAsia="宋体" w:cs="宋体"/>
          <w:sz w:val="32"/>
          <w:szCs w:val="32"/>
          <w:highlight w:val="none"/>
        </w:rPr>
      </w:pPr>
      <w:r>
        <w:rPr>
          <w:rFonts w:hint="eastAsia" w:ascii="宋体" w:hAnsi="宋体" w:eastAsia="宋体" w:cs="宋体"/>
          <w:b/>
          <w:bCs/>
          <w:sz w:val="32"/>
          <w:szCs w:val="32"/>
          <w:highlight w:val="none"/>
        </w:rPr>
        <w:t>分项报价表</w:t>
      </w:r>
    </w:p>
    <w:p w14:paraId="3B9A3680">
      <w:pPr>
        <w:adjustRightInd w:val="0"/>
        <w:snapToGrid w:val="0"/>
        <w:spacing w:line="360" w:lineRule="auto"/>
        <w:ind w:firstLine="496" w:firstLineChars="200"/>
        <w:jc w:val="center"/>
        <w:rPr>
          <w:rFonts w:ascii="宋体" w:hAnsi="宋体" w:eastAsia="宋体" w:cs="宋体"/>
          <w:highlight w:val="none"/>
        </w:rPr>
      </w:pPr>
    </w:p>
    <w:p w14:paraId="2159FD21">
      <w:pPr>
        <w:wordWrap w:val="0"/>
        <w:spacing w:line="360" w:lineRule="auto"/>
        <w:rPr>
          <w:rFonts w:ascii="宋体" w:hAnsi="宋体" w:eastAsia="宋体" w:cs="宋体"/>
          <w:highlight w:val="none"/>
        </w:rPr>
      </w:pPr>
      <w:r>
        <w:rPr>
          <w:rFonts w:hint="eastAsia" w:ascii="宋体" w:hAnsi="宋体" w:eastAsia="宋体" w:cs="宋体"/>
          <w:highlight w:val="none"/>
        </w:rPr>
        <w:t xml:space="preserve">项目名称：中国人民政治协商会议西安市委员会办公厅西安市“数字政协”项目   </w:t>
      </w:r>
    </w:p>
    <w:p w14:paraId="399E0E36">
      <w:pPr>
        <w:wordWrap w:val="0"/>
        <w:spacing w:line="360" w:lineRule="auto"/>
        <w:rPr>
          <w:rFonts w:ascii="宋体" w:hAnsi="宋体" w:eastAsia="宋体" w:cs="宋体"/>
          <w:highlight w:val="none"/>
          <w:u w:val="single"/>
        </w:rPr>
      </w:pPr>
      <w:r>
        <w:rPr>
          <w:rFonts w:hint="eastAsia" w:ascii="宋体" w:hAnsi="宋体" w:eastAsia="宋体" w:cs="宋体"/>
          <w:highlight w:val="none"/>
        </w:rPr>
        <w:t>项目编号：SXWZ2024ZB-SZX-265</w:t>
      </w:r>
    </w:p>
    <w:p w14:paraId="790A361B">
      <w:pPr>
        <w:wordWrap w:val="0"/>
        <w:spacing w:line="360" w:lineRule="auto"/>
        <w:rPr>
          <w:rFonts w:ascii="宋体" w:hAnsi="宋体" w:eastAsia="宋体" w:cs="宋体"/>
          <w:highlight w:val="none"/>
        </w:rPr>
      </w:pPr>
      <w:r>
        <w:rPr>
          <w:rFonts w:hint="eastAsia" w:ascii="宋体" w:hAnsi="宋体" w:eastAsia="宋体" w:cs="宋体"/>
          <w:highlight w:val="none"/>
        </w:rPr>
        <w:t>共  页，第  页</w:t>
      </w:r>
    </w:p>
    <w:tbl>
      <w:tblPr>
        <w:tblStyle w:val="34"/>
        <w:tblW w:w="10209" w:type="dxa"/>
        <w:jc w:val="center"/>
        <w:tblLayout w:type="fixed"/>
        <w:tblCellMar>
          <w:top w:w="0" w:type="dxa"/>
          <w:left w:w="28" w:type="dxa"/>
          <w:bottom w:w="0" w:type="dxa"/>
          <w:right w:w="28" w:type="dxa"/>
        </w:tblCellMar>
      </w:tblPr>
      <w:tblGrid>
        <w:gridCol w:w="1416"/>
        <w:gridCol w:w="523"/>
        <w:gridCol w:w="1097"/>
        <w:gridCol w:w="1212"/>
        <w:gridCol w:w="1191"/>
        <w:gridCol w:w="1380"/>
        <w:gridCol w:w="1290"/>
        <w:gridCol w:w="1114"/>
        <w:gridCol w:w="986"/>
      </w:tblGrid>
      <w:tr w14:paraId="168D6D7A">
        <w:tblPrEx>
          <w:tblCellMar>
            <w:top w:w="0" w:type="dxa"/>
            <w:left w:w="28" w:type="dxa"/>
            <w:bottom w:w="0" w:type="dxa"/>
            <w:right w:w="28" w:type="dxa"/>
          </w:tblCellMar>
        </w:tblPrEx>
        <w:trPr>
          <w:trHeight w:val="832" w:hRule="atLeast"/>
          <w:jc w:val="center"/>
        </w:trPr>
        <w:tc>
          <w:tcPr>
            <w:tcW w:w="1416" w:type="dxa"/>
            <w:vMerge w:val="restart"/>
            <w:tcBorders>
              <w:top w:val="single" w:color="auto" w:sz="6" w:space="0"/>
              <w:left w:val="single" w:color="auto" w:sz="6" w:space="0"/>
              <w:right w:val="single" w:color="auto" w:sz="4" w:space="0"/>
            </w:tcBorders>
            <w:vAlign w:val="center"/>
          </w:tcPr>
          <w:p w14:paraId="22ADCB66">
            <w:pPr>
              <w:rPr>
                <w:rFonts w:ascii="宋体" w:hAnsi="宋体" w:eastAsia="宋体" w:cs="宋体"/>
                <w:sz w:val="22"/>
                <w:highlight w:val="none"/>
              </w:rPr>
            </w:pPr>
            <w:r>
              <w:rPr>
                <w:rFonts w:hint="eastAsia" w:ascii="宋体" w:hAnsi="宋体" w:eastAsia="宋体" w:cs="宋体"/>
                <w:sz w:val="22"/>
                <w:highlight w:val="none"/>
              </w:rPr>
              <w:t>服务费用</w:t>
            </w:r>
          </w:p>
        </w:tc>
        <w:tc>
          <w:tcPr>
            <w:tcW w:w="523" w:type="dxa"/>
            <w:tcBorders>
              <w:top w:val="single" w:color="auto" w:sz="6" w:space="0"/>
              <w:left w:val="single" w:color="auto" w:sz="4" w:space="0"/>
              <w:bottom w:val="single" w:color="auto" w:sz="6" w:space="0"/>
            </w:tcBorders>
            <w:vAlign w:val="center"/>
          </w:tcPr>
          <w:p w14:paraId="6BB0FAAD">
            <w:pPr>
              <w:spacing w:after="120"/>
              <w:jc w:val="center"/>
              <w:rPr>
                <w:rFonts w:ascii="宋体" w:hAnsi="宋体" w:eastAsia="宋体" w:cs="宋体"/>
                <w:sz w:val="22"/>
                <w:highlight w:val="none"/>
              </w:rPr>
            </w:pPr>
            <w:r>
              <w:rPr>
                <w:rFonts w:hint="eastAsia" w:ascii="宋体" w:hAnsi="宋体" w:eastAsia="宋体" w:cs="宋体"/>
                <w:sz w:val="22"/>
                <w:highlight w:val="none"/>
              </w:rPr>
              <w:t>序号</w:t>
            </w:r>
          </w:p>
        </w:tc>
        <w:tc>
          <w:tcPr>
            <w:tcW w:w="1097" w:type="dxa"/>
            <w:tcBorders>
              <w:top w:val="single" w:color="auto" w:sz="6" w:space="0"/>
              <w:left w:val="single" w:color="auto" w:sz="6" w:space="0"/>
              <w:bottom w:val="single" w:color="auto" w:sz="6" w:space="0"/>
              <w:right w:val="single" w:color="auto" w:sz="6" w:space="0"/>
            </w:tcBorders>
            <w:vAlign w:val="center"/>
          </w:tcPr>
          <w:p w14:paraId="43F7BF2F">
            <w:pPr>
              <w:spacing w:after="120"/>
              <w:jc w:val="center"/>
              <w:rPr>
                <w:rFonts w:ascii="宋体" w:hAnsi="宋体" w:eastAsia="宋体" w:cs="宋体"/>
                <w:sz w:val="22"/>
                <w:highlight w:val="none"/>
              </w:rPr>
            </w:pPr>
            <w:r>
              <w:rPr>
                <w:rFonts w:hint="eastAsia" w:ascii="宋体" w:hAnsi="宋体" w:eastAsia="宋体" w:cs="宋体"/>
                <w:sz w:val="22"/>
                <w:highlight w:val="none"/>
              </w:rPr>
              <w:t>名称</w:t>
            </w:r>
          </w:p>
        </w:tc>
        <w:tc>
          <w:tcPr>
            <w:tcW w:w="1212" w:type="dxa"/>
            <w:tcBorders>
              <w:top w:val="single" w:color="auto" w:sz="6" w:space="0"/>
              <w:left w:val="single" w:color="auto" w:sz="6" w:space="0"/>
              <w:bottom w:val="single" w:color="auto" w:sz="6" w:space="0"/>
              <w:right w:val="single" w:color="auto" w:sz="6" w:space="0"/>
            </w:tcBorders>
            <w:vAlign w:val="center"/>
          </w:tcPr>
          <w:p w14:paraId="28837E8B">
            <w:pPr>
              <w:spacing w:after="120"/>
              <w:jc w:val="center"/>
              <w:rPr>
                <w:rFonts w:ascii="宋体" w:hAnsi="宋体" w:eastAsia="宋体" w:cs="宋体"/>
                <w:sz w:val="22"/>
                <w:highlight w:val="none"/>
              </w:rPr>
            </w:pPr>
            <w:r>
              <w:rPr>
                <w:rFonts w:hint="eastAsia" w:ascii="宋体" w:hAnsi="宋体" w:eastAsia="宋体" w:cs="宋体"/>
                <w:sz w:val="22"/>
                <w:highlight w:val="none"/>
              </w:rPr>
              <w:t>服务/费用类型</w:t>
            </w:r>
          </w:p>
        </w:tc>
        <w:tc>
          <w:tcPr>
            <w:tcW w:w="1191" w:type="dxa"/>
            <w:tcBorders>
              <w:top w:val="single" w:color="auto" w:sz="6" w:space="0"/>
              <w:left w:val="single" w:color="auto" w:sz="6" w:space="0"/>
              <w:bottom w:val="single" w:color="auto" w:sz="6" w:space="0"/>
              <w:right w:val="single" w:color="auto" w:sz="6" w:space="0"/>
            </w:tcBorders>
            <w:vAlign w:val="center"/>
          </w:tcPr>
          <w:p w14:paraId="28EEEE80">
            <w:pPr>
              <w:spacing w:after="120"/>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品牌</w:t>
            </w:r>
          </w:p>
        </w:tc>
        <w:tc>
          <w:tcPr>
            <w:tcW w:w="1380" w:type="dxa"/>
            <w:tcBorders>
              <w:top w:val="single" w:color="auto" w:sz="6" w:space="0"/>
              <w:left w:val="single" w:color="auto" w:sz="6" w:space="0"/>
              <w:bottom w:val="single" w:color="auto" w:sz="6" w:space="0"/>
              <w:right w:val="single" w:color="auto" w:sz="6" w:space="0"/>
            </w:tcBorders>
            <w:vAlign w:val="center"/>
          </w:tcPr>
          <w:p w14:paraId="62F6DBFE">
            <w:pPr>
              <w:spacing w:before="197" w:beforeLines="50" w:after="120"/>
              <w:ind w:firstLine="456" w:firstLineChars="200"/>
              <w:rPr>
                <w:rFonts w:ascii="宋体" w:hAnsi="宋体" w:eastAsia="宋体" w:cs="宋体"/>
                <w:sz w:val="22"/>
                <w:highlight w:val="none"/>
              </w:rPr>
            </w:pPr>
            <w:r>
              <w:rPr>
                <w:rFonts w:hint="eastAsia" w:ascii="宋体" w:hAnsi="宋体" w:eastAsia="宋体" w:cs="宋体"/>
                <w:sz w:val="22"/>
                <w:highlight w:val="none"/>
              </w:rPr>
              <w:t>服务商</w:t>
            </w:r>
          </w:p>
        </w:tc>
        <w:tc>
          <w:tcPr>
            <w:tcW w:w="1290" w:type="dxa"/>
            <w:tcBorders>
              <w:top w:val="single" w:color="auto" w:sz="6" w:space="0"/>
              <w:left w:val="single" w:color="auto" w:sz="6" w:space="0"/>
              <w:bottom w:val="single" w:color="auto" w:sz="6" w:space="0"/>
              <w:right w:val="single" w:color="auto" w:sz="6" w:space="0"/>
            </w:tcBorders>
            <w:vAlign w:val="center"/>
          </w:tcPr>
          <w:p w14:paraId="735FA5D2">
            <w:pPr>
              <w:spacing w:after="120"/>
              <w:jc w:val="center"/>
              <w:rPr>
                <w:rFonts w:ascii="宋体" w:hAnsi="宋体" w:eastAsia="宋体" w:cs="宋体"/>
                <w:sz w:val="22"/>
                <w:highlight w:val="none"/>
              </w:rPr>
            </w:pPr>
            <w:r>
              <w:rPr>
                <w:rFonts w:hint="eastAsia" w:ascii="宋体" w:hAnsi="宋体" w:eastAsia="宋体" w:cs="宋体"/>
                <w:sz w:val="22"/>
                <w:highlight w:val="none"/>
              </w:rPr>
              <w:t>数量/单位</w:t>
            </w:r>
          </w:p>
        </w:tc>
        <w:tc>
          <w:tcPr>
            <w:tcW w:w="1114" w:type="dxa"/>
            <w:tcBorders>
              <w:top w:val="single" w:color="auto" w:sz="6" w:space="0"/>
              <w:left w:val="single" w:color="auto" w:sz="6" w:space="0"/>
              <w:bottom w:val="single" w:color="auto" w:sz="6" w:space="0"/>
              <w:right w:val="single" w:color="auto" w:sz="6" w:space="0"/>
            </w:tcBorders>
            <w:vAlign w:val="center"/>
          </w:tcPr>
          <w:p w14:paraId="78E33BF6">
            <w:pPr>
              <w:spacing w:after="120"/>
              <w:jc w:val="center"/>
              <w:rPr>
                <w:rFonts w:ascii="宋体" w:hAnsi="宋体" w:eastAsia="宋体" w:cs="宋体"/>
                <w:sz w:val="22"/>
                <w:highlight w:val="none"/>
              </w:rPr>
            </w:pPr>
            <w:r>
              <w:rPr>
                <w:rFonts w:hint="eastAsia" w:ascii="宋体" w:hAnsi="宋体" w:eastAsia="宋体" w:cs="宋体"/>
                <w:sz w:val="22"/>
                <w:highlight w:val="none"/>
              </w:rPr>
              <w:t>单价</w:t>
            </w:r>
          </w:p>
          <w:p w14:paraId="317ED242">
            <w:pPr>
              <w:spacing w:after="120"/>
              <w:jc w:val="center"/>
              <w:rPr>
                <w:rFonts w:ascii="宋体" w:hAnsi="宋体" w:eastAsia="宋体" w:cs="宋体"/>
                <w:bCs/>
                <w:sz w:val="22"/>
                <w:highlight w:val="none"/>
              </w:rPr>
            </w:pPr>
            <w:r>
              <w:rPr>
                <w:rFonts w:hint="eastAsia" w:ascii="宋体" w:hAnsi="宋体" w:eastAsia="宋体" w:cs="宋体"/>
                <w:sz w:val="22"/>
                <w:highlight w:val="none"/>
              </w:rPr>
              <w:t>（元）</w:t>
            </w:r>
          </w:p>
        </w:tc>
        <w:tc>
          <w:tcPr>
            <w:tcW w:w="986" w:type="dxa"/>
            <w:tcBorders>
              <w:top w:val="single" w:color="auto" w:sz="6" w:space="0"/>
              <w:left w:val="single" w:color="auto" w:sz="6" w:space="0"/>
              <w:bottom w:val="single" w:color="auto" w:sz="6" w:space="0"/>
              <w:right w:val="single" w:color="auto" w:sz="6" w:space="0"/>
            </w:tcBorders>
            <w:vAlign w:val="center"/>
          </w:tcPr>
          <w:p w14:paraId="62F8F0B3">
            <w:pPr>
              <w:spacing w:after="120"/>
              <w:jc w:val="center"/>
              <w:rPr>
                <w:rFonts w:ascii="宋体" w:hAnsi="宋体" w:eastAsia="宋体" w:cs="宋体"/>
                <w:bCs/>
                <w:sz w:val="22"/>
                <w:highlight w:val="none"/>
              </w:rPr>
            </w:pPr>
            <w:r>
              <w:rPr>
                <w:rFonts w:hint="eastAsia" w:ascii="宋体" w:hAnsi="宋体" w:eastAsia="宋体" w:cs="宋体"/>
                <w:bCs/>
                <w:sz w:val="22"/>
                <w:highlight w:val="none"/>
              </w:rPr>
              <w:t>总价</w:t>
            </w:r>
          </w:p>
          <w:p w14:paraId="430FBBAD">
            <w:pPr>
              <w:spacing w:after="120"/>
              <w:jc w:val="center"/>
              <w:rPr>
                <w:rFonts w:ascii="宋体" w:hAnsi="宋体" w:eastAsia="宋体" w:cs="宋体"/>
                <w:bCs/>
                <w:sz w:val="22"/>
                <w:highlight w:val="none"/>
              </w:rPr>
            </w:pPr>
            <w:r>
              <w:rPr>
                <w:rFonts w:hint="eastAsia" w:ascii="宋体" w:hAnsi="宋体" w:eastAsia="宋体" w:cs="宋体"/>
                <w:bCs/>
                <w:sz w:val="22"/>
                <w:highlight w:val="none"/>
              </w:rPr>
              <w:t>（元）</w:t>
            </w:r>
          </w:p>
        </w:tc>
      </w:tr>
      <w:tr w14:paraId="005C1CD8">
        <w:tblPrEx>
          <w:tblCellMar>
            <w:top w:w="0" w:type="dxa"/>
            <w:left w:w="28" w:type="dxa"/>
            <w:bottom w:w="0" w:type="dxa"/>
            <w:right w:w="28" w:type="dxa"/>
          </w:tblCellMar>
        </w:tblPrEx>
        <w:trPr>
          <w:trHeight w:val="696" w:hRule="atLeast"/>
          <w:jc w:val="center"/>
        </w:trPr>
        <w:tc>
          <w:tcPr>
            <w:tcW w:w="1416" w:type="dxa"/>
            <w:vMerge w:val="continue"/>
            <w:tcBorders>
              <w:left w:val="single" w:color="auto" w:sz="6" w:space="0"/>
              <w:right w:val="single" w:color="auto" w:sz="4" w:space="0"/>
            </w:tcBorders>
            <w:vAlign w:val="center"/>
          </w:tcPr>
          <w:p w14:paraId="714134CD">
            <w:pPr>
              <w:spacing w:before="395" w:beforeLines="100"/>
              <w:jc w:val="center"/>
              <w:rPr>
                <w:rFonts w:ascii="宋体" w:hAnsi="宋体" w:eastAsia="宋体" w:cs="宋体"/>
                <w:sz w:val="22"/>
                <w:highlight w:val="none"/>
              </w:rPr>
            </w:pPr>
          </w:p>
        </w:tc>
        <w:tc>
          <w:tcPr>
            <w:tcW w:w="523" w:type="dxa"/>
            <w:tcBorders>
              <w:top w:val="single" w:color="auto" w:sz="6" w:space="0"/>
              <w:left w:val="single" w:color="auto" w:sz="4" w:space="0"/>
              <w:bottom w:val="single" w:color="auto" w:sz="4" w:space="0"/>
            </w:tcBorders>
            <w:vAlign w:val="center"/>
          </w:tcPr>
          <w:p w14:paraId="71BF2122">
            <w:pPr>
              <w:spacing w:before="395" w:beforeLines="100"/>
              <w:jc w:val="center"/>
              <w:rPr>
                <w:rFonts w:ascii="宋体" w:hAnsi="宋体" w:eastAsia="宋体" w:cs="宋体"/>
                <w:sz w:val="22"/>
                <w:highlight w:val="none"/>
              </w:rPr>
            </w:pPr>
            <w:r>
              <w:rPr>
                <w:rFonts w:hint="eastAsia" w:ascii="宋体" w:hAnsi="宋体" w:eastAsia="宋体" w:cs="宋体"/>
                <w:sz w:val="22"/>
                <w:highlight w:val="none"/>
              </w:rPr>
              <w:t>1</w:t>
            </w:r>
          </w:p>
        </w:tc>
        <w:tc>
          <w:tcPr>
            <w:tcW w:w="1097" w:type="dxa"/>
            <w:tcBorders>
              <w:top w:val="single" w:color="auto" w:sz="6" w:space="0"/>
              <w:left w:val="single" w:color="auto" w:sz="6" w:space="0"/>
              <w:bottom w:val="single" w:color="auto" w:sz="4" w:space="0"/>
              <w:right w:val="single" w:color="auto" w:sz="6" w:space="0"/>
            </w:tcBorders>
            <w:vAlign w:val="center"/>
          </w:tcPr>
          <w:p w14:paraId="66982B8B">
            <w:pPr>
              <w:spacing w:before="197" w:beforeLines="50"/>
              <w:jc w:val="center"/>
              <w:rPr>
                <w:rFonts w:ascii="宋体" w:hAnsi="宋体" w:eastAsia="宋体" w:cs="宋体"/>
                <w:sz w:val="22"/>
                <w:highlight w:val="none"/>
              </w:rPr>
            </w:pPr>
          </w:p>
        </w:tc>
        <w:tc>
          <w:tcPr>
            <w:tcW w:w="1212" w:type="dxa"/>
            <w:tcBorders>
              <w:top w:val="single" w:color="auto" w:sz="6" w:space="0"/>
              <w:left w:val="single" w:color="auto" w:sz="6" w:space="0"/>
              <w:bottom w:val="single" w:color="auto" w:sz="4" w:space="0"/>
              <w:right w:val="single" w:color="auto" w:sz="6" w:space="0"/>
            </w:tcBorders>
            <w:vAlign w:val="center"/>
          </w:tcPr>
          <w:p w14:paraId="4A3928AC">
            <w:pPr>
              <w:jc w:val="center"/>
              <w:rPr>
                <w:rFonts w:ascii="宋体" w:hAnsi="宋体" w:eastAsia="宋体" w:cs="宋体"/>
                <w:sz w:val="22"/>
                <w:highlight w:val="none"/>
              </w:rPr>
            </w:pPr>
          </w:p>
        </w:tc>
        <w:tc>
          <w:tcPr>
            <w:tcW w:w="1191" w:type="dxa"/>
            <w:tcBorders>
              <w:top w:val="single" w:color="auto" w:sz="6" w:space="0"/>
              <w:left w:val="single" w:color="auto" w:sz="6" w:space="0"/>
              <w:bottom w:val="single" w:color="auto" w:sz="4" w:space="0"/>
              <w:right w:val="single" w:color="auto" w:sz="6" w:space="0"/>
            </w:tcBorders>
            <w:vAlign w:val="center"/>
          </w:tcPr>
          <w:p w14:paraId="621E9C73">
            <w:pPr>
              <w:jc w:val="center"/>
              <w:rPr>
                <w:rFonts w:ascii="宋体" w:hAnsi="宋体" w:eastAsia="宋体" w:cs="宋体"/>
                <w:sz w:val="22"/>
                <w:highlight w:val="none"/>
              </w:rPr>
            </w:pPr>
          </w:p>
        </w:tc>
        <w:tc>
          <w:tcPr>
            <w:tcW w:w="1380" w:type="dxa"/>
            <w:tcBorders>
              <w:top w:val="single" w:color="auto" w:sz="6" w:space="0"/>
              <w:left w:val="single" w:color="auto" w:sz="6" w:space="0"/>
              <w:bottom w:val="single" w:color="auto" w:sz="4" w:space="0"/>
              <w:right w:val="single" w:color="auto" w:sz="6" w:space="0"/>
            </w:tcBorders>
            <w:vAlign w:val="center"/>
          </w:tcPr>
          <w:p w14:paraId="1B4667B9">
            <w:pPr>
              <w:spacing w:before="197" w:beforeLines="50"/>
              <w:jc w:val="center"/>
              <w:rPr>
                <w:rFonts w:ascii="宋体" w:hAnsi="宋体" w:eastAsia="宋体" w:cs="宋体"/>
                <w:sz w:val="22"/>
                <w:highlight w:val="none"/>
              </w:rPr>
            </w:pPr>
          </w:p>
        </w:tc>
        <w:tc>
          <w:tcPr>
            <w:tcW w:w="1290" w:type="dxa"/>
            <w:tcBorders>
              <w:top w:val="single" w:color="auto" w:sz="6" w:space="0"/>
              <w:left w:val="single" w:color="auto" w:sz="6" w:space="0"/>
              <w:bottom w:val="single" w:color="auto" w:sz="4" w:space="0"/>
              <w:right w:val="single" w:color="auto" w:sz="6" w:space="0"/>
            </w:tcBorders>
            <w:vAlign w:val="center"/>
          </w:tcPr>
          <w:p w14:paraId="76C26190">
            <w:pPr>
              <w:spacing w:before="197" w:beforeLines="50"/>
              <w:jc w:val="center"/>
              <w:rPr>
                <w:rFonts w:ascii="宋体" w:hAnsi="宋体" w:eastAsia="宋体" w:cs="宋体"/>
                <w:sz w:val="22"/>
                <w:highlight w:val="none"/>
              </w:rPr>
            </w:pPr>
          </w:p>
        </w:tc>
        <w:tc>
          <w:tcPr>
            <w:tcW w:w="1114" w:type="dxa"/>
            <w:tcBorders>
              <w:top w:val="single" w:color="auto" w:sz="6" w:space="0"/>
              <w:left w:val="single" w:color="auto" w:sz="6" w:space="0"/>
              <w:bottom w:val="single" w:color="auto" w:sz="4" w:space="0"/>
              <w:right w:val="single" w:color="auto" w:sz="6" w:space="0"/>
            </w:tcBorders>
            <w:vAlign w:val="center"/>
          </w:tcPr>
          <w:p w14:paraId="22BADDB5">
            <w:pPr>
              <w:spacing w:before="197" w:beforeLines="50"/>
              <w:jc w:val="center"/>
              <w:rPr>
                <w:rFonts w:ascii="宋体" w:hAnsi="宋体" w:eastAsia="宋体" w:cs="宋体"/>
                <w:sz w:val="22"/>
                <w:highlight w:val="none"/>
              </w:rPr>
            </w:pPr>
          </w:p>
        </w:tc>
        <w:tc>
          <w:tcPr>
            <w:tcW w:w="986" w:type="dxa"/>
            <w:tcBorders>
              <w:top w:val="single" w:color="auto" w:sz="6" w:space="0"/>
              <w:left w:val="single" w:color="auto" w:sz="6" w:space="0"/>
              <w:bottom w:val="single" w:color="auto" w:sz="4" w:space="0"/>
              <w:right w:val="single" w:color="auto" w:sz="6" w:space="0"/>
            </w:tcBorders>
            <w:vAlign w:val="center"/>
          </w:tcPr>
          <w:p w14:paraId="6439064D">
            <w:pPr>
              <w:spacing w:before="197" w:beforeLines="50"/>
              <w:jc w:val="center"/>
              <w:rPr>
                <w:rFonts w:ascii="宋体" w:hAnsi="宋体" w:eastAsia="宋体" w:cs="宋体"/>
                <w:sz w:val="22"/>
                <w:highlight w:val="none"/>
              </w:rPr>
            </w:pPr>
          </w:p>
        </w:tc>
      </w:tr>
      <w:tr w14:paraId="6C95D0CE">
        <w:tblPrEx>
          <w:tblCellMar>
            <w:top w:w="0" w:type="dxa"/>
            <w:left w:w="28" w:type="dxa"/>
            <w:bottom w:w="0" w:type="dxa"/>
            <w:right w:w="28" w:type="dxa"/>
          </w:tblCellMar>
        </w:tblPrEx>
        <w:trPr>
          <w:trHeight w:val="691" w:hRule="atLeast"/>
          <w:jc w:val="center"/>
        </w:trPr>
        <w:tc>
          <w:tcPr>
            <w:tcW w:w="1416" w:type="dxa"/>
            <w:vMerge w:val="continue"/>
            <w:tcBorders>
              <w:left w:val="single" w:color="auto" w:sz="6" w:space="0"/>
              <w:right w:val="single" w:color="auto" w:sz="4" w:space="0"/>
            </w:tcBorders>
            <w:vAlign w:val="center"/>
          </w:tcPr>
          <w:p w14:paraId="7E504293">
            <w:pPr>
              <w:spacing w:before="395" w:beforeLines="100"/>
              <w:jc w:val="center"/>
              <w:rPr>
                <w:rFonts w:ascii="宋体" w:hAnsi="宋体" w:eastAsia="宋体" w:cs="宋体"/>
                <w:sz w:val="22"/>
                <w:highlight w:val="none"/>
              </w:rPr>
            </w:pPr>
          </w:p>
        </w:tc>
        <w:tc>
          <w:tcPr>
            <w:tcW w:w="523" w:type="dxa"/>
            <w:tcBorders>
              <w:top w:val="single" w:color="auto" w:sz="4" w:space="0"/>
              <w:left w:val="single" w:color="auto" w:sz="4" w:space="0"/>
              <w:bottom w:val="single" w:color="auto" w:sz="6" w:space="0"/>
            </w:tcBorders>
            <w:vAlign w:val="center"/>
          </w:tcPr>
          <w:p w14:paraId="7C1FD958">
            <w:pPr>
              <w:spacing w:before="395" w:beforeLines="100"/>
              <w:jc w:val="center"/>
              <w:rPr>
                <w:rFonts w:ascii="宋体" w:hAnsi="宋体" w:eastAsia="宋体" w:cs="宋体"/>
                <w:sz w:val="22"/>
                <w:highlight w:val="none"/>
              </w:rPr>
            </w:pPr>
            <w:r>
              <w:rPr>
                <w:rFonts w:hint="eastAsia" w:ascii="宋体" w:hAnsi="宋体" w:eastAsia="宋体" w:cs="宋体"/>
                <w:sz w:val="22"/>
                <w:highlight w:val="none"/>
              </w:rPr>
              <w:t>2</w:t>
            </w:r>
          </w:p>
        </w:tc>
        <w:tc>
          <w:tcPr>
            <w:tcW w:w="1097" w:type="dxa"/>
            <w:tcBorders>
              <w:top w:val="single" w:color="auto" w:sz="4" w:space="0"/>
              <w:left w:val="single" w:color="auto" w:sz="6" w:space="0"/>
              <w:bottom w:val="single" w:color="auto" w:sz="6" w:space="0"/>
              <w:right w:val="single" w:color="auto" w:sz="6" w:space="0"/>
            </w:tcBorders>
            <w:vAlign w:val="center"/>
          </w:tcPr>
          <w:p w14:paraId="75BDFB08">
            <w:pPr>
              <w:spacing w:before="395" w:beforeLines="100"/>
              <w:jc w:val="center"/>
              <w:rPr>
                <w:rFonts w:ascii="宋体" w:hAnsi="宋体" w:eastAsia="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vAlign w:val="center"/>
          </w:tcPr>
          <w:p w14:paraId="1D7E13D2">
            <w:pPr>
              <w:jc w:val="center"/>
              <w:rPr>
                <w:rFonts w:ascii="宋体" w:hAnsi="宋体" w:eastAsia="宋体" w:cs="宋体"/>
                <w:sz w:val="22"/>
                <w:highlight w:val="none"/>
              </w:rPr>
            </w:pPr>
          </w:p>
        </w:tc>
        <w:tc>
          <w:tcPr>
            <w:tcW w:w="1191" w:type="dxa"/>
            <w:tcBorders>
              <w:top w:val="single" w:color="auto" w:sz="4" w:space="0"/>
              <w:left w:val="single" w:color="auto" w:sz="6" w:space="0"/>
              <w:bottom w:val="single" w:color="auto" w:sz="6" w:space="0"/>
              <w:right w:val="single" w:color="auto" w:sz="6" w:space="0"/>
            </w:tcBorders>
            <w:vAlign w:val="center"/>
          </w:tcPr>
          <w:p w14:paraId="286443B7">
            <w:pPr>
              <w:jc w:val="center"/>
              <w:rPr>
                <w:rFonts w:ascii="宋体" w:hAnsi="宋体" w:eastAsia="宋体" w:cs="宋体"/>
                <w:sz w:val="22"/>
                <w:highlight w:val="none"/>
              </w:rPr>
            </w:pPr>
          </w:p>
        </w:tc>
        <w:tc>
          <w:tcPr>
            <w:tcW w:w="1380" w:type="dxa"/>
            <w:tcBorders>
              <w:top w:val="single" w:color="auto" w:sz="4" w:space="0"/>
              <w:left w:val="single" w:color="auto" w:sz="6" w:space="0"/>
              <w:bottom w:val="single" w:color="auto" w:sz="6" w:space="0"/>
              <w:right w:val="single" w:color="auto" w:sz="6" w:space="0"/>
            </w:tcBorders>
            <w:vAlign w:val="center"/>
          </w:tcPr>
          <w:p w14:paraId="542CAA47">
            <w:pPr>
              <w:spacing w:before="197" w:beforeLines="50"/>
              <w:jc w:val="center"/>
              <w:rPr>
                <w:rFonts w:ascii="宋体" w:hAnsi="宋体" w:eastAsia="宋体" w:cs="宋体"/>
                <w:sz w:val="22"/>
                <w:highlight w:val="none"/>
              </w:rPr>
            </w:pPr>
          </w:p>
        </w:tc>
        <w:tc>
          <w:tcPr>
            <w:tcW w:w="1290" w:type="dxa"/>
            <w:tcBorders>
              <w:top w:val="single" w:color="auto" w:sz="4" w:space="0"/>
              <w:left w:val="single" w:color="auto" w:sz="6" w:space="0"/>
              <w:bottom w:val="single" w:color="auto" w:sz="6" w:space="0"/>
              <w:right w:val="single" w:color="auto" w:sz="6" w:space="0"/>
            </w:tcBorders>
            <w:vAlign w:val="center"/>
          </w:tcPr>
          <w:p w14:paraId="0C2323F4">
            <w:pPr>
              <w:spacing w:before="197" w:beforeLines="50"/>
              <w:jc w:val="center"/>
              <w:rPr>
                <w:rFonts w:ascii="宋体" w:hAnsi="宋体" w:eastAsia="宋体" w:cs="宋体"/>
                <w:sz w:val="22"/>
                <w:highlight w:val="none"/>
              </w:rPr>
            </w:pPr>
          </w:p>
        </w:tc>
        <w:tc>
          <w:tcPr>
            <w:tcW w:w="1114" w:type="dxa"/>
            <w:tcBorders>
              <w:top w:val="single" w:color="auto" w:sz="4" w:space="0"/>
              <w:left w:val="single" w:color="auto" w:sz="6" w:space="0"/>
              <w:bottom w:val="single" w:color="auto" w:sz="6" w:space="0"/>
              <w:right w:val="single" w:color="auto" w:sz="6" w:space="0"/>
            </w:tcBorders>
            <w:vAlign w:val="center"/>
          </w:tcPr>
          <w:p w14:paraId="41E242E9">
            <w:pPr>
              <w:spacing w:before="197" w:beforeLines="50"/>
              <w:jc w:val="center"/>
              <w:rPr>
                <w:rFonts w:ascii="宋体" w:hAnsi="宋体" w:eastAsia="宋体" w:cs="宋体"/>
                <w:sz w:val="22"/>
                <w:highlight w:val="none"/>
              </w:rPr>
            </w:pPr>
          </w:p>
        </w:tc>
        <w:tc>
          <w:tcPr>
            <w:tcW w:w="986" w:type="dxa"/>
            <w:tcBorders>
              <w:top w:val="single" w:color="auto" w:sz="4" w:space="0"/>
              <w:left w:val="single" w:color="auto" w:sz="6" w:space="0"/>
              <w:bottom w:val="single" w:color="auto" w:sz="6" w:space="0"/>
              <w:right w:val="single" w:color="auto" w:sz="6" w:space="0"/>
            </w:tcBorders>
            <w:vAlign w:val="center"/>
          </w:tcPr>
          <w:p w14:paraId="6513889C">
            <w:pPr>
              <w:spacing w:before="197" w:beforeLines="50"/>
              <w:jc w:val="center"/>
              <w:rPr>
                <w:rFonts w:ascii="宋体" w:hAnsi="宋体" w:eastAsia="宋体" w:cs="宋体"/>
                <w:sz w:val="22"/>
                <w:highlight w:val="none"/>
              </w:rPr>
            </w:pPr>
          </w:p>
        </w:tc>
      </w:tr>
      <w:tr w14:paraId="4682FF89">
        <w:tblPrEx>
          <w:tblCellMar>
            <w:top w:w="0" w:type="dxa"/>
            <w:left w:w="28" w:type="dxa"/>
            <w:bottom w:w="0" w:type="dxa"/>
            <w:right w:w="28" w:type="dxa"/>
          </w:tblCellMar>
        </w:tblPrEx>
        <w:trPr>
          <w:trHeight w:val="696" w:hRule="atLeast"/>
          <w:jc w:val="center"/>
        </w:trPr>
        <w:tc>
          <w:tcPr>
            <w:tcW w:w="1416" w:type="dxa"/>
            <w:vMerge w:val="continue"/>
            <w:tcBorders>
              <w:left w:val="single" w:color="auto" w:sz="6" w:space="0"/>
              <w:right w:val="single" w:color="auto" w:sz="4" w:space="0"/>
            </w:tcBorders>
            <w:vAlign w:val="center"/>
          </w:tcPr>
          <w:p w14:paraId="74362E8E">
            <w:pPr>
              <w:spacing w:before="395" w:beforeLines="100"/>
              <w:jc w:val="center"/>
              <w:rPr>
                <w:rFonts w:ascii="宋体" w:hAnsi="宋体" w:eastAsia="宋体" w:cs="宋体"/>
                <w:sz w:val="22"/>
                <w:highlight w:val="none"/>
              </w:rPr>
            </w:pPr>
          </w:p>
        </w:tc>
        <w:tc>
          <w:tcPr>
            <w:tcW w:w="523" w:type="dxa"/>
            <w:tcBorders>
              <w:top w:val="single" w:color="auto" w:sz="4" w:space="0"/>
              <w:left w:val="single" w:color="auto" w:sz="4" w:space="0"/>
              <w:bottom w:val="single" w:color="auto" w:sz="6" w:space="0"/>
            </w:tcBorders>
            <w:vAlign w:val="center"/>
          </w:tcPr>
          <w:p w14:paraId="278317D8">
            <w:pPr>
              <w:spacing w:before="395" w:beforeLines="100"/>
              <w:jc w:val="center"/>
              <w:rPr>
                <w:rFonts w:ascii="宋体" w:hAnsi="宋体" w:eastAsia="宋体" w:cs="宋体"/>
                <w:sz w:val="22"/>
                <w:highlight w:val="none"/>
              </w:rPr>
            </w:pPr>
            <w:r>
              <w:rPr>
                <w:rFonts w:hint="eastAsia" w:ascii="宋体" w:hAnsi="宋体" w:eastAsia="宋体" w:cs="宋体"/>
                <w:sz w:val="22"/>
                <w:highlight w:val="none"/>
              </w:rPr>
              <w:t>3</w:t>
            </w:r>
          </w:p>
        </w:tc>
        <w:tc>
          <w:tcPr>
            <w:tcW w:w="1097" w:type="dxa"/>
            <w:tcBorders>
              <w:top w:val="single" w:color="auto" w:sz="4" w:space="0"/>
              <w:left w:val="single" w:color="auto" w:sz="6" w:space="0"/>
              <w:bottom w:val="single" w:color="auto" w:sz="6" w:space="0"/>
              <w:right w:val="single" w:color="auto" w:sz="6" w:space="0"/>
            </w:tcBorders>
            <w:vAlign w:val="center"/>
          </w:tcPr>
          <w:p w14:paraId="220DBE13">
            <w:pPr>
              <w:spacing w:before="395" w:beforeLines="100"/>
              <w:jc w:val="center"/>
              <w:rPr>
                <w:rFonts w:ascii="宋体" w:hAnsi="宋体" w:eastAsia="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vAlign w:val="center"/>
          </w:tcPr>
          <w:p w14:paraId="49E7FA3E">
            <w:pPr>
              <w:jc w:val="center"/>
              <w:rPr>
                <w:rFonts w:ascii="宋体" w:hAnsi="宋体" w:eastAsia="宋体" w:cs="宋体"/>
                <w:sz w:val="22"/>
                <w:highlight w:val="none"/>
              </w:rPr>
            </w:pPr>
          </w:p>
        </w:tc>
        <w:tc>
          <w:tcPr>
            <w:tcW w:w="1191" w:type="dxa"/>
            <w:tcBorders>
              <w:top w:val="single" w:color="auto" w:sz="4" w:space="0"/>
              <w:left w:val="single" w:color="auto" w:sz="6" w:space="0"/>
              <w:bottom w:val="single" w:color="auto" w:sz="6" w:space="0"/>
              <w:right w:val="single" w:color="auto" w:sz="6" w:space="0"/>
            </w:tcBorders>
            <w:vAlign w:val="center"/>
          </w:tcPr>
          <w:p w14:paraId="2DFD3133">
            <w:pPr>
              <w:jc w:val="center"/>
              <w:rPr>
                <w:rFonts w:ascii="宋体" w:hAnsi="宋体" w:eastAsia="宋体" w:cs="宋体"/>
                <w:sz w:val="22"/>
                <w:highlight w:val="none"/>
              </w:rPr>
            </w:pPr>
          </w:p>
        </w:tc>
        <w:tc>
          <w:tcPr>
            <w:tcW w:w="1380" w:type="dxa"/>
            <w:tcBorders>
              <w:top w:val="single" w:color="auto" w:sz="4" w:space="0"/>
              <w:left w:val="single" w:color="auto" w:sz="6" w:space="0"/>
              <w:bottom w:val="single" w:color="auto" w:sz="6" w:space="0"/>
              <w:right w:val="single" w:color="auto" w:sz="6" w:space="0"/>
            </w:tcBorders>
            <w:vAlign w:val="center"/>
          </w:tcPr>
          <w:p w14:paraId="6472F3CF">
            <w:pPr>
              <w:spacing w:before="197" w:beforeLines="50"/>
              <w:jc w:val="center"/>
              <w:rPr>
                <w:rFonts w:ascii="宋体" w:hAnsi="宋体" w:eastAsia="宋体" w:cs="宋体"/>
                <w:sz w:val="22"/>
                <w:highlight w:val="none"/>
              </w:rPr>
            </w:pPr>
          </w:p>
        </w:tc>
        <w:tc>
          <w:tcPr>
            <w:tcW w:w="1290" w:type="dxa"/>
            <w:tcBorders>
              <w:top w:val="single" w:color="auto" w:sz="4" w:space="0"/>
              <w:left w:val="single" w:color="auto" w:sz="6" w:space="0"/>
              <w:bottom w:val="single" w:color="auto" w:sz="6" w:space="0"/>
              <w:right w:val="single" w:color="auto" w:sz="6" w:space="0"/>
            </w:tcBorders>
            <w:vAlign w:val="center"/>
          </w:tcPr>
          <w:p w14:paraId="3FF7AEBB">
            <w:pPr>
              <w:spacing w:before="197" w:beforeLines="50"/>
              <w:jc w:val="center"/>
              <w:rPr>
                <w:rFonts w:ascii="宋体" w:hAnsi="宋体" w:eastAsia="宋体" w:cs="宋体"/>
                <w:sz w:val="22"/>
                <w:highlight w:val="none"/>
              </w:rPr>
            </w:pPr>
          </w:p>
        </w:tc>
        <w:tc>
          <w:tcPr>
            <w:tcW w:w="1114" w:type="dxa"/>
            <w:tcBorders>
              <w:top w:val="single" w:color="auto" w:sz="4" w:space="0"/>
              <w:left w:val="single" w:color="auto" w:sz="6" w:space="0"/>
              <w:bottom w:val="single" w:color="auto" w:sz="6" w:space="0"/>
              <w:right w:val="single" w:color="auto" w:sz="6" w:space="0"/>
            </w:tcBorders>
            <w:vAlign w:val="center"/>
          </w:tcPr>
          <w:p w14:paraId="476FEC44">
            <w:pPr>
              <w:spacing w:before="197" w:beforeLines="50"/>
              <w:jc w:val="center"/>
              <w:rPr>
                <w:rFonts w:ascii="宋体" w:hAnsi="宋体" w:eastAsia="宋体" w:cs="宋体"/>
                <w:sz w:val="22"/>
                <w:highlight w:val="none"/>
              </w:rPr>
            </w:pPr>
          </w:p>
        </w:tc>
        <w:tc>
          <w:tcPr>
            <w:tcW w:w="986" w:type="dxa"/>
            <w:tcBorders>
              <w:top w:val="single" w:color="auto" w:sz="4" w:space="0"/>
              <w:left w:val="single" w:color="auto" w:sz="6" w:space="0"/>
              <w:bottom w:val="single" w:color="auto" w:sz="6" w:space="0"/>
              <w:right w:val="single" w:color="auto" w:sz="6" w:space="0"/>
            </w:tcBorders>
            <w:vAlign w:val="center"/>
          </w:tcPr>
          <w:p w14:paraId="1A228A61">
            <w:pPr>
              <w:spacing w:before="197" w:beforeLines="50"/>
              <w:jc w:val="center"/>
              <w:rPr>
                <w:rFonts w:ascii="宋体" w:hAnsi="宋体" w:eastAsia="宋体" w:cs="宋体"/>
                <w:sz w:val="22"/>
                <w:highlight w:val="none"/>
              </w:rPr>
            </w:pPr>
          </w:p>
        </w:tc>
      </w:tr>
      <w:tr w14:paraId="69200086">
        <w:tblPrEx>
          <w:tblCellMar>
            <w:top w:w="0" w:type="dxa"/>
            <w:left w:w="28" w:type="dxa"/>
            <w:bottom w:w="0" w:type="dxa"/>
            <w:right w:w="28" w:type="dxa"/>
          </w:tblCellMar>
        </w:tblPrEx>
        <w:trPr>
          <w:trHeight w:val="894" w:hRule="atLeast"/>
          <w:jc w:val="center"/>
        </w:trPr>
        <w:tc>
          <w:tcPr>
            <w:tcW w:w="1416" w:type="dxa"/>
            <w:vMerge w:val="continue"/>
            <w:tcBorders>
              <w:left w:val="single" w:color="auto" w:sz="6" w:space="0"/>
              <w:right w:val="single" w:color="auto" w:sz="4" w:space="0"/>
            </w:tcBorders>
            <w:vAlign w:val="center"/>
          </w:tcPr>
          <w:p w14:paraId="4AE910F7">
            <w:pPr>
              <w:spacing w:before="395" w:beforeLines="100"/>
              <w:jc w:val="center"/>
              <w:rPr>
                <w:rFonts w:ascii="宋体" w:hAnsi="宋体" w:eastAsia="宋体" w:cs="宋体"/>
                <w:sz w:val="22"/>
                <w:highlight w:val="none"/>
              </w:rPr>
            </w:pPr>
          </w:p>
        </w:tc>
        <w:tc>
          <w:tcPr>
            <w:tcW w:w="523" w:type="dxa"/>
            <w:tcBorders>
              <w:top w:val="single" w:color="auto" w:sz="4" w:space="0"/>
              <w:left w:val="single" w:color="auto" w:sz="4" w:space="0"/>
              <w:bottom w:val="single" w:color="auto" w:sz="6" w:space="0"/>
            </w:tcBorders>
            <w:vAlign w:val="center"/>
          </w:tcPr>
          <w:p w14:paraId="087630B9">
            <w:pPr>
              <w:spacing w:before="395" w:beforeLines="100"/>
              <w:jc w:val="center"/>
              <w:rPr>
                <w:rFonts w:ascii="宋体" w:hAnsi="宋体" w:eastAsia="宋体" w:cs="宋体"/>
                <w:sz w:val="22"/>
                <w:highlight w:val="none"/>
              </w:rPr>
            </w:pPr>
            <w:r>
              <w:rPr>
                <w:rFonts w:hint="eastAsia" w:ascii="宋体" w:hAnsi="宋体" w:eastAsia="宋体" w:cs="宋体"/>
                <w:sz w:val="22"/>
                <w:highlight w:val="none"/>
              </w:rPr>
              <w:t>4</w:t>
            </w:r>
          </w:p>
        </w:tc>
        <w:tc>
          <w:tcPr>
            <w:tcW w:w="1097" w:type="dxa"/>
            <w:tcBorders>
              <w:top w:val="single" w:color="auto" w:sz="4" w:space="0"/>
              <w:left w:val="single" w:color="auto" w:sz="6" w:space="0"/>
              <w:bottom w:val="single" w:color="auto" w:sz="6" w:space="0"/>
              <w:right w:val="single" w:color="auto" w:sz="6" w:space="0"/>
            </w:tcBorders>
            <w:vAlign w:val="center"/>
          </w:tcPr>
          <w:p w14:paraId="13415DA9">
            <w:pPr>
              <w:spacing w:before="197" w:beforeLines="50"/>
              <w:jc w:val="center"/>
              <w:rPr>
                <w:rFonts w:ascii="宋体" w:hAnsi="宋体" w:eastAsia="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vAlign w:val="center"/>
          </w:tcPr>
          <w:p w14:paraId="7F1243FA">
            <w:pPr>
              <w:jc w:val="center"/>
              <w:rPr>
                <w:rFonts w:ascii="宋体" w:hAnsi="宋体" w:eastAsia="宋体" w:cs="宋体"/>
                <w:sz w:val="22"/>
                <w:highlight w:val="none"/>
              </w:rPr>
            </w:pPr>
          </w:p>
        </w:tc>
        <w:tc>
          <w:tcPr>
            <w:tcW w:w="1191" w:type="dxa"/>
            <w:tcBorders>
              <w:top w:val="single" w:color="auto" w:sz="4" w:space="0"/>
              <w:left w:val="single" w:color="auto" w:sz="6" w:space="0"/>
              <w:bottom w:val="single" w:color="auto" w:sz="6" w:space="0"/>
              <w:right w:val="single" w:color="auto" w:sz="6" w:space="0"/>
            </w:tcBorders>
            <w:vAlign w:val="center"/>
          </w:tcPr>
          <w:p w14:paraId="3BBB0D04">
            <w:pPr>
              <w:jc w:val="center"/>
              <w:rPr>
                <w:rFonts w:ascii="宋体" w:hAnsi="宋体" w:eastAsia="宋体" w:cs="宋体"/>
                <w:sz w:val="22"/>
                <w:highlight w:val="none"/>
              </w:rPr>
            </w:pPr>
          </w:p>
        </w:tc>
        <w:tc>
          <w:tcPr>
            <w:tcW w:w="1380" w:type="dxa"/>
            <w:tcBorders>
              <w:top w:val="single" w:color="auto" w:sz="4" w:space="0"/>
              <w:left w:val="single" w:color="auto" w:sz="6" w:space="0"/>
              <w:bottom w:val="single" w:color="auto" w:sz="6" w:space="0"/>
              <w:right w:val="single" w:color="auto" w:sz="6" w:space="0"/>
            </w:tcBorders>
            <w:vAlign w:val="center"/>
          </w:tcPr>
          <w:p w14:paraId="4792A69A">
            <w:pPr>
              <w:spacing w:before="197" w:beforeLines="50"/>
              <w:jc w:val="center"/>
              <w:rPr>
                <w:rFonts w:ascii="宋体" w:hAnsi="宋体" w:eastAsia="宋体" w:cs="宋体"/>
                <w:sz w:val="22"/>
                <w:highlight w:val="none"/>
              </w:rPr>
            </w:pPr>
          </w:p>
        </w:tc>
        <w:tc>
          <w:tcPr>
            <w:tcW w:w="1290" w:type="dxa"/>
            <w:tcBorders>
              <w:top w:val="single" w:color="auto" w:sz="4" w:space="0"/>
              <w:left w:val="single" w:color="auto" w:sz="6" w:space="0"/>
              <w:bottom w:val="single" w:color="auto" w:sz="6" w:space="0"/>
              <w:right w:val="single" w:color="auto" w:sz="6" w:space="0"/>
            </w:tcBorders>
            <w:vAlign w:val="center"/>
          </w:tcPr>
          <w:p w14:paraId="3F8A8E2B">
            <w:pPr>
              <w:spacing w:before="197" w:beforeLines="50"/>
              <w:jc w:val="center"/>
              <w:rPr>
                <w:rFonts w:ascii="宋体" w:hAnsi="宋体" w:eastAsia="宋体" w:cs="宋体"/>
                <w:sz w:val="22"/>
                <w:highlight w:val="none"/>
              </w:rPr>
            </w:pPr>
          </w:p>
        </w:tc>
        <w:tc>
          <w:tcPr>
            <w:tcW w:w="1114" w:type="dxa"/>
            <w:tcBorders>
              <w:top w:val="single" w:color="auto" w:sz="4" w:space="0"/>
              <w:left w:val="single" w:color="auto" w:sz="6" w:space="0"/>
              <w:bottom w:val="single" w:color="auto" w:sz="6" w:space="0"/>
              <w:right w:val="single" w:color="auto" w:sz="6" w:space="0"/>
            </w:tcBorders>
            <w:vAlign w:val="center"/>
          </w:tcPr>
          <w:p w14:paraId="223BD39E">
            <w:pPr>
              <w:spacing w:before="197" w:beforeLines="50"/>
              <w:jc w:val="center"/>
              <w:rPr>
                <w:rFonts w:ascii="宋体" w:hAnsi="宋体" w:eastAsia="宋体" w:cs="宋体"/>
                <w:sz w:val="22"/>
                <w:highlight w:val="none"/>
              </w:rPr>
            </w:pPr>
          </w:p>
        </w:tc>
        <w:tc>
          <w:tcPr>
            <w:tcW w:w="986" w:type="dxa"/>
            <w:tcBorders>
              <w:top w:val="single" w:color="auto" w:sz="4" w:space="0"/>
              <w:left w:val="single" w:color="auto" w:sz="6" w:space="0"/>
              <w:bottom w:val="single" w:color="auto" w:sz="6" w:space="0"/>
              <w:right w:val="single" w:color="auto" w:sz="6" w:space="0"/>
            </w:tcBorders>
            <w:vAlign w:val="center"/>
          </w:tcPr>
          <w:p w14:paraId="6150EDE1">
            <w:pPr>
              <w:spacing w:before="197" w:beforeLines="50"/>
              <w:jc w:val="center"/>
              <w:rPr>
                <w:rFonts w:ascii="宋体" w:hAnsi="宋体" w:eastAsia="宋体" w:cs="宋体"/>
                <w:sz w:val="22"/>
                <w:highlight w:val="none"/>
              </w:rPr>
            </w:pPr>
          </w:p>
        </w:tc>
      </w:tr>
      <w:tr w14:paraId="0EFA8925">
        <w:tblPrEx>
          <w:tblCellMar>
            <w:top w:w="0" w:type="dxa"/>
            <w:left w:w="28" w:type="dxa"/>
            <w:bottom w:w="0" w:type="dxa"/>
            <w:right w:w="28" w:type="dxa"/>
          </w:tblCellMar>
        </w:tblPrEx>
        <w:trPr>
          <w:trHeight w:val="894" w:hRule="atLeast"/>
          <w:jc w:val="center"/>
        </w:trPr>
        <w:tc>
          <w:tcPr>
            <w:tcW w:w="1416" w:type="dxa"/>
            <w:vMerge w:val="continue"/>
            <w:tcBorders>
              <w:left w:val="single" w:color="auto" w:sz="6" w:space="0"/>
              <w:right w:val="single" w:color="auto" w:sz="4" w:space="0"/>
            </w:tcBorders>
            <w:vAlign w:val="center"/>
          </w:tcPr>
          <w:p w14:paraId="07220A45">
            <w:pPr>
              <w:spacing w:before="395" w:beforeLines="100"/>
              <w:jc w:val="center"/>
              <w:rPr>
                <w:rFonts w:ascii="宋体" w:hAnsi="宋体" w:eastAsia="宋体" w:cs="宋体"/>
                <w:sz w:val="22"/>
                <w:highlight w:val="none"/>
              </w:rPr>
            </w:pPr>
          </w:p>
        </w:tc>
        <w:tc>
          <w:tcPr>
            <w:tcW w:w="523" w:type="dxa"/>
            <w:tcBorders>
              <w:top w:val="single" w:color="auto" w:sz="4" w:space="0"/>
              <w:left w:val="single" w:color="auto" w:sz="4" w:space="0"/>
              <w:bottom w:val="single" w:color="auto" w:sz="6" w:space="0"/>
            </w:tcBorders>
            <w:vAlign w:val="center"/>
          </w:tcPr>
          <w:p w14:paraId="36338590">
            <w:pPr>
              <w:spacing w:before="395" w:beforeLines="100"/>
              <w:jc w:val="center"/>
              <w:rPr>
                <w:rFonts w:ascii="宋体" w:hAnsi="宋体" w:eastAsia="宋体" w:cs="宋体"/>
                <w:sz w:val="22"/>
                <w:highlight w:val="none"/>
              </w:rPr>
            </w:pPr>
            <w:r>
              <w:rPr>
                <w:rFonts w:hint="eastAsia" w:ascii="宋体" w:hAnsi="宋体" w:eastAsia="宋体" w:cs="宋体"/>
                <w:sz w:val="22"/>
                <w:highlight w:val="none"/>
              </w:rPr>
              <w:t>……</w:t>
            </w:r>
          </w:p>
        </w:tc>
        <w:tc>
          <w:tcPr>
            <w:tcW w:w="1097" w:type="dxa"/>
            <w:tcBorders>
              <w:top w:val="single" w:color="auto" w:sz="4" w:space="0"/>
              <w:left w:val="single" w:color="auto" w:sz="6" w:space="0"/>
              <w:bottom w:val="single" w:color="auto" w:sz="6" w:space="0"/>
              <w:right w:val="single" w:color="auto" w:sz="6" w:space="0"/>
            </w:tcBorders>
            <w:vAlign w:val="center"/>
          </w:tcPr>
          <w:p w14:paraId="54F6B728">
            <w:pPr>
              <w:spacing w:before="197" w:beforeLines="50"/>
              <w:jc w:val="center"/>
              <w:rPr>
                <w:rFonts w:ascii="宋体" w:hAnsi="宋体" w:eastAsia="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vAlign w:val="center"/>
          </w:tcPr>
          <w:p w14:paraId="27893BFD">
            <w:pPr>
              <w:jc w:val="center"/>
              <w:rPr>
                <w:rFonts w:ascii="宋体" w:hAnsi="宋体" w:eastAsia="宋体" w:cs="宋体"/>
                <w:highlight w:val="none"/>
              </w:rPr>
            </w:pPr>
            <w:r>
              <w:rPr>
                <w:rFonts w:hint="eastAsia" w:ascii="宋体" w:hAnsi="宋体" w:eastAsia="宋体" w:cs="宋体"/>
                <w:sz w:val="22"/>
                <w:highlight w:val="none"/>
              </w:rPr>
              <w:t>……</w:t>
            </w:r>
          </w:p>
        </w:tc>
        <w:tc>
          <w:tcPr>
            <w:tcW w:w="1191" w:type="dxa"/>
            <w:tcBorders>
              <w:top w:val="single" w:color="auto" w:sz="4" w:space="0"/>
              <w:left w:val="single" w:color="auto" w:sz="6" w:space="0"/>
              <w:bottom w:val="single" w:color="auto" w:sz="6" w:space="0"/>
              <w:right w:val="single" w:color="auto" w:sz="6" w:space="0"/>
            </w:tcBorders>
            <w:vAlign w:val="center"/>
          </w:tcPr>
          <w:p w14:paraId="6860147A">
            <w:pPr>
              <w:jc w:val="center"/>
              <w:rPr>
                <w:rFonts w:hint="eastAsia" w:ascii="宋体" w:hAnsi="宋体" w:eastAsia="宋体" w:cs="宋体"/>
                <w:sz w:val="22"/>
                <w:highlight w:val="none"/>
              </w:rPr>
            </w:pPr>
          </w:p>
        </w:tc>
        <w:tc>
          <w:tcPr>
            <w:tcW w:w="1380" w:type="dxa"/>
            <w:tcBorders>
              <w:top w:val="single" w:color="auto" w:sz="4" w:space="0"/>
              <w:left w:val="single" w:color="auto" w:sz="6" w:space="0"/>
              <w:bottom w:val="single" w:color="auto" w:sz="6" w:space="0"/>
              <w:right w:val="single" w:color="auto" w:sz="6" w:space="0"/>
            </w:tcBorders>
            <w:vAlign w:val="center"/>
          </w:tcPr>
          <w:p w14:paraId="6C8054F3">
            <w:pPr>
              <w:spacing w:before="197" w:beforeLines="50"/>
              <w:jc w:val="center"/>
              <w:rPr>
                <w:rFonts w:ascii="宋体" w:hAnsi="宋体" w:eastAsia="宋体" w:cs="宋体"/>
                <w:sz w:val="22"/>
                <w:highlight w:val="none"/>
              </w:rPr>
            </w:pPr>
          </w:p>
        </w:tc>
        <w:tc>
          <w:tcPr>
            <w:tcW w:w="1290" w:type="dxa"/>
            <w:tcBorders>
              <w:top w:val="single" w:color="auto" w:sz="4" w:space="0"/>
              <w:left w:val="single" w:color="auto" w:sz="6" w:space="0"/>
              <w:bottom w:val="single" w:color="auto" w:sz="6" w:space="0"/>
              <w:right w:val="single" w:color="auto" w:sz="6" w:space="0"/>
            </w:tcBorders>
            <w:vAlign w:val="center"/>
          </w:tcPr>
          <w:p w14:paraId="40717B18">
            <w:pPr>
              <w:spacing w:before="197" w:beforeLines="50"/>
              <w:jc w:val="center"/>
              <w:rPr>
                <w:rFonts w:ascii="宋体" w:hAnsi="宋体" w:eastAsia="宋体" w:cs="宋体"/>
                <w:sz w:val="22"/>
                <w:highlight w:val="none"/>
              </w:rPr>
            </w:pPr>
          </w:p>
        </w:tc>
        <w:tc>
          <w:tcPr>
            <w:tcW w:w="1114" w:type="dxa"/>
            <w:tcBorders>
              <w:top w:val="single" w:color="auto" w:sz="4" w:space="0"/>
              <w:left w:val="single" w:color="auto" w:sz="6" w:space="0"/>
              <w:bottom w:val="single" w:color="auto" w:sz="6" w:space="0"/>
              <w:right w:val="single" w:color="auto" w:sz="6" w:space="0"/>
            </w:tcBorders>
            <w:vAlign w:val="center"/>
          </w:tcPr>
          <w:p w14:paraId="5576A3E9">
            <w:pPr>
              <w:spacing w:before="197" w:beforeLines="50"/>
              <w:jc w:val="center"/>
              <w:rPr>
                <w:rFonts w:ascii="宋体" w:hAnsi="宋体" w:eastAsia="宋体" w:cs="宋体"/>
                <w:sz w:val="22"/>
                <w:highlight w:val="none"/>
              </w:rPr>
            </w:pPr>
          </w:p>
        </w:tc>
        <w:tc>
          <w:tcPr>
            <w:tcW w:w="986" w:type="dxa"/>
            <w:tcBorders>
              <w:top w:val="single" w:color="auto" w:sz="4" w:space="0"/>
              <w:left w:val="single" w:color="auto" w:sz="6" w:space="0"/>
              <w:bottom w:val="single" w:color="auto" w:sz="6" w:space="0"/>
              <w:right w:val="single" w:color="auto" w:sz="6" w:space="0"/>
            </w:tcBorders>
            <w:vAlign w:val="center"/>
          </w:tcPr>
          <w:p w14:paraId="44A8C218">
            <w:pPr>
              <w:spacing w:before="197" w:beforeLines="50"/>
              <w:jc w:val="center"/>
              <w:rPr>
                <w:rFonts w:ascii="宋体" w:hAnsi="宋体" w:eastAsia="宋体" w:cs="宋体"/>
                <w:sz w:val="22"/>
                <w:highlight w:val="none"/>
              </w:rPr>
            </w:pPr>
          </w:p>
        </w:tc>
      </w:tr>
      <w:tr w14:paraId="47A4EE00">
        <w:tblPrEx>
          <w:tblCellMar>
            <w:top w:w="0" w:type="dxa"/>
            <w:left w:w="28" w:type="dxa"/>
            <w:bottom w:w="0" w:type="dxa"/>
            <w:right w:w="28" w:type="dxa"/>
          </w:tblCellMar>
        </w:tblPrEx>
        <w:trPr>
          <w:trHeight w:val="894" w:hRule="atLeast"/>
          <w:jc w:val="center"/>
        </w:trPr>
        <w:tc>
          <w:tcPr>
            <w:tcW w:w="1416" w:type="dxa"/>
            <w:vMerge w:val="continue"/>
            <w:tcBorders>
              <w:left w:val="single" w:color="auto" w:sz="6" w:space="0"/>
              <w:bottom w:val="single" w:color="auto" w:sz="6" w:space="0"/>
              <w:right w:val="single" w:color="auto" w:sz="4" w:space="0"/>
            </w:tcBorders>
            <w:vAlign w:val="center"/>
          </w:tcPr>
          <w:p w14:paraId="5B41F745">
            <w:pPr>
              <w:spacing w:before="395" w:beforeLines="100"/>
              <w:jc w:val="center"/>
              <w:rPr>
                <w:rFonts w:ascii="宋体" w:hAnsi="宋体" w:eastAsia="宋体" w:cs="宋体"/>
                <w:sz w:val="22"/>
                <w:highlight w:val="none"/>
              </w:rPr>
            </w:pPr>
          </w:p>
        </w:tc>
        <w:tc>
          <w:tcPr>
            <w:tcW w:w="523" w:type="dxa"/>
            <w:tcBorders>
              <w:top w:val="single" w:color="auto" w:sz="4" w:space="0"/>
              <w:left w:val="single" w:color="auto" w:sz="4" w:space="0"/>
              <w:bottom w:val="single" w:color="auto" w:sz="6" w:space="0"/>
            </w:tcBorders>
            <w:vAlign w:val="center"/>
          </w:tcPr>
          <w:p w14:paraId="65A2DAAC">
            <w:pPr>
              <w:spacing w:before="395" w:beforeLines="100"/>
              <w:jc w:val="center"/>
              <w:rPr>
                <w:rFonts w:ascii="宋体" w:hAnsi="宋体" w:eastAsia="宋体" w:cs="宋体"/>
                <w:sz w:val="22"/>
                <w:highlight w:val="none"/>
              </w:rPr>
            </w:pPr>
          </w:p>
        </w:tc>
        <w:tc>
          <w:tcPr>
            <w:tcW w:w="1097" w:type="dxa"/>
            <w:tcBorders>
              <w:top w:val="single" w:color="auto" w:sz="4" w:space="0"/>
              <w:left w:val="single" w:color="auto" w:sz="6" w:space="0"/>
              <w:bottom w:val="single" w:color="auto" w:sz="6" w:space="0"/>
              <w:right w:val="single" w:color="auto" w:sz="6" w:space="0"/>
            </w:tcBorders>
            <w:vAlign w:val="center"/>
          </w:tcPr>
          <w:p w14:paraId="5A8A9FAA">
            <w:pPr>
              <w:spacing w:before="197" w:beforeLines="50"/>
              <w:jc w:val="center"/>
              <w:rPr>
                <w:rFonts w:ascii="宋体" w:hAnsi="宋体" w:eastAsia="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vAlign w:val="center"/>
          </w:tcPr>
          <w:p w14:paraId="20FE9845">
            <w:pPr>
              <w:jc w:val="center"/>
              <w:rPr>
                <w:rFonts w:ascii="宋体" w:hAnsi="宋体" w:eastAsia="宋体" w:cs="宋体"/>
                <w:sz w:val="22"/>
                <w:highlight w:val="none"/>
              </w:rPr>
            </w:pPr>
          </w:p>
        </w:tc>
        <w:tc>
          <w:tcPr>
            <w:tcW w:w="1191" w:type="dxa"/>
            <w:tcBorders>
              <w:top w:val="single" w:color="auto" w:sz="4" w:space="0"/>
              <w:left w:val="single" w:color="auto" w:sz="6" w:space="0"/>
              <w:bottom w:val="single" w:color="auto" w:sz="6" w:space="0"/>
              <w:right w:val="single" w:color="auto" w:sz="6" w:space="0"/>
            </w:tcBorders>
            <w:vAlign w:val="center"/>
          </w:tcPr>
          <w:p w14:paraId="2D0011FE">
            <w:pPr>
              <w:jc w:val="center"/>
              <w:rPr>
                <w:rFonts w:ascii="宋体" w:hAnsi="宋体" w:eastAsia="宋体" w:cs="宋体"/>
                <w:sz w:val="22"/>
                <w:highlight w:val="none"/>
              </w:rPr>
            </w:pPr>
          </w:p>
        </w:tc>
        <w:tc>
          <w:tcPr>
            <w:tcW w:w="1380" w:type="dxa"/>
            <w:tcBorders>
              <w:top w:val="single" w:color="auto" w:sz="4" w:space="0"/>
              <w:left w:val="single" w:color="auto" w:sz="6" w:space="0"/>
              <w:bottom w:val="single" w:color="auto" w:sz="6" w:space="0"/>
              <w:right w:val="single" w:color="auto" w:sz="6" w:space="0"/>
            </w:tcBorders>
            <w:vAlign w:val="center"/>
          </w:tcPr>
          <w:p w14:paraId="50794239">
            <w:pPr>
              <w:spacing w:before="197" w:beforeLines="50"/>
              <w:jc w:val="center"/>
              <w:rPr>
                <w:rFonts w:ascii="宋体" w:hAnsi="宋体" w:eastAsia="宋体" w:cs="宋体"/>
                <w:sz w:val="22"/>
                <w:highlight w:val="none"/>
              </w:rPr>
            </w:pPr>
          </w:p>
        </w:tc>
        <w:tc>
          <w:tcPr>
            <w:tcW w:w="1290" w:type="dxa"/>
            <w:tcBorders>
              <w:top w:val="single" w:color="auto" w:sz="4" w:space="0"/>
              <w:left w:val="single" w:color="auto" w:sz="6" w:space="0"/>
              <w:bottom w:val="single" w:color="auto" w:sz="6" w:space="0"/>
              <w:right w:val="single" w:color="auto" w:sz="6" w:space="0"/>
            </w:tcBorders>
            <w:vAlign w:val="center"/>
          </w:tcPr>
          <w:p w14:paraId="7EABD7B4">
            <w:pPr>
              <w:spacing w:before="197" w:beforeLines="50"/>
              <w:jc w:val="center"/>
              <w:rPr>
                <w:rFonts w:ascii="宋体" w:hAnsi="宋体" w:eastAsia="宋体" w:cs="宋体"/>
                <w:sz w:val="22"/>
                <w:highlight w:val="none"/>
              </w:rPr>
            </w:pPr>
          </w:p>
        </w:tc>
        <w:tc>
          <w:tcPr>
            <w:tcW w:w="1114" w:type="dxa"/>
            <w:tcBorders>
              <w:top w:val="single" w:color="auto" w:sz="4" w:space="0"/>
              <w:left w:val="single" w:color="auto" w:sz="6" w:space="0"/>
              <w:bottom w:val="single" w:color="auto" w:sz="6" w:space="0"/>
              <w:right w:val="single" w:color="auto" w:sz="6" w:space="0"/>
            </w:tcBorders>
            <w:vAlign w:val="center"/>
          </w:tcPr>
          <w:p w14:paraId="6DE638DD">
            <w:pPr>
              <w:spacing w:before="197" w:beforeLines="50"/>
              <w:jc w:val="center"/>
              <w:rPr>
                <w:rFonts w:ascii="宋体" w:hAnsi="宋体" w:eastAsia="宋体" w:cs="宋体"/>
                <w:sz w:val="22"/>
                <w:highlight w:val="none"/>
              </w:rPr>
            </w:pPr>
          </w:p>
        </w:tc>
        <w:tc>
          <w:tcPr>
            <w:tcW w:w="986" w:type="dxa"/>
            <w:tcBorders>
              <w:top w:val="single" w:color="auto" w:sz="4" w:space="0"/>
              <w:left w:val="single" w:color="auto" w:sz="6" w:space="0"/>
              <w:bottom w:val="single" w:color="auto" w:sz="6" w:space="0"/>
              <w:right w:val="single" w:color="auto" w:sz="6" w:space="0"/>
            </w:tcBorders>
            <w:vAlign w:val="center"/>
          </w:tcPr>
          <w:p w14:paraId="4244CD09">
            <w:pPr>
              <w:spacing w:before="197" w:beforeLines="50"/>
              <w:jc w:val="center"/>
              <w:rPr>
                <w:rFonts w:ascii="宋体" w:hAnsi="宋体" w:eastAsia="宋体" w:cs="宋体"/>
                <w:sz w:val="22"/>
                <w:highlight w:val="none"/>
              </w:rPr>
            </w:pPr>
          </w:p>
        </w:tc>
      </w:tr>
      <w:tr w14:paraId="29BEC163">
        <w:tblPrEx>
          <w:tblCellMar>
            <w:top w:w="0" w:type="dxa"/>
            <w:left w:w="28" w:type="dxa"/>
            <w:bottom w:w="0" w:type="dxa"/>
            <w:right w:w="28" w:type="dxa"/>
          </w:tblCellMar>
        </w:tblPrEx>
        <w:trPr>
          <w:trHeight w:val="565" w:hRule="atLeast"/>
          <w:jc w:val="center"/>
        </w:trPr>
        <w:tc>
          <w:tcPr>
            <w:tcW w:w="3036" w:type="dxa"/>
            <w:gridSpan w:val="3"/>
            <w:tcBorders>
              <w:top w:val="single" w:color="auto" w:sz="4" w:space="0"/>
              <w:left w:val="single" w:color="auto" w:sz="6" w:space="0"/>
              <w:bottom w:val="single" w:color="auto" w:sz="6" w:space="0"/>
              <w:right w:val="single" w:color="auto" w:sz="6" w:space="0"/>
            </w:tcBorders>
            <w:vAlign w:val="center"/>
          </w:tcPr>
          <w:p w14:paraId="150D1269">
            <w:pPr>
              <w:jc w:val="center"/>
              <w:rPr>
                <w:rFonts w:ascii="宋体" w:hAnsi="宋体" w:eastAsia="宋体" w:cs="宋体"/>
                <w:sz w:val="22"/>
                <w:highlight w:val="none"/>
              </w:rPr>
            </w:pPr>
            <w:r>
              <w:rPr>
                <w:rFonts w:hint="eastAsia" w:ascii="宋体" w:hAnsi="宋体" w:eastAsia="宋体" w:cs="宋体"/>
                <w:sz w:val="22"/>
                <w:highlight w:val="none"/>
              </w:rPr>
              <w:t>其他费用</w:t>
            </w:r>
          </w:p>
        </w:tc>
        <w:tc>
          <w:tcPr>
            <w:tcW w:w="7173" w:type="dxa"/>
            <w:gridSpan w:val="6"/>
            <w:tcBorders>
              <w:top w:val="single" w:color="auto" w:sz="4" w:space="0"/>
              <w:left w:val="single" w:color="auto" w:sz="6" w:space="0"/>
              <w:bottom w:val="single" w:color="auto" w:sz="6" w:space="0"/>
              <w:right w:val="single" w:color="auto" w:sz="6" w:space="0"/>
            </w:tcBorders>
            <w:vAlign w:val="center"/>
          </w:tcPr>
          <w:p w14:paraId="3F15CB7D">
            <w:pPr>
              <w:jc w:val="center"/>
              <w:rPr>
                <w:rFonts w:ascii="宋体" w:hAnsi="宋体" w:eastAsia="宋体" w:cs="宋体"/>
                <w:highlight w:val="none"/>
              </w:rPr>
            </w:pPr>
          </w:p>
        </w:tc>
      </w:tr>
      <w:tr w14:paraId="47945B26">
        <w:tblPrEx>
          <w:tblCellMar>
            <w:top w:w="0" w:type="dxa"/>
            <w:left w:w="28" w:type="dxa"/>
            <w:bottom w:w="0" w:type="dxa"/>
            <w:right w:w="28" w:type="dxa"/>
          </w:tblCellMar>
        </w:tblPrEx>
        <w:trPr>
          <w:trHeight w:val="565" w:hRule="atLeast"/>
          <w:jc w:val="center"/>
        </w:trPr>
        <w:tc>
          <w:tcPr>
            <w:tcW w:w="1939" w:type="dxa"/>
            <w:gridSpan w:val="2"/>
            <w:tcBorders>
              <w:top w:val="single" w:color="auto" w:sz="4" w:space="0"/>
              <w:left w:val="single" w:color="auto" w:sz="6" w:space="0"/>
              <w:bottom w:val="single" w:color="auto" w:sz="6" w:space="0"/>
            </w:tcBorders>
            <w:vAlign w:val="center"/>
          </w:tcPr>
          <w:p w14:paraId="1A7C8628">
            <w:pPr>
              <w:rPr>
                <w:rFonts w:ascii="宋体" w:hAnsi="宋体" w:eastAsia="宋体" w:cs="宋体"/>
                <w:sz w:val="22"/>
                <w:highlight w:val="none"/>
              </w:rPr>
            </w:pPr>
            <w:r>
              <w:rPr>
                <w:rFonts w:hint="eastAsia" w:ascii="宋体" w:hAnsi="宋体" w:eastAsia="宋体" w:cs="宋体"/>
                <w:sz w:val="22"/>
                <w:highlight w:val="none"/>
              </w:rPr>
              <w:t>投标总报价</w:t>
            </w:r>
          </w:p>
        </w:tc>
        <w:tc>
          <w:tcPr>
            <w:tcW w:w="1097" w:type="dxa"/>
            <w:tcBorders>
              <w:top w:val="single" w:color="auto" w:sz="4" w:space="0"/>
              <w:left w:val="single" w:color="auto" w:sz="6" w:space="0"/>
              <w:bottom w:val="single" w:color="auto" w:sz="6" w:space="0"/>
              <w:right w:val="single" w:color="auto" w:sz="6" w:space="0"/>
            </w:tcBorders>
            <w:vAlign w:val="center"/>
          </w:tcPr>
          <w:p w14:paraId="51AE2BF4">
            <w:pPr>
              <w:spacing w:before="197" w:beforeLines="50"/>
              <w:rPr>
                <w:rFonts w:ascii="宋体" w:hAnsi="宋体" w:eastAsia="宋体" w:cs="宋体"/>
                <w:sz w:val="22"/>
                <w:highlight w:val="none"/>
              </w:rPr>
            </w:pPr>
            <w:r>
              <w:rPr>
                <w:rFonts w:hint="eastAsia" w:ascii="宋体" w:hAnsi="宋体" w:eastAsia="宋体" w:cs="宋体"/>
                <w:sz w:val="22"/>
                <w:highlight w:val="none"/>
              </w:rPr>
              <w:t>大写：                       小写：元</w:t>
            </w:r>
          </w:p>
        </w:tc>
        <w:tc>
          <w:tcPr>
            <w:tcW w:w="7173" w:type="dxa"/>
            <w:gridSpan w:val="6"/>
            <w:tcBorders>
              <w:top w:val="single" w:color="auto" w:sz="4" w:space="0"/>
              <w:left w:val="single" w:color="auto" w:sz="6" w:space="0"/>
              <w:bottom w:val="single" w:color="auto" w:sz="6" w:space="0"/>
              <w:right w:val="single" w:color="auto" w:sz="6" w:space="0"/>
            </w:tcBorders>
            <w:vAlign w:val="center"/>
          </w:tcPr>
          <w:p w14:paraId="75B1C6C1">
            <w:pPr>
              <w:spacing w:before="197" w:beforeLines="50"/>
              <w:rPr>
                <w:rFonts w:ascii="宋体" w:hAnsi="宋体" w:eastAsia="宋体" w:cs="宋体"/>
                <w:highlight w:val="none"/>
              </w:rPr>
            </w:pPr>
          </w:p>
        </w:tc>
      </w:tr>
      <w:tr w14:paraId="0DB5B395">
        <w:tblPrEx>
          <w:tblCellMar>
            <w:top w:w="0" w:type="dxa"/>
            <w:left w:w="28" w:type="dxa"/>
            <w:bottom w:w="0" w:type="dxa"/>
            <w:right w:w="28" w:type="dxa"/>
          </w:tblCellMar>
        </w:tblPrEx>
        <w:trPr>
          <w:trHeight w:val="647" w:hRule="atLeast"/>
          <w:jc w:val="center"/>
        </w:trPr>
        <w:tc>
          <w:tcPr>
            <w:tcW w:w="1939" w:type="dxa"/>
            <w:gridSpan w:val="2"/>
            <w:tcBorders>
              <w:top w:val="single" w:color="auto" w:sz="4" w:space="0"/>
              <w:left w:val="single" w:color="auto" w:sz="6" w:space="0"/>
              <w:bottom w:val="single" w:color="auto" w:sz="6" w:space="0"/>
            </w:tcBorders>
            <w:vAlign w:val="center"/>
          </w:tcPr>
          <w:p w14:paraId="09A94129">
            <w:pPr>
              <w:jc w:val="center"/>
              <w:rPr>
                <w:rFonts w:ascii="宋体" w:hAnsi="宋体" w:eastAsia="宋体" w:cs="宋体"/>
                <w:sz w:val="22"/>
                <w:highlight w:val="none"/>
              </w:rPr>
            </w:pPr>
            <w:r>
              <w:rPr>
                <w:rFonts w:hint="eastAsia" w:ascii="宋体" w:hAnsi="宋体" w:eastAsia="宋体" w:cs="宋体"/>
                <w:sz w:val="22"/>
                <w:highlight w:val="none"/>
              </w:rPr>
              <w:t>备注</w:t>
            </w:r>
          </w:p>
        </w:tc>
        <w:tc>
          <w:tcPr>
            <w:tcW w:w="8270" w:type="dxa"/>
            <w:gridSpan w:val="7"/>
            <w:tcBorders>
              <w:top w:val="single" w:color="auto" w:sz="4" w:space="0"/>
              <w:left w:val="single" w:color="auto" w:sz="6" w:space="0"/>
              <w:bottom w:val="single" w:color="auto" w:sz="6" w:space="0"/>
              <w:right w:val="single" w:color="auto" w:sz="6" w:space="0"/>
            </w:tcBorders>
            <w:vAlign w:val="center"/>
          </w:tcPr>
          <w:p w14:paraId="0BEF02BD">
            <w:pPr>
              <w:spacing w:before="197" w:beforeLines="50"/>
              <w:jc w:val="both"/>
              <w:rPr>
                <w:rFonts w:hint="eastAsia" w:ascii="宋体" w:hAnsi="宋体" w:eastAsia="宋体" w:cs="宋体"/>
                <w:spacing w:val="-6"/>
                <w:sz w:val="22"/>
                <w:highlight w:val="none"/>
              </w:rPr>
            </w:pPr>
            <w:r>
              <w:rPr>
                <w:rFonts w:hint="eastAsia" w:ascii="宋体" w:hAnsi="宋体" w:eastAsia="宋体" w:cs="宋体"/>
                <w:b/>
                <w:bCs/>
                <w:spacing w:val="-6"/>
                <w:sz w:val="22"/>
                <w:highlight w:val="none"/>
                <w:lang w:val="en-US" w:eastAsia="zh-CN"/>
              </w:rPr>
              <w:t>1、各投标人按采购清单品项逐项报价</w:t>
            </w:r>
            <w:r>
              <w:rPr>
                <w:rFonts w:hint="eastAsia" w:ascii="宋体" w:hAnsi="宋体" w:eastAsia="宋体" w:cs="宋体"/>
                <w:spacing w:val="-6"/>
                <w:sz w:val="22"/>
                <w:highlight w:val="none"/>
                <w:lang w:val="en-US" w:eastAsia="zh-CN"/>
              </w:rPr>
              <w:t>；2、</w:t>
            </w:r>
            <w:r>
              <w:rPr>
                <w:rFonts w:hint="eastAsia" w:ascii="宋体" w:hAnsi="宋体" w:eastAsia="宋体" w:cs="宋体"/>
                <w:spacing w:val="-6"/>
                <w:sz w:val="22"/>
                <w:highlight w:val="none"/>
              </w:rPr>
              <w:t>保留小数点后两位。</w:t>
            </w:r>
          </w:p>
        </w:tc>
      </w:tr>
    </w:tbl>
    <w:p w14:paraId="08641EDA">
      <w:pPr>
        <w:adjustRightInd w:val="0"/>
        <w:snapToGrid w:val="0"/>
        <w:spacing w:line="480" w:lineRule="auto"/>
        <w:rPr>
          <w:rFonts w:ascii="宋体" w:hAnsi="宋体" w:eastAsia="宋体" w:cs="宋体"/>
          <w:highlight w:val="none"/>
        </w:rPr>
      </w:pPr>
      <w:r>
        <w:rPr>
          <w:rFonts w:hint="eastAsia" w:ascii="宋体" w:hAnsi="宋体" w:eastAsia="宋体" w:cs="宋体"/>
          <w:highlight w:val="none"/>
        </w:rPr>
        <w:t>供应商（单位名称及公章）：</w:t>
      </w:r>
    </w:p>
    <w:p w14:paraId="75C3A792">
      <w:pPr>
        <w:adjustRightInd w:val="0"/>
        <w:snapToGrid w:val="0"/>
        <w:spacing w:line="480" w:lineRule="auto"/>
        <w:rPr>
          <w:rFonts w:ascii="宋体" w:hAnsi="宋体" w:eastAsia="宋体" w:cs="宋体"/>
          <w:highlight w:val="none"/>
        </w:rPr>
      </w:pPr>
      <w:r>
        <w:rPr>
          <w:rFonts w:hint="eastAsia" w:ascii="宋体" w:hAnsi="宋体" w:eastAsia="宋体" w:cs="宋体"/>
          <w:highlight w:val="none"/>
        </w:rPr>
        <w:t>法定代表人（负责人）或被授权人（签字或盖章）：</w:t>
      </w:r>
    </w:p>
    <w:p w14:paraId="6FACFA89">
      <w:pPr>
        <w:adjustRightInd w:val="0"/>
        <w:snapToGrid w:val="0"/>
        <w:spacing w:line="480" w:lineRule="auto"/>
        <w:rPr>
          <w:rFonts w:ascii="宋体" w:hAnsi="宋体" w:eastAsia="宋体" w:cs="宋体"/>
          <w:sz w:val="36"/>
          <w:szCs w:val="36"/>
          <w:highlight w:val="none"/>
        </w:rPr>
        <w:sectPr>
          <w:headerReference r:id="rId6" w:type="first"/>
          <w:footerReference r:id="rId8" w:type="first"/>
          <w:headerReference r:id="rId5" w:type="default"/>
          <w:footerReference r:id="rId7" w:type="default"/>
          <w:pgSz w:w="11906" w:h="16838"/>
          <w:pgMar w:top="1440" w:right="1803" w:bottom="1440" w:left="1803" w:header="850" w:footer="992" w:gutter="0"/>
          <w:cols w:space="0" w:num="1"/>
          <w:titlePg/>
          <w:docGrid w:type="linesAndChars" w:linePitch="395" w:charSpace="1724"/>
        </w:sectPr>
      </w:pPr>
      <w:r>
        <w:rPr>
          <w:rFonts w:hint="eastAsia" w:ascii="宋体" w:hAnsi="宋体" w:eastAsia="宋体" w:cs="宋体"/>
          <w:highlight w:val="none"/>
        </w:rPr>
        <w:t>日期：年  月  日</w:t>
      </w:r>
    </w:p>
    <w:p w14:paraId="59D2F68E">
      <w:pPr>
        <w:pStyle w:val="4"/>
        <w:ind w:firstLine="497"/>
        <w:jc w:val="center"/>
        <w:rPr>
          <w:rFonts w:ascii="宋体" w:hAnsi="宋体" w:cs="宋体"/>
          <w:sz w:val="24"/>
          <w:szCs w:val="24"/>
          <w:highlight w:val="none"/>
        </w:rPr>
      </w:pPr>
      <w:bookmarkStart w:id="190" w:name="_Toc5599"/>
      <w:bookmarkStart w:id="191" w:name="_Toc15795"/>
      <w:bookmarkStart w:id="192" w:name="_Toc9349"/>
      <w:r>
        <w:rPr>
          <w:rFonts w:hint="eastAsia" w:ascii="宋体" w:hAnsi="宋体" w:cs="宋体"/>
          <w:sz w:val="24"/>
          <w:szCs w:val="24"/>
          <w:highlight w:val="none"/>
        </w:rPr>
        <w:t>第三部分  资格证明文件</w:t>
      </w:r>
      <w:bookmarkEnd w:id="190"/>
      <w:bookmarkEnd w:id="191"/>
      <w:bookmarkEnd w:id="192"/>
    </w:p>
    <w:p w14:paraId="31B90A7E">
      <w:pPr>
        <w:spacing w:line="560" w:lineRule="exact"/>
        <w:ind w:firstLine="496" w:firstLineChars="200"/>
        <w:jc w:val="both"/>
        <w:rPr>
          <w:rFonts w:ascii="宋体" w:hAnsi="宋体" w:eastAsia="宋体" w:cs="宋体"/>
          <w:highlight w:val="none"/>
        </w:rPr>
      </w:pPr>
      <w:r>
        <w:rPr>
          <w:rFonts w:hint="eastAsia" w:ascii="宋体" w:hAnsi="宋体" w:eastAsia="宋体" w:cs="宋体"/>
          <w:highlight w:val="none"/>
        </w:rPr>
        <w:t>按照招标文件第一章《投标邀请函》所列“供应商资格要求”提供各项资格证明文件，未按要求提供的，其投标文件将被视为无效文件。</w:t>
      </w:r>
    </w:p>
    <w:p w14:paraId="60A11952">
      <w:pPr>
        <w:pStyle w:val="100"/>
        <w:ind w:firstLine="499"/>
        <w:rPr>
          <w:rFonts w:ascii="宋体" w:hAnsi="宋体" w:cs="宋体"/>
          <w:b/>
          <w:bCs/>
          <w:color w:val="auto"/>
          <w:highlight w:val="none"/>
        </w:rPr>
      </w:pPr>
      <w:r>
        <w:rPr>
          <w:rFonts w:hint="eastAsia" w:ascii="宋体" w:hAnsi="宋体" w:cs="宋体"/>
          <w:b/>
          <w:bCs/>
          <w:color w:val="auto"/>
          <w:highlight w:val="none"/>
        </w:rPr>
        <w:t>（一）有效的登记注册证</w:t>
      </w:r>
    </w:p>
    <w:p w14:paraId="4DC4066A">
      <w:pPr>
        <w:pStyle w:val="100"/>
        <w:ind w:firstLine="499"/>
        <w:rPr>
          <w:rFonts w:ascii="宋体" w:hAnsi="宋体" w:cs="宋体"/>
          <w:b/>
          <w:bCs/>
          <w:color w:val="auto"/>
          <w:highlight w:val="none"/>
        </w:rPr>
      </w:pPr>
      <w:r>
        <w:rPr>
          <w:rFonts w:hint="eastAsia" w:ascii="宋体" w:hAnsi="宋体" w:cs="宋体"/>
          <w:b/>
          <w:bCs/>
          <w:color w:val="auto"/>
          <w:highlight w:val="none"/>
        </w:rPr>
        <w:t>（二）社会保障资金缴纳证明</w:t>
      </w:r>
    </w:p>
    <w:p w14:paraId="53E5D36E">
      <w:pPr>
        <w:pStyle w:val="100"/>
        <w:ind w:firstLine="499"/>
        <w:rPr>
          <w:rFonts w:ascii="宋体" w:hAnsi="宋体" w:cs="宋体"/>
          <w:b/>
          <w:bCs/>
          <w:color w:val="auto"/>
          <w:highlight w:val="none"/>
        </w:rPr>
      </w:pPr>
      <w:r>
        <w:rPr>
          <w:rFonts w:hint="eastAsia" w:ascii="宋体" w:hAnsi="宋体" w:cs="宋体"/>
          <w:b/>
          <w:bCs/>
          <w:color w:val="auto"/>
          <w:highlight w:val="none"/>
        </w:rPr>
        <w:t>（三）税收缴纳证明</w:t>
      </w:r>
    </w:p>
    <w:p w14:paraId="4DA957C1">
      <w:pPr>
        <w:pStyle w:val="100"/>
        <w:ind w:firstLine="499"/>
        <w:rPr>
          <w:rFonts w:ascii="宋体" w:hAnsi="宋体" w:cs="宋体"/>
          <w:b/>
          <w:bCs/>
          <w:color w:val="auto"/>
          <w:highlight w:val="none"/>
        </w:rPr>
      </w:pPr>
      <w:r>
        <w:rPr>
          <w:rFonts w:hint="eastAsia" w:ascii="宋体" w:hAnsi="宋体" w:cs="宋体"/>
          <w:b/>
          <w:bCs/>
          <w:color w:val="auto"/>
          <w:highlight w:val="none"/>
        </w:rPr>
        <w:t>（四）财务状况证明</w:t>
      </w:r>
    </w:p>
    <w:p w14:paraId="1ACA0A18">
      <w:pPr>
        <w:rPr>
          <w:rFonts w:ascii="宋体" w:hAnsi="宋体" w:eastAsia="宋体" w:cs="宋体"/>
          <w:highlight w:val="none"/>
        </w:rPr>
      </w:pPr>
      <w:r>
        <w:rPr>
          <w:rFonts w:hint="eastAsia" w:ascii="宋体" w:hAnsi="宋体" w:eastAsia="宋体" w:cs="宋体"/>
          <w:highlight w:val="none"/>
        </w:rPr>
        <w:br w:type="page"/>
      </w:r>
    </w:p>
    <w:p w14:paraId="0CF85FAB">
      <w:pPr>
        <w:pStyle w:val="100"/>
        <w:ind w:firstLine="499"/>
        <w:rPr>
          <w:rFonts w:ascii="宋体" w:hAnsi="宋体" w:cs="宋体"/>
          <w:b/>
          <w:bCs/>
          <w:color w:val="auto"/>
          <w:highlight w:val="none"/>
        </w:rPr>
      </w:pPr>
      <w:r>
        <w:rPr>
          <w:rFonts w:hint="eastAsia" w:ascii="宋体" w:hAnsi="宋体" w:cs="宋体"/>
          <w:b/>
          <w:bCs/>
          <w:color w:val="auto"/>
          <w:highlight w:val="none"/>
        </w:rPr>
        <w:t>（五）无重大违法记录声明（按下方给定格式进行填写）</w:t>
      </w:r>
    </w:p>
    <w:p w14:paraId="201EB88D">
      <w:pPr>
        <w:jc w:val="center"/>
        <w:rPr>
          <w:rFonts w:ascii="宋体" w:hAnsi="宋体" w:eastAsia="宋体" w:cs="宋体"/>
          <w:highlight w:val="none"/>
        </w:rPr>
      </w:pPr>
      <w:r>
        <w:rPr>
          <w:rFonts w:hint="eastAsia" w:ascii="宋体" w:hAnsi="宋体" w:eastAsia="宋体" w:cs="宋体"/>
          <w:highlight w:val="none"/>
        </w:rPr>
        <w:t>无重大违法记录声明</w:t>
      </w:r>
    </w:p>
    <w:p w14:paraId="18461EEB">
      <w:pPr>
        <w:snapToGrid w:val="0"/>
        <w:spacing w:line="480" w:lineRule="auto"/>
        <w:ind w:firstLine="496" w:firstLineChars="200"/>
        <w:rPr>
          <w:rFonts w:ascii="宋体" w:hAnsi="宋体" w:eastAsia="宋体" w:cs="宋体"/>
          <w:highlight w:val="none"/>
        </w:rPr>
      </w:pPr>
    </w:p>
    <w:p w14:paraId="30E9B6C6">
      <w:pPr>
        <w:snapToGrid w:val="0"/>
        <w:spacing w:line="480" w:lineRule="auto"/>
        <w:ind w:firstLine="496" w:firstLineChars="200"/>
        <w:rPr>
          <w:rFonts w:ascii="宋体" w:hAnsi="宋体" w:eastAsia="宋体" w:cs="宋体"/>
          <w:highlight w:val="none"/>
        </w:rPr>
      </w:pPr>
      <w:r>
        <w:rPr>
          <w:rFonts w:hint="eastAsia" w:ascii="宋体" w:hAnsi="宋体" w:eastAsia="宋体" w:cs="宋体"/>
          <w:highlight w:val="none"/>
        </w:rPr>
        <w:t>我单位参与</w:t>
      </w:r>
      <w:r>
        <w:rPr>
          <w:rFonts w:hint="eastAsia" w:ascii="宋体" w:hAnsi="宋体" w:eastAsia="宋体" w:cs="宋体"/>
          <w:highlight w:val="none"/>
          <w:u w:val="single"/>
        </w:rPr>
        <w:t xml:space="preserve">陕西万泽招标有限公司 </w:t>
      </w:r>
      <w:r>
        <w:rPr>
          <w:rFonts w:hint="eastAsia" w:ascii="宋体" w:hAnsi="宋体" w:eastAsia="宋体" w:cs="宋体"/>
          <w:highlight w:val="none"/>
        </w:rPr>
        <w:t>组织的</w:t>
      </w:r>
      <w:r>
        <w:rPr>
          <w:rFonts w:hint="eastAsia" w:ascii="宋体" w:hAnsi="宋体" w:eastAsia="宋体" w:cs="宋体"/>
          <w:highlight w:val="none"/>
          <w:u w:val="single"/>
        </w:rPr>
        <w:t xml:space="preserve">             （项目名称）              </w:t>
      </w:r>
      <w:r>
        <w:rPr>
          <w:rFonts w:hint="eastAsia" w:ascii="宋体" w:hAnsi="宋体" w:eastAsia="宋体" w:cs="宋体"/>
          <w:highlight w:val="none"/>
        </w:rPr>
        <w:t>公开招标，我单位郑重声明：我方参加本项目采购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14:paraId="78EB11EC">
      <w:pPr>
        <w:snapToGrid w:val="0"/>
        <w:spacing w:line="480" w:lineRule="auto"/>
        <w:ind w:firstLine="496" w:firstLineChars="200"/>
        <w:rPr>
          <w:rFonts w:ascii="宋体" w:hAnsi="宋体" w:eastAsia="宋体" w:cs="宋体"/>
          <w:highlight w:val="none"/>
        </w:rPr>
      </w:pPr>
      <w:r>
        <w:rPr>
          <w:rFonts w:hint="eastAsia" w:ascii="宋体" w:hAnsi="宋体" w:eastAsia="宋体" w:cs="宋体"/>
          <w:highlight w:val="none"/>
        </w:rPr>
        <w:t>特此声明。</w:t>
      </w:r>
    </w:p>
    <w:p w14:paraId="17E44900">
      <w:pPr>
        <w:snapToGrid w:val="0"/>
        <w:spacing w:line="360" w:lineRule="auto"/>
        <w:rPr>
          <w:rFonts w:ascii="宋体" w:hAnsi="宋体" w:eastAsia="宋体" w:cs="宋体"/>
          <w:highlight w:val="none"/>
        </w:rPr>
      </w:pPr>
    </w:p>
    <w:p w14:paraId="4A7F6C3A">
      <w:pPr>
        <w:snapToGrid w:val="0"/>
        <w:spacing w:line="360" w:lineRule="auto"/>
        <w:rPr>
          <w:rFonts w:ascii="宋体" w:hAnsi="宋体" w:eastAsia="宋体" w:cs="宋体"/>
          <w:highlight w:val="none"/>
        </w:rPr>
      </w:pPr>
      <w:r>
        <w:rPr>
          <w:rFonts w:hint="eastAsia" w:ascii="宋体" w:hAnsi="宋体" w:eastAsia="宋体" w:cs="宋体"/>
          <w:highlight w:val="none"/>
        </w:rPr>
        <w:t>供应商（单位名称及公章）：</w:t>
      </w:r>
    </w:p>
    <w:p w14:paraId="7392D6A4">
      <w:pPr>
        <w:pStyle w:val="19"/>
        <w:spacing w:line="360" w:lineRule="auto"/>
        <w:rPr>
          <w:rFonts w:hAnsi="宋体" w:eastAsia="宋体" w:cs="宋体"/>
          <w:sz w:val="24"/>
          <w:highlight w:val="none"/>
        </w:rPr>
      </w:pPr>
      <w:r>
        <w:rPr>
          <w:rFonts w:hint="eastAsia" w:hAnsi="宋体" w:eastAsia="宋体" w:cs="宋体"/>
          <w:sz w:val="24"/>
          <w:highlight w:val="none"/>
        </w:rPr>
        <w:t>法定代表人（负责人）或被授权人（签字或盖章）：</w:t>
      </w:r>
    </w:p>
    <w:p w14:paraId="19E1ACCD">
      <w:pPr>
        <w:spacing w:line="360" w:lineRule="auto"/>
        <w:jc w:val="both"/>
        <w:rPr>
          <w:rFonts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br w:type="page"/>
      </w:r>
    </w:p>
    <w:p w14:paraId="53717267">
      <w:pPr>
        <w:pStyle w:val="100"/>
        <w:ind w:firstLine="499"/>
        <w:rPr>
          <w:rFonts w:ascii="宋体" w:hAnsi="宋体" w:cs="宋体"/>
          <w:b/>
          <w:bCs/>
          <w:color w:val="auto"/>
          <w:sz w:val="28"/>
          <w:szCs w:val="28"/>
          <w:highlight w:val="none"/>
        </w:rPr>
      </w:pPr>
      <w:r>
        <w:rPr>
          <w:rFonts w:hint="eastAsia" w:ascii="宋体" w:hAnsi="宋体" w:cs="宋体"/>
          <w:b/>
          <w:bCs/>
          <w:color w:val="auto"/>
          <w:highlight w:val="none"/>
        </w:rPr>
        <w:t>（六）法定代表人（负责人）委托授权书或身份证明（按下方给定格式进行填写）</w:t>
      </w:r>
    </w:p>
    <w:p w14:paraId="5A956DAE">
      <w:pPr>
        <w:jc w:val="center"/>
        <w:rPr>
          <w:rFonts w:ascii="宋体" w:hAnsi="宋体" w:eastAsia="宋体" w:cs="宋体"/>
          <w:b/>
          <w:bCs/>
          <w:highlight w:val="none"/>
        </w:rPr>
      </w:pPr>
      <w:r>
        <w:rPr>
          <w:rFonts w:hint="eastAsia" w:ascii="宋体" w:hAnsi="宋体" w:eastAsia="宋体" w:cs="宋体"/>
          <w:b/>
          <w:bCs/>
          <w:highlight w:val="none"/>
        </w:rPr>
        <w:t>法定代表人（负责人）证明书（格式）</w:t>
      </w: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283"/>
        <w:gridCol w:w="1899"/>
        <w:gridCol w:w="178"/>
        <w:gridCol w:w="2089"/>
        <w:gridCol w:w="2096"/>
      </w:tblGrid>
      <w:tr w14:paraId="234F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20" w:type="dxa"/>
            <w:gridSpan w:val="6"/>
            <w:vAlign w:val="center"/>
          </w:tcPr>
          <w:p w14:paraId="35CA074E">
            <w:pPr>
              <w:rPr>
                <w:rFonts w:ascii="宋体" w:hAnsi="宋体" w:eastAsia="宋体" w:cs="宋体"/>
                <w:highlight w:val="none"/>
              </w:rPr>
            </w:pPr>
            <w:r>
              <w:rPr>
                <w:rFonts w:hint="eastAsia" w:ascii="宋体" w:hAnsi="宋体" w:eastAsia="宋体" w:cs="宋体"/>
                <w:highlight w:val="none"/>
              </w:rPr>
              <w:t>致：陕西万泽招标有限公司</w:t>
            </w:r>
          </w:p>
        </w:tc>
      </w:tr>
      <w:tr w14:paraId="5E9F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14:paraId="21FBD5D3">
            <w:pPr>
              <w:rPr>
                <w:rFonts w:ascii="宋体" w:hAnsi="宋体" w:eastAsia="宋体" w:cs="宋体"/>
                <w:highlight w:val="none"/>
              </w:rPr>
            </w:pPr>
            <w:r>
              <w:rPr>
                <w:rFonts w:hint="eastAsia" w:ascii="宋体" w:hAnsi="宋体" w:eastAsia="宋体" w:cs="宋体"/>
                <w:highlight w:val="none"/>
              </w:rPr>
              <w:t>企</w:t>
            </w:r>
          </w:p>
          <w:p w14:paraId="0551D2C5">
            <w:pPr>
              <w:rPr>
                <w:rFonts w:ascii="宋体" w:hAnsi="宋体" w:eastAsia="宋体" w:cs="宋体"/>
                <w:highlight w:val="none"/>
              </w:rPr>
            </w:pPr>
            <w:r>
              <w:rPr>
                <w:rFonts w:hint="eastAsia" w:ascii="宋体" w:hAnsi="宋体" w:eastAsia="宋体" w:cs="宋体"/>
                <w:highlight w:val="none"/>
              </w:rPr>
              <w:t>业</w:t>
            </w:r>
          </w:p>
          <w:p w14:paraId="16E6115A">
            <w:pPr>
              <w:rPr>
                <w:rFonts w:ascii="宋体" w:hAnsi="宋体" w:eastAsia="宋体" w:cs="宋体"/>
                <w:highlight w:val="none"/>
              </w:rPr>
            </w:pPr>
            <w:r>
              <w:rPr>
                <w:rFonts w:hint="eastAsia" w:ascii="宋体" w:hAnsi="宋体" w:eastAsia="宋体" w:cs="宋体"/>
                <w:highlight w:val="none"/>
              </w:rPr>
              <w:t>法</w:t>
            </w:r>
          </w:p>
          <w:p w14:paraId="614AFA5E">
            <w:pPr>
              <w:rPr>
                <w:rFonts w:hint="eastAsia" w:ascii="宋体" w:hAnsi="宋体" w:eastAsia="宋体" w:cs="宋体"/>
                <w:highlight w:val="none"/>
                <w:lang w:eastAsia="zh-CN"/>
              </w:rPr>
            </w:pPr>
            <w:r>
              <w:rPr>
                <w:rFonts w:hint="eastAsia" w:ascii="宋体" w:hAnsi="宋体" w:eastAsia="宋体" w:cs="宋体"/>
                <w:highlight w:val="none"/>
              </w:rPr>
              <w:t>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负责人</w:t>
            </w:r>
            <w:r>
              <w:rPr>
                <w:rFonts w:hint="eastAsia" w:ascii="宋体" w:hAnsi="宋体" w:eastAsia="宋体" w:cs="宋体"/>
                <w:highlight w:val="none"/>
                <w:lang w:eastAsia="zh-CN"/>
              </w:rPr>
              <w:t>）</w:t>
            </w:r>
          </w:p>
        </w:tc>
        <w:tc>
          <w:tcPr>
            <w:tcW w:w="2283" w:type="dxa"/>
            <w:vAlign w:val="center"/>
          </w:tcPr>
          <w:p w14:paraId="3A709FF8">
            <w:pPr>
              <w:rPr>
                <w:rFonts w:ascii="宋体" w:hAnsi="宋体" w:eastAsia="宋体" w:cs="宋体"/>
                <w:highlight w:val="none"/>
              </w:rPr>
            </w:pPr>
            <w:r>
              <w:rPr>
                <w:rFonts w:hint="eastAsia" w:ascii="宋体" w:hAnsi="宋体" w:eastAsia="宋体" w:cs="宋体"/>
                <w:highlight w:val="none"/>
              </w:rPr>
              <w:t>企业名称</w:t>
            </w:r>
          </w:p>
        </w:tc>
        <w:tc>
          <w:tcPr>
            <w:tcW w:w="6262" w:type="dxa"/>
            <w:gridSpan w:val="4"/>
            <w:vAlign w:val="center"/>
          </w:tcPr>
          <w:p w14:paraId="06DA917E">
            <w:pPr>
              <w:rPr>
                <w:rFonts w:ascii="宋体" w:hAnsi="宋体" w:eastAsia="宋体" w:cs="宋体"/>
                <w:highlight w:val="none"/>
              </w:rPr>
            </w:pPr>
          </w:p>
        </w:tc>
      </w:tr>
      <w:tr w14:paraId="59DD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14:paraId="5FEEF984">
            <w:pPr>
              <w:rPr>
                <w:rFonts w:ascii="宋体" w:hAnsi="宋体" w:eastAsia="宋体" w:cs="宋体"/>
                <w:highlight w:val="none"/>
              </w:rPr>
            </w:pPr>
          </w:p>
        </w:tc>
        <w:tc>
          <w:tcPr>
            <w:tcW w:w="2283" w:type="dxa"/>
            <w:vAlign w:val="center"/>
          </w:tcPr>
          <w:p w14:paraId="3FDF48A4">
            <w:pPr>
              <w:rPr>
                <w:rFonts w:ascii="宋体" w:hAnsi="宋体" w:eastAsia="宋体" w:cs="宋体"/>
                <w:highlight w:val="none"/>
              </w:rPr>
            </w:pPr>
            <w:r>
              <w:rPr>
                <w:rFonts w:hint="eastAsia" w:ascii="宋体" w:hAnsi="宋体" w:eastAsia="宋体" w:cs="宋体"/>
                <w:highlight w:val="none"/>
              </w:rPr>
              <w:t>法定地址</w:t>
            </w:r>
          </w:p>
        </w:tc>
        <w:tc>
          <w:tcPr>
            <w:tcW w:w="6262" w:type="dxa"/>
            <w:gridSpan w:val="4"/>
            <w:vAlign w:val="center"/>
          </w:tcPr>
          <w:p w14:paraId="1B39A7F1">
            <w:pPr>
              <w:rPr>
                <w:rFonts w:ascii="宋体" w:hAnsi="宋体" w:eastAsia="宋体" w:cs="宋体"/>
                <w:highlight w:val="none"/>
              </w:rPr>
            </w:pPr>
          </w:p>
        </w:tc>
      </w:tr>
      <w:tr w14:paraId="434F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14:paraId="3D86A5CF">
            <w:pPr>
              <w:rPr>
                <w:rFonts w:ascii="宋体" w:hAnsi="宋体" w:eastAsia="宋体" w:cs="宋体"/>
                <w:highlight w:val="none"/>
              </w:rPr>
            </w:pPr>
          </w:p>
        </w:tc>
        <w:tc>
          <w:tcPr>
            <w:tcW w:w="2283" w:type="dxa"/>
            <w:vAlign w:val="center"/>
          </w:tcPr>
          <w:p w14:paraId="0AABA86E">
            <w:pPr>
              <w:rPr>
                <w:rFonts w:ascii="宋体" w:hAnsi="宋体" w:eastAsia="宋体" w:cs="宋体"/>
                <w:highlight w:val="none"/>
              </w:rPr>
            </w:pPr>
            <w:r>
              <w:rPr>
                <w:rFonts w:hint="eastAsia" w:ascii="宋体" w:hAnsi="宋体" w:eastAsia="宋体" w:cs="宋体"/>
                <w:highlight w:val="none"/>
              </w:rPr>
              <w:t>邮政编码</w:t>
            </w:r>
          </w:p>
        </w:tc>
        <w:tc>
          <w:tcPr>
            <w:tcW w:w="6262" w:type="dxa"/>
            <w:gridSpan w:val="4"/>
            <w:vAlign w:val="center"/>
          </w:tcPr>
          <w:p w14:paraId="595F9F6D">
            <w:pPr>
              <w:rPr>
                <w:rFonts w:ascii="宋体" w:hAnsi="宋体" w:eastAsia="宋体" w:cs="宋体"/>
                <w:highlight w:val="none"/>
              </w:rPr>
            </w:pPr>
          </w:p>
        </w:tc>
      </w:tr>
      <w:tr w14:paraId="1449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14:paraId="0E112D70">
            <w:pPr>
              <w:rPr>
                <w:rFonts w:ascii="宋体" w:hAnsi="宋体" w:eastAsia="宋体" w:cs="宋体"/>
                <w:highlight w:val="none"/>
              </w:rPr>
            </w:pPr>
          </w:p>
        </w:tc>
        <w:tc>
          <w:tcPr>
            <w:tcW w:w="2283" w:type="dxa"/>
            <w:vAlign w:val="center"/>
          </w:tcPr>
          <w:p w14:paraId="6D021034">
            <w:pPr>
              <w:rPr>
                <w:rFonts w:ascii="宋体" w:hAnsi="宋体" w:eastAsia="宋体" w:cs="宋体"/>
                <w:highlight w:val="none"/>
              </w:rPr>
            </w:pPr>
            <w:r>
              <w:rPr>
                <w:rFonts w:hint="eastAsia" w:ascii="宋体" w:hAnsi="宋体" w:eastAsia="宋体" w:cs="宋体"/>
                <w:highlight w:val="none"/>
              </w:rPr>
              <w:t>工商登记机关</w:t>
            </w:r>
          </w:p>
        </w:tc>
        <w:tc>
          <w:tcPr>
            <w:tcW w:w="6262" w:type="dxa"/>
            <w:gridSpan w:val="4"/>
            <w:vAlign w:val="center"/>
          </w:tcPr>
          <w:p w14:paraId="4FC642CF">
            <w:pPr>
              <w:rPr>
                <w:rFonts w:ascii="宋体" w:hAnsi="宋体" w:eastAsia="宋体" w:cs="宋体"/>
                <w:highlight w:val="none"/>
              </w:rPr>
            </w:pPr>
          </w:p>
        </w:tc>
      </w:tr>
      <w:tr w14:paraId="0408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14:paraId="66D35E31">
            <w:pPr>
              <w:rPr>
                <w:rFonts w:ascii="宋体" w:hAnsi="宋体" w:eastAsia="宋体" w:cs="宋体"/>
                <w:highlight w:val="none"/>
              </w:rPr>
            </w:pPr>
          </w:p>
        </w:tc>
        <w:tc>
          <w:tcPr>
            <w:tcW w:w="2283" w:type="dxa"/>
            <w:vAlign w:val="center"/>
          </w:tcPr>
          <w:p w14:paraId="6C89697E">
            <w:pPr>
              <w:rPr>
                <w:rFonts w:ascii="宋体" w:hAnsi="宋体" w:eastAsia="宋体" w:cs="宋体"/>
                <w:highlight w:val="none"/>
              </w:rPr>
            </w:pPr>
            <w:r>
              <w:rPr>
                <w:rFonts w:hint="eastAsia" w:ascii="宋体" w:hAnsi="宋体" w:eastAsia="宋体" w:cs="宋体"/>
                <w:highlight w:val="none"/>
              </w:rPr>
              <w:t>统一社会信用代码</w:t>
            </w:r>
          </w:p>
        </w:tc>
        <w:tc>
          <w:tcPr>
            <w:tcW w:w="6262" w:type="dxa"/>
            <w:gridSpan w:val="4"/>
            <w:vAlign w:val="center"/>
          </w:tcPr>
          <w:p w14:paraId="227A7680">
            <w:pPr>
              <w:rPr>
                <w:rFonts w:ascii="宋体" w:hAnsi="宋体" w:eastAsia="宋体" w:cs="宋体"/>
                <w:highlight w:val="none"/>
              </w:rPr>
            </w:pPr>
          </w:p>
        </w:tc>
      </w:tr>
      <w:tr w14:paraId="120E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14:paraId="3665C0AB">
            <w:pPr>
              <w:rPr>
                <w:rFonts w:ascii="宋体" w:hAnsi="宋体" w:eastAsia="宋体" w:cs="宋体"/>
                <w:highlight w:val="none"/>
              </w:rPr>
            </w:pPr>
            <w:r>
              <w:rPr>
                <w:rFonts w:hint="eastAsia" w:ascii="宋体" w:hAnsi="宋体" w:eastAsia="宋体" w:cs="宋体"/>
                <w:highlight w:val="none"/>
              </w:rPr>
              <w:t>法</w:t>
            </w:r>
          </w:p>
          <w:p w14:paraId="03289305">
            <w:pPr>
              <w:rPr>
                <w:rFonts w:ascii="宋体" w:hAnsi="宋体" w:eastAsia="宋体" w:cs="宋体"/>
                <w:highlight w:val="none"/>
              </w:rPr>
            </w:pPr>
            <w:r>
              <w:rPr>
                <w:rFonts w:hint="eastAsia" w:ascii="宋体" w:hAnsi="宋体" w:eastAsia="宋体" w:cs="宋体"/>
                <w:highlight w:val="none"/>
              </w:rPr>
              <w:t>定</w:t>
            </w:r>
          </w:p>
          <w:p w14:paraId="3940F0C6">
            <w:pPr>
              <w:rPr>
                <w:rFonts w:ascii="宋体" w:hAnsi="宋体" w:eastAsia="宋体" w:cs="宋体"/>
                <w:highlight w:val="none"/>
              </w:rPr>
            </w:pPr>
            <w:r>
              <w:rPr>
                <w:rFonts w:hint="eastAsia" w:ascii="宋体" w:hAnsi="宋体" w:eastAsia="宋体" w:cs="宋体"/>
                <w:highlight w:val="none"/>
              </w:rPr>
              <w:t>代</w:t>
            </w:r>
          </w:p>
          <w:p w14:paraId="12E4B57E">
            <w:pPr>
              <w:rPr>
                <w:rFonts w:ascii="宋体" w:hAnsi="宋体" w:eastAsia="宋体" w:cs="宋体"/>
                <w:highlight w:val="none"/>
              </w:rPr>
            </w:pPr>
            <w:r>
              <w:rPr>
                <w:rFonts w:hint="eastAsia" w:ascii="宋体" w:hAnsi="宋体" w:eastAsia="宋体" w:cs="宋体"/>
                <w:highlight w:val="none"/>
              </w:rPr>
              <w:t>表</w:t>
            </w:r>
          </w:p>
          <w:p w14:paraId="0191A1E2">
            <w:pPr>
              <w:rPr>
                <w:rFonts w:ascii="宋体" w:hAnsi="宋体" w:eastAsia="宋体" w:cs="宋体"/>
                <w:highlight w:val="none"/>
              </w:rPr>
            </w:pPr>
            <w:r>
              <w:rPr>
                <w:rFonts w:hint="eastAsia" w:ascii="宋体" w:hAnsi="宋体" w:eastAsia="宋体" w:cs="宋体"/>
                <w:highlight w:val="none"/>
              </w:rPr>
              <w:t>人（负责人）</w:t>
            </w:r>
          </w:p>
        </w:tc>
        <w:tc>
          <w:tcPr>
            <w:tcW w:w="2283" w:type="dxa"/>
            <w:vAlign w:val="center"/>
          </w:tcPr>
          <w:p w14:paraId="4B18979A">
            <w:pPr>
              <w:rPr>
                <w:rFonts w:ascii="宋体" w:hAnsi="宋体" w:eastAsia="宋体" w:cs="宋体"/>
                <w:highlight w:val="none"/>
              </w:rPr>
            </w:pPr>
            <w:r>
              <w:rPr>
                <w:rFonts w:hint="eastAsia" w:ascii="宋体" w:hAnsi="宋体" w:eastAsia="宋体" w:cs="宋体"/>
                <w:highlight w:val="none"/>
              </w:rPr>
              <w:t>姓名</w:t>
            </w:r>
          </w:p>
        </w:tc>
        <w:tc>
          <w:tcPr>
            <w:tcW w:w="2077" w:type="dxa"/>
            <w:gridSpan w:val="2"/>
            <w:vAlign w:val="center"/>
          </w:tcPr>
          <w:p w14:paraId="1368B1D2">
            <w:pPr>
              <w:rPr>
                <w:rFonts w:ascii="宋体" w:hAnsi="宋体" w:eastAsia="宋体" w:cs="宋体"/>
                <w:highlight w:val="none"/>
              </w:rPr>
            </w:pPr>
          </w:p>
        </w:tc>
        <w:tc>
          <w:tcPr>
            <w:tcW w:w="2089" w:type="dxa"/>
            <w:vAlign w:val="center"/>
          </w:tcPr>
          <w:p w14:paraId="1B459964">
            <w:pPr>
              <w:rPr>
                <w:rFonts w:ascii="宋体" w:hAnsi="宋体" w:eastAsia="宋体" w:cs="宋体"/>
                <w:highlight w:val="none"/>
              </w:rPr>
            </w:pPr>
            <w:r>
              <w:rPr>
                <w:rFonts w:hint="eastAsia" w:ascii="宋体" w:hAnsi="宋体" w:eastAsia="宋体" w:cs="宋体"/>
                <w:highlight w:val="none"/>
              </w:rPr>
              <w:t>性别</w:t>
            </w:r>
          </w:p>
        </w:tc>
        <w:tc>
          <w:tcPr>
            <w:tcW w:w="2096" w:type="dxa"/>
            <w:vAlign w:val="center"/>
          </w:tcPr>
          <w:p w14:paraId="74FECFF0">
            <w:pPr>
              <w:rPr>
                <w:rFonts w:ascii="宋体" w:hAnsi="宋体" w:eastAsia="宋体" w:cs="宋体"/>
                <w:highlight w:val="none"/>
              </w:rPr>
            </w:pPr>
          </w:p>
        </w:tc>
      </w:tr>
      <w:tr w14:paraId="5DFC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14:paraId="7B65F655">
            <w:pPr>
              <w:rPr>
                <w:rFonts w:ascii="宋体" w:hAnsi="宋体" w:eastAsia="宋体" w:cs="宋体"/>
                <w:highlight w:val="none"/>
              </w:rPr>
            </w:pPr>
          </w:p>
        </w:tc>
        <w:tc>
          <w:tcPr>
            <w:tcW w:w="2283" w:type="dxa"/>
            <w:vAlign w:val="center"/>
          </w:tcPr>
          <w:p w14:paraId="1C26F0AC">
            <w:pPr>
              <w:rPr>
                <w:rFonts w:ascii="宋体" w:hAnsi="宋体" w:eastAsia="宋体" w:cs="宋体"/>
                <w:highlight w:val="none"/>
              </w:rPr>
            </w:pPr>
            <w:r>
              <w:rPr>
                <w:rFonts w:hint="eastAsia" w:ascii="宋体" w:hAnsi="宋体" w:eastAsia="宋体" w:cs="宋体"/>
                <w:highlight w:val="none"/>
              </w:rPr>
              <w:t>职务</w:t>
            </w:r>
          </w:p>
        </w:tc>
        <w:tc>
          <w:tcPr>
            <w:tcW w:w="2077" w:type="dxa"/>
            <w:gridSpan w:val="2"/>
            <w:vAlign w:val="center"/>
          </w:tcPr>
          <w:p w14:paraId="4D9FA5F6">
            <w:pPr>
              <w:rPr>
                <w:rFonts w:ascii="宋体" w:hAnsi="宋体" w:eastAsia="宋体" w:cs="宋体"/>
                <w:highlight w:val="none"/>
              </w:rPr>
            </w:pPr>
          </w:p>
        </w:tc>
        <w:tc>
          <w:tcPr>
            <w:tcW w:w="2089" w:type="dxa"/>
            <w:vAlign w:val="center"/>
          </w:tcPr>
          <w:p w14:paraId="7A79F7BA">
            <w:pPr>
              <w:rPr>
                <w:rFonts w:ascii="宋体" w:hAnsi="宋体" w:eastAsia="宋体" w:cs="宋体"/>
                <w:highlight w:val="none"/>
              </w:rPr>
            </w:pPr>
            <w:r>
              <w:rPr>
                <w:rFonts w:hint="eastAsia" w:ascii="宋体" w:hAnsi="宋体" w:eastAsia="宋体" w:cs="宋体"/>
                <w:highlight w:val="none"/>
              </w:rPr>
              <w:t>联系电话</w:t>
            </w:r>
          </w:p>
        </w:tc>
        <w:tc>
          <w:tcPr>
            <w:tcW w:w="2096" w:type="dxa"/>
            <w:vAlign w:val="center"/>
          </w:tcPr>
          <w:p w14:paraId="49D5FDA1">
            <w:pPr>
              <w:rPr>
                <w:rFonts w:ascii="宋体" w:hAnsi="宋体" w:eastAsia="宋体" w:cs="宋体"/>
                <w:highlight w:val="none"/>
              </w:rPr>
            </w:pPr>
          </w:p>
        </w:tc>
      </w:tr>
      <w:tr w14:paraId="65D6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75" w:type="dxa"/>
            <w:vMerge w:val="continue"/>
            <w:vAlign w:val="center"/>
          </w:tcPr>
          <w:p w14:paraId="11B5CB50">
            <w:pPr>
              <w:rPr>
                <w:rFonts w:ascii="宋体" w:hAnsi="宋体" w:eastAsia="宋体" w:cs="宋体"/>
                <w:highlight w:val="none"/>
              </w:rPr>
            </w:pPr>
          </w:p>
        </w:tc>
        <w:tc>
          <w:tcPr>
            <w:tcW w:w="2283" w:type="dxa"/>
            <w:vAlign w:val="center"/>
          </w:tcPr>
          <w:p w14:paraId="53CE80E5">
            <w:pPr>
              <w:rPr>
                <w:rFonts w:ascii="宋体" w:hAnsi="宋体" w:eastAsia="宋体" w:cs="宋体"/>
                <w:highlight w:val="none"/>
              </w:rPr>
            </w:pPr>
            <w:r>
              <w:rPr>
                <w:rFonts w:hint="eastAsia" w:ascii="宋体" w:hAnsi="宋体" w:eastAsia="宋体" w:cs="宋体"/>
                <w:highlight w:val="none"/>
              </w:rPr>
              <w:t>传真</w:t>
            </w:r>
          </w:p>
        </w:tc>
        <w:tc>
          <w:tcPr>
            <w:tcW w:w="6262" w:type="dxa"/>
            <w:gridSpan w:val="4"/>
            <w:vAlign w:val="center"/>
          </w:tcPr>
          <w:p w14:paraId="1D643C78">
            <w:pPr>
              <w:rPr>
                <w:rFonts w:ascii="宋体" w:hAnsi="宋体" w:eastAsia="宋体" w:cs="宋体"/>
                <w:highlight w:val="none"/>
              </w:rPr>
            </w:pPr>
          </w:p>
        </w:tc>
      </w:tr>
      <w:tr w14:paraId="37E9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75" w:type="dxa"/>
            <w:vMerge w:val="restart"/>
            <w:vAlign w:val="center"/>
          </w:tcPr>
          <w:p w14:paraId="2A2F4FCC">
            <w:pPr>
              <w:rPr>
                <w:rFonts w:ascii="宋体" w:hAnsi="宋体" w:eastAsia="宋体" w:cs="宋体"/>
                <w:highlight w:val="none"/>
              </w:rPr>
            </w:pPr>
            <w:r>
              <w:rPr>
                <w:rFonts w:hint="eastAsia" w:ascii="宋体" w:hAnsi="宋体" w:eastAsia="宋体" w:cs="宋体"/>
                <w:highlight w:val="none"/>
              </w:rPr>
              <w:t>法</w:t>
            </w:r>
          </w:p>
          <w:p w14:paraId="1A29006A">
            <w:pPr>
              <w:rPr>
                <w:rFonts w:ascii="宋体" w:hAnsi="宋体" w:eastAsia="宋体" w:cs="宋体"/>
                <w:highlight w:val="none"/>
              </w:rPr>
            </w:pPr>
            <w:r>
              <w:rPr>
                <w:rFonts w:hint="eastAsia" w:ascii="宋体" w:hAnsi="宋体" w:eastAsia="宋体" w:cs="宋体"/>
                <w:highlight w:val="none"/>
              </w:rPr>
              <w:t>定</w:t>
            </w:r>
          </w:p>
          <w:p w14:paraId="57B9DD08">
            <w:pPr>
              <w:rPr>
                <w:rFonts w:ascii="宋体" w:hAnsi="宋体" w:eastAsia="宋体" w:cs="宋体"/>
                <w:highlight w:val="none"/>
              </w:rPr>
            </w:pPr>
            <w:r>
              <w:rPr>
                <w:rFonts w:hint="eastAsia" w:ascii="宋体" w:hAnsi="宋体" w:eastAsia="宋体" w:cs="宋体"/>
                <w:highlight w:val="none"/>
              </w:rPr>
              <w:t>代</w:t>
            </w:r>
          </w:p>
          <w:p w14:paraId="0B380F98">
            <w:pPr>
              <w:rPr>
                <w:rFonts w:ascii="宋体" w:hAnsi="宋体" w:eastAsia="宋体" w:cs="宋体"/>
                <w:highlight w:val="none"/>
              </w:rPr>
            </w:pPr>
            <w:r>
              <w:rPr>
                <w:rFonts w:hint="eastAsia" w:ascii="宋体" w:hAnsi="宋体" w:eastAsia="宋体" w:cs="宋体"/>
                <w:highlight w:val="none"/>
              </w:rPr>
              <w:t>表</w:t>
            </w:r>
          </w:p>
          <w:p w14:paraId="5158B5E9">
            <w:pPr>
              <w:rPr>
                <w:rFonts w:ascii="宋体" w:hAnsi="宋体" w:eastAsia="宋体" w:cs="宋体"/>
                <w:highlight w:val="none"/>
              </w:rPr>
            </w:pPr>
            <w:r>
              <w:rPr>
                <w:rFonts w:hint="eastAsia" w:ascii="宋体" w:hAnsi="宋体" w:eastAsia="宋体" w:cs="宋体"/>
                <w:highlight w:val="none"/>
              </w:rPr>
              <w:t>人（负责人）</w:t>
            </w:r>
          </w:p>
          <w:p w14:paraId="283AFA35">
            <w:pPr>
              <w:rPr>
                <w:rFonts w:ascii="宋体" w:hAnsi="宋体" w:eastAsia="宋体" w:cs="宋体"/>
                <w:highlight w:val="none"/>
              </w:rPr>
            </w:pPr>
            <w:r>
              <w:rPr>
                <w:rFonts w:hint="eastAsia" w:ascii="宋体" w:hAnsi="宋体" w:eastAsia="宋体" w:cs="宋体"/>
                <w:highlight w:val="none"/>
              </w:rPr>
              <w:t>身</w:t>
            </w:r>
          </w:p>
          <w:p w14:paraId="53F75FC2">
            <w:pPr>
              <w:rPr>
                <w:rFonts w:ascii="宋体" w:hAnsi="宋体" w:eastAsia="宋体" w:cs="宋体"/>
                <w:highlight w:val="none"/>
              </w:rPr>
            </w:pPr>
            <w:r>
              <w:rPr>
                <w:rFonts w:hint="eastAsia" w:ascii="宋体" w:hAnsi="宋体" w:eastAsia="宋体" w:cs="宋体"/>
                <w:highlight w:val="none"/>
              </w:rPr>
              <w:t>份</w:t>
            </w:r>
          </w:p>
          <w:p w14:paraId="3351D7ED">
            <w:pPr>
              <w:rPr>
                <w:rFonts w:ascii="宋体" w:hAnsi="宋体" w:eastAsia="宋体" w:cs="宋体"/>
                <w:highlight w:val="none"/>
              </w:rPr>
            </w:pPr>
            <w:r>
              <w:rPr>
                <w:rFonts w:hint="eastAsia" w:ascii="宋体" w:hAnsi="宋体" w:eastAsia="宋体" w:cs="宋体"/>
                <w:highlight w:val="none"/>
              </w:rPr>
              <w:t>证</w:t>
            </w:r>
          </w:p>
          <w:p w14:paraId="36F96707">
            <w:pPr>
              <w:rPr>
                <w:rFonts w:ascii="宋体" w:hAnsi="宋体" w:eastAsia="宋体" w:cs="宋体"/>
                <w:highlight w:val="none"/>
              </w:rPr>
            </w:pPr>
            <w:r>
              <w:rPr>
                <w:rFonts w:hint="eastAsia" w:ascii="宋体" w:hAnsi="宋体" w:eastAsia="宋体" w:cs="宋体"/>
                <w:highlight w:val="none"/>
              </w:rPr>
              <w:t>复</w:t>
            </w:r>
          </w:p>
          <w:p w14:paraId="47AEE58B">
            <w:pPr>
              <w:rPr>
                <w:rFonts w:ascii="宋体" w:hAnsi="宋体" w:eastAsia="宋体" w:cs="宋体"/>
                <w:highlight w:val="none"/>
              </w:rPr>
            </w:pPr>
            <w:r>
              <w:rPr>
                <w:rFonts w:hint="eastAsia" w:ascii="宋体" w:hAnsi="宋体" w:eastAsia="宋体" w:cs="宋体"/>
                <w:highlight w:val="none"/>
              </w:rPr>
              <w:t>印</w:t>
            </w:r>
          </w:p>
          <w:p w14:paraId="61208676">
            <w:pPr>
              <w:rPr>
                <w:rFonts w:ascii="宋体" w:hAnsi="宋体" w:eastAsia="宋体" w:cs="宋体"/>
                <w:highlight w:val="none"/>
              </w:rPr>
            </w:pPr>
            <w:r>
              <w:rPr>
                <w:rFonts w:hint="eastAsia" w:ascii="宋体" w:hAnsi="宋体" w:eastAsia="宋体" w:cs="宋体"/>
                <w:highlight w:val="none"/>
              </w:rPr>
              <w:t>件</w:t>
            </w:r>
          </w:p>
        </w:tc>
        <w:tc>
          <w:tcPr>
            <w:tcW w:w="4182" w:type="dxa"/>
            <w:gridSpan w:val="2"/>
            <w:vMerge w:val="restart"/>
            <w:vAlign w:val="center"/>
          </w:tcPr>
          <w:p w14:paraId="24DAF0F8">
            <w:pPr>
              <w:rPr>
                <w:rFonts w:ascii="宋体" w:hAnsi="宋体" w:eastAsia="宋体" w:cs="宋体"/>
                <w:highlight w:val="none"/>
              </w:rPr>
            </w:pPr>
            <w:r>
              <w:rPr>
                <w:rFonts w:hint="eastAsia" w:ascii="宋体" w:hAnsi="宋体" w:eastAsia="宋体" w:cs="宋体"/>
                <w:highlight w:val="none"/>
              </w:rPr>
              <w:t>（正反面）</w:t>
            </w:r>
          </w:p>
        </w:tc>
        <w:tc>
          <w:tcPr>
            <w:tcW w:w="4363" w:type="dxa"/>
            <w:gridSpan w:val="3"/>
            <w:vAlign w:val="center"/>
          </w:tcPr>
          <w:p w14:paraId="4A0532BD">
            <w:pPr>
              <w:rPr>
                <w:rFonts w:ascii="宋体" w:hAnsi="宋体" w:eastAsia="宋体" w:cs="宋体"/>
                <w:highlight w:val="none"/>
              </w:rPr>
            </w:pPr>
            <w:r>
              <w:rPr>
                <w:rFonts w:hint="eastAsia" w:ascii="宋体" w:hAnsi="宋体" w:eastAsia="宋体" w:cs="宋体"/>
                <w:highlight w:val="none"/>
              </w:rPr>
              <w:t>法定代表人（负责人）（签字或盖章）</w:t>
            </w:r>
          </w:p>
        </w:tc>
      </w:tr>
      <w:tr w14:paraId="063A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575" w:type="dxa"/>
            <w:vMerge w:val="continue"/>
            <w:vAlign w:val="center"/>
          </w:tcPr>
          <w:p w14:paraId="2EE20D18">
            <w:pPr>
              <w:rPr>
                <w:rFonts w:ascii="宋体" w:hAnsi="宋体" w:eastAsia="宋体" w:cs="宋体"/>
                <w:highlight w:val="none"/>
              </w:rPr>
            </w:pPr>
          </w:p>
        </w:tc>
        <w:tc>
          <w:tcPr>
            <w:tcW w:w="4182" w:type="dxa"/>
            <w:gridSpan w:val="2"/>
            <w:vMerge w:val="continue"/>
            <w:vAlign w:val="center"/>
          </w:tcPr>
          <w:p w14:paraId="4B5707C8">
            <w:pPr>
              <w:rPr>
                <w:rFonts w:ascii="宋体" w:hAnsi="宋体" w:eastAsia="宋体" w:cs="宋体"/>
                <w:highlight w:val="none"/>
              </w:rPr>
            </w:pPr>
          </w:p>
        </w:tc>
        <w:tc>
          <w:tcPr>
            <w:tcW w:w="4363" w:type="dxa"/>
            <w:gridSpan w:val="3"/>
            <w:vAlign w:val="bottom"/>
          </w:tcPr>
          <w:p w14:paraId="59741B92">
            <w:pPr>
              <w:rPr>
                <w:rFonts w:ascii="宋体" w:hAnsi="宋体" w:eastAsia="宋体" w:cs="宋体"/>
                <w:highlight w:val="none"/>
              </w:rPr>
            </w:pPr>
            <w:r>
              <w:rPr>
                <w:rFonts w:hint="eastAsia" w:ascii="宋体" w:hAnsi="宋体" w:eastAsia="宋体" w:cs="宋体"/>
                <w:highlight w:val="none"/>
              </w:rPr>
              <w:t>（公章）</w:t>
            </w:r>
          </w:p>
          <w:p w14:paraId="35C9ECEE">
            <w:pPr>
              <w:rPr>
                <w:rFonts w:ascii="宋体" w:hAnsi="宋体" w:eastAsia="宋体" w:cs="宋体"/>
                <w:highlight w:val="none"/>
              </w:rPr>
            </w:pPr>
          </w:p>
          <w:p w14:paraId="1EC90A7B">
            <w:pPr>
              <w:rPr>
                <w:rFonts w:ascii="宋体" w:hAnsi="宋体" w:eastAsia="宋体" w:cs="宋体"/>
                <w:highlight w:val="none"/>
              </w:rPr>
            </w:pPr>
          </w:p>
          <w:p w14:paraId="2E823A95">
            <w:pPr>
              <w:rPr>
                <w:rFonts w:ascii="宋体" w:hAnsi="宋体" w:eastAsia="宋体" w:cs="宋体"/>
                <w:highlight w:val="none"/>
              </w:rPr>
            </w:pPr>
          </w:p>
          <w:p w14:paraId="31D613A2">
            <w:pPr>
              <w:rPr>
                <w:rFonts w:ascii="宋体" w:hAnsi="宋体" w:eastAsia="宋体" w:cs="宋体"/>
                <w:highlight w:val="none"/>
              </w:rPr>
            </w:pPr>
          </w:p>
        </w:tc>
      </w:tr>
    </w:tbl>
    <w:p w14:paraId="09EF7212">
      <w:pPr>
        <w:pStyle w:val="11"/>
        <w:rPr>
          <w:rFonts w:ascii="宋体" w:hAnsi="宋体" w:eastAsia="宋体" w:cs="宋体"/>
          <w:highlight w:val="none"/>
        </w:rPr>
      </w:pPr>
    </w:p>
    <w:p w14:paraId="759CA1A9">
      <w:pPr>
        <w:rPr>
          <w:rFonts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1AB8318C">
      <w:pPr>
        <w:pageBreakBefore/>
        <w:tabs>
          <w:tab w:val="left" w:pos="210"/>
        </w:tabs>
        <w:spacing w:line="320" w:lineRule="exact"/>
        <w:ind w:firstLine="496" w:firstLineChars="200"/>
        <w:jc w:val="center"/>
        <w:rPr>
          <w:rFonts w:ascii="宋体" w:hAnsi="宋体" w:eastAsia="宋体" w:cs="宋体"/>
          <w:b/>
          <w:bCs/>
          <w:highlight w:val="none"/>
        </w:rPr>
      </w:pPr>
      <w:r>
        <w:rPr>
          <w:rFonts w:hint="eastAsia" w:ascii="宋体" w:hAnsi="宋体" w:eastAsia="宋体" w:cs="宋体"/>
          <w:b/>
          <w:bCs/>
          <w:highlight w:val="none"/>
        </w:rPr>
        <w:t>法定代表人（负责人）授权委托书（格式）</w:t>
      </w:r>
    </w:p>
    <w:p w14:paraId="5C888AD0">
      <w:pPr>
        <w:pStyle w:val="19"/>
        <w:spacing w:line="500" w:lineRule="exact"/>
        <w:rPr>
          <w:rFonts w:hAnsi="宋体" w:eastAsia="宋体" w:cs="宋体"/>
          <w:b/>
          <w:bCs/>
          <w:sz w:val="24"/>
          <w:highlight w:val="none"/>
        </w:rPr>
      </w:pPr>
      <w:r>
        <w:rPr>
          <w:rFonts w:hint="eastAsia" w:hAnsi="宋体" w:eastAsia="宋体" w:cs="宋体"/>
          <w:sz w:val="24"/>
          <w:highlight w:val="none"/>
        </w:rPr>
        <w:t>陕西万泽招标有限公司：</w:t>
      </w:r>
    </w:p>
    <w:p w14:paraId="6E19A4D0">
      <w:pPr>
        <w:pStyle w:val="19"/>
        <w:spacing w:line="500" w:lineRule="exact"/>
        <w:ind w:firstLine="496" w:firstLineChars="200"/>
        <w:rPr>
          <w:rFonts w:hAnsi="宋体" w:eastAsia="宋体" w:cs="宋体"/>
          <w:sz w:val="24"/>
          <w:highlight w:val="none"/>
        </w:rPr>
      </w:pPr>
      <w:r>
        <w:rPr>
          <w:rFonts w:hint="eastAsia" w:hAnsi="宋体" w:eastAsia="宋体" w:cs="宋体"/>
          <w:sz w:val="24"/>
          <w:highlight w:val="none"/>
        </w:rPr>
        <w:t>本授权书声明：注册于（</w:t>
      </w:r>
      <w:r>
        <w:rPr>
          <w:rFonts w:hint="eastAsia" w:hAnsi="宋体" w:eastAsia="宋体" w:cs="宋体"/>
          <w:sz w:val="24"/>
          <w:highlight w:val="none"/>
          <w:u w:val="single"/>
        </w:rPr>
        <w:t>工商行政管理局名称）之（委托单位全称）</w:t>
      </w:r>
      <w:r>
        <w:rPr>
          <w:rFonts w:hint="eastAsia" w:hAnsi="宋体" w:eastAsia="宋体" w:cs="宋体"/>
          <w:sz w:val="24"/>
          <w:highlight w:val="none"/>
        </w:rPr>
        <w:t>的法定代表人（负责人）</w:t>
      </w:r>
      <w:r>
        <w:rPr>
          <w:rFonts w:hint="eastAsia" w:hAnsi="宋体" w:eastAsia="宋体" w:cs="宋体"/>
          <w:sz w:val="24"/>
          <w:highlight w:val="none"/>
          <w:u w:val="single"/>
        </w:rPr>
        <w:t>（姓名、性别）</w:t>
      </w:r>
      <w:r>
        <w:rPr>
          <w:rFonts w:hint="eastAsia" w:hAnsi="宋体" w:eastAsia="宋体" w:cs="宋体"/>
          <w:sz w:val="24"/>
          <w:highlight w:val="none"/>
        </w:rPr>
        <w:t>授权</w:t>
      </w:r>
      <w:r>
        <w:rPr>
          <w:rFonts w:hint="eastAsia" w:hAnsi="宋体" w:eastAsia="宋体" w:cs="宋体"/>
          <w:sz w:val="24"/>
          <w:highlight w:val="none"/>
          <w:u w:val="single"/>
        </w:rPr>
        <w:t>（被授权人姓名、性别、职务）</w:t>
      </w:r>
      <w:r>
        <w:rPr>
          <w:rFonts w:hint="eastAsia" w:hAnsi="宋体" w:eastAsia="宋体" w:cs="宋体"/>
          <w:sz w:val="24"/>
          <w:highlight w:val="none"/>
        </w:rPr>
        <w:t>为本公司合法代理人，就贵方组织的有关</w:t>
      </w:r>
      <w:r>
        <w:rPr>
          <w:rFonts w:hint="eastAsia" w:hAnsi="宋体" w:eastAsia="宋体" w:cs="宋体"/>
          <w:sz w:val="24"/>
          <w:highlight w:val="none"/>
          <w:u w:val="single"/>
        </w:rPr>
        <w:t>（项目名称）</w:t>
      </w:r>
      <w:r>
        <w:rPr>
          <w:rFonts w:hint="eastAsia" w:hAnsi="宋体" w:eastAsia="宋体" w:cs="宋体"/>
          <w:sz w:val="24"/>
          <w:highlight w:val="none"/>
        </w:rPr>
        <w:t>（文件编号：____________________）的投标、洽谈、执行等具体事务，签署全部有关文件、文书、协议、合同，本公司对被授权人在本项目中的签名承担全部法律责任。</w:t>
      </w:r>
    </w:p>
    <w:p w14:paraId="55E3C405">
      <w:pPr>
        <w:pStyle w:val="19"/>
        <w:spacing w:line="500" w:lineRule="exact"/>
        <w:ind w:firstLine="496" w:firstLineChars="200"/>
        <w:rPr>
          <w:rFonts w:hAnsi="宋体" w:eastAsia="宋体" w:cs="宋体"/>
          <w:sz w:val="10"/>
          <w:szCs w:val="10"/>
          <w:highlight w:val="none"/>
        </w:rPr>
      </w:pPr>
      <w:r>
        <w:rPr>
          <w:rFonts w:hint="eastAsia" w:hAnsi="宋体" w:eastAsia="宋体" w:cs="宋体"/>
          <w:sz w:val="24"/>
          <w:highlight w:val="none"/>
        </w:rPr>
        <w:t>本授权书自投标文件递交截止之日起计算有效期为_____日历日。</w:t>
      </w:r>
    </w:p>
    <w:p w14:paraId="3A7B32C5">
      <w:pPr>
        <w:pStyle w:val="19"/>
        <w:spacing w:line="500" w:lineRule="exact"/>
        <w:ind w:firstLine="496" w:firstLineChars="200"/>
        <w:rPr>
          <w:rFonts w:hAnsi="宋体" w:eastAsia="宋体" w:cs="宋体"/>
          <w:sz w:val="24"/>
          <w:highlight w:val="none"/>
        </w:rPr>
      </w:pPr>
      <w:r>
        <w:rPr>
          <w:rFonts w:hint="eastAsia" w:hAnsi="宋体" w:eastAsia="宋体" w:cs="宋体"/>
          <w:sz w:val="24"/>
          <w:highlight w:val="none"/>
        </w:rPr>
        <w:t>单位名称：__________（公章）</w:t>
      </w:r>
    </w:p>
    <w:p w14:paraId="4F0E0077">
      <w:pPr>
        <w:pStyle w:val="19"/>
        <w:spacing w:line="500" w:lineRule="exact"/>
        <w:ind w:firstLine="496" w:firstLineChars="200"/>
        <w:rPr>
          <w:rFonts w:hAnsi="宋体" w:eastAsia="宋体" w:cs="宋体"/>
          <w:sz w:val="24"/>
          <w:highlight w:val="none"/>
        </w:rPr>
      </w:pPr>
      <w:r>
        <w:rPr>
          <w:rFonts w:hint="eastAsia" w:hAnsi="宋体" w:eastAsia="宋体" w:cs="宋体"/>
          <w:sz w:val="24"/>
          <w:highlight w:val="none"/>
        </w:rPr>
        <w:t>法定代表人（负责人）（签字或盖章）：________</w:t>
      </w:r>
    </w:p>
    <w:p w14:paraId="2D26961C">
      <w:pPr>
        <w:pStyle w:val="19"/>
        <w:spacing w:line="500" w:lineRule="exact"/>
        <w:ind w:firstLine="496" w:firstLineChars="200"/>
        <w:rPr>
          <w:rFonts w:hAnsi="宋体" w:eastAsia="宋体" w:cs="宋体"/>
          <w:sz w:val="24"/>
          <w:highlight w:val="none"/>
        </w:rPr>
      </w:pPr>
      <w:r>
        <w:rPr>
          <w:rFonts w:hint="eastAsia" w:hAnsi="宋体" w:eastAsia="宋体" w:cs="宋体"/>
          <w:sz w:val="24"/>
          <w:highlight w:val="none"/>
        </w:rPr>
        <w:t>被授权人(签字)：___________性别：_______职务：____________</w:t>
      </w:r>
    </w:p>
    <w:p w14:paraId="0DC62D81">
      <w:pPr>
        <w:pStyle w:val="19"/>
        <w:spacing w:line="500" w:lineRule="exact"/>
        <w:ind w:firstLine="496" w:firstLineChars="200"/>
        <w:rPr>
          <w:rFonts w:hAnsi="宋体" w:eastAsia="宋体" w:cs="宋体"/>
          <w:sz w:val="24"/>
          <w:highlight w:val="none"/>
          <w:u w:val="single"/>
        </w:rPr>
      </w:pPr>
      <w:r>
        <w:rPr>
          <w:rFonts w:hint="eastAsia" w:hAnsi="宋体" w:eastAsia="宋体" w:cs="宋体"/>
          <w:sz w:val="24"/>
          <w:highlight w:val="none"/>
        </w:rPr>
        <w:t>联系地址：____________________</w:t>
      </w:r>
    </w:p>
    <w:p w14:paraId="705FFD83">
      <w:pPr>
        <w:pStyle w:val="19"/>
        <w:spacing w:line="500" w:lineRule="exact"/>
        <w:ind w:firstLine="496" w:firstLineChars="200"/>
        <w:rPr>
          <w:rFonts w:hAnsi="宋体" w:eastAsia="宋体" w:cs="宋体"/>
          <w:sz w:val="24"/>
          <w:highlight w:val="none"/>
          <w:u w:val="single"/>
        </w:rPr>
      </w:pPr>
      <w:r>
        <w:rPr>
          <w:rFonts w:hint="eastAsia" w:hAnsi="宋体" w:eastAsia="宋体" w:cs="宋体"/>
          <w:sz w:val="24"/>
          <w:highlight w:val="none"/>
        </w:rPr>
        <w:t>联系电话：____________________传真：____________________</w:t>
      </w:r>
    </w:p>
    <w:p w14:paraId="7D769F0D">
      <w:pPr>
        <w:pStyle w:val="19"/>
        <w:spacing w:line="500" w:lineRule="exact"/>
        <w:ind w:firstLine="496" w:firstLineChars="200"/>
        <w:rPr>
          <w:rFonts w:hAnsi="宋体" w:eastAsia="宋体" w:cs="宋体"/>
          <w:sz w:val="24"/>
          <w:highlight w:val="none"/>
        </w:rPr>
      </w:pPr>
      <w:r>
        <w:rPr>
          <w:rFonts w:hint="eastAsia" w:hAnsi="宋体" w:eastAsia="宋体" w:cs="宋体"/>
          <w:sz w:val="24"/>
          <w:highlight w:val="none"/>
        </w:rPr>
        <w:t>法定代表人（负责人）及被授权人身份证复印件</w:t>
      </w:r>
    </w:p>
    <w:tbl>
      <w:tblPr>
        <w:tblStyle w:val="3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3"/>
        <w:gridCol w:w="4597"/>
      </w:tblGrid>
      <w:tr w14:paraId="2E47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8" w:hRule="atLeast"/>
        </w:trPr>
        <w:tc>
          <w:tcPr>
            <w:tcW w:w="4443" w:type="dxa"/>
            <w:shd w:val="clear" w:color="auto" w:fill="D9D9D9"/>
            <w:vAlign w:val="center"/>
          </w:tcPr>
          <w:p w14:paraId="3115A984">
            <w:pPr>
              <w:pStyle w:val="19"/>
              <w:spacing w:line="500" w:lineRule="exact"/>
              <w:rPr>
                <w:rFonts w:hAnsi="宋体" w:eastAsia="宋体" w:cs="宋体"/>
                <w:sz w:val="24"/>
                <w:highlight w:val="none"/>
                <w:shd w:val="pct10" w:color="auto" w:fill="FFFFFF"/>
              </w:rPr>
            </w:pPr>
            <w:r>
              <w:rPr>
                <w:rFonts w:hint="eastAsia" w:hAnsi="宋体" w:eastAsia="宋体" w:cs="宋体"/>
                <w:sz w:val="24"/>
                <w:highlight w:val="none"/>
                <w:shd w:val="pct10" w:color="auto" w:fill="FFFFFF"/>
              </w:rPr>
              <w:t>法定代表人</w:t>
            </w:r>
            <w:r>
              <w:rPr>
                <w:rFonts w:hint="eastAsia" w:hAnsi="宋体" w:eastAsia="宋体" w:cs="宋体"/>
                <w:sz w:val="24"/>
                <w:highlight w:val="none"/>
              </w:rPr>
              <w:t>（负责人）</w:t>
            </w:r>
            <w:r>
              <w:rPr>
                <w:rFonts w:hint="eastAsia" w:hAnsi="宋体" w:eastAsia="宋体" w:cs="宋体"/>
                <w:sz w:val="24"/>
                <w:highlight w:val="none"/>
                <w:shd w:val="pct10" w:color="auto" w:fill="FFFFFF"/>
              </w:rPr>
              <w:t>身份证正反面复印件</w:t>
            </w:r>
          </w:p>
          <w:p w14:paraId="4C6F0FEA">
            <w:pPr>
              <w:pStyle w:val="19"/>
              <w:spacing w:line="500" w:lineRule="exact"/>
              <w:rPr>
                <w:rFonts w:hAnsi="宋体" w:eastAsia="宋体" w:cs="宋体"/>
                <w:sz w:val="24"/>
                <w:highlight w:val="none"/>
                <w:shd w:val="pct10" w:color="auto" w:fill="FFFFFF"/>
              </w:rPr>
            </w:pPr>
          </w:p>
        </w:tc>
        <w:tc>
          <w:tcPr>
            <w:tcW w:w="4597" w:type="dxa"/>
            <w:shd w:val="clear" w:color="auto" w:fill="D9D9D9"/>
            <w:vAlign w:val="center"/>
          </w:tcPr>
          <w:p w14:paraId="25C4CB06">
            <w:pPr>
              <w:pStyle w:val="19"/>
              <w:spacing w:line="500" w:lineRule="exact"/>
              <w:ind w:firstLine="496" w:firstLineChars="200"/>
              <w:rPr>
                <w:rFonts w:hAnsi="宋体" w:eastAsia="宋体" w:cs="宋体"/>
                <w:sz w:val="24"/>
                <w:highlight w:val="none"/>
                <w:shd w:val="pct10" w:color="auto" w:fill="FFFFFF"/>
              </w:rPr>
            </w:pPr>
            <w:r>
              <w:rPr>
                <w:rFonts w:hint="eastAsia" w:hAnsi="宋体" w:eastAsia="宋体" w:cs="宋体"/>
                <w:sz w:val="24"/>
                <w:highlight w:val="none"/>
                <w:shd w:val="pct10" w:color="auto" w:fill="FFFFFF"/>
              </w:rPr>
              <w:t>被授权人身份证正反面复印件</w:t>
            </w:r>
          </w:p>
          <w:p w14:paraId="52B611D0">
            <w:pPr>
              <w:pStyle w:val="19"/>
              <w:spacing w:line="500" w:lineRule="exact"/>
              <w:ind w:firstLine="496" w:firstLineChars="200"/>
              <w:rPr>
                <w:rFonts w:hAnsi="宋体" w:eastAsia="宋体" w:cs="宋体"/>
                <w:sz w:val="24"/>
                <w:highlight w:val="none"/>
                <w:shd w:val="pct10" w:color="auto" w:fill="FFFFFF"/>
              </w:rPr>
            </w:pPr>
          </w:p>
        </w:tc>
      </w:tr>
    </w:tbl>
    <w:p w14:paraId="7BC450FB">
      <w:pPr>
        <w:spacing w:line="560" w:lineRule="exact"/>
        <w:jc w:val="both"/>
        <w:rPr>
          <w:rFonts w:ascii="宋体" w:hAnsi="宋体" w:eastAsia="宋体" w:cs="宋体"/>
          <w:sz w:val="32"/>
          <w:szCs w:val="32"/>
          <w:highlight w:val="none"/>
        </w:rPr>
      </w:pPr>
      <w:r>
        <w:rPr>
          <w:rFonts w:hint="eastAsia" w:ascii="宋体" w:hAnsi="宋体" w:eastAsia="宋体" w:cs="宋体"/>
          <w:sz w:val="32"/>
          <w:szCs w:val="32"/>
          <w:highlight w:val="none"/>
        </w:rPr>
        <w:br w:type="page"/>
      </w:r>
    </w:p>
    <w:p w14:paraId="5D8FDC71">
      <w:pPr>
        <w:pStyle w:val="111"/>
        <w:spacing w:before="197" w:after="197"/>
        <w:ind w:firstLine="499"/>
        <w:jc w:val="center"/>
        <w:rPr>
          <w:rFonts w:ascii="宋体" w:hAnsi="宋体" w:eastAsia="宋体" w:cs="宋体"/>
          <w:sz w:val="24"/>
          <w:szCs w:val="24"/>
          <w:highlight w:val="none"/>
        </w:rPr>
      </w:pPr>
      <w:bookmarkStart w:id="193" w:name="_Toc29266"/>
      <w:bookmarkStart w:id="194" w:name="_Toc3678"/>
      <w:bookmarkStart w:id="195" w:name="_Toc6018"/>
      <w:bookmarkStart w:id="196" w:name="_Toc28294"/>
      <w:bookmarkStart w:id="197" w:name="_Toc18263"/>
      <w:bookmarkStart w:id="198" w:name="_Toc32575"/>
      <w:bookmarkStart w:id="199" w:name="_Toc30034"/>
      <w:bookmarkStart w:id="200" w:name="_Toc30568"/>
      <w:bookmarkStart w:id="201" w:name="_Toc9106"/>
      <w:bookmarkStart w:id="202" w:name="_Toc2258"/>
      <w:bookmarkStart w:id="203" w:name="_Toc18738"/>
      <w:bookmarkStart w:id="204" w:name="_Toc26570"/>
      <w:bookmarkStart w:id="205" w:name="_Toc29109"/>
      <w:bookmarkStart w:id="206" w:name="_Toc14575"/>
      <w:r>
        <w:rPr>
          <w:rFonts w:hint="eastAsia" w:ascii="宋体" w:hAnsi="宋体" w:eastAsia="宋体" w:cs="宋体"/>
          <w:sz w:val="24"/>
          <w:szCs w:val="24"/>
          <w:highlight w:val="none"/>
        </w:rPr>
        <w:t>第四部分  供应商概况</w:t>
      </w:r>
      <w:bookmarkEnd w:id="193"/>
      <w:bookmarkEnd w:id="194"/>
      <w:bookmarkEnd w:id="195"/>
    </w:p>
    <w:tbl>
      <w:tblPr>
        <w:tblStyle w:val="10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14:paraId="0B7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56E0B56C">
            <w:pPr>
              <w:ind w:firstLine="0"/>
              <w:jc w:val="both"/>
              <w:rPr>
                <w:rFonts w:ascii="宋体" w:hAnsi="宋体" w:eastAsia="宋体" w:cs="宋体"/>
                <w:kern w:val="2"/>
                <w:highlight w:val="none"/>
              </w:rPr>
            </w:pPr>
            <w:r>
              <w:rPr>
                <w:rFonts w:hint="eastAsia" w:ascii="宋体" w:hAnsi="宋体" w:eastAsia="宋体" w:cs="宋体"/>
                <w:kern w:val="2"/>
                <w:highlight w:val="none"/>
              </w:rPr>
              <w:t>单位基本情况</w:t>
            </w:r>
          </w:p>
        </w:tc>
      </w:tr>
      <w:tr w14:paraId="5426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422A198">
            <w:pPr>
              <w:ind w:firstLine="0"/>
              <w:jc w:val="both"/>
              <w:rPr>
                <w:rFonts w:ascii="宋体" w:hAnsi="宋体" w:eastAsia="宋体" w:cs="宋体"/>
                <w:kern w:val="2"/>
                <w:highlight w:val="none"/>
              </w:rPr>
            </w:pPr>
            <w:r>
              <w:rPr>
                <w:rFonts w:hint="eastAsia" w:ascii="宋体" w:hAnsi="宋体" w:eastAsia="宋体" w:cs="宋体"/>
                <w:kern w:val="2"/>
                <w:highlight w:val="none"/>
              </w:rPr>
              <w:t>供应商全称</w:t>
            </w:r>
          </w:p>
        </w:tc>
        <w:tc>
          <w:tcPr>
            <w:tcW w:w="6756" w:type="dxa"/>
            <w:gridSpan w:val="5"/>
          </w:tcPr>
          <w:p w14:paraId="7EFDEC9E">
            <w:pPr>
              <w:ind w:firstLine="0"/>
              <w:jc w:val="both"/>
              <w:rPr>
                <w:rFonts w:ascii="宋体" w:hAnsi="宋体" w:eastAsia="宋体" w:cs="宋体"/>
                <w:kern w:val="2"/>
                <w:highlight w:val="none"/>
              </w:rPr>
            </w:pPr>
          </w:p>
        </w:tc>
      </w:tr>
      <w:tr w14:paraId="37DF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053BF1E">
            <w:pPr>
              <w:ind w:firstLine="0"/>
              <w:jc w:val="both"/>
              <w:rPr>
                <w:rFonts w:ascii="宋体" w:hAnsi="宋体" w:eastAsia="宋体" w:cs="宋体"/>
                <w:kern w:val="2"/>
                <w:highlight w:val="none"/>
              </w:rPr>
            </w:pPr>
            <w:r>
              <w:rPr>
                <w:rFonts w:hint="eastAsia" w:ascii="宋体" w:hAnsi="宋体" w:eastAsia="宋体" w:cs="宋体"/>
                <w:kern w:val="2"/>
                <w:highlight w:val="none"/>
              </w:rPr>
              <w:t>注册地址</w:t>
            </w:r>
          </w:p>
        </w:tc>
        <w:tc>
          <w:tcPr>
            <w:tcW w:w="2416" w:type="dxa"/>
            <w:gridSpan w:val="2"/>
          </w:tcPr>
          <w:p w14:paraId="5AABD8E3">
            <w:pPr>
              <w:ind w:firstLine="0"/>
              <w:jc w:val="both"/>
              <w:rPr>
                <w:rFonts w:ascii="宋体" w:hAnsi="宋体" w:eastAsia="宋体" w:cs="宋体"/>
                <w:kern w:val="2"/>
                <w:highlight w:val="none"/>
              </w:rPr>
            </w:pPr>
          </w:p>
        </w:tc>
        <w:tc>
          <w:tcPr>
            <w:tcW w:w="1411" w:type="dxa"/>
          </w:tcPr>
          <w:p w14:paraId="6805F644">
            <w:pPr>
              <w:ind w:firstLine="0"/>
              <w:jc w:val="both"/>
              <w:rPr>
                <w:rFonts w:ascii="宋体" w:hAnsi="宋体" w:eastAsia="宋体" w:cs="宋体"/>
                <w:kern w:val="2"/>
                <w:highlight w:val="none"/>
              </w:rPr>
            </w:pPr>
            <w:r>
              <w:rPr>
                <w:rFonts w:hint="eastAsia" w:ascii="宋体" w:hAnsi="宋体" w:eastAsia="宋体" w:cs="宋体"/>
                <w:kern w:val="2"/>
                <w:highlight w:val="none"/>
              </w:rPr>
              <w:t>成立时间</w:t>
            </w:r>
          </w:p>
        </w:tc>
        <w:tc>
          <w:tcPr>
            <w:tcW w:w="2929" w:type="dxa"/>
            <w:gridSpan w:val="2"/>
          </w:tcPr>
          <w:p w14:paraId="2BED7D2C">
            <w:pPr>
              <w:ind w:firstLine="0"/>
              <w:jc w:val="both"/>
              <w:rPr>
                <w:rFonts w:ascii="宋体" w:hAnsi="宋体" w:eastAsia="宋体" w:cs="宋体"/>
                <w:kern w:val="2"/>
                <w:highlight w:val="none"/>
              </w:rPr>
            </w:pPr>
          </w:p>
        </w:tc>
      </w:tr>
      <w:tr w14:paraId="40D9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FB669FB">
            <w:pPr>
              <w:ind w:firstLine="0"/>
              <w:jc w:val="both"/>
              <w:rPr>
                <w:rFonts w:ascii="宋体" w:hAnsi="宋体" w:eastAsia="宋体" w:cs="宋体"/>
                <w:kern w:val="2"/>
                <w:highlight w:val="none"/>
              </w:rPr>
            </w:pPr>
            <w:r>
              <w:rPr>
                <w:rFonts w:hint="eastAsia" w:ascii="宋体" w:hAnsi="宋体" w:eastAsia="宋体" w:cs="宋体"/>
                <w:kern w:val="2"/>
                <w:highlight w:val="none"/>
              </w:rPr>
              <w:t>统一社会信用代码</w:t>
            </w:r>
          </w:p>
        </w:tc>
        <w:tc>
          <w:tcPr>
            <w:tcW w:w="2416" w:type="dxa"/>
            <w:gridSpan w:val="2"/>
          </w:tcPr>
          <w:p w14:paraId="141693C1">
            <w:pPr>
              <w:ind w:firstLine="0"/>
              <w:jc w:val="both"/>
              <w:rPr>
                <w:rFonts w:ascii="宋体" w:hAnsi="宋体" w:eastAsia="宋体" w:cs="宋体"/>
                <w:kern w:val="2"/>
                <w:highlight w:val="none"/>
              </w:rPr>
            </w:pPr>
          </w:p>
        </w:tc>
        <w:tc>
          <w:tcPr>
            <w:tcW w:w="1411" w:type="dxa"/>
          </w:tcPr>
          <w:p w14:paraId="00A406B0">
            <w:pPr>
              <w:ind w:firstLine="0"/>
              <w:jc w:val="both"/>
              <w:rPr>
                <w:rFonts w:ascii="宋体" w:hAnsi="宋体" w:eastAsia="宋体" w:cs="宋体"/>
                <w:kern w:val="2"/>
                <w:highlight w:val="none"/>
              </w:rPr>
            </w:pPr>
            <w:r>
              <w:rPr>
                <w:rFonts w:hint="eastAsia" w:ascii="宋体" w:hAnsi="宋体" w:eastAsia="宋体" w:cs="宋体"/>
                <w:kern w:val="2"/>
                <w:highlight w:val="none"/>
              </w:rPr>
              <w:t>单位性质</w:t>
            </w:r>
          </w:p>
        </w:tc>
        <w:tc>
          <w:tcPr>
            <w:tcW w:w="2929" w:type="dxa"/>
            <w:gridSpan w:val="2"/>
          </w:tcPr>
          <w:p w14:paraId="07A4CEE9">
            <w:pPr>
              <w:ind w:firstLine="0"/>
              <w:jc w:val="both"/>
              <w:rPr>
                <w:rFonts w:ascii="宋体" w:hAnsi="宋体" w:eastAsia="宋体" w:cs="宋体"/>
                <w:kern w:val="2"/>
                <w:highlight w:val="none"/>
              </w:rPr>
            </w:pPr>
          </w:p>
        </w:tc>
      </w:tr>
      <w:tr w14:paraId="2456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DFC8244">
            <w:pPr>
              <w:ind w:firstLine="0"/>
              <w:jc w:val="both"/>
              <w:rPr>
                <w:rFonts w:ascii="宋体" w:hAnsi="宋体" w:eastAsia="宋体" w:cs="宋体"/>
                <w:kern w:val="2"/>
                <w:highlight w:val="none"/>
              </w:rPr>
            </w:pPr>
            <w:r>
              <w:rPr>
                <w:rFonts w:hint="eastAsia" w:ascii="宋体" w:hAnsi="宋体" w:eastAsia="宋体" w:cs="宋体"/>
                <w:kern w:val="2"/>
                <w:highlight w:val="none"/>
              </w:rPr>
              <w:t>法定代表人</w:t>
            </w:r>
          </w:p>
          <w:p w14:paraId="3D2A304A">
            <w:pPr>
              <w:ind w:firstLine="0"/>
              <w:jc w:val="both"/>
              <w:rPr>
                <w:rFonts w:ascii="宋体" w:hAnsi="宋体" w:eastAsia="宋体" w:cs="宋体"/>
                <w:kern w:val="2"/>
                <w:highlight w:val="none"/>
              </w:rPr>
            </w:pPr>
            <w:r>
              <w:rPr>
                <w:rFonts w:hint="eastAsia" w:ascii="宋体" w:hAnsi="宋体" w:eastAsia="宋体" w:cs="宋体"/>
                <w:kern w:val="2"/>
                <w:highlight w:val="none"/>
              </w:rPr>
              <w:t>（主要负责人）</w:t>
            </w:r>
          </w:p>
        </w:tc>
        <w:tc>
          <w:tcPr>
            <w:tcW w:w="2416" w:type="dxa"/>
            <w:gridSpan w:val="2"/>
          </w:tcPr>
          <w:p w14:paraId="5B4F91FE">
            <w:pPr>
              <w:ind w:firstLine="0"/>
              <w:jc w:val="both"/>
              <w:rPr>
                <w:rFonts w:ascii="宋体" w:hAnsi="宋体" w:eastAsia="宋体" w:cs="宋体"/>
                <w:kern w:val="2"/>
                <w:highlight w:val="none"/>
              </w:rPr>
            </w:pPr>
          </w:p>
        </w:tc>
        <w:tc>
          <w:tcPr>
            <w:tcW w:w="1411" w:type="dxa"/>
          </w:tcPr>
          <w:p w14:paraId="0B91AE72">
            <w:pPr>
              <w:ind w:firstLine="0"/>
              <w:jc w:val="both"/>
              <w:rPr>
                <w:rFonts w:ascii="宋体" w:hAnsi="宋体" w:eastAsia="宋体" w:cs="宋体"/>
                <w:kern w:val="2"/>
                <w:highlight w:val="none"/>
              </w:rPr>
            </w:pPr>
            <w:r>
              <w:rPr>
                <w:rFonts w:hint="eastAsia" w:ascii="宋体" w:hAnsi="宋体" w:eastAsia="宋体" w:cs="宋体"/>
                <w:kern w:val="2"/>
                <w:highlight w:val="none"/>
              </w:rPr>
              <w:t>所属行业</w:t>
            </w:r>
          </w:p>
        </w:tc>
        <w:tc>
          <w:tcPr>
            <w:tcW w:w="2929" w:type="dxa"/>
            <w:gridSpan w:val="2"/>
          </w:tcPr>
          <w:p w14:paraId="3340CA98">
            <w:pPr>
              <w:ind w:firstLine="0"/>
              <w:jc w:val="both"/>
              <w:rPr>
                <w:rFonts w:ascii="宋体" w:hAnsi="宋体" w:eastAsia="宋体" w:cs="宋体"/>
                <w:kern w:val="2"/>
                <w:highlight w:val="none"/>
              </w:rPr>
            </w:pPr>
          </w:p>
        </w:tc>
      </w:tr>
      <w:tr w14:paraId="09E8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10621D7">
            <w:pPr>
              <w:ind w:firstLine="0"/>
              <w:jc w:val="both"/>
              <w:rPr>
                <w:rFonts w:ascii="宋体" w:hAnsi="宋体" w:eastAsia="宋体" w:cs="宋体"/>
                <w:kern w:val="2"/>
                <w:highlight w:val="none"/>
              </w:rPr>
            </w:pPr>
            <w:r>
              <w:rPr>
                <w:rFonts w:hint="eastAsia" w:ascii="宋体" w:hAnsi="宋体" w:eastAsia="宋体" w:cs="宋体"/>
                <w:kern w:val="2"/>
                <w:highlight w:val="none"/>
              </w:rPr>
              <w:t>基本存款账户</w:t>
            </w:r>
          </w:p>
          <w:p w14:paraId="413568D5">
            <w:pPr>
              <w:ind w:firstLine="0"/>
              <w:jc w:val="both"/>
              <w:rPr>
                <w:rFonts w:ascii="宋体" w:hAnsi="宋体" w:eastAsia="宋体" w:cs="宋体"/>
                <w:kern w:val="2"/>
                <w:highlight w:val="none"/>
              </w:rPr>
            </w:pPr>
            <w:r>
              <w:rPr>
                <w:rFonts w:hint="eastAsia" w:ascii="宋体" w:hAnsi="宋体" w:eastAsia="宋体" w:cs="宋体"/>
                <w:kern w:val="2"/>
                <w:highlight w:val="none"/>
              </w:rPr>
              <w:t>开户银行</w:t>
            </w:r>
          </w:p>
        </w:tc>
        <w:tc>
          <w:tcPr>
            <w:tcW w:w="2416" w:type="dxa"/>
            <w:gridSpan w:val="2"/>
          </w:tcPr>
          <w:p w14:paraId="43A48E38">
            <w:pPr>
              <w:ind w:firstLine="0"/>
              <w:jc w:val="both"/>
              <w:rPr>
                <w:rFonts w:ascii="宋体" w:hAnsi="宋体" w:eastAsia="宋体" w:cs="宋体"/>
                <w:kern w:val="2"/>
                <w:highlight w:val="none"/>
              </w:rPr>
            </w:pPr>
          </w:p>
        </w:tc>
        <w:tc>
          <w:tcPr>
            <w:tcW w:w="1411" w:type="dxa"/>
          </w:tcPr>
          <w:p w14:paraId="2D8B33C0">
            <w:pPr>
              <w:ind w:firstLine="0"/>
              <w:jc w:val="both"/>
              <w:rPr>
                <w:rFonts w:ascii="宋体" w:hAnsi="宋体" w:eastAsia="宋体" w:cs="宋体"/>
                <w:kern w:val="2"/>
                <w:highlight w:val="none"/>
              </w:rPr>
            </w:pPr>
            <w:r>
              <w:rPr>
                <w:rFonts w:hint="eastAsia" w:ascii="宋体" w:hAnsi="宋体" w:eastAsia="宋体" w:cs="宋体"/>
                <w:kern w:val="2"/>
                <w:highlight w:val="none"/>
              </w:rPr>
              <w:t>基本存款</w:t>
            </w:r>
          </w:p>
          <w:p w14:paraId="319914CE">
            <w:pPr>
              <w:ind w:firstLine="0"/>
              <w:jc w:val="both"/>
              <w:rPr>
                <w:rFonts w:ascii="宋体" w:hAnsi="宋体" w:eastAsia="宋体" w:cs="宋体"/>
                <w:kern w:val="2"/>
                <w:highlight w:val="none"/>
              </w:rPr>
            </w:pPr>
            <w:r>
              <w:rPr>
                <w:rFonts w:hint="eastAsia" w:ascii="宋体" w:hAnsi="宋体" w:eastAsia="宋体" w:cs="宋体"/>
                <w:kern w:val="2"/>
                <w:highlight w:val="none"/>
              </w:rPr>
              <w:t>账户账号</w:t>
            </w:r>
          </w:p>
        </w:tc>
        <w:tc>
          <w:tcPr>
            <w:tcW w:w="2929" w:type="dxa"/>
            <w:gridSpan w:val="2"/>
          </w:tcPr>
          <w:p w14:paraId="76DFE6AE">
            <w:pPr>
              <w:ind w:firstLine="0"/>
              <w:jc w:val="both"/>
              <w:rPr>
                <w:rFonts w:ascii="宋体" w:hAnsi="宋体" w:eastAsia="宋体" w:cs="宋体"/>
                <w:kern w:val="2"/>
                <w:highlight w:val="none"/>
              </w:rPr>
            </w:pPr>
          </w:p>
        </w:tc>
      </w:tr>
      <w:tr w14:paraId="47AA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0A687F5">
            <w:pPr>
              <w:ind w:firstLine="0"/>
              <w:jc w:val="both"/>
              <w:rPr>
                <w:rFonts w:ascii="宋体" w:hAnsi="宋体" w:eastAsia="宋体" w:cs="宋体"/>
                <w:kern w:val="2"/>
                <w:highlight w:val="none"/>
              </w:rPr>
            </w:pPr>
            <w:r>
              <w:rPr>
                <w:rFonts w:hint="eastAsia" w:ascii="宋体" w:hAnsi="宋体" w:eastAsia="宋体" w:cs="宋体"/>
                <w:kern w:val="2"/>
                <w:highlight w:val="none"/>
              </w:rPr>
              <w:t>上年度</w:t>
            </w:r>
          </w:p>
          <w:p w14:paraId="1D50BD35">
            <w:pPr>
              <w:ind w:firstLine="0"/>
              <w:jc w:val="both"/>
              <w:rPr>
                <w:rFonts w:ascii="宋体" w:hAnsi="宋体" w:eastAsia="宋体" w:cs="宋体"/>
                <w:kern w:val="2"/>
                <w:highlight w:val="none"/>
              </w:rPr>
            </w:pPr>
            <w:r>
              <w:rPr>
                <w:rFonts w:hint="eastAsia" w:ascii="宋体" w:hAnsi="宋体" w:eastAsia="宋体" w:cs="宋体"/>
                <w:kern w:val="2"/>
                <w:highlight w:val="none"/>
              </w:rPr>
              <w:t>营业收入*</w:t>
            </w:r>
          </w:p>
        </w:tc>
        <w:tc>
          <w:tcPr>
            <w:tcW w:w="2416" w:type="dxa"/>
            <w:gridSpan w:val="2"/>
          </w:tcPr>
          <w:p w14:paraId="2416B82C">
            <w:pPr>
              <w:ind w:firstLine="0"/>
              <w:jc w:val="both"/>
              <w:rPr>
                <w:rFonts w:ascii="宋体" w:hAnsi="宋体" w:eastAsia="宋体" w:cs="宋体"/>
                <w:kern w:val="2"/>
                <w:highlight w:val="none"/>
              </w:rPr>
            </w:pPr>
          </w:p>
        </w:tc>
        <w:tc>
          <w:tcPr>
            <w:tcW w:w="1411" w:type="dxa"/>
          </w:tcPr>
          <w:p w14:paraId="363B1417">
            <w:pPr>
              <w:ind w:firstLine="0"/>
              <w:jc w:val="both"/>
              <w:rPr>
                <w:rFonts w:ascii="宋体" w:hAnsi="宋体" w:eastAsia="宋体" w:cs="宋体"/>
                <w:kern w:val="2"/>
                <w:highlight w:val="none"/>
              </w:rPr>
            </w:pPr>
            <w:r>
              <w:rPr>
                <w:rFonts w:hint="eastAsia" w:ascii="宋体" w:hAnsi="宋体" w:eastAsia="宋体" w:cs="宋体"/>
                <w:kern w:val="2"/>
                <w:highlight w:val="none"/>
              </w:rPr>
              <w:t>资产总额</w:t>
            </w:r>
          </w:p>
        </w:tc>
        <w:tc>
          <w:tcPr>
            <w:tcW w:w="2929" w:type="dxa"/>
            <w:gridSpan w:val="2"/>
          </w:tcPr>
          <w:p w14:paraId="6B4E13ED">
            <w:pPr>
              <w:ind w:firstLine="0"/>
              <w:jc w:val="both"/>
              <w:rPr>
                <w:rFonts w:ascii="宋体" w:hAnsi="宋体" w:eastAsia="宋体" w:cs="宋体"/>
                <w:kern w:val="2"/>
                <w:highlight w:val="none"/>
              </w:rPr>
            </w:pPr>
          </w:p>
        </w:tc>
      </w:tr>
      <w:tr w14:paraId="5BDD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4413688">
            <w:pPr>
              <w:ind w:firstLine="0"/>
              <w:jc w:val="both"/>
              <w:rPr>
                <w:rFonts w:ascii="宋体" w:hAnsi="宋体" w:eastAsia="宋体" w:cs="宋体"/>
                <w:kern w:val="2"/>
                <w:highlight w:val="none"/>
              </w:rPr>
            </w:pPr>
            <w:r>
              <w:rPr>
                <w:rFonts w:hint="eastAsia" w:ascii="宋体" w:hAnsi="宋体" w:eastAsia="宋体" w:cs="宋体"/>
                <w:kern w:val="2"/>
                <w:highlight w:val="none"/>
              </w:rPr>
              <w:t>经营范围</w:t>
            </w:r>
          </w:p>
        </w:tc>
        <w:tc>
          <w:tcPr>
            <w:tcW w:w="6756" w:type="dxa"/>
            <w:gridSpan w:val="5"/>
          </w:tcPr>
          <w:p w14:paraId="4584F95B">
            <w:pPr>
              <w:ind w:firstLine="0"/>
              <w:jc w:val="both"/>
              <w:rPr>
                <w:rFonts w:ascii="宋体" w:hAnsi="宋体" w:eastAsia="宋体" w:cs="宋体"/>
                <w:kern w:val="2"/>
                <w:highlight w:val="none"/>
              </w:rPr>
            </w:pPr>
          </w:p>
        </w:tc>
      </w:tr>
      <w:tr w14:paraId="2F22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4358BCB3">
            <w:pPr>
              <w:ind w:firstLine="0"/>
              <w:jc w:val="both"/>
              <w:rPr>
                <w:rFonts w:ascii="宋体" w:hAnsi="宋体" w:eastAsia="宋体" w:cs="宋体"/>
                <w:kern w:val="2"/>
                <w:highlight w:val="none"/>
              </w:rPr>
            </w:pPr>
            <w:r>
              <w:rPr>
                <w:rFonts w:hint="eastAsia" w:ascii="宋体" w:hAnsi="宋体" w:eastAsia="宋体" w:cs="宋体"/>
                <w:kern w:val="2"/>
                <w:highlight w:val="none"/>
              </w:rPr>
              <w:t>资质证书名称</w:t>
            </w:r>
          </w:p>
        </w:tc>
        <w:tc>
          <w:tcPr>
            <w:tcW w:w="2416" w:type="dxa"/>
            <w:gridSpan w:val="2"/>
          </w:tcPr>
          <w:p w14:paraId="08B5B973">
            <w:pPr>
              <w:ind w:firstLine="0"/>
              <w:jc w:val="both"/>
              <w:rPr>
                <w:rFonts w:ascii="宋体" w:hAnsi="宋体" w:eastAsia="宋体" w:cs="宋体"/>
                <w:kern w:val="2"/>
                <w:highlight w:val="none"/>
              </w:rPr>
            </w:pPr>
            <w:r>
              <w:rPr>
                <w:rFonts w:hint="eastAsia" w:ascii="宋体" w:hAnsi="宋体" w:eastAsia="宋体" w:cs="宋体"/>
                <w:kern w:val="2"/>
                <w:highlight w:val="none"/>
              </w:rPr>
              <w:t>证书号</w:t>
            </w:r>
          </w:p>
        </w:tc>
        <w:tc>
          <w:tcPr>
            <w:tcW w:w="1411" w:type="dxa"/>
          </w:tcPr>
          <w:p w14:paraId="0B90077C">
            <w:pPr>
              <w:ind w:firstLine="0"/>
              <w:jc w:val="both"/>
              <w:rPr>
                <w:rFonts w:ascii="宋体" w:hAnsi="宋体" w:eastAsia="宋体" w:cs="宋体"/>
                <w:kern w:val="2"/>
                <w:highlight w:val="none"/>
              </w:rPr>
            </w:pPr>
            <w:r>
              <w:rPr>
                <w:rFonts w:hint="eastAsia" w:ascii="宋体" w:hAnsi="宋体" w:eastAsia="宋体" w:cs="宋体"/>
                <w:kern w:val="2"/>
                <w:highlight w:val="none"/>
              </w:rPr>
              <w:t>等级</w:t>
            </w:r>
          </w:p>
        </w:tc>
        <w:tc>
          <w:tcPr>
            <w:tcW w:w="2929" w:type="dxa"/>
            <w:gridSpan w:val="2"/>
          </w:tcPr>
          <w:p w14:paraId="3AF45918">
            <w:pPr>
              <w:ind w:firstLine="0"/>
              <w:jc w:val="both"/>
              <w:rPr>
                <w:rFonts w:ascii="宋体" w:hAnsi="宋体" w:eastAsia="宋体" w:cs="宋体"/>
                <w:kern w:val="2"/>
                <w:highlight w:val="none"/>
              </w:rPr>
            </w:pPr>
            <w:r>
              <w:rPr>
                <w:rFonts w:hint="eastAsia" w:ascii="宋体" w:hAnsi="宋体" w:eastAsia="宋体" w:cs="宋体"/>
                <w:kern w:val="2"/>
                <w:highlight w:val="none"/>
              </w:rPr>
              <w:t>类型</w:t>
            </w:r>
          </w:p>
        </w:tc>
      </w:tr>
      <w:tr w14:paraId="6BE6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7CE11AB">
            <w:pPr>
              <w:ind w:firstLine="0"/>
              <w:jc w:val="both"/>
              <w:rPr>
                <w:rFonts w:ascii="宋体" w:hAnsi="宋体" w:eastAsia="宋体" w:cs="宋体"/>
                <w:kern w:val="2"/>
                <w:highlight w:val="none"/>
              </w:rPr>
            </w:pPr>
          </w:p>
        </w:tc>
        <w:tc>
          <w:tcPr>
            <w:tcW w:w="2416" w:type="dxa"/>
            <w:gridSpan w:val="2"/>
          </w:tcPr>
          <w:p w14:paraId="48A8F20A">
            <w:pPr>
              <w:ind w:firstLine="0"/>
              <w:jc w:val="both"/>
              <w:rPr>
                <w:rFonts w:ascii="宋体" w:hAnsi="宋体" w:eastAsia="宋体" w:cs="宋体"/>
                <w:kern w:val="2"/>
                <w:highlight w:val="none"/>
              </w:rPr>
            </w:pPr>
          </w:p>
        </w:tc>
        <w:tc>
          <w:tcPr>
            <w:tcW w:w="1411" w:type="dxa"/>
          </w:tcPr>
          <w:p w14:paraId="5FFD2988">
            <w:pPr>
              <w:ind w:firstLine="0"/>
              <w:jc w:val="both"/>
              <w:rPr>
                <w:rFonts w:ascii="宋体" w:hAnsi="宋体" w:eastAsia="宋体" w:cs="宋体"/>
                <w:kern w:val="2"/>
                <w:highlight w:val="none"/>
              </w:rPr>
            </w:pPr>
          </w:p>
        </w:tc>
        <w:tc>
          <w:tcPr>
            <w:tcW w:w="2929" w:type="dxa"/>
            <w:gridSpan w:val="2"/>
          </w:tcPr>
          <w:p w14:paraId="204E9E4A">
            <w:pPr>
              <w:ind w:firstLine="0"/>
              <w:jc w:val="both"/>
              <w:rPr>
                <w:rFonts w:ascii="宋体" w:hAnsi="宋体" w:eastAsia="宋体" w:cs="宋体"/>
                <w:kern w:val="2"/>
                <w:highlight w:val="none"/>
              </w:rPr>
            </w:pPr>
          </w:p>
        </w:tc>
      </w:tr>
      <w:tr w14:paraId="7DED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2086AD4">
            <w:pPr>
              <w:ind w:firstLine="0"/>
              <w:jc w:val="both"/>
              <w:rPr>
                <w:rFonts w:ascii="宋体" w:hAnsi="宋体" w:eastAsia="宋体" w:cs="宋体"/>
                <w:kern w:val="2"/>
                <w:highlight w:val="none"/>
              </w:rPr>
            </w:pPr>
          </w:p>
        </w:tc>
        <w:tc>
          <w:tcPr>
            <w:tcW w:w="2416" w:type="dxa"/>
            <w:gridSpan w:val="2"/>
          </w:tcPr>
          <w:p w14:paraId="61B24E0B">
            <w:pPr>
              <w:ind w:firstLine="0"/>
              <w:jc w:val="both"/>
              <w:rPr>
                <w:rFonts w:ascii="宋体" w:hAnsi="宋体" w:eastAsia="宋体" w:cs="宋体"/>
                <w:kern w:val="2"/>
                <w:highlight w:val="none"/>
              </w:rPr>
            </w:pPr>
          </w:p>
        </w:tc>
        <w:tc>
          <w:tcPr>
            <w:tcW w:w="1411" w:type="dxa"/>
          </w:tcPr>
          <w:p w14:paraId="636087C0">
            <w:pPr>
              <w:ind w:firstLine="0"/>
              <w:jc w:val="both"/>
              <w:rPr>
                <w:rFonts w:ascii="宋体" w:hAnsi="宋体" w:eastAsia="宋体" w:cs="宋体"/>
                <w:kern w:val="2"/>
                <w:highlight w:val="none"/>
              </w:rPr>
            </w:pPr>
          </w:p>
        </w:tc>
        <w:tc>
          <w:tcPr>
            <w:tcW w:w="2929" w:type="dxa"/>
            <w:gridSpan w:val="2"/>
          </w:tcPr>
          <w:p w14:paraId="31387C7D">
            <w:pPr>
              <w:ind w:firstLine="0"/>
              <w:jc w:val="both"/>
              <w:rPr>
                <w:rFonts w:ascii="宋体" w:hAnsi="宋体" w:eastAsia="宋体" w:cs="宋体"/>
                <w:kern w:val="2"/>
                <w:highlight w:val="none"/>
              </w:rPr>
            </w:pPr>
          </w:p>
        </w:tc>
      </w:tr>
      <w:tr w14:paraId="6C2B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77E33D94">
            <w:pPr>
              <w:ind w:firstLine="0"/>
              <w:jc w:val="both"/>
              <w:rPr>
                <w:rFonts w:ascii="宋体" w:hAnsi="宋体" w:eastAsia="宋体" w:cs="宋体"/>
                <w:kern w:val="2"/>
                <w:highlight w:val="none"/>
              </w:rPr>
            </w:pPr>
            <w:r>
              <w:rPr>
                <w:rFonts w:hint="eastAsia" w:ascii="宋体" w:hAnsi="宋体" w:eastAsia="宋体" w:cs="宋体"/>
                <w:kern w:val="2"/>
                <w:highlight w:val="none"/>
              </w:rPr>
              <w:t>从业人员情况</w:t>
            </w:r>
          </w:p>
        </w:tc>
      </w:tr>
      <w:tr w14:paraId="0F56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14:paraId="59036269">
            <w:pPr>
              <w:ind w:firstLine="0"/>
              <w:jc w:val="both"/>
              <w:rPr>
                <w:rFonts w:ascii="宋体" w:hAnsi="宋体" w:eastAsia="宋体" w:cs="宋体"/>
                <w:kern w:val="2"/>
                <w:highlight w:val="none"/>
              </w:rPr>
            </w:pPr>
            <w:r>
              <w:rPr>
                <w:rFonts w:hint="eastAsia" w:ascii="宋体" w:hAnsi="宋体" w:eastAsia="宋体" w:cs="宋体"/>
                <w:kern w:val="2"/>
                <w:highlight w:val="none"/>
              </w:rPr>
              <w:t>从业人员总数</w:t>
            </w:r>
          </w:p>
        </w:tc>
        <w:tc>
          <w:tcPr>
            <w:tcW w:w="992" w:type="dxa"/>
            <w:vMerge w:val="restart"/>
          </w:tcPr>
          <w:p w14:paraId="096E03CB">
            <w:pPr>
              <w:ind w:firstLine="0"/>
              <w:jc w:val="both"/>
              <w:rPr>
                <w:rFonts w:ascii="宋体" w:hAnsi="宋体" w:eastAsia="宋体" w:cs="宋体"/>
                <w:kern w:val="2"/>
                <w:highlight w:val="none"/>
              </w:rPr>
            </w:pPr>
          </w:p>
        </w:tc>
        <w:tc>
          <w:tcPr>
            <w:tcW w:w="1424" w:type="dxa"/>
          </w:tcPr>
          <w:p w14:paraId="7A41C953">
            <w:pPr>
              <w:ind w:firstLine="0"/>
              <w:jc w:val="both"/>
              <w:rPr>
                <w:rFonts w:ascii="宋体" w:hAnsi="宋体" w:eastAsia="宋体" w:cs="宋体"/>
                <w:kern w:val="2"/>
                <w:highlight w:val="none"/>
              </w:rPr>
            </w:pPr>
            <w:r>
              <w:rPr>
                <w:rFonts w:hint="eastAsia" w:ascii="宋体" w:hAnsi="宋体" w:eastAsia="宋体" w:cs="宋体"/>
                <w:kern w:val="2"/>
                <w:highlight w:val="none"/>
              </w:rPr>
              <w:t>管理人员</w:t>
            </w:r>
          </w:p>
          <w:p w14:paraId="08E301E3">
            <w:pPr>
              <w:ind w:firstLine="0"/>
              <w:jc w:val="both"/>
              <w:rPr>
                <w:rFonts w:ascii="宋体" w:hAnsi="宋体" w:eastAsia="宋体" w:cs="宋体"/>
                <w:kern w:val="2"/>
                <w:highlight w:val="none"/>
              </w:rPr>
            </w:pPr>
            <w:r>
              <w:rPr>
                <w:rFonts w:hint="eastAsia" w:ascii="宋体" w:hAnsi="宋体" w:eastAsia="宋体" w:cs="宋体"/>
                <w:kern w:val="2"/>
                <w:highlight w:val="none"/>
              </w:rPr>
              <w:t>数量</w:t>
            </w:r>
          </w:p>
        </w:tc>
        <w:tc>
          <w:tcPr>
            <w:tcW w:w="1411" w:type="dxa"/>
          </w:tcPr>
          <w:p w14:paraId="12D22F95">
            <w:pPr>
              <w:ind w:firstLine="0"/>
              <w:jc w:val="both"/>
              <w:rPr>
                <w:rFonts w:ascii="宋体" w:hAnsi="宋体" w:eastAsia="宋体" w:cs="宋体"/>
                <w:kern w:val="2"/>
                <w:highlight w:val="none"/>
              </w:rPr>
            </w:pPr>
          </w:p>
        </w:tc>
        <w:tc>
          <w:tcPr>
            <w:tcW w:w="1464" w:type="dxa"/>
          </w:tcPr>
          <w:p w14:paraId="56F37A6F">
            <w:pPr>
              <w:ind w:firstLine="0"/>
              <w:jc w:val="both"/>
              <w:rPr>
                <w:rFonts w:ascii="宋体" w:hAnsi="宋体" w:eastAsia="宋体" w:cs="宋体"/>
                <w:kern w:val="2"/>
                <w:highlight w:val="none"/>
              </w:rPr>
            </w:pPr>
            <w:r>
              <w:rPr>
                <w:rFonts w:hint="eastAsia" w:ascii="宋体" w:hAnsi="宋体" w:eastAsia="宋体" w:cs="宋体"/>
                <w:kern w:val="2"/>
                <w:highlight w:val="none"/>
              </w:rPr>
              <w:t>专业技术</w:t>
            </w:r>
          </w:p>
          <w:p w14:paraId="0C5B637F">
            <w:pPr>
              <w:ind w:firstLine="0"/>
              <w:jc w:val="both"/>
              <w:rPr>
                <w:rFonts w:ascii="宋体" w:hAnsi="宋体" w:eastAsia="宋体" w:cs="宋体"/>
                <w:kern w:val="2"/>
                <w:highlight w:val="none"/>
              </w:rPr>
            </w:pPr>
            <w:r>
              <w:rPr>
                <w:rFonts w:hint="eastAsia" w:ascii="宋体" w:hAnsi="宋体" w:eastAsia="宋体" w:cs="宋体"/>
                <w:kern w:val="2"/>
                <w:highlight w:val="none"/>
              </w:rPr>
              <w:t>人员数量</w:t>
            </w:r>
          </w:p>
        </w:tc>
        <w:tc>
          <w:tcPr>
            <w:tcW w:w="1465" w:type="dxa"/>
          </w:tcPr>
          <w:p w14:paraId="09DEF5DA">
            <w:pPr>
              <w:ind w:firstLine="0"/>
              <w:jc w:val="both"/>
              <w:rPr>
                <w:rFonts w:ascii="宋体" w:hAnsi="宋体" w:eastAsia="宋体" w:cs="宋体"/>
                <w:kern w:val="2"/>
                <w:highlight w:val="none"/>
              </w:rPr>
            </w:pPr>
          </w:p>
        </w:tc>
      </w:tr>
      <w:tr w14:paraId="48EA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14:paraId="6C9C4C6B">
            <w:pPr>
              <w:ind w:firstLine="0"/>
              <w:jc w:val="both"/>
              <w:rPr>
                <w:rFonts w:ascii="宋体" w:hAnsi="宋体" w:eastAsia="宋体" w:cs="宋体"/>
                <w:kern w:val="2"/>
                <w:highlight w:val="none"/>
              </w:rPr>
            </w:pPr>
          </w:p>
        </w:tc>
        <w:tc>
          <w:tcPr>
            <w:tcW w:w="992" w:type="dxa"/>
            <w:vMerge w:val="continue"/>
          </w:tcPr>
          <w:p w14:paraId="6585514A">
            <w:pPr>
              <w:ind w:firstLine="0"/>
              <w:jc w:val="both"/>
              <w:rPr>
                <w:rFonts w:ascii="宋体" w:hAnsi="宋体" w:eastAsia="宋体" w:cs="宋体"/>
                <w:kern w:val="2"/>
                <w:highlight w:val="none"/>
              </w:rPr>
            </w:pPr>
          </w:p>
        </w:tc>
        <w:tc>
          <w:tcPr>
            <w:tcW w:w="1424" w:type="dxa"/>
          </w:tcPr>
          <w:p w14:paraId="2626EEED">
            <w:pPr>
              <w:ind w:firstLine="0"/>
              <w:jc w:val="both"/>
              <w:rPr>
                <w:rFonts w:ascii="宋体" w:hAnsi="宋体" w:eastAsia="宋体" w:cs="宋体"/>
                <w:kern w:val="2"/>
                <w:highlight w:val="none"/>
              </w:rPr>
            </w:pPr>
            <w:r>
              <w:rPr>
                <w:rFonts w:hint="eastAsia" w:ascii="宋体" w:hAnsi="宋体" w:eastAsia="宋体" w:cs="宋体"/>
                <w:kern w:val="2"/>
                <w:highlight w:val="none"/>
              </w:rPr>
              <w:t>残疾人</w:t>
            </w:r>
          </w:p>
          <w:p w14:paraId="7F46CCB6">
            <w:pPr>
              <w:ind w:firstLine="0"/>
              <w:jc w:val="both"/>
              <w:rPr>
                <w:rFonts w:ascii="宋体" w:hAnsi="宋体" w:eastAsia="宋体" w:cs="宋体"/>
                <w:kern w:val="2"/>
                <w:highlight w:val="none"/>
              </w:rPr>
            </w:pPr>
            <w:r>
              <w:rPr>
                <w:rFonts w:hint="eastAsia" w:ascii="宋体" w:hAnsi="宋体" w:eastAsia="宋体" w:cs="宋体"/>
                <w:kern w:val="2"/>
                <w:highlight w:val="none"/>
              </w:rPr>
              <w:t>数量</w:t>
            </w:r>
          </w:p>
        </w:tc>
        <w:tc>
          <w:tcPr>
            <w:tcW w:w="1411" w:type="dxa"/>
          </w:tcPr>
          <w:p w14:paraId="491B1D02">
            <w:pPr>
              <w:ind w:firstLine="0"/>
              <w:jc w:val="both"/>
              <w:rPr>
                <w:rFonts w:ascii="宋体" w:hAnsi="宋体" w:eastAsia="宋体" w:cs="宋体"/>
                <w:kern w:val="2"/>
                <w:highlight w:val="none"/>
              </w:rPr>
            </w:pPr>
          </w:p>
        </w:tc>
        <w:tc>
          <w:tcPr>
            <w:tcW w:w="1464" w:type="dxa"/>
          </w:tcPr>
          <w:p w14:paraId="15A1C5BA">
            <w:pPr>
              <w:ind w:firstLine="0"/>
              <w:jc w:val="both"/>
              <w:rPr>
                <w:rFonts w:ascii="宋体" w:hAnsi="宋体" w:eastAsia="宋体" w:cs="宋体"/>
                <w:kern w:val="2"/>
                <w:highlight w:val="none"/>
              </w:rPr>
            </w:pPr>
            <w:r>
              <w:rPr>
                <w:rFonts w:hint="eastAsia" w:ascii="宋体" w:hAnsi="宋体" w:eastAsia="宋体" w:cs="宋体"/>
                <w:kern w:val="2"/>
                <w:highlight w:val="none"/>
              </w:rPr>
              <w:t>少数民族</w:t>
            </w:r>
          </w:p>
          <w:p w14:paraId="244817DF">
            <w:pPr>
              <w:ind w:firstLine="0"/>
              <w:jc w:val="both"/>
              <w:rPr>
                <w:rFonts w:ascii="宋体" w:hAnsi="宋体" w:eastAsia="宋体" w:cs="宋体"/>
                <w:kern w:val="2"/>
                <w:highlight w:val="none"/>
              </w:rPr>
            </w:pPr>
            <w:r>
              <w:rPr>
                <w:rFonts w:hint="eastAsia" w:ascii="宋体" w:hAnsi="宋体" w:eastAsia="宋体" w:cs="宋体"/>
                <w:kern w:val="2"/>
                <w:highlight w:val="none"/>
              </w:rPr>
              <w:t>数量</w:t>
            </w:r>
          </w:p>
        </w:tc>
        <w:tc>
          <w:tcPr>
            <w:tcW w:w="1465" w:type="dxa"/>
          </w:tcPr>
          <w:p w14:paraId="55DF295F">
            <w:pPr>
              <w:ind w:firstLine="0"/>
              <w:jc w:val="both"/>
              <w:rPr>
                <w:rFonts w:ascii="宋体" w:hAnsi="宋体" w:eastAsia="宋体" w:cs="宋体"/>
                <w:kern w:val="2"/>
                <w:highlight w:val="none"/>
              </w:rPr>
            </w:pPr>
          </w:p>
        </w:tc>
      </w:tr>
      <w:tr w14:paraId="2653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50B4107C">
            <w:pPr>
              <w:ind w:firstLine="0"/>
              <w:jc w:val="both"/>
              <w:rPr>
                <w:rFonts w:ascii="宋体" w:hAnsi="宋体" w:eastAsia="宋体" w:cs="宋体"/>
                <w:kern w:val="2"/>
                <w:highlight w:val="none"/>
              </w:rPr>
            </w:pPr>
            <w:r>
              <w:rPr>
                <w:rFonts w:hint="eastAsia" w:ascii="宋体" w:hAnsi="宋体" w:eastAsia="宋体" w:cs="宋体"/>
                <w:kern w:val="2"/>
                <w:highlight w:val="none"/>
              </w:rPr>
              <w:t>存在直接控股、管理关系的相关供应商</w:t>
            </w:r>
          </w:p>
        </w:tc>
      </w:tr>
      <w:tr w14:paraId="7554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5D47CB6">
            <w:pPr>
              <w:ind w:firstLine="0"/>
              <w:jc w:val="both"/>
              <w:rPr>
                <w:rFonts w:ascii="宋体" w:hAnsi="宋体" w:eastAsia="宋体" w:cs="宋体"/>
                <w:kern w:val="2"/>
                <w:highlight w:val="none"/>
              </w:rPr>
            </w:pPr>
            <w:r>
              <w:rPr>
                <w:rFonts w:hint="eastAsia" w:ascii="宋体" w:hAnsi="宋体" w:eastAsia="宋体" w:cs="宋体"/>
                <w:kern w:val="2"/>
                <w:highlight w:val="none"/>
              </w:rPr>
              <w:t>关系</w:t>
            </w:r>
          </w:p>
        </w:tc>
        <w:tc>
          <w:tcPr>
            <w:tcW w:w="6756" w:type="dxa"/>
            <w:gridSpan w:val="5"/>
          </w:tcPr>
          <w:p w14:paraId="35C56831">
            <w:pPr>
              <w:ind w:firstLine="0"/>
              <w:jc w:val="both"/>
              <w:rPr>
                <w:rFonts w:ascii="宋体" w:hAnsi="宋体" w:eastAsia="宋体" w:cs="宋体"/>
                <w:kern w:val="2"/>
                <w:highlight w:val="none"/>
              </w:rPr>
            </w:pPr>
            <w:r>
              <w:rPr>
                <w:rFonts w:hint="eastAsia" w:ascii="宋体" w:hAnsi="宋体" w:eastAsia="宋体" w:cs="宋体"/>
                <w:kern w:val="2"/>
                <w:highlight w:val="none"/>
              </w:rPr>
              <w:t>供应商名称</w:t>
            </w:r>
          </w:p>
        </w:tc>
      </w:tr>
      <w:tr w14:paraId="38CD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4D9671E">
            <w:pPr>
              <w:ind w:firstLine="0"/>
              <w:jc w:val="both"/>
              <w:rPr>
                <w:rFonts w:ascii="宋体" w:hAnsi="宋体" w:eastAsia="宋体" w:cs="宋体"/>
                <w:kern w:val="2"/>
                <w:highlight w:val="none"/>
              </w:rPr>
            </w:pPr>
          </w:p>
        </w:tc>
        <w:tc>
          <w:tcPr>
            <w:tcW w:w="6756" w:type="dxa"/>
            <w:gridSpan w:val="5"/>
          </w:tcPr>
          <w:p w14:paraId="7BA7071E">
            <w:pPr>
              <w:ind w:firstLine="0"/>
              <w:jc w:val="both"/>
              <w:rPr>
                <w:rFonts w:ascii="宋体" w:hAnsi="宋体" w:eastAsia="宋体" w:cs="宋体"/>
                <w:kern w:val="2"/>
                <w:highlight w:val="none"/>
              </w:rPr>
            </w:pPr>
          </w:p>
        </w:tc>
      </w:tr>
      <w:tr w14:paraId="294F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1C14907">
            <w:pPr>
              <w:ind w:firstLine="0"/>
              <w:jc w:val="both"/>
              <w:rPr>
                <w:rFonts w:ascii="宋体" w:hAnsi="宋体" w:eastAsia="宋体" w:cs="宋体"/>
                <w:kern w:val="2"/>
                <w:highlight w:val="none"/>
              </w:rPr>
            </w:pPr>
          </w:p>
        </w:tc>
        <w:tc>
          <w:tcPr>
            <w:tcW w:w="6756" w:type="dxa"/>
            <w:gridSpan w:val="5"/>
          </w:tcPr>
          <w:p w14:paraId="114EDE02">
            <w:pPr>
              <w:ind w:firstLine="0"/>
              <w:jc w:val="both"/>
              <w:rPr>
                <w:rFonts w:ascii="宋体" w:hAnsi="宋体" w:eastAsia="宋体" w:cs="宋体"/>
                <w:kern w:val="2"/>
                <w:highlight w:val="none"/>
              </w:rPr>
            </w:pPr>
          </w:p>
        </w:tc>
      </w:tr>
      <w:tr w14:paraId="1A9E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474892FA">
            <w:pPr>
              <w:ind w:firstLine="0"/>
              <w:jc w:val="both"/>
              <w:rPr>
                <w:rFonts w:ascii="宋体" w:hAnsi="宋体" w:eastAsia="宋体" w:cs="宋体"/>
                <w:kern w:val="2"/>
                <w:highlight w:val="none"/>
              </w:rPr>
            </w:pPr>
            <w:r>
              <w:rPr>
                <w:rFonts w:hint="eastAsia" w:ascii="宋体" w:hAnsi="宋体" w:eastAsia="宋体" w:cs="宋体"/>
                <w:kern w:val="2"/>
                <w:highlight w:val="none"/>
              </w:rPr>
              <w:t>说明</w:t>
            </w:r>
          </w:p>
        </w:tc>
        <w:tc>
          <w:tcPr>
            <w:tcW w:w="6756" w:type="dxa"/>
            <w:gridSpan w:val="5"/>
          </w:tcPr>
          <w:p w14:paraId="477AC037">
            <w:pPr>
              <w:ind w:firstLine="0"/>
              <w:jc w:val="both"/>
              <w:rPr>
                <w:rFonts w:ascii="宋体" w:hAnsi="宋体" w:eastAsia="宋体" w:cs="宋体"/>
                <w:kern w:val="2"/>
                <w:highlight w:val="none"/>
              </w:rPr>
            </w:pPr>
            <w:r>
              <w:rPr>
                <w:rFonts w:hint="eastAsia" w:ascii="宋体" w:hAnsi="宋体" w:eastAsia="宋体" w:cs="宋体"/>
                <w:kern w:val="2"/>
                <w:highlight w:val="none"/>
              </w:rPr>
              <w:t>1.成立时间至提交投标文件截止时间不足一年的可不填写“上年度营业收入”；</w:t>
            </w:r>
          </w:p>
          <w:p w14:paraId="4BACBF7C">
            <w:pPr>
              <w:ind w:firstLine="0"/>
              <w:jc w:val="both"/>
              <w:rPr>
                <w:rFonts w:ascii="宋体" w:hAnsi="宋体" w:eastAsia="宋体" w:cs="宋体"/>
                <w:kern w:val="2"/>
                <w:highlight w:val="none"/>
              </w:rPr>
            </w:pPr>
            <w:r>
              <w:rPr>
                <w:rFonts w:hint="eastAsia" w:ascii="宋体" w:hAnsi="宋体" w:eastAsia="宋体" w:cs="宋体"/>
                <w:kern w:val="2"/>
                <w:highlight w:val="none"/>
              </w:rPr>
              <w:t>2.表格空间不足时，请自行扩展。</w:t>
            </w:r>
          </w:p>
        </w:tc>
      </w:tr>
    </w:tbl>
    <w:p w14:paraId="70E96113">
      <w:pPr>
        <w:rPr>
          <w:rFonts w:ascii="宋体" w:hAnsi="宋体" w:eastAsia="宋体" w:cs="宋体"/>
          <w:highlight w:val="none"/>
        </w:rPr>
      </w:pPr>
    </w:p>
    <w:p w14:paraId="52453358">
      <w:pPr>
        <w:rPr>
          <w:rFonts w:ascii="宋体" w:hAnsi="宋体" w:eastAsia="宋体" w:cs="宋体"/>
          <w:highlight w:val="none"/>
        </w:rPr>
      </w:pPr>
      <w:r>
        <w:rPr>
          <w:rFonts w:hint="eastAsia" w:ascii="宋体" w:hAnsi="宋体" w:eastAsia="宋体" w:cs="宋体"/>
          <w:highlight w:val="none"/>
        </w:rPr>
        <w:br w:type="page"/>
      </w:r>
    </w:p>
    <w:p w14:paraId="4CF47737">
      <w:pPr>
        <w:pStyle w:val="4"/>
        <w:ind w:firstLine="499"/>
        <w:jc w:val="center"/>
        <w:rPr>
          <w:rFonts w:ascii="宋体" w:hAnsi="宋体" w:cs="宋体"/>
          <w:b/>
          <w:bCs/>
          <w:sz w:val="24"/>
          <w:szCs w:val="24"/>
          <w:highlight w:val="none"/>
        </w:rPr>
      </w:pPr>
      <w:r>
        <w:rPr>
          <w:rFonts w:hint="eastAsia" w:ascii="宋体" w:hAnsi="宋体" w:cs="宋体"/>
          <w:b/>
          <w:bCs/>
          <w:sz w:val="24"/>
          <w:szCs w:val="24"/>
          <w:highlight w:val="none"/>
        </w:rPr>
        <w:t>第五部分  商务和需求响应偏离表</w:t>
      </w:r>
      <w:bookmarkEnd w:id="196"/>
      <w:bookmarkEnd w:id="197"/>
      <w:bookmarkEnd w:id="198"/>
      <w:bookmarkEnd w:id="199"/>
      <w:bookmarkEnd w:id="200"/>
      <w:bookmarkEnd w:id="201"/>
      <w:bookmarkEnd w:id="202"/>
    </w:p>
    <w:p w14:paraId="35BB1BE3">
      <w:pPr>
        <w:kinsoku w:val="0"/>
        <w:spacing w:line="480" w:lineRule="auto"/>
        <w:ind w:left="1093" w:hanging="1091" w:hangingChars="440"/>
        <w:rPr>
          <w:rFonts w:ascii="宋体" w:hAnsi="宋体" w:eastAsia="宋体" w:cs="宋体"/>
          <w:highlight w:val="none"/>
        </w:rPr>
      </w:pPr>
      <w:r>
        <w:rPr>
          <w:rFonts w:hint="eastAsia" w:ascii="宋体" w:hAnsi="宋体" w:eastAsia="宋体" w:cs="宋体"/>
          <w:highlight w:val="none"/>
        </w:rPr>
        <w:t>表1、商务响应偏差表</w:t>
      </w:r>
    </w:p>
    <w:tbl>
      <w:tblPr>
        <w:tblStyle w:val="34"/>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0"/>
        <w:gridCol w:w="1725"/>
        <w:gridCol w:w="2789"/>
        <w:gridCol w:w="1354"/>
        <w:gridCol w:w="1396"/>
      </w:tblGrid>
      <w:tr w14:paraId="4014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63" w:type="dxa"/>
            <w:vAlign w:val="center"/>
          </w:tcPr>
          <w:p w14:paraId="34F3872A">
            <w:pPr>
              <w:pStyle w:val="19"/>
              <w:spacing w:line="480" w:lineRule="auto"/>
              <w:jc w:val="center"/>
              <w:rPr>
                <w:rFonts w:hAnsi="宋体" w:eastAsia="宋体" w:cs="宋体"/>
                <w:sz w:val="24"/>
                <w:highlight w:val="none"/>
              </w:rPr>
            </w:pPr>
            <w:r>
              <w:rPr>
                <w:rFonts w:hint="eastAsia" w:hAnsi="宋体" w:eastAsia="宋体" w:cs="宋体"/>
                <w:sz w:val="24"/>
                <w:highlight w:val="none"/>
              </w:rPr>
              <w:t>序号</w:t>
            </w:r>
          </w:p>
        </w:tc>
        <w:tc>
          <w:tcPr>
            <w:tcW w:w="1230" w:type="dxa"/>
            <w:vAlign w:val="center"/>
          </w:tcPr>
          <w:p w14:paraId="42EB0D35">
            <w:pPr>
              <w:pStyle w:val="19"/>
              <w:spacing w:line="480" w:lineRule="auto"/>
              <w:rPr>
                <w:rFonts w:hAnsi="宋体" w:eastAsia="宋体" w:cs="宋体"/>
                <w:sz w:val="24"/>
                <w:highlight w:val="none"/>
              </w:rPr>
            </w:pPr>
            <w:r>
              <w:rPr>
                <w:rFonts w:hint="eastAsia" w:hAnsi="宋体" w:eastAsia="宋体" w:cs="宋体"/>
                <w:sz w:val="24"/>
                <w:highlight w:val="none"/>
              </w:rPr>
              <w:t>商务条款</w:t>
            </w:r>
          </w:p>
        </w:tc>
        <w:tc>
          <w:tcPr>
            <w:tcW w:w="1725" w:type="dxa"/>
            <w:vAlign w:val="center"/>
          </w:tcPr>
          <w:p w14:paraId="1D0CFAC5">
            <w:pPr>
              <w:pStyle w:val="19"/>
              <w:spacing w:line="480" w:lineRule="auto"/>
              <w:rPr>
                <w:rFonts w:hAnsi="宋体" w:eastAsia="宋体" w:cs="宋体"/>
                <w:sz w:val="24"/>
                <w:highlight w:val="none"/>
              </w:rPr>
            </w:pPr>
            <w:r>
              <w:rPr>
                <w:rFonts w:hint="eastAsia" w:hAnsi="宋体" w:eastAsia="宋体" w:cs="宋体"/>
                <w:sz w:val="24"/>
                <w:highlight w:val="none"/>
              </w:rPr>
              <w:t>商务要求内容</w:t>
            </w:r>
          </w:p>
        </w:tc>
        <w:tc>
          <w:tcPr>
            <w:tcW w:w="2789" w:type="dxa"/>
            <w:vAlign w:val="center"/>
          </w:tcPr>
          <w:p w14:paraId="1990DE2E">
            <w:pPr>
              <w:pStyle w:val="19"/>
              <w:spacing w:line="480" w:lineRule="auto"/>
              <w:rPr>
                <w:rFonts w:hAnsi="宋体" w:eastAsia="宋体" w:cs="宋体"/>
                <w:sz w:val="24"/>
                <w:highlight w:val="none"/>
              </w:rPr>
            </w:pPr>
            <w:r>
              <w:rPr>
                <w:rFonts w:hint="eastAsia" w:hAnsi="宋体" w:eastAsia="宋体" w:cs="宋体"/>
                <w:sz w:val="24"/>
                <w:highlight w:val="none"/>
              </w:rPr>
              <w:t>投标文件响应商务内容</w:t>
            </w:r>
          </w:p>
        </w:tc>
        <w:tc>
          <w:tcPr>
            <w:tcW w:w="1354" w:type="dxa"/>
            <w:vAlign w:val="center"/>
          </w:tcPr>
          <w:p w14:paraId="297A2B6E">
            <w:pPr>
              <w:pStyle w:val="19"/>
              <w:spacing w:line="480" w:lineRule="auto"/>
              <w:jc w:val="center"/>
              <w:rPr>
                <w:rFonts w:hAnsi="宋体" w:eastAsia="宋体" w:cs="宋体"/>
                <w:sz w:val="24"/>
                <w:highlight w:val="none"/>
              </w:rPr>
            </w:pPr>
            <w:r>
              <w:rPr>
                <w:rFonts w:hint="eastAsia" w:hAnsi="宋体" w:eastAsia="宋体" w:cs="宋体"/>
                <w:sz w:val="24"/>
                <w:highlight w:val="none"/>
              </w:rPr>
              <w:t>偏离情况</w:t>
            </w:r>
          </w:p>
        </w:tc>
        <w:tc>
          <w:tcPr>
            <w:tcW w:w="1396" w:type="dxa"/>
            <w:vAlign w:val="center"/>
          </w:tcPr>
          <w:p w14:paraId="31A659DA">
            <w:pPr>
              <w:pStyle w:val="19"/>
              <w:spacing w:line="480" w:lineRule="auto"/>
              <w:jc w:val="center"/>
              <w:rPr>
                <w:rFonts w:hAnsi="宋体" w:eastAsia="宋体" w:cs="宋体"/>
                <w:sz w:val="24"/>
                <w:highlight w:val="none"/>
              </w:rPr>
            </w:pPr>
            <w:r>
              <w:rPr>
                <w:rFonts w:hint="eastAsia" w:hAnsi="宋体" w:eastAsia="宋体" w:cs="宋体"/>
                <w:sz w:val="24"/>
                <w:highlight w:val="none"/>
              </w:rPr>
              <w:t>说明</w:t>
            </w:r>
          </w:p>
        </w:tc>
      </w:tr>
      <w:tr w14:paraId="1ABA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14:paraId="7ACBD1B3">
            <w:pPr>
              <w:pStyle w:val="19"/>
              <w:spacing w:line="480" w:lineRule="auto"/>
              <w:ind w:firstLine="496" w:firstLineChars="200"/>
              <w:rPr>
                <w:rFonts w:hAnsi="宋体" w:eastAsia="宋体" w:cs="宋体"/>
                <w:sz w:val="24"/>
                <w:highlight w:val="none"/>
              </w:rPr>
            </w:pPr>
          </w:p>
        </w:tc>
        <w:tc>
          <w:tcPr>
            <w:tcW w:w="1230" w:type="dxa"/>
          </w:tcPr>
          <w:p w14:paraId="6EC1CB91">
            <w:pPr>
              <w:pStyle w:val="19"/>
              <w:spacing w:line="480" w:lineRule="auto"/>
              <w:ind w:firstLine="496" w:firstLineChars="200"/>
              <w:rPr>
                <w:rFonts w:hAnsi="宋体" w:eastAsia="宋体" w:cs="宋体"/>
                <w:sz w:val="24"/>
                <w:highlight w:val="none"/>
              </w:rPr>
            </w:pPr>
          </w:p>
        </w:tc>
        <w:tc>
          <w:tcPr>
            <w:tcW w:w="1725" w:type="dxa"/>
            <w:vAlign w:val="center"/>
          </w:tcPr>
          <w:p w14:paraId="77490303">
            <w:pPr>
              <w:pStyle w:val="19"/>
              <w:spacing w:line="480" w:lineRule="auto"/>
              <w:ind w:firstLine="496" w:firstLineChars="200"/>
              <w:rPr>
                <w:rFonts w:hAnsi="宋体" w:eastAsia="宋体" w:cs="宋体"/>
                <w:sz w:val="24"/>
                <w:highlight w:val="none"/>
              </w:rPr>
            </w:pPr>
          </w:p>
        </w:tc>
        <w:tc>
          <w:tcPr>
            <w:tcW w:w="2789" w:type="dxa"/>
            <w:vAlign w:val="center"/>
          </w:tcPr>
          <w:p w14:paraId="2D08E07F">
            <w:pPr>
              <w:pStyle w:val="19"/>
              <w:spacing w:line="480" w:lineRule="auto"/>
              <w:ind w:firstLine="496" w:firstLineChars="200"/>
              <w:rPr>
                <w:rFonts w:hAnsi="宋体" w:eastAsia="宋体" w:cs="宋体"/>
                <w:sz w:val="24"/>
                <w:highlight w:val="none"/>
              </w:rPr>
            </w:pPr>
          </w:p>
        </w:tc>
        <w:tc>
          <w:tcPr>
            <w:tcW w:w="1354" w:type="dxa"/>
            <w:vAlign w:val="center"/>
          </w:tcPr>
          <w:p w14:paraId="4108D0C2">
            <w:pPr>
              <w:pStyle w:val="19"/>
              <w:spacing w:line="480" w:lineRule="auto"/>
              <w:ind w:firstLine="496" w:firstLineChars="200"/>
              <w:rPr>
                <w:rFonts w:hAnsi="宋体" w:eastAsia="宋体" w:cs="宋体"/>
                <w:sz w:val="24"/>
                <w:highlight w:val="none"/>
              </w:rPr>
            </w:pPr>
          </w:p>
        </w:tc>
        <w:tc>
          <w:tcPr>
            <w:tcW w:w="1396" w:type="dxa"/>
            <w:vAlign w:val="center"/>
          </w:tcPr>
          <w:p w14:paraId="0D68A6B3">
            <w:pPr>
              <w:pStyle w:val="19"/>
              <w:spacing w:line="480" w:lineRule="auto"/>
              <w:ind w:firstLine="496" w:firstLineChars="200"/>
              <w:rPr>
                <w:rFonts w:hAnsi="宋体" w:eastAsia="宋体" w:cs="宋体"/>
                <w:sz w:val="24"/>
                <w:highlight w:val="none"/>
              </w:rPr>
            </w:pPr>
          </w:p>
        </w:tc>
      </w:tr>
      <w:tr w14:paraId="1593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14:paraId="5CD9A44E">
            <w:pPr>
              <w:pStyle w:val="19"/>
              <w:spacing w:line="480" w:lineRule="auto"/>
              <w:ind w:firstLine="496" w:firstLineChars="200"/>
              <w:rPr>
                <w:rFonts w:hAnsi="宋体" w:eastAsia="宋体" w:cs="宋体"/>
                <w:sz w:val="24"/>
                <w:highlight w:val="none"/>
              </w:rPr>
            </w:pPr>
          </w:p>
        </w:tc>
        <w:tc>
          <w:tcPr>
            <w:tcW w:w="1230" w:type="dxa"/>
          </w:tcPr>
          <w:p w14:paraId="4E8E1FC3">
            <w:pPr>
              <w:pStyle w:val="19"/>
              <w:spacing w:line="480" w:lineRule="auto"/>
              <w:ind w:firstLine="496" w:firstLineChars="200"/>
              <w:rPr>
                <w:rFonts w:hAnsi="宋体" w:eastAsia="宋体" w:cs="宋体"/>
                <w:sz w:val="24"/>
                <w:highlight w:val="none"/>
              </w:rPr>
            </w:pPr>
          </w:p>
        </w:tc>
        <w:tc>
          <w:tcPr>
            <w:tcW w:w="1725" w:type="dxa"/>
          </w:tcPr>
          <w:p w14:paraId="64F06846">
            <w:pPr>
              <w:pStyle w:val="19"/>
              <w:spacing w:line="480" w:lineRule="auto"/>
              <w:ind w:firstLine="496" w:firstLineChars="200"/>
              <w:rPr>
                <w:rFonts w:hAnsi="宋体" w:eastAsia="宋体" w:cs="宋体"/>
                <w:sz w:val="24"/>
                <w:highlight w:val="none"/>
              </w:rPr>
            </w:pPr>
          </w:p>
        </w:tc>
        <w:tc>
          <w:tcPr>
            <w:tcW w:w="2789" w:type="dxa"/>
          </w:tcPr>
          <w:p w14:paraId="37B55C0C">
            <w:pPr>
              <w:pStyle w:val="19"/>
              <w:spacing w:line="480" w:lineRule="auto"/>
              <w:ind w:firstLine="496" w:firstLineChars="200"/>
              <w:rPr>
                <w:rFonts w:hAnsi="宋体" w:eastAsia="宋体" w:cs="宋体"/>
                <w:sz w:val="24"/>
                <w:highlight w:val="none"/>
              </w:rPr>
            </w:pPr>
          </w:p>
        </w:tc>
        <w:tc>
          <w:tcPr>
            <w:tcW w:w="1354" w:type="dxa"/>
          </w:tcPr>
          <w:p w14:paraId="1589F72E">
            <w:pPr>
              <w:pStyle w:val="19"/>
              <w:spacing w:line="480" w:lineRule="auto"/>
              <w:ind w:firstLine="496" w:firstLineChars="200"/>
              <w:rPr>
                <w:rFonts w:hAnsi="宋体" w:eastAsia="宋体" w:cs="宋体"/>
                <w:sz w:val="24"/>
                <w:highlight w:val="none"/>
              </w:rPr>
            </w:pPr>
          </w:p>
        </w:tc>
        <w:tc>
          <w:tcPr>
            <w:tcW w:w="1396" w:type="dxa"/>
          </w:tcPr>
          <w:p w14:paraId="49EFB718">
            <w:pPr>
              <w:pStyle w:val="19"/>
              <w:spacing w:line="480" w:lineRule="auto"/>
              <w:ind w:firstLine="496" w:firstLineChars="200"/>
              <w:rPr>
                <w:rFonts w:hAnsi="宋体" w:eastAsia="宋体" w:cs="宋体"/>
                <w:sz w:val="24"/>
                <w:highlight w:val="none"/>
              </w:rPr>
            </w:pPr>
          </w:p>
        </w:tc>
      </w:tr>
      <w:tr w14:paraId="1C21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14:paraId="2DA37FC2">
            <w:pPr>
              <w:pStyle w:val="19"/>
              <w:spacing w:line="480" w:lineRule="auto"/>
              <w:ind w:firstLine="496" w:firstLineChars="200"/>
              <w:rPr>
                <w:rFonts w:hAnsi="宋体" w:eastAsia="宋体" w:cs="宋体"/>
                <w:sz w:val="24"/>
                <w:highlight w:val="none"/>
              </w:rPr>
            </w:pPr>
          </w:p>
        </w:tc>
        <w:tc>
          <w:tcPr>
            <w:tcW w:w="1230" w:type="dxa"/>
          </w:tcPr>
          <w:p w14:paraId="4932E772">
            <w:pPr>
              <w:pStyle w:val="19"/>
              <w:spacing w:line="480" w:lineRule="auto"/>
              <w:ind w:firstLine="496" w:firstLineChars="200"/>
              <w:rPr>
                <w:rFonts w:hAnsi="宋体" w:eastAsia="宋体" w:cs="宋体"/>
                <w:sz w:val="24"/>
                <w:highlight w:val="none"/>
              </w:rPr>
            </w:pPr>
          </w:p>
        </w:tc>
        <w:tc>
          <w:tcPr>
            <w:tcW w:w="1725" w:type="dxa"/>
          </w:tcPr>
          <w:p w14:paraId="1B7B81D0">
            <w:pPr>
              <w:pStyle w:val="19"/>
              <w:spacing w:line="480" w:lineRule="auto"/>
              <w:ind w:firstLine="496" w:firstLineChars="200"/>
              <w:rPr>
                <w:rFonts w:hAnsi="宋体" w:eastAsia="宋体" w:cs="宋体"/>
                <w:sz w:val="24"/>
                <w:highlight w:val="none"/>
              </w:rPr>
            </w:pPr>
          </w:p>
        </w:tc>
        <w:tc>
          <w:tcPr>
            <w:tcW w:w="2789" w:type="dxa"/>
          </w:tcPr>
          <w:p w14:paraId="32C19634">
            <w:pPr>
              <w:pStyle w:val="19"/>
              <w:spacing w:line="480" w:lineRule="auto"/>
              <w:ind w:firstLine="496" w:firstLineChars="200"/>
              <w:rPr>
                <w:rFonts w:hAnsi="宋体" w:eastAsia="宋体" w:cs="宋体"/>
                <w:sz w:val="24"/>
                <w:highlight w:val="none"/>
              </w:rPr>
            </w:pPr>
          </w:p>
        </w:tc>
        <w:tc>
          <w:tcPr>
            <w:tcW w:w="1354" w:type="dxa"/>
          </w:tcPr>
          <w:p w14:paraId="42B3F08B">
            <w:pPr>
              <w:pStyle w:val="19"/>
              <w:spacing w:line="480" w:lineRule="auto"/>
              <w:ind w:firstLine="496" w:firstLineChars="200"/>
              <w:rPr>
                <w:rFonts w:hAnsi="宋体" w:eastAsia="宋体" w:cs="宋体"/>
                <w:sz w:val="24"/>
                <w:highlight w:val="none"/>
              </w:rPr>
            </w:pPr>
          </w:p>
        </w:tc>
        <w:tc>
          <w:tcPr>
            <w:tcW w:w="1396" w:type="dxa"/>
          </w:tcPr>
          <w:p w14:paraId="090D65CF">
            <w:pPr>
              <w:pStyle w:val="19"/>
              <w:spacing w:line="480" w:lineRule="auto"/>
              <w:ind w:firstLine="496" w:firstLineChars="200"/>
              <w:rPr>
                <w:rFonts w:hAnsi="宋体" w:eastAsia="宋体" w:cs="宋体"/>
                <w:sz w:val="24"/>
                <w:highlight w:val="none"/>
              </w:rPr>
            </w:pPr>
          </w:p>
        </w:tc>
      </w:tr>
      <w:tr w14:paraId="2533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14:paraId="23C7C375">
            <w:pPr>
              <w:pStyle w:val="19"/>
              <w:spacing w:line="480" w:lineRule="auto"/>
              <w:ind w:firstLine="496" w:firstLineChars="200"/>
              <w:rPr>
                <w:rFonts w:hAnsi="宋体" w:eastAsia="宋体" w:cs="宋体"/>
                <w:sz w:val="24"/>
                <w:highlight w:val="none"/>
              </w:rPr>
            </w:pPr>
          </w:p>
        </w:tc>
        <w:tc>
          <w:tcPr>
            <w:tcW w:w="1230" w:type="dxa"/>
          </w:tcPr>
          <w:p w14:paraId="61134D55">
            <w:pPr>
              <w:pStyle w:val="19"/>
              <w:spacing w:line="480" w:lineRule="auto"/>
              <w:ind w:firstLine="496" w:firstLineChars="200"/>
              <w:rPr>
                <w:rFonts w:hAnsi="宋体" w:eastAsia="宋体" w:cs="宋体"/>
                <w:sz w:val="24"/>
                <w:highlight w:val="none"/>
              </w:rPr>
            </w:pPr>
          </w:p>
        </w:tc>
        <w:tc>
          <w:tcPr>
            <w:tcW w:w="1725" w:type="dxa"/>
          </w:tcPr>
          <w:p w14:paraId="30F2221A">
            <w:pPr>
              <w:pStyle w:val="19"/>
              <w:spacing w:line="480" w:lineRule="auto"/>
              <w:ind w:firstLine="496" w:firstLineChars="200"/>
              <w:rPr>
                <w:rFonts w:hAnsi="宋体" w:eastAsia="宋体" w:cs="宋体"/>
                <w:sz w:val="24"/>
                <w:highlight w:val="none"/>
              </w:rPr>
            </w:pPr>
          </w:p>
        </w:tc>
        <w:tc>
          <w:tcPr>
            <w:tcW w:w="2789" w:type="dxa"/>
          </w:tcPr>
          <w:p w14:paraId="130758F9">
            <w:pPr>
              <w:pStyle w:val="19"/>
              <w:spacing w:line="480" w:lineRule="auto"/>
              <w:ind w:firstLine="496" w:firstLineChars="200"/>
              <w:rPr>
                <w:rFonts w:hAnsi="宋体" w:eastAsia="宋体" w:cs="宋体"/>
                <w:sz w:val="24"/>
                <w:highlight w:val="none"/>
              </w:rPr>
            </w:pPr>
          </w:p>
        </w:tc>
        <w:tc>
          <w:tcPr>
            <w:tcW w:w="1354" w:type="dxa"/>
          </w:tcPr>
          <w:p w14:paraId="2FD493C7">
            <w:pPr>
              <w:pStyle w:val="19"/>
              <w:spacing w:line="480" w:lineRule="auto"/>
              <w:ind w:firstLine="496" w:firstLineChars="200"/>
              <w:rPr>
                <w:rFonts w:hAnsi="宋体" w:eastAsia="宋体" w:cs="宋体"/>
                <w:sz w:val="24"/>
                <w:highlight w:val="none"/>
              </w:rPr>
            </w:pPr>
          </w:p>
        </w:tc>
        <w:tc>
          <w:tcPr>
            <w:tcW w:w="1396" w:type="dxa"/>
          </w:tcPr>
          <w:p w14:paraId="5E0F3B91">
            <w:pPr>
              <w:pStyle w:val="19"/>
              <w:spacing w:line="480" w:lineRule="auto"/>
              <w:ind w:firstLine="496" w:firstLineChars="200"/>
              <w:rPr>
                <w:rFonts w:hAnsi="宋体" w:eastAsia="宋体" w:cs="宋体"/>
                <w:sz w:val="24"/>
                <w:highlight w:val="none"/>
              </w:rPr>
            </w:pPr>
          </w:p>
        </w:tc>
      </w:tr>
      <w:tr w14:paraId="111B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14:paraId="297631F5">
            <w:pPr>
              <w:pStyle w:val="19"/>
              <w:spacing w:line="480" w:lineRule="auto"/>
              <w:ind w:firstLine="496" w:firstLineChars="200"/>
              <w:rPr>
                <w:rFonts w:hAnsi="宋体" w:eastAsia="宋体" w:cs="宋体"/>
                <w:sz w:val="24"/>
                <w:highlight w:val="none"/>
              </w:rPr>
            </w:pPr>
          </w:p>
        </w:tc>
        <w:tc>
          <w:tcPr>
            <w:tcW w:w="1230" w:type="dxa"/>
          </w:tcPr>
          <w:p w14:paraId="21A2F0FD">
            <w:pPr>
              <w:pStyle w:val="19"/>
              <w:spacing w:line="480" w:lineRule="auto"/>
              <w:ind w:firstLine="496" w:firstLineChars="200"/>
              <w:rPr>
                <w:rFonts w:hAnsi="宋体" w:eastAsia="宋体" w:cs="宋体"/>
                <w:sz w:val="24"/>
                <w:highlight w:val="none"/>
              </w:rPr>
            </w:pPr>
          </w:p>
        </w:tc>
        <w:tc>
          <w:tcPr>
            <w:tcW w:w="1725" w:type="dxa"/>
          </w:tcPr>
          <w:p w14:paraId="11C1CE90">
            <w:pPr>
              <w:pStyle w:val="19"/>
              <w:spacing w:line="480" w:lineRule="auto"/>
              <w:ind w:firstLine="496" w:firstLineChars="200"/>
              <w:rPr>
                <w:rFonts w:hAnsi="宋体" w:eastAsia="宋体" w:cs="宋体"/>
                <w:sz w:val="24"/>
                <w:highlight w:val="none"/>
              </w:rPr>
            </w:pPr>
          </w:p>
        </w:tc>
        <w:tc>
          <w:tcPr>
            <w:tcW w:w="2789" w:type="dxa"/>
          </w:tcPr>
          <w:p w14:paraId="6FDDF694">
            <w:pPr>
              <w:pStyle w:val="19"/>
              <w:spacing w:line="480" w:lineRule="auto"/>
              <w:ind w:firstLine="496" w:firstLineChars="200"/>
              <w:rPr>
                <w:rFonts w:hAnsi="宋体" w:eastAsia="宋体" w:cs="宋体"/>
                <w:sz w:val="24"/>
                <w:highlight w:val="none"/>
              </w:rPr>
            </w:pPr>
          </w:p>
        </w:tc>
        <w:tc>
          <w:tcPr>
            <w:tcW w:w="1354" w:type="dxa"/>
          </w:tcPr>
          <w:p w14:paraId="0D73AE59">
            <w:pPr>
              <w:pStyle w:val="19"/>
              <w:spacing w:line="480" w:lineRule="auto"/>
              <w:ind w:firstLine="496" w:firstLineChars="200"/>
              <w:rPr>
                <w:rFonts w:hAnsi="宋体" w:eastAsia="宋体" w:cs="宋体"/>
                <w:sz w:val="24"/>
                <w:highlight w:val="none"/>
              </w:rPr>
            </w:pPr>
          </w:p>
        </w:tc>
        <w:tc>
          <w:tcPr>
            <w:tcW w:w="1396" w:type="dxa"/>
          </w:tcPr>
          <w:p w14:paraId="406FAE73">
            <w:pPr>
              <w:pStyle w:val="19"/>
              <w:spacing w:line="480" w:lineRule="auto"/>
              <w:ind w:firstLine="496" w:firstLineChars="200"/>
              <w:rPr>
                <w:rFonts w:hAnsi="宋体" w:eastAsia="宋体" w:cs="宋体"/>
                <w:sz w:val="24"/>
                <w:highlight w:val="none"/>
              </w:rPr>
            </w:pPr>
          </w:p>
        </w:tc>
      </w:tr>
      <w:tr w14:paraId="1722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63" w:type="dxa"/>
          </w:tcPr>
          <w:p w14:paraId="363EA807">
            <w:pPr>
              <w:pStyle w:val="19"/>
              <w:spacing w:line="480" w:lineRule="auto"/>
              <w:rPr>
                <w:rFonts w:hAnsi="宋体" w:eastAsia="宋体" w:cs="宋体"/>
                <w:sz w:val="24"/>
                <w:highlight w:val="none"/>
              </w:rPr>
            </w:pPr>
            <w:r>
              <w:rPr>
                <w:rFonts w:hint="eastAsia" w:hAnsi="宋体" w:eastAsia="宋体" w:cs="宋体"/>
                <w:sz w:val="24"/>
                <w:highlight w:val="none"/>
              </w:rPr>
              <w:t>....</w:t>
            </w:r>
          </w:p>
        </w:tc>
        <w:tc>
          <w:tcPr>
            <w:tcW w:w="1230" w:type="dxa"/>
          </w:tcPr>
          <w:p w14:paraId="693D8B0B">
            <w:pPr>
              <w:pStyle w:val="19"/>
              <w:spacing w:line="480" w:lineRule="auto"/>
              <w:rPr>
                <w:rFonts w:hAnsi="宋体" w:eastAsia="宋体" w:cs="宋体"/>
                <w:sz w:val="24"/>
                <w:highlight w:val="none"/>
              </w:rPr>
            </w:pPr>
            <w:r>
              <w:rPr>
                <w:rFonts w:hint="eastAsia" w:hAnsi="宋体" w:eastAsia="宋体" w:cs="宋体"/>
                <w:sz w:val="24"/>
                <w:highlight w:val="none"/>
              </w:rPr>
              <w:t>合同其他条款</w:t>
            </w:r>
          </w:p>
        </w:tc>
        <w:tc>
          <w:tcPr>
            <w:tcW w:w="1725" w:type="dxa"/>
          </w:tcPr>
          <w:p w14:paraId="291CF5F0">
            <w:pPr>
              <w:pStyle w:val="19"/>
              <w:spacing w:line="480" w:lineRule="auto"/>
              <w:ind w:firstLine="496" w:firstLineChars="200"/>
              <w:rPr>
                <w:rFonts w:hAnsi="宋体" w:eastAsia="宋体" w:cs="宋体"/>
                <w:sz w:val="24"/>
                <w:highlight w:val="none"/>
              </w:rPr>
            </w:pPr>
          </w:p>
        </w:tc>
        <w:tc>
          <w:tcPr>
            <w:tcW w:w="2789" w:type="dxa"/>
          </w:tcPr>
          <w:p w14:paraId="71BC0A06">
            <w:pPr>
              <w:pStyle w:val="19"/>
              <w:spacing w:line="480" w:lineRule="auto"/>
              <w:ind w:firstLine="496" w:firstLineChars="200"/>
              <w:rPr>
                <w:rFonts w:hAnsi="宋体" w:eastAsia="宋体" w:cs="宋体"/>
                <w:sz w:val="24"/>
                <w:highlight w:val="none"/>
              </w:rPr>
            </w:pPr>
          </w:p>
        </w:tc>
        <w:tc>
          <w:tcPr>
            <w:tcW w:w="1354" w:type="dxa"/>
          </w:tcPr>
          <w:p w14:paraId="5E486776">
            <w:pPr>
              <w:pStyle w:val="19"/>
              <w:spacing w:line="480" w:lineRule="auto"/>
              <w:ind w:firstLine="496" w:firstLineChars="200"/>
              <w:rPr>
                <w:rFonts w:hAnsi="宋体" w:eastAsia="宋体" w:cs="宋体"/>
                <w:sz w:val="24"/>
                <w:highlight w:val="none"/>
              </w:rPr>
            </w:pPr>
          </w:p>
        </w:tc>
        <w:tc>
          <w:tcPr>
            <w:tcW w:w="1396" w:type="dxa"/>
          </w:tcPr>
          <w:p w14:paraId="735C2D47">
            <w:pPr>
              <w:pStyle w:val="19"/>
              <w:spacing w:line="480" w:lineRule="auto"/>
              <w:ind w:firstLine="496" w:firstLineChars="200"/>
              <w:rPr>
                <w:rFonts w:hAnsi="宋体" w:eastAsia="宋体" w:cs="宋体"/>
                <w:sz w:val="24"/>
                <w:highlight w:val="none"/>
              </w:rPr>
            </w:pPr>
          </w:p>
        </w:tc>
      </w:tr>
    </w:tbl>
    <w:p w14:paraId="5751EC57">
      <w:pPr>
        <w:pStyle w:val="11"/>
        <w:spacing w:line="360" w:lineRule="auto"/>
        <w:ind w:left="140" w:firstLine="0"/>
        <w:rPr>
          <w:rFonts w:ascii="宋体" w:hAnsi="宋体" w:eastAsia="宋体" w:cs="宋体"/>
          <w:b/>
          <w:bCs/>
          <w:highlight w:val="none"/>
        </w:rPr>
      </w:pPr>
      <w:r>
        <w:rPr>
          <w:rFonts w:hint="eastAsia" w:ascii="宋体" w:hAnsi="宋体" w:eastAsia="宋体" w:cs="宋体"/>
          <w:b/>
          <w:bCs/>
          <w:highlight w:val="none"/>
        </w:rPr>
        <w:t>1、本表须按“第三章招标内容及要求”中所列商务条款进行比较和响应；</w:t>
      </w:r>
    </w:p>
    <w:p w14:paraId="5E7964EF">
      <w:pPr>
        <w:pStyle w:val="11"/>
        <w:spacing w:line="360" w:lineRule="auto"/>
        <w:ind w:firstLine="248" w:firstLineChars="100"/>
        <w:rPr>
          <w:rFonts w:ascii="宋体" w:hAnsi="宋体" w:eastAsia="宋体" w:cs="宋体"/>
          <w:b/>
          <w:bCs/>
          <w:highlight w:val="none"/>
        </w:rPr>
      </w:pPr>
      <w:r>
        <w:rPr>
          <w:rFonts w:hint="eastAsia" w:ascii="宋体" w:hAnsi="宋体" w:eastAsia="宋体" w:cs="宋体"/>
          <w:b/>
          <w:bCs/>
          <w:highlight w:val="none"/>
        </w:rPr>
        <w:t>2、该表必须按照招标文件要求逐条如实填写，根据情况在“偏离情况”项填写正偏离或负偏离或无偏离，在“说明”项填写正偏离或负偏离原因。</w:t>
      </w:r>
    </w:p>
    <w:p w14:paraId="437A12C8">
      <w:pPr>
        <w:pStyle w:val="11"/>
        <w:spacing w:line="360" w:lineRule="auto"/>
        <w:ind w:left="140" w:firstLine="0"/>
        <w:rPr>
          <w:rFonts w:ascii="宋体" w:hAnsi="宋体" w:eastAsia="宋体" w:cs="宋体"/>
          <w:b/>
          <w:bCs/>
          <w:highlight w:val="none"/>
        </w:rPr>
      </w:pPr>
      <w:r>
        <w:rPr>
          <w:rFonts w:hint="eastAsia" w:ascii="宋体" w:hAnsi="宋体" w:eastAsia="宋体" w:cs="宋体"/>
          <w:b/>
          <w:bCs/>
          <w:highlight w:val="none"/>
        </w:rPr>
        <w:t>3、该表可扩展。商务条款不允许负偏离；</w:t>
      </w:r>
    </w:p>
    <w:p w14:paraId="3D9B8FD3">
      <w:pPr>
        <w:adjustRightInd w:val="0"/>
        <w:snapToGrid w:val="0"/>
        <w:spacing w:line="480" w:lineRule="auto"/>
        <w:rPr>
          <w:rFonts w:ascii="宋体" w:hAnsi="宋体" w:eastAsia="宋体" w:cs="宋体"/>
          <w:highlight w:val="none"/>
          <w:u w:val="single"/>
        </w:rPr>
      </w:pPr>
      <w:r>
        <w:rPr>
          <w:rFonts w:hint="eastAsia" w:ascii="宋体" w:hAnsi="宋体" w:eastAsia="宋体" w:cs="宋体"/>
          <w:highlight w:val="none"/>
        </w:rPr>
        <w:t>供应商（单位名称及公章）：</w:t>
      </w:r>
    </w:p>
    <w:p w14:paraId="7DCDA770">
      <w:pPr>
        <w:adjustRightInd w:val="0"/>
        <w:snapToGrid w:val="0"/>
        <w:spacing w:line="480" w:lineRule="auto"/>
        <w:rPr>
          <w:rFonts w:ascii="宋体" w:hAnsi="宋体" w:eastAsia="宋体" w:cs="宋体"/>
          <w:highlight w:val="none"/>
        </w:rPr>
      </w:pPr>
      <w:r>
        <w:rPr>
          <w:rFonts w:hint="eastAsia" w:ascii="宋体" w:hAnsi="宋体" w:eastAsia="宋体" w:cs="宋体"/>
          <w:highlight w:val="none"/>
        </w:rPr>
        <w:t>法定代表人（负责人）或被授权人（签字或盖章）：</w:t>
      </w:r>
    </w:p>
    <w:p w14:paraId="650468CD">
      <w:pPr>
        <w:adjustRightInd w:val="0"/>
        <w:snapToGrid w:val="0"/>
        <w:spacing w:line="480" w:lineRule="auto"/>
        <w:rPr>
          <w:rFonts w:ascii="宋体" w:hAnsi="宋体" w:eastAsia="宋体" w:cs="宋体"/>
          <w:highlight w:val="none"/>
        </w:rPr>
        <w:sectPr>
          <w:pgSz w:w="11906" w:h="16838"/>
          <w:pgMar w:top="1440" w:right="1803" w:bottom="1440" w:left="1803" w:header="850" w:footer="992" w:gutter="0"/>
          <w:cols w:space="0" w:num="1"/>
          <w:titlePg/>
          <w:docGrid w:type="linesAndChars" w:linePitch="395" w:charSpace="1724"/>
        </w:sectPr>
      </w:pPr>
      <w:r>
        <w:rPr>
          <w:rFonts w:hint="eastAsia" w:ascii="宋体" w:hAnsi="宋体" w:eastAsia="宋体" w:cs="宋体"/>
          <w:highlight w:val="none"/>
        </w:rPr>
        <w:t>日    期：年 月 日</w:t>
      </w:r>
    </w:p>
    <w:p w14:paraId="146AB53C">
      <w:pPr>
        <w:rPr>
          <w:rFonts w:ascii="宋体" w:hAnsi="宋体" w:eastAsia="宋体" w:cs="宋体"/>
          <w:highlight w:val="none"/>
        </w:rPr>
      </w:pPr>
      <w:r>
        <w:rPr>
          <w:rFonts w:hint="eastAsia" w:ascii="宋体" w:hAnsi="宋体" w:eastAsia="宋体" w:cs="宋体"/>
          <w:highlight w:val="none"/>
        </w:rPr>
        <w:t>表2、服务要求偏离表</w:t>
      </w:r>
    </w:p>
    <w:tbl>
      <w:tblPr>
        <w:tblStyle w:val="34"/>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80"/>
        <w:gridCol w:w="2120"/>
        <w:gridCol w:w="1676"/>
        <w:gridCol w:w="1588"/>
      </w:tblGrid>
      <w:tr w14:paraId="47C2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93" w:type="dxa"/>
            <w:vAlign w:val="center"/>
          </w:tcPr>
          <w:p w14:paraId="0C74B60C">
            <w:pPr>
              <w:pStyle w:val="19"/>
              <w:spacing w:line="480" w:lineRule="auto"/>
              <w:jc w:val="center"/>
              <w:rPr>
                <w:rFonts w:hAnsi="宋体" w:eastAsia="宋体" w:cs="宋体"/>
                <w:sz w:val="24"/>
                <w:highlight w:val="none"/>
              </w:rPr>
            </w:pPr>
            <w:r>
              <w:rPr>
                <w:rFonts w:hint="eastAsia" w:hAnsi="宋体" w:eastAsia="宋体" w:cs="宋体"/>
                <w:sz w:val="24"/>
                <w:highlight w:val="none"/>
              </w:rPr>
              <w:t>序号</w:t>
            </w:r>
          </w:p>
        </w:tc>
        <w:tc>
          <w:tcPr>
            <w:tcW w:w="2380" w:type="dxa"/>
            <w:vAlign w:val="center"/>
          </w:tcPr>
          <w:p w14:paraId="3B48F753">
            <w:pPr>
              <w:pStyle w:val="19"/>
              <w:spacing w:line="240" w:lineRule="auto"/>
              <w:ind w:firstLine="496" w:firstLineChars="200"/>
              <w:rPr>
                <w:rFonts w:hAnsi="宋体" w:eastAsia="宋体" w:cs="宋体"/>
                <w:sz w:val="24"/>
                <w:highlight w:val="none"/>
              </w:rPr>
            </w:pPr>
            <w:r>
              <w:rPr>
                <w:rFonts w:hint="eastAsia" w:hAnsi="宋体" w:eastAsia="宋体" w:cs="宋体"/>
                <w:sz w:val="24"/>
                <w:highlight w:val="none"/>
              </w:rPr>
              <w:t>文件要求</w:t>
            </w:r>
          </w:p>
          <w:p w14:paraId="6BFDA94B">
            <w:pPr>
              <w:pStyle w:val="19"/>
              <w:spacing w:line="240" w:lineRule="auto"/>
              <w:ind w:firstLine="496" w:firstLineChars="200"/>
              <w:rPr>
                <w:rFonts w:hAnsi="宋体" w:eastAsia="宋体" w:cs="宋体"/>
                <w:sz w:val="24"/>
                <w:highlight w:val="none"/>
              </w:rPr>
            </w:pPr>
            <w:r>
              <w:rPr>
                <w:rFonts w:hint="eastAsia" w:hAnsi="宋体" w:eastAsia="宋体" w:cs="宋体"/>
                <w:sz w:val="24"/>
                <w:highlight w:val="none"/>
              </w:rPr>
              <w:t>服务内容</w:t>
            </w:r>
          </w:p>
        </w:tc>
        <w:tc>
          <w:tcPr>
            <w:tcW w:w="2120" w:type="dxa"/>
            <w:vAlign w:val="center"/>
          </w:tcPr>
          <w:p w14:paraId="5BF474BF">
            <w:pPr>
              <w:pStyle w:val="19"/>
              <w:spacing w:line="240" w:lineRule="auto"/>
              <w:ind w:firstLine="496" w:firstLineChars="200"/>
              <w:rPr>
                <w:rFonts w:hAnsi="宋体" w:eastAsia="宋体" w:cs="宋体"/>
                <w:sz w:val="24"/>
                <w:highlight w:val="none"/>
              </w:rPr>
            </w:pPr>
            <w:r>
              <w:rPr>
                <w:rFonts w:hint="eastAsia" w:hAnsi="宋体" w:eastAsia="宋体" w:cs="宋体"/>
                <w:sz w:val="24"/>
                <w:highlight w:val="none"/>
              </w:rPr>
              <w:t>响应文件</w:t>
            </w:r>
          </w:p>
          <w:p w14:paraId="677B9FDE">
            <w:pPr>
              <w:pStyle w:val="19"/>
              <w:spacing w:line="240" w:lineRule="auto"/>
              <w:ind w:firstLine="496" w:firstLineChars="200"/>
              <w:rPr>
                <w:rFonts w:hAnsi="宋体" w:eastAsia="宋体" w:cs="宋体"/>
                <w:sz w:val="24"/>
                <w:highlight w:val="none"/>
              </w:rPr>
            </w:pPr>
            <w:r>
              <w:rPr>
                <w:rFonts w:hint="eastAsia" w:hAnsi="宋体" w:eastAsia="宋体" w:cs="宋体"/>
                <w:sz w:val="24"/>
                <w:highlight w:val="none"/>
              </w:rPr>
              <w:t>服务内容</w:t>
            </w:r>
          </w:p>
        </w:tc>
        <w:tc>
          <w:tcPr>
            <w:tcW w:w="1676" w:type="dxa"/>
            <w:vAlign w:val="center"/>
          </w:tcPr>
          <w:p w14:paraId="6234A00B">
            <w:pPr>
              <w:pStyle w:val="19"/>
              <w:spacing w:line="240" w:lineRule="auto"/>
              <w:ind w:firstLine="248" w:firstLineChars="100"/>
              <w:rPr>
                <w:rFonts w:hAnsi="宋体" w:eastAsia="宋体" w:cs="宋体"/>
                <w:sz w:val="24"/>
                <w:highlight w:val="none"/>
              </w:rPr>
            </w:pPr>
            <w:r>
              <w:rPr>
                <w:rFonts w:hint="eastAsia" w:hAnsi="宋体" w:eastAsia="宋体" w:cs="宋体"/>
                <w:sz w:val="24"/>
                <w:highlight w:val="none"/>
              </w:rPr>
              <w:t>偏离情况</w:t>
            </w:r>
          </w:p>
        </w:tc>
        <w:tc>
          <w:tcPr>
            <w:tcW w:w="1588" w:type="dxa"/>
            <w:vAlign w:val="center"/>
          </w:tcPr>
          <w:p w14:paraId="7564C899">
            <w:pPr>
              <w:pStyle w:val="19"/>
              <w:spacing w:line="240" w:lineRule="auto"/>
              <w:ind w:firstLine="496" w:firstLineChars="200"/>
              <w:rPr>
                <w:rFonts w:hint="eastAsia" w:hAnsi="宋体" w:eastAsia="宋体" w:cs="宋体"/>
                <w:sz w:val="24"/>
                <w:highlight w:val="none"/>
                <w:lang w:eastAsia="zh-CN"/>
              </w:rPr>
            </w:pPr>
            <w:r>
              <w:rPr>
                <w:rFonts w:hint="eastAsia" w:hAnsi="宋体" w:eastAsia="宋体" w:cs="宋体"/>
                <w:sz w:val="24"/>
                <w:highlight w:val="none"/>
                <w:lang w:val="en-US" w:eastAsia="zh-CN"/>
              </w:rPr>
              <w:t>说明</w:t>
            </w:r>
          </w:p>
        </w:tc>
      </w:tr>
      <w:tr w14:paraId="6DB7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tcPr>
          <w:p w14:paraId="1632B320">
            <w:pPr>
              <w:pStyle w:val="19"/>
              <w:spacing w:line="480" w:lineRule="auto"/>
              <w:ind w:firstLine="496" w:firstLineChars="200"/>
              <w:rPr>
                <w:rFonts w:hAnsi="宋体" w:eastAsia="宋体" w:cs="宋体"/>
                <w:sz w:val="24"/>
                <w:highlight w:val="none"/>
              </w:rPr>
            </w:pPr>
          </w:p>
        </w:tc>
        <w:tc>
          <w:tcPr>
            <w:tcW w:w="2380" w:type="dxa"/>
            <w:vAlign w:val="center"/>
          </w:tcPr>
          <w:p w14:paraId="345E3B22">
            <w:pPr>
              <w:pStyle w:val="19"/>
              <w:spacing w:line="480" w:lineRule="auto"/>
              <w:ind w:firstLine="496" w:firstLineChars="200"/>
              <w:rPr>
                <w:rFonts w:hAnsi="宋体" w:eastAsia="宋体" w:cs="宋体"/>
                <w:sz w:val="24"/>
                <w:highlight w:val="none"/>
              </w:rPr>
            </w:pPr>
          </w:p>
        </w:tc>
        <w:tc>
          <w:tcPr>
            <w:tcW w:w="2120" w:type="dxa"/>
            <w:vAlign w:val="center"/>
          </w:tcPr>
          <w:p w14:paraId="7B8BFCE2">
            <w:pPr>
              <w:pStyle w:val="19"/>
              <w:spacing w:line="480" w:lineRule="auto"/>
              <w:ind w:firstLine="496" w:firstLineChars="200"/>
              <w:rPr>
                <w:rFonts w:hAnsi="宋体" w:eastAsia="宋体" w:cs="宋体"/>
                <w:sz w:val="24"/>
                <w:highlight w:val="none"/>
              </w:rPr>
            </w:pPr>
          </w:p>
        </w:tc>
        <w:tc>
          <w:tcPr>
            <w:tcW w:w="1676" w:type="dxa"/>
            <w:vAlign w:val="center"/>
          </w:tcPr>
          <w:p w14:paraId="0BC395D0">
            <w:pPr>
              <w:pStyle w:val="19"/>
              <w:spacing w:line="480" w:lineRule="auto"/>
              <w:ind w:firstLine="496" w:firstLineChars="200"/>
              <w:rPr>
                <w:rFonts w:hAnsi="宋体" w:eastAsia="宋体" w:cs="宋体"/>
                <w:sz w:val="24"/>
                <w:highlight w:val="none"/>
              </w:rPr>
            </w:pPr>
          </w:p>
        </w:tc>
        <w:tc>
          <w:tcPr>
            <w:tcW w:w="1588" w:type="dxa"/>
            <w:vAlign w:val="center"/>
          </w:tcPr>
          <w:p w14:paraId="4AB49D92">
            <w:pPr>
              <w:pStyle w:val="19"/>
              <w:spacing w:line="480" w:lineRule="auto"/>
              <w:ind w:firstLine="496" w:firstLineChars="200"/>
              <w:rPr>
                <w:rFonts w:hAnsi="宋体" w:eastAsia="宋体" w:cs="宋体"/>
                <w:sz w:val="24"/>
                <w:highlight w:val="none"/>
              </w:rPr>
            </w:pPr>
          </w:p>
        </w:tc>
      </w:tr>
      <w:tr w14:paraId="63D3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tcPr>
          <w:p w14:paraId="66E19252">
            <w:pPr>
              <w:pStyle w:val="19"/>
              <w:spacing w:line="480" w:lineRule="auto"/>
              <w:ind w:firstLine="496" w:firstLineChars="200"/>
              <w:rPr>
                <w:rFonts w:hAnsi="宋体" w:eastAsia="宋体" w:cs="宋体"/>
                <w:sz w:val="24"/>
                <w:highlight w:val="none"/>
              </w:rPr>
            </w:pPr>
          </w:p>
        </w:tc>
        <w:tc>
          <w:tcPr>
            <w:tcW w:w="2380" w:type="dxa"/>
          </w:tcPr>
          <w:p w14:paraId="07D19F6E">
            <w:pPr>
              <w:pStyle w:val="19"/>
              <w:spacing w:line="480" w:lineRule="auto"/>
              <w:ind w:firstLine="496" w:firstLineChars="200"/>
              <w:rPr>
                <w:rFonts w:hAnsi="宋体" w:eastAsia="宋体" w:cs="宋体"/>
                <w:sz w:val="24"/>
                <w:highlight w:val="none"/>
              </w:rPr>
            </w:pPr>
          </w:p>
        </w:tc>
        <w:tc>
          <w:tcPr>
            <w:tcW w:w="2120" w:type="dxa"/>
          </w:tcPr>
          <w:p w14:paraId="71D16D0B">
            <w:pPr>
              <w:pStyle w:val="19"/>
              <w:spacing w:line="480" w:lineRule="auto"/>
              <w:ind w:firstLine="496" w:firstLineChars="200"/>
              <w:rPr>
                <w:rFonts w:hAnsi="宋体" w:eastAsia="宋体" w:cs="宋体"/>
                <w:sz w:val="24"/>
                <w:highlight w:val="none"/>
              </w:rPr>
            </w:pPr>
          </w:p>
        </w:tc>
        <w:tc>
          <w:tcPr>
            <w:tcW w:w="1676" w:type="dxa"/>
          </w:tcPr>
          <w:p w14:paraId="4DF641F6">
            <w:pPr>
              <w:pStyle w:val="19"/>
              <w:spacing w:line="480" w:lineRule="auto"/>
              <w:ind w:firstLine="496" w:firstLineChars="200"/>
              <w:rPr>
                <w:rFonts w:hAnsi="宋体" w:eastAsia="宋体" w:cs="宋体"/>
                <w:sz w:val="24"/>
                <w:highlight w:val="none"/>
              </w:rPr>
            </w:pPr>
          </w:p>
        </w:tc>
        <w:tc>
          <w:tcPr>
            <w:tcW w:w="1588" w:type="dxa"/>
          </w:tcPr>
          <w:p w14:paraId="5F5E194B">
            <w:pPr>
              <w:pStyle w:val="19"/>
              <w:spacing w:line="480" w:lineRule="auto"/>
              <w:ind w:firstLine="496" w:firstLineChars="200"/>
              <w:rPr>
                <w:rFonts w:hAnsi="宋体" w:eastAsia="宋体" w:cs="宋体"/>
                <w:sz w:val="24"/>
                <w:highlight w:val="none"/>
              </w:rPr>
            </w:pPr>
          </w:p>
        </w:tc>
      </w:tr>
      <w:tr w14:paraId="4A37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tcPr>
          <w:p w14:paraId="1625486E">
            <w:pPr>
              <w:pStyle w:val="19"/>
              <w:spacing w:line="480" w:lineRule="auto"/>
              <w:ind w:firstLine="496" w:firstLineChars="200"/>
              <w:rPr>
                <w:rFonts w:hAnsi="宋体" w:eastAsia="宋体" w:cs="宋体"/>
                <w:sz w:val="24"/>
                <w:highlight w:val="none"/>
              </w:rPr>
            </w:pPr>
          </w:p>
        </w:tc>
        <w:tc>
          <w:tcPr>
            <w:tcW w:w="2380" w:type="dxa"/>
          </w:tcPr>
          <w:p w14:paraId="0D693CB7">
            <w:pPr>
              <w:pStyle w:val="19"/>
              <w:spacing w:line="480" w:lineRule="auto"/>
              <w:ind w:firstLine="496" w:firstLineChars="200"/>
              <w:rPr>
                <w:rFonts w:hAnsi="宋体" w:eastAsia="宋体" w:cs="宋体"/>
                <w:sz w:val="24"/>
                <w:highlight w:val="none"/>
              </w:rPr>
            </w:pPr>
          </w:p>
        </w:tc>
        <w:tc>
          <w:tcPr>
            <w:tcW w:w="2120" w:type="dxa"/>
          </w:tcPr>
          <w:p w14:paraId="0F5FB5EA">
            <w:pPr>
              <w:pStyle w:val="19"/>
              <w:spacing w:line="480" w:lineRule="auto"/>
              <w:ind w:firstLine="496" w:firstLineChars="200"/>
              <w:rPr>
                <w:rFonts w:hAnsi="宋体" w:eastAsia="宋体" w:cs="宋体"/>
                <w:sz w:val="24"/>
                <w:highlight w:val="none"/>
              </w:rPr>
            </w:pPr>
          </w:p>
        </w:tc>
        <w:tc>
          <w:tcPr>
            <w:tcW w:w="1676" w:type="dxa"/>
          </w:tcPr>
          <w:p w14:paraId="4E3A107D">
            <w:pPr>
              <w:pStyle w:val="19"/>
              <w:spacing w:line="480" w:lineRule="auto"/>
              <w:ind w:firstLine="496" w:firstLineChars="200"/>
              <w:rPr>
                <w:rFonts w:hAnsi="宋体" w:eastAsia="宋体" w:cs="宋体"/>
                <w:sz w:val="24"/>
                <w:highlight w:val="none"/>
              </w:rPr>
            </w:pPr>
          </w:p>
        </w:tc>
        <w:tc>
          <w:tcPr>
            <w:tcW w:w="1588" w:type="dxa"/>
          </w:tcPr>
          <w:p w14:paraId="05530020">
            <w:pPr>
              <w:pStyle w:val="19"/>
              <w:spacing w:line="480" w:lineRule="auto"/>
              <w:ind w:firstLine="496" w:firstLineChars="200"/>
              <w:rPr>
                <w:rFonts w:hAnsi="宋体" w:eastAsia="宋体" w:cs="宋体"/>
                <w:sz w:val="24"/>
                <w:highlight w:val="none"/>
              </w:rPr>
            </w:pPr>
          </w:p>
        </w:tc>
      </w:tr>
      <w:tr w14:paraId="492F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tcPr>
          <w:p w14:paraId="2560133C">
            <w:pPr>
              <w:pStyle w:val="19"/>
              <w:spacing w:line="480" w:lineRule="auto"/>
              <w:ind w:firstLine="496" w:firstLineChars="200"/>
              <w:rPr>
                <w:rFonts w:hAnsi="宋体" w:eastAsia="宋体" w:cs="宋体"/>
                <w:sz w:val="24"/>
                <w:highlight w:val="none"/>
              </w:rPr>
            </w:pPr>
          </w:p>
        </w:tc>
        <w:tc>
          <w:tcPr>
            <w:tcW w:w="2380" w:type="dxa"/>
          </w:tcPr>
          <w:p w14:paraId="62F11F90">
            <w:pPr>
              <w:pStyle w:val="19"/>
              <w:spacing w:line="480" w:lineRule="auto"/>
              <w:ind w:firstLine="496" w:firstLineChars="200"/>
              <w:rPr>
                <w:rFonts w:hAnsi="宋体" w:eastAsia="宋体" w:cs="宋体"/>
                <w:sz w:val="24"/>
                <w:highlight w:val="none"/>
              </w:rPr>
            </w:pPr>
          </w:p>
        </w:tc>
        <w:tc>
          <w:tcPr>
            <w:tcW w:w="2120" w:type="dxa"/>
          </w:tcPr>
          <w:p w14:paraId="7AD82242">
            <w:pPr>
              <w:pStyle w:val="19"/>
              <w:spacing w:line="480" w:lineRule="auto"/>
              <w:ind w:firstLine="496" w:firstLineChars="200"/>
              <w:rPr>
                <w:rFonts w:hAnsi="宋体" w:eastAsia="宋体" w:cs="宋体"/>
                <w:sz w:val="24"/>
                <w:highlight w:val="none"/>
              </w:rPr>
            </w:pPr>
          </w:p>
        </w:tc>
        <w:tc>
          <w:tcPr>
            <w:tcW w:w="1676" w:type="dxa"/>
          </w:tcPr>
          <w:p w14:paraId="4CF6A4BF">
            <w:pPr>
              <w:pStyle w:val="19"/>
              <w:spacing w:line="480" w:lineRule="auto"/>
              <w:ind w:firstLine="496" w:firstLineChars="200"/>
              <w:rPr>
                <w:rFonts w:hAnsi="宋体" w:eastAsia="宋体" w:cs="宋体"/>
                <w:sz w:val="24"/>
                <w:highlight w:val="none"/>
              </w:rPr>
            </w:pPr>
          </w:p>
        </w:tc>
        <w:tc>
          <w:tcPr>
            <w:tcW w:w="1588" w:type="dxa"/>
          </w:tcPr>
          <w:p w14:paraId="3B13473C">
            <w:pPr>
              <w:pStyle w:val="19"/>
              <w:spacing w:line="480" w:lineRule="auto"/>
              <w:ind w:firstLine="496" w:firstLineChars="200"/>
              <w:rPr>
                <w:rFonts w:hAnsi="宋体" w:eastAsia="宋体" w:cs="宋体"/>
                <w:sz w:val="24"/>
                <w:highlight w:val="none"/>
              </w:rPr>
            </w:pPr>
          </w:p>
        </w:tc>
      </w:tr>
      <w:tr w14:paraId="398F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tcPr>
          <w:p w14:paraId="1A134F40">
            <w:pPr>
              <w:pStyle w:val="19"/>
              <w:spacing w:line="480" w:lineRule="auto"/>
              <w:ind w:firstLine="496" w:firstLineChars="200"/>
              <w:rPr>
                <w:rFonts w:hAnsi="宋体" w:eastAsia="宋体" w:cs="宋体"/>
                <w:sz w:val="24"/>
                <w:highlight w:val="none"/>
              </w:rPr>
            </w:pPr>
          </w:p>
        </w:tc>
        <w:tc>
          <w:tcPr>
            <w:tcW w:w="2380" w:type="dxa"/>
          </w:tcPr>
          <w:p w14:paraId="1F1552AA">
            <w:pPr>
              <w:pStyle w:val="19"/>
              <w:spacing w:line="480" w:lineRule="auto"/>
              <w:ind w:firstLine="496" w:firstLineChars="200"/>
              <w:rPr>
                <w:rFonts w:hAnsi="宋体" w:eastAsia="宋体" w:cs="宋体"/>
                <w:sz w:val="24"/>
                <w:highlight w:val="none"/>
              </w:rPr>
            </w:pPr>
          </w:p>
        </w:tc>
        <w:tc>
          <w:tcPr>
            <w:tcW w:w="2120" w:type="dxa"/>
          </w:tcPr>
          <w:p w14:paraId="694FD814">
            <w:pPr>
              <w:pStyle w:val="19"/>
              <w:spacing w:line="480" w:lineRule="auto"/>
              <w:ind w:firstLine="496" w:firstLineChars="200"/>
              <w:rPr>
                <w:rFonts w:hAnsi="宋体" w:eastAsia="宋体" w:cs="宋体"/>
                <w:sz w:val="24"/>
                <w:highlight w:val="none"/>
              </w:rPr>
            </w:pPr>
          </w:p>
        </w:tc>
        <w:tc>
          <w:tcPr>
            <w:tcW w:w="1676" w:type="dxa"/>
          </w:tcPr>
          <w:p w14:paraId="14EBFEBD">
            <w:pPr>
              <w:pStyle w:val="19"/>
              <w:spacing w:line="480" w:lineRule="auto"/>
              <w:ind w:firstLine="496" w:firstLineChars="200"/>
              <w:rPr>
                <w:rFonts w:hAnsi="宋体" w:eastAsia="宋体" w:cs="宋体"/>
                <w:sz w:val="24"/>
                <w:highlight w:val="none"/>
              </w:rPr>
            </w:pPr>
          </w:p>
        </w:tc>
        <w:tc>
          <w:tcPr>
            <w:tcW w:w="1588" w:type="dxa"/>
          </w:tcPr>
          <w:p w14:paraId="745E66BA">
            <w:pPr>
              <w:pStyle w:val="19"/>
              <w:spacing w:line="480" w:lineRule="auto"/>
              <w:ind w:firstLine="496" w:firstLineChars="200"/>
              <w:rPr>
                <w:rFonts w:hAnsi="宋体" w:eastAsia="宋体" w:cs="宋体"/>
                <w:sz w:val="24"/>
                <w:highlight w:val="none"/>
              </w:rPr>
            </w:pPr>
          </w:p>
        </w:tc>
      </w:tr>
      <w:tr w14:paraId="075D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tcPr>
          <w:p w14:paraId="6060634E">
            <w:pPr>
              <w:pStyle w:val="19"/>
              <w:spacing w:line="480" w:lineRule="auto"/>
              <w:ind w:firstLine="496" w:firstLineChars="200"/>
              <w:rPr>
                <w:rFonts w:hAnsi="宋体" w:eastAsia="宋体" w:cs="宋体"/>
                <w:sz w:val="24"/>
                <w:highlight w:val="none"/>
              </w:rPr>
            </w:pPr>
          </w:p>
        </w:tc>
        <w:tc>
          <w:tcPr>
            <w:tcW w:w="2380" w:type="dxa"/>
          </w:tcPr>
          <w:p w14:paraId="28B3AF21">
            <w:pPr>
              <w:pStyle w:val="19"/>
              <w:spacing w:line="480" w:lineRule="auto"/>
              <w:ind w:firstLine="496" w:firstLineChars="200"/>
              <w:rPr>
                <w:rFonts w:hAnsi="宋体" w:eastAsia="宋体" w:cs="宋体"/>
                <w:sz w:val="24"/>
                <w:highlight w:val="none"/>
              </w:rPr>
            </w:pPr>
          </w:p>
        </w:tc>
        <w:tc>
          <w:tcPr>
            <w:tcW w:w="2120" w:type="dxa"/>
          </w:tcPr>
          <w:p w14:paraId="2130934B">
            <w:pPr>
              <w:pStyle w:val="19"/>
              <w:spacing w:line="480" w:lineRule="auto"/>
              <w:ind w:firstLine="496" w:firstLineChars="200"/>
              <w:rPr>
                <w:rFonts w:hAnsi="宋体" w:eastAsia="宋体" w:cs="宋体"/>
                <w:sz w:val="24"/>
                <w:highlight w:val="none"/>
              </w:rPr>
            </w:pPr>
          </w:p>
        </w:tc>
        <w:tc>
          <w:tcPr>
            <w:tcW w:w="1676" w:type="dxa"/>
          </w:tcPr>
          <w:p w14:paraId="78A2A09A">
            <w:pPr>
              <w:pStyle w:val="19"/>
              <w:spacing w:line="480" w:lineRule="auto"/>
              <w:ind w:firstLine="496" w:firstLineChars="200"/>
              <w:rPr>
                <w:rFonts w:hAnsi="宋体" w:eastAsia="宋体" w:cs="宋体"/>
                <w:sz w:val="24"/>
                <w:highlight w:val="none"/>
              </w:rPr>
            </w:pPr>
          </w:p>
        </w:tc>
        <w:tc>
          <w:tcPr>
            <w:tcW w:w="1588" w:type="dxa"/>
          </w:tcPr>
          <w:p w14:paraId="7F5C6F76">
            <w:pPr>
              <w:pStyle w:val="19"/>
              <w:spacing w:line="480" w:lineRule="auto"/>
              <w:ind w:firstLine="496" w:firstLineChars="200"/>
              <w:rPr>
                <w:rFonts w:hAnsi="宋体" w:eastAsia="宋体" w:cs="宋体"/>
                <w:sz w:val="24"/>
                <w:highlight w:val="none"/>
              </w:rPr>
            </w:pPr>
          </w:p>
        </w:tc>
      </w:tr>
      <w:tr w14:paraId="4139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tcPr>
          <w:p w14:paraId="5B42BB38">
            <w:pPr>
              <w:pStyle w:val="19"/>
              <w:spacing w:line="480" w:lineRule="auto"/>
              <w:ind w:firstLine="496" w:firstLineChars="200"/>
              <w:rPr>
                <w:rFonts w:hAnsi="宋体" w:eastAsia="宋体" w:cs="宋体"/>
                <w:sz w:val="24"/>
                <w:highlight w:val="none"/>
              </w:rPr>
            </w:pPr>
          </w:p>
        </w:tc>
        <w:tc>
          <w:tcPr>
            <w:tcW w:w="2380" w:type="dxa"/>
          </w:tcPr>
          <w:p w14:paraId="62B0DAC6">
            <w:pPr>
              <w:pStyle w:val="19"/>
              <w:spacing w:line="480" w:lineRule="auto"/>
              <w:ind w:firstLine="496" w:firstLineChars="200"/>
              <w:rPr>
                <w:rFonts w:hAnsi="宋体" w:eastAsia="宋体" w:cs="宋体"/>
                <w:sz w:val="24"/>
                <w:highlight w:val="none"/>
              </w:rPr>
            </w:pPr>
          </w:p>
        </w:tc>
        <w:tc>
          <w:tcPr>
            <w:tcW w:w="2120" w:type="dxa"/>
          </w:tcPr>
          <w:p w14:paraId="07D7C73C">
            <w:pPr>
              <w:pStyle w:val="19"/>
              <w:spacing w:line="480" w:lineRule="auto"/>
              <w:ind w:firstLine="496" w:firstLineChars="200"/>
              <w:rPr>
                <w:rFonts w:hAnsi="宋体" w:eastAsia="宋体" w:cs="宋体"/>
                <w:sz w:val="24"/>
                <w:highlight w:val="none"/>
              </w:rPr>
            </w:pPr>
          </w:p>
        </w:tc>
        <w:tc>
          <w:tcPr>
            <w:tcW w:w="1676" w:type="dxa"/>
          </w:tcPr>
          <w:p w14:paraId="21128D78">
            <w:pPr>
              <w:pStyle w:val="19"/>
              <w:spacing w:line="480" w:lineRule="auto"/>
              <w:ind w:firstLine="496" w:firstLineChars="200"/>
              <w:rPr>
                <w:rFonts w:hAnsi="宋体" w:eastAsia="宋体" w:cs="宋体"/>
                <w:sz w:val="24"/>
                <w:highlight w:val="none"/>
              </w:rPr>
            </w:pPr>
          </w:p>
        </w:tc>
        <w:tc>
          <w:tcPr>
            <w:tcW w:w="1588" w:type="dxa"/>
          </w:tcPr>
          <w:p w14:paraId="04BED421">
            <w:pPr>
              <w:pStyle w:val="19"/>
              <w:spacing w:line="480" w:lineRule="auto"/>
              <w:ind w:firstLine="496" w:firstLineChars="200"/>
              <w:rPr>
                <w:rFonts w:hAnsi="宋体" w:eastAsia="宋体" w:cs="宋体"/>
                <w:sz w:val="24"/>
                <w:highlight w:val="none"/>
              </w:rPr>
            </w:pPr>
          </w:p>
        </w:tc>
      </w:tr>
      <w:tr w14:paraId="1AEA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3" w:type="dxa"/>
          </w:tcPr>
          <w:p w14:paraId="1EF409B1">
            <w:pPr>
              <w:pStyle w:val="19"/>
              <w:spacing w:line="480" w:lineRule="auto"/>
              <w:ind w:firstLine="496" w:firstLineChars="200"/>
              <w:rPr>
                <w:rFonts w:hAnsi="宋体" w:eastAsia="宋体" w:cs="宋体"/>
                <w:sz w:val="24"/>
                <w:highlight w:val="none"/>
              </w:rPr>
            </w:pPr>
          </w:p>
        </w:tc>
        <w:tc>
          <w:tcPr>
            <w:tcW w:w="2380" w:type="dxa"/>
          </w:tcPr>
          <w:p w14:paraId="7511A0CC">
            <w:pPr>
              <w:pStyle w:val="19"/>
              <w:spacing w:line="480" w:lineRule="auto"/>
              <w:ind w:firstLine="496" w:firstLineChars="200"/>
              <w:rPr>
                <w:rFonts w:hAnsi="宋体" w:eastAsia="宋体" w:cs="宋体"/>
                <w:sz w:val="24"/>
                <w:highlight w:val="none"/>
              </w:rPr>
            </w:pPr>
          </w:p>
        </w:tc>
        <w:tc>
          <w:tcPr>
            <w:tcW w:w="2120" w:type="dxa"/>
          </w:tcPr>
          <w:p w14:paraId="1B52505E">
            <w:pPr>
              <w:pStyle w:val="19"/>
              <w:spacing w:line="480" w:lineRule="auto"/>
              <w:ind w:firstLine="496" w:firstLineChars="200"/>
              <w:rPr>
                <w:rFonts w:hAnsi="宋体" w:eastAsia="宋体" w:cs="宋体"/>
                <w:sz w:val="24"/>
                <w:highlight w:val="none"/>
              </w:rPr>
            </w:pPr>
          </w:p>
        </w:tc>
        <w:tc>
          <w:tcPr>
            <w:tcW w:w="1676" w:type="dxa"/>
          </w:tcPr>
          <w:p w14:paraId="1EE0E81F">
            <w:pPr>
              <w:pStyle w:val="19"/>
              <w:spacing w:line="480" w:lineRule="auto"/>
              <w:ind w:firstLine="496" w:firstLineChars="200"/>
              <w:rPr>
                <w:rFonts w:hAnsi="宋体" w:eastAsia="宋体" w:cs="宋体"/>
                <w:sz w:val="24"/>
                <w:highlight w:val="none"/>
              </w:rPr>
            </w:pPr>
          </w:p>
        </w:tc>
        <w:tc>
          <w:tcPr>
            <w:tcW w:w="1588" w:type="dxa"/>
          </w:tcPr>
          <w:p w14:paraId="5633961B">
            <w:pPr>
              <w:pStyle w:val="19"/>
              <w:spacing w:line="480" w:lineRule="auto"/>
              <w:ind w:firstLine="496" w:firstLineChars="200"/>
              <w:rPr>
                <w:rFonts w:hAnsi="宋体" w:eastAsia="宋体" w:cs="宋体"/>
                <w:sz w:val="24"/>
                <w:highlight w:val="none"/>
              </w:rPr>
            </w:pPr>
          </w:p>
        </w:tc>
      </w:tr>
    </w:tbl>
    <w:p w14:paraId="4C91EB23">
      <w:pPr>
        <w:pStyle w:val="11"/>
        <w:spacing w:line="360" w:lineRule="auto"/>
        <w:ind w:left="140" w:firstLine="0"/>
        <w:rPr>
          <w:rFonts w:ascii="宋体" w:hAnsi="宋体" w:eastAsia="宋体" w:cs="宋体"/>
          <w:b/>
          <w:bCs/>
          <w:highlight w:val="none"/>
        </w:rPr>
      </w:pPr>
      <w:r>
        <w:rPr>
          <w:rFonts w:hint="eastAsia" w:ascii="宋体" w:hAnsi="宋体" w:eastAsia="宋体" w:cs="宋体"/>
          <w:b/>
          <w:bCs/>
          <w:highlight w:val="none"/>
        </w:rPr>
        <w:t>1、本表须按“第三章招标内容及要求”中所列服务要求进行比较和响应；</w:t>
      </w:r>
    </w:p>
    <w:p w14:paraId="7B4FF0C8">
      <w:pPr>
        <w:pStyle w:val="11"/>
        <w:spacing w:line="360" w:lineRule="auto"/>
        <w:ind w:left="140" w:firstLine="0"/>
        <w:rPr>
          <w:rFonts w:ascii="宋体" w:hAnsi="宋体" w:eastAsia="宋体" w:cs="宋体"/>
          <w:highlight w:val="none"/>
        </w:rPr>
      </w:pPr>
      <w:r>
        <w:rPr>
          <w:rFonts w:hint="eastAsia" w:ascii="宋体" w:hAnsi="宋体" w:eastAsia="宋体" w:cs="宋体"/>
          <w:b/>
          <w:bCs/>
          <w:highlight w:val="none"/>
        </w:rPr>
        <w:t>2、该表必须按照招标文件要求逐条如实填写，根据情况在“偏离情况”项填写正偏离或负偏离或无偏离，在“说明”项填写正偏离或负偏离原因。</w:t>
      </w:r>
    </w:p>
    <w:p w14:paraId="35637657">
      <w:pPr>
        <w:pStyle w:val="11"/>
        <w:spacing w:line="360" w:lineRule="auto"/>
        <w:ind w:left="140" w:firstLine="0"/>
        <w:rPr>
          <w:rFonts w:ascii="宋体" w:hAnsi="宋体" w:eastAsia="宋体" w:cs="宋体"/>
          <w:highlight w:val="none"/>
        </w:rPr>
      </w:pPr>
      <w:r>
        <w:rPr>
          <w:rFonts w:hint="eastAsia" w:ascii="宋体" w:hAnsi="宋体" w:eastAsia="宋体" w:cs="宋体"/>
          <w:b/>
          <w:bCs/>
          <w:highlight w:val="none"/>
        </w:rPr>
        <w:t>3、该表可扩展。</w:t>
      </w:r>
    </w:p>
    <w:p w14:paraId="1D7B3E54">
      <w:pPr>
        <w:adjustRightInd w:val="0"/>
        <w:snapToGrid w:val="0"/>
        <w:spacing w:line="480" w:lineRule="auto"/>
        <w:rPr>
          <w:rFonts w:ascii="宋体" w:hAnsi="宋体" w:eastAsia="宋体" w:cs="宋体"/>
          <w:highlight w:val="none"/>
        </w:rPr>
      </w:pPr>
    </w:p>
    <w:p w14:paraId="3825589A">
      <w:pPr>
        <w:adjustRightInd w:val="0"/>
        <w:snapToGrid w:val="0"/>
        <w:spacing w:line="480" w:lineRule="auto"/>
        <w:rPr>
          <w:rFonts w:ascii="宋体" w:hAnsi="宋体" w:eastAsia="宋体" w:cs="宋体"/>
          <w:highlight w:val="none"/>
          <w:u w:val="single"/>
        </w:rPr>
      </w:pPr>
      <w:r>
        <w:rPr>
          <w:rFonts w:hint="eastAsia" w:ascii="宋体" w:hAnsi="宋体" w:eastAsia="宋体" w:cs="宋体"/>
          <w:highlight w:val="none"/>
        </w:rPr>
        <w:t>供应商（单位名称及公章）：</w:t>
      </w:r>
    </w:p>
    <w:p w14:paraId="5B5EE3E5">
      <w:pPr>
        <w:adjustRightInd w:val="0"/>
        <w:snapToGrid w:val="0"/>
        <w:spacing w:line="480" w:lineRule="auto"/>
        <w:rPr>
          <w:rFonts w:ascii="宋体" w:hAnsi="宋体" w:eastAsia="宋体" w:cs="宋体"/>
          <w:highlight w:val="none"/>
        </w:rPr>
      </w:pPr>
      <w:r>
        <w:rPr>
          <w:rFonts w:hint="eastAsia" w:ascii="宋体" w:hAnsi="宋体" w:eastAsia="宋体" w:cs="宋体"/>
          <w:highlight w:val="none"/>
        </w:rPr>
        <w:t>法定代表人（负责人）或被授权人（签字或盖章）：</w:t>
      </w:r>
    </w:p>
    <w:p w14:paraId="562BC758">
      <w:pPr>
        <w:adjustRightInd w:val="0"/>
        <w:snapToGrid w:val="0"/>
        <w:spacing w:line="480" w:lineRule="auto"/>
        <w:rPr>
          <w:rFonts w:ascii="宋体" w:hAnsi="宋体" w:eastAsia="宋体" w:cs="宋体"/>
          <w:highlight w:val="none"/>
        </w:rPr>
      </w:pPr>
      <w:r>
        <w:rPr>
          <w:rFonts w:hint="eastAsia" w:ascii="宋体" w:hAnsi="宋体" w:eastAsia="宋体" w:cs="宋体"/>
          <w:highlight w:val="none"/>
        </w:rPr>
        <w:t>日    期：年月日</w:t>
      </w:r>
    </w:p>
    <w:p w14:paraId="0F3DE1C2">
      <w:pPr>
        <w:rPr>
          <w:rFonts w:ascii="宋体" w:hAnsi="宋体" w:eastAsia="宋体" w:cs="宋体"/>
          <w:highlight w:val="none"/>
        </w:rPr>
      </w:pPr>
    </w:p>
    <w:bookmarkEnd w:id="203"/>
    <w:bookmarkEnd w:id="204"/>
    <w:bookmarkEnd w:id="205"/>
    <w:bookmarkEnd w:id="206"/>
    <w:p w14:paraId="2BDE0806">
      <w:pPr>
        <w:pStyle w:val="4"/>
        <w:ind w:firstLine="737"/>
        <w:jc w:val="center"/>
        <w:rPr>
          <w:rFonts w:ascii="宋体" w:hAnsi="宋体" w:cs="宋体"/>
          <w:sz w:val="30"/>
          <w:szCs w:val="30"/>
          <w:highlight w:val="none"/>
        </w:rPr>
      </w:pPr>
      <w:bookmarkStart w:id="207" w:name="_Toc24830"/>
      <w:r>
        <w:rPr>
          <w:rFonts w:hint="eastAsia" w:ascii="宋体" w:hAnsi="宋体" w:cs="宋体"/>
          <w:sz w:val="36"/>
          <w:szCs w:val="36"/>
          <w:highlight w:val="none"/>
        </w:rPr>
        <w:br w:type="page"/>
      </w:r>
      <w:bookmarkStart w:id="208" w:name="_Toc258"/>
      <w:bookmarkStart w:id="209" w:name="_Toc3497"/>
      <w:bookmarkStart w:id="210" w:name="_Toc17999"/>
      <w:bookmarkStart w:id="211" w:name="_Toc13802"/>
      <w:r>
        <w:rPr>
          <w:rFonts w:hint="eastAsia" w:ascii="宋体" w:hAnsi="宋体" w:cs="宋体"/>
          <w:sz w:val="30"/>
          <w:szCs w:val="30"/>
          <w:highlight w:val="none"/>
        </w:rPr>
        <w:t xml:space="preserve">第六部分  </w:t>
      </w:r>
      <w:bookmarkEnd w:id="207"/>
      <w:bookmarkEnd w:id="208"/>
      <w:r>
        <w:rPr>
          <w:rFonts w:hint="eastAsia" w:ascii="宋体" w:hAnsi="宋体" w:cs="宋体"/>
          <w:sz w:val="30"/>
          <w:szCs w:val="30"/>
          <w:highlight w:val="none"/>
        </w:rPr>
        <w:t>服务方案</w:t>
      </w:r>
      <w:bookmarkEnd w:id="209"/>
      <w:bookmarkEnd w:id="210"/>
      <w:bookmarkEnd w:id="211"/>
    </w:p>
    <w:p w14:paraId="1D1C1689">
      <w:pPr>
        <w:spacing w:line="480" w:lineRule="auto"/>
        <w:rPr>
          <w:rFonts w:ascii="宋体" w:hAnsi="宋体" w:eastAsia="宋体" w:cs="宋体"/>
          <w:highlight w:val="none"/>
        </w:rPr>
      </w:pPr>
      <w:r>
        <w:rPr>
          <w:rFonts w:hint="eastAsia" w:ascii="宋体" w:hAnsi="宋体" w:eastAsia="宋体" w:cs="宋体"/>
          <w:b/>
          <w:bCs/>
          <w:highlight w:val="none"/>
        </w:rPr>
        <w:t>供应商可根据评审办法自行编写，格式不限；</w:t>
      </w:r>
    </w:p>
    <w:p w14:paraId="4F7A5083">
      <w:pPr>
        <w:jc w:val="both"/>
        <w:rPr>
          <w:rFonts w:ascii="宋体" w:hAnsi="宋体" w:eastAsia="宋体" w:cs="宋体"/>
          <w:highlight w:val="none"/>
        </w:rPr>
      </w:pPr>
      <w:r>
        <w:rPr>
          <w:rFonts w:hint="eastAsia" w:ascii="宋体" w:hAnsi="宋体" w:eastAsia="宋体" w:cs="宋体"/>
          <w:highlight w:val="none"/>
        </w:rPr>
        <w:t xml:space="preserve">  </w:t>
      </w:r>
    </w:p>
    <w:p w14:paraId="7F25C351">
      <w:pPr>
        <w:rPr>
          <w:rFonts w:ascii="宋体" w:hAnsi="宋体" w:eastAsia="宋体" w:cs="宋体"/>
          <w:sz w:val="32"/>
          <w:szCs w:val="32"/>
          <w:highlight w:val="none"/>
        </w:rPr>
      </w:pPr>
      <w:r>
        <w:rPr>
          <w:rFonts w:hint="eastAsia" w:ascii="宋体" w:hAnsi="宋体" w:eastAsia="宋体" w:cs="宋体"/>
          <w:highlight w:val="none"/>
        </w:rPr>
        <w:t xml:space="preserve">                      </w:t>
      </w:r>
      <w:r>
        <w:rPr>
          <w:rFonts w:hint="eastAsia" w:ascii="宋体" w:hAnsi="宋体" w:eastAsia="宋体" w:cs="宋体"/>
          <w:sz w:val="32"/>
          <w:szCs w:val="32"/>
          <w:highlight w:val="none"/>
        </w:rPr>
        <w:t xml:space="preserve"> </w:t>
      </w:r>
    </w:p>
    <w:p w14:paraId="0A8A41A9">
      <w:pPr>
        <w:rPr>
          <w:rFonts w:ascii="宋体" w:hAnsi="宋体" w:eastAsia="宋体" w:cs="宋体"/>
          <w:sz w:val="32"/>
          <w:szCs w:val="32"/>
          <w:highlight w:val="none"/>
        </w:rPr>
      </w:pPr>
      <w:r>
        <w:rPr>
          <w:rFonts w:hint="eastAsia" w:ascii="宋体" w:hAnsi="宋体" w:eastAsia="宋体" w:cs="宋体"/>
          <w:sz w:val="32"/>
          <w:szCs w:val="32"/>
          <w:highlight w:val="none"/>
        </w:rPr>
        <w:br w:type="page"/>
      </w:r>
    </w:p>
    <w:p w14:paraId="2A15433D">
      <w:pPr>
        <w:jc w:val="center"/>
        <w:outlineLvl w:val="1"/>
        <w:rPr>
          <w:rFonts w:ascii="宋体" w:hAnsi="宋体" w:eastAsia="宋体" w:cs="宋体"/>
          <w:sz w:val="30"/>
          <w:szCs w:val="30"/>
          <w:highlight w:val="none"/>
        </w:rPr>
      </w:pPr>
      <w:bookmarkStart w:id="212" w:name="_Toc638"/>
      <w:bookmarkStart w:id="213" w:name="_Toc25457"/>
      <w:bookmarkStart w:id="214" w:name="_Toc21193"/>
      <w:r>
        <w:rPr>
          <w:rFonts w:hint="eastAsia" w:ascii="宋体" w:hAnsi="宋体" w:eastAsia="宋体" w:cs="宋体"/>
          <w:sz w:val="30"/>
          <w:szCs w:val="30"/>
          <w:highlight w:val="none"/>
        </w:rPr>
        <w:t>第七部分  服务保障措施</w:t>
      </w:r>
      <w:bookmarkEnd w:id="212"/>
      <w:bookmarkEnd w:id="213"/>
      <w:bookmarkEnd w:id="214"/>
    </w:p>
    <w:p w14:paraId="1638011A">
      <w:pPr>
        <w:rPr>
          <w:rFonts w:ascii="宋体" w:hAnsi="宋体" w:eastAsia="宋体" w:cs="宋体"/>
          <w:b/>
          <w:bCs/>
          <w:sz w:val="36"/>
          <w:szCs w:val="36"/>
          <w:highlight w:val="none"/>
        </w:rPr>
      </w:pPr>
      <w:r>
        <w:rPr>
          <w:rFonts w:hint="eastAsia" w:ascii="宋体" w:hAnsi="宋体" w:eastAsia="宋体" w:cs="宋体"/>
          <w:b/>
          <w:bCs/>
          <w:highlight w:val="none"/>
        </w:rPr>
        <w:t>供应商可根据评审办法自行编写，格式不限；</w:t>
      </w:r>
    </w:p>
    <w:p w14:paraId="3B8DF5F2">
      <w:pPr>
        <w:rPr>
          <w:rFonts w:ascii="宋体" w:hAnsi="宋体" w:eastAsia="宋体" w:cs="宋体"/>
          <w:sz w:val="32"/>
          <w:szCs w:val="32"/>
          <w:highlight w:val="none"/>
        </w:rPr>
      </w:pPr>
      <w:bookmarkStart w:id="215" w:name="_Toc6020"/>
      <w:bookmarkStart w:id="216" w:name="_Toc3034"/>
      <w:bookmarkStart w:id="217" w:name="_Toc24882"/>
      <w:bookmarkStart w:id="218" w:name="_Toc11540"/>
      <w:bookmarkStart w:id="219" w:name="_Toc30983"/>
      <w:bookmarkStart w:id="220" w:name="_Toc8494"/>
      <w:bookmarkStart w:id="221" w:name="_Toc11410"/>
      <w:bookmarkStart w:id="222" w:name="_Toc12793"/>
      <w:r>
        <w:rPr>
          <w:rFonts w:hint="eastAsia" w:ascii="宋体" w:hAnsi="宋体" w:eastAsia="宋体" w:cs="宋体"/>
          <w:sz w:val="32"/>
          <w:szCs w:val="32"/>
          <w:highlight w:val="none"/>
        </w:rPr>
        <w:br w:type="page"/>
      </w:r>
    </w:p>
    <w:p w14:paraId="1A91385C">
      <w:pPr>
        <w:pStyle w:val="4"/>
        <w:ind w:firstLine="617"/>
        <w:jc w:val="center"/>
        <w:rPr>
          <w:rFonts w:ascii="宋体" w:hAnsi="宋体" w:cs="宋体"/>
          <w:sz w:val="30"/>
          <w:szCs w:val="30"/>
          <w:highlight w:val="none"/>
        </w:rPr>
      </w:pPr>
      <w:bookmarkStart w:id="223" w:name="_Toc24149"/>
      <w:bookmarkStart w:id="224" w:name="_Toc12516"/>
      <w:bookmarkStart w:id="225" w:name="_Toc14045"/>
      <w:r>
        <w:rPr>
          <w:rFonts w:hint="eastAsia" w:ascii="宋体" w:hAnsi="宋体" w:cs="宋体"/>
          <w:sz w:val="30"/>
          <w:szCs w:val="30"/>
          <w:highlight w:val="none"/>
        </w:rPr>
        <w:t>第八部分  供应商业绩一览表</w:t>
      </w:r>
      <w:bookmarkEnd w:id="215"/>
      <w:bookmarkEnd w:id="216"/>
      <w:bookmarkEnd w:id="217"/>
      <w:bookmarkEnd w:id="218"/>
      <w:bookmarkEnd w:id="223"/>
      <w:bookmarkEnd w:id="224"/>
      <w:bookmarkEnd w:id="225"/>
    </w:p>
    <w:p w14:paraId="56C16991">
      <w:pPr>
        <w:rPr>
          <w:rFonts w:ascii="宋体" w:hAnsi="宋体" w:eastAsia="宋体" w:cs="宋体"/>
          <w:highlight w:val="none"/>
        </w:rPr>
      </w:pPr>
    </w:p>
    <w:tbl>
      <w:tblPr>
        <w:tblStyle w:val="34"/>
        <w:tblpPr w:leftFromText="180" w:rightFromText="180" w:vertAnchor="text" w:horzAnchor="page" w:tblpX="1453" w:tblpY="35"/>
        <w:tblOverlap w:val="never"/>
        <w:tblW w:w="943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958"/>
        <w:gridCol w:w="950"/>
      </w:tblGrid>
      <w:tr w14:paraId="5107D9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14:paraId="75211C2C">
            <w:pPr>
              <w:spacing w:line="400" w:lineRule="exact"/>
              <w:rPr>
                <w:rFonts w:ascii="宋体" w:hAnsi="宋体" w:eastAsia="宋体" w:cs="宋体"/>
                <w:bCs/>
                <w:highlight w:val="none"/>
              </w:rPr>
            </w:pPr>
            <w:r>
              <w:rPr>
                <w:rFonts w:hint="eastAsia" w:ascii="宋体" w:hAnsi="宋体" w:eastAsia="宋体" w:cs="宋体"/>
                <w:bCs/>
                <w:highlight w:val="none"/>
              </w:rPr>
              <w:t>年份</w:t>
            </w:r>
          </w:p>
        </w:tc>
        <w:tc>
          <w:tcPr>
            <w:tcW w:w="1508" w:type="dxa"/>
            <w:vAlign w:val="center"/>
          </w:tcPr>
          <w:p w14:paraId="239B65C6">
            <w:pPr>
              <w:spacing w:line="400" w:lineRule="exact"/>
              <w:jc w:val="center"/>
              <w:rPr>
                <w:rFonts w:ascii="宋体" w:hAnsi="宋体" w:eastAsia="宋体" w:cs="宋体"/>
                <w:bCs/>
                <w:highlight w:val="none"/>
              </w:rPr>
            </w:pPr>
            <w:r>
              <w:rPr>
                <w:rFonts w:hint="eastAsia" w:ascii="宋体" w:hAnsi="宋体" w:eastAsia="宋体" w:cs="宋体"/>
                <w:bCs/>
                <w:highlight w:val="none"/>
              </w:rPr>
              <w:t>用户名称</w:t>
            </w:r>
          </w:p>
        </w:tc>
        <w:tc>
          <w:tcPr>
            <w:tcW w:w="1382" w:type="dxa"/>
            <w:vAlign w:val="center"/>
          </w:tcPr>
          <w:p w14:paraId="1A02030A">
            <w:pPr>
              <w:spacing w:line="400" w:lineRule="exact"/>
              <w:jc w:val="center"/>
              <w:rPr>
                <w:rFonts w:ascii="宋体" w:hAnsi="宋体" w:eastAsia="宋体" w:cs="宋体"/>
                <w:bCs/>
                <w:highlight w:val="none"/>
              </w:rPr>
            </w:pPr>
            <w:r>
              <w:rPr>
                <w:rFonts w:hint="eastAsia" w:ascii="宋体" w:hAnsi="宋体" w:eastAsia="宋体" w:cs="宋体"/>
                <w:bCs/>
                <w:highlight w:val="none"/>
              </w:rPr>
              <w:t>项目名称</w:t>
            </w:r>
          </w:p>
        </w:tc>
        <w:tc>
          <w:tcPr>
            <w:tcW w:w="1399" w:type="dxa"/>
            <w:vAlign w:val="center"/>
          </w:tcPr>
          <w:p w14:paraId="520F3C93">
            <w:pPr>
              <w:spacing w:line="400" w:lineRule="exact"/>
              <w:jc w:val="center"/>
              <w:rPr>
                <w:rFonts w:ascii="宋体" w:hAnsi="宋体" w:eastAsia="宋体" w:cs="宋体"/>
                <w:bCs/>
                <w:highlight w:val="none"/>
              </w:rPr>
            </w:pPr>
            <w:r>
              <w:rPr>
                <w:rFonts w:hint="eastAsia" w:ascii="宋体" w:hAnsi="宋体" w:eastAsia="宋体" w:cs="宋体"/>
                <w:bCs/>
                <w:highlight w:val="none"/>
              </w:rPr>
              <w:t>完成时间</w:t>
            </w:r>
          </w:p>
        </w:tc>
        <w:tc>
          <w:tcPr>
            <w:tcW w:w="1485" w:type="dxa"/>
            <w:vAlign w:val="center"/>
          </w:tcPr>
          <w:p w14:paraId="6DEAED6E">
            <w:pPr>
              <w:spacing w:line="400" w:lineRule="exact"/>
              <w:ind w:firstLine="124" w:firstLineChars="50"/>
              <w:rPr>
                <w:rFonts w:ascii="宋体" w:hAnsi="宋体" w:eastAsia="宋体" w:cs="宋体"/>
                <w:bCs/>
                <w:highlight w:val="none"/>
              </w:rPr>
            </w:pPr>
            <w:r>
              <w:rPr>
                <w:rFonts w:hint="eastAsia" w:ascii="宋体" w:hAnsi="宋体" w:eastAsia="宋体" w:cs="宋体"/>
                <w:bCs/>
                <w:highlight w:val="none"/>
              </w:rPr>
              <w:t>合同金额</w:t>
            </w:r>
          </w:p>
        </w:tc>
        <w:tc>
          <w:tcPr>
            <w:tcW w:w="1958" w:type="dxa"/>
            <w:tcBorders>
              <w:right w:val="single" w:color="auto" w:sz="4" w:space="0"/>
            </w:tcBorders>
            <w:vAlign w:val="center"/>
          </w:tcPr>
          <w:p w14:paraId="421DD25F">
            <w:pPr>
              <w:spacing w:line="400" w:lineRule="exact"/>
              <w:ind w:left="241" w:hanging="239" w:hangingChars="97"/>
              <w:rPr>
                <w:rFonts w:ascii="宋体" w:hAnsi="宋体" w:eastAsia="宋体" w:cs="宋体"/>
                <w:bCs/>
                <w:highlight w:val="none"/>
                <w:lang w:eastAsia="zh-Hans"/>
              </w:rPr>
            </w:pPr>
            <w:r>
              <w:rPr>
                <w:rFonts w:hint="eastAsia" w:ascii="宋体" w:hAnsi="宋体" w:eastAsia="宋体" w:cs="宋体"/>
                <w:bCs/>
                <w:highlight w:val="none"/>
              </w:rPr>
              <w:t>项目完成</w:t>
            </w:r>
            <w:r>
              <w:rPr>
                <w:rFonts w:hint="eastAsia" w:ascii="宋体" w:hAnsi="宋体" w:eastAsia="宋体" w:cs="宋体"/>
                <w:bCs/>
                <w:highlight w:val="none"/>
                <w:lang w:eastAsia="zh-Hans"/>
              </w:rPr>
              <w:t>情况</w:t>
            </w:r>
          </w:p>
        </w:tc>
        <w:tc>
          <w:tcPr>
            <w:tcW w:w="950" w:type="dxa"/>
            <w:tcBorders>
              <w:left w:val="single" w:color="auto" w:sz="4" w:space="0"/>
            </w:tcBorders>
            <w:vAlign w:val="center"/>
          </w:tcPr>
          <w:p w14:paraId="37E6890E">
            <w:pPr>
              <w:spacing w:line="400" w:lineRule="exact"/>
              <w:rPr>
                <w:rFonts w:ascii="宋体" w:hAnsi="宋体" w:eastAsia="宋体" w:cs="宋体"/>
                <w:bCs/>
                <w:highlight w:val="none"/>
              </w:rPr>
            </w:pPr>
            <w:r>
              <w:rPr>
                <w:rFonts w:hint="eastAsia" w:ascii="宋体" w:hAnsi="宋体" w:eastAsia="宋体" w:cs="宋体"/>
                <w:bCs/>
                <w:highlight w:val="none"/>
              </w:rPr>
              <w:t xml:space="preserve">  备注</w:t>
            </w:r>
          </w:p>
        </w:tc>
      </w:tr>
      <w:tr w14:paraId="737860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7B35FA0C">
            <w:pPr>
              <w:spacing w:line="400" w:lineRule="exact"/>
              <w:jc w:val="center"/>
              <w:rPr>
                <w:rFonts w:ascii="宋体" w:hAnsi="宋体" w:eastAsia="宋体" w:cs="宋体"/>
                <w:bCs/>
                <w:highlight w:val="none"/>
              </w:rPr>
            </w:pPr>
          </w:p>
        </w:tc>
        <w:tc>
          <w:tcPr>
            <w:tcW w:w="1508" w:type="dxa"/>
            <w:vAlign w:val="center"/>
          </w:tcPr>
          <w:p w14:paraId="226A8E85">
            <w:pPr>
              <w:spacing w:line="400" w:lineRule="exact"/>
              <w:jc w:val="center"/>
              <w:rPr>
                <w:rFonts w:ascii="宋体" w:hAnsi="宋体" w:eastAsia="宋体" w:cs="宋体"/>
                <w:bCs/>
                <w:highlight w:val="none"/>
              </w:rPr>
            </w:pPr>
          </w:p>
        </w:tc>
        <w:tc>
          <w:tcPr>
            <w:tcW w:w="1382" w:type="dxa"/>
            <w:vAlign w:val="center"/>
          </w:tcPr>
          <w:p w14:paraId="69C444C9">
            <w:pPr>
              <w:spacing w:line="400" w:lineRule="exact"/>
              <w:jc w:val="center"/>
              <w:rPr>
                <w:rFonts w:ascii="宋体" w:hAnsi="宋体" w:eastAsia="宋体" w:cs="宋体"/>
                <w:bCs/>
                <w:highlight w:val="none"/>
              </w:rPr>
            </w:pPr>
          </w:p>
        </w:tc>
        <w:tc>
          <w:tcPr>
            <w:tcW w:w="1399" w:type="dxa"/>
            <w:vAlign w:val="center"/>
          </w:tcPr>
          <w:p w14:paraId="615C2745">
            <w:pPr>
              <w:spacing w:line="400" w:lineRule="exact"/>
              <w:jc w:val="center"/>
              <w:rPr>
                <w:rFonts w:ascii="宋体" w:hAnsi="宋体" w:eastAsia="宋体" w:cs="宋体"/>
                <w:bCs/>
                <w:highlight w:val="none"/>
              </w:rPr>
            </w:pPr>
          </w:p>
        </w:tc>
        <w:tc>
          <w:tcPr>
            <w:tcW w:w="1485" w:type="dxa"/>
            <w:vAlign w:val="center"/>
          </w:tcPr>
          <w:p w14:paraId="3C05CD7C">
            <w:pPr>
              <w:spacing w:line="400" w:lineRule="exact"/>
              <w:jc w:val="center"/>
              <w:rPr>
                <w:rFonts w:ascii="宋体" w:hAnsi="宋体" w:eastAsia="宋体" w:cs="宋体"/>
                <w:bCs/>
                <w:highlight w:val="none"/>
              </w:rPr>
            </w:pPr>
          </w:p>
        </w:tc>
        <w:tc>
          <w:tcPr>
            <w:tcW w:w="1958" w:type="dxa"/>
            <w:tcBorders>
              <w:right w:val="single" w:color="auto" w:sz="4" w:space="0"/>
            </w:tcBorders>
            <w:vAlign w:val="center"/>
          </w:tcPr>
          <w:p w14:paraId="232CC057">
            <w:pPr>
              <w:spacing w:line="400" w:lineRule="exact"/>
              <w:jc w:val="center"/>
              <w:rPr>
                <w:rFonts w:ascii="宋体" w:hAnsi="宋体" w:eastAsia="宋体" w:cs="宋体"/>
                <w:bCs/>
                <w:highlight w:val="none"/>
              </w:rPr>
            </w:pPr>
          </w:p>
        </w:tc>
        <w:tc>
          <w:tcPr>
            <w:tcW w:w="950" w:type="dxa"/>
            <w:tcBorders>
              <w:left w:val="single" w:color="auto" w:sz="4" w:space="0"/>
            </w:tcBorders>
            <w:vAlign w:val="center"/>
          </w:tcPr>
          <w:p w14:paraId="12ECFEDB">
            <w:pPr>
              <w:spacing w:line="400" w:lineRule="exact"/>
              <w:jc w:val="center"/>
              <w:rPr>
                <w:rFonts w:ascii="宋体" w:hAnsi="宋体" w:eastAsia="宋体" w:cs="宋体"/>
                <w:bCs/>
                <w:highlight w:val="none"/>
              </w:rPr>
            </w:pPr>
          </w:p>
        </w:tc>
      </w:tr>
      <w:tr w14:paraId="7DB902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457727DF">
            <w:pPr>
              <w:spacing w:line="400" w:lineRule="exact"/>
              <w:jc w:val="center"/>
              <w:rPr>
                <w:rFonts w:ascii="宋体" w:hAnsi="宋体" w:eastAsia="宋体" w:cs="宋体"/>
                <w:bCs/>
                <w:highlight w:val="none"/>
              </w:rPr>
            </w:pPr>
          </w:p>
        </w:tc>
        <w:tc>
          <w:tcPr>
            <w:tcW w:w="1508" w:type="dxa"/>
            <w:vAlign w:val="center"/>
          </w:tcPr>
          <w:p w14:paraId="3B6B362C">
            <w:pPr>
              <w:spacing w:line="400" w:lineRule="exact"/>
              <w:jc w:val="center"/>
              <w:rPr>
                <w:rFonts w:ascii="宋体" w:hAnsi="宋体" w:eastAsia="宋体" w:cs="宋体"/>
                <w:bCs/>
                <w:highlight w:val="none"/>
              </w:rPr>
            </w:pPr>
          </w:p>
        </w:tc>
        <w:tc>
          <w:tcPr>
            <w:tcW w:w="1382" w:type="dxa"/>
            <w:vAlign w:val="center"/>
          </w:tcPr>
          <w:p w14:paraId="24F8FD4C">
            <w:pPr>
              <w:spacing w:line="400" w:lineRule="exact"/>
              <w:jc w:val="center"/>
              <w:rPr>
                <w:rFonts w:ascii="宋体" w:hAnsi="宋体" w:eastAsia="宋体" w:cs="宋体"/>
                <w:bCs/>
                <w:highlight w:val="none"/>
              </w:rPr>
            </w:pPr>
          </w:p>
        </w:tc>
        <w:tc>
          <w:tcPr>
            <w:tcW w:w="1399" w:type="dxa"/>
            <w:vAlign w:val="center"/>
          </w:tcPr>
          <w:p w14:paraId="234A7497">
            <w:pPr>
              <w:spacing w:line="400" w:lineRule="exact"/>
              <w:jc w:val="center"/>
              <w:rPr>
                <w:rFonts w:ascii="宋体" w:hAnsi="宋体" w:eastAsia="宋体" w:cs="宋体"/>
                <w:bCs/>
                <w:highlight w:val="none"/>
              </w:rPr>
            </w:pPr>
          </w:p>
        </w:tc>
        <w:tc>
          <w:tcPr>
            <w:tcW w:w="1485" w:type="dxa"/>
            <w:vAlign w:val="center"/>
          </w:tcPr>
          <w:p w14:paraId="29828BD6">
            <w:pPr>
              <w:spacing w:line="400" w:lineRule="exact"/>
              <w:jc w:val="center"/>
              <w:rPr>
                <w:rFonts w:ascii="宋体" w:hAnsi="宋体" w:eastAsia="宋体" w:cs="宋体"/>
                <w:bCs/>
                <w:highlight w:val="none"/>
              </w:rPr>
            </w:pPr>
          </w:p>
        </w:tc>
        <w:tc>
          <w:tcPr>
            <w:tcW w:w="1958" w:type="dxa"/>
            <w:tcBorders>
              <w:right w:val="single" w:color="auto" w:sz="4" w:space="0"/>
            </w:tcBorders>
            <w:vAlign w:val="center"/>
          </w:tcPr>
          <w:p w14:paraId="7AD83CD9">
            <w:pPr>
              <w:spacing w:line="400" w:lineRule="exact"/>
              <w:jc w:val="center"/>
              <w:rPr>
                <w:rFonts w:ascii="宋体" w:hAnsi="宋体" w:eastAsia="宋体" w:cs="宋体"/>
                <w:bCs/>
                <w:highlight w:val="none"/>
              </w:rPr>
            </w:pPr>
          </w:p>
        </w:tc>
        <w:tc>
          <w:tcPr>
            <w:tcW w:w="950" w:type="dxa"/>
            <w:tcBorders>
              <w:left w:val="single" w:color="auto" w:sz="4" w:space="0"/>
            </w:tcBorders>
            <w:vAlign w:val="center"/>
          </w:tcPr>
          <w:p w14:paraId="264D7F2F">
            <w:pPr>
              <w:spacing w:line="400" w:lineRule="exact"/>
              <w:jc w:val="center"/>
              <w:rPr>
                <w:rFonts w:ascii="宋体" w:hAnsi="宋体" w:eastAsia="宋体" w:cs="宋体"/>
                <w:bCs/>
                <w:highlight w:val="none"/>
              </w:rPr>
            </w:pPr>
          </w:p>
        </w:tc>
      </w:tr>
      <w:tr w14:paraId="06913B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5E0EA828">
            <w:pPr>
              <w:spacing w:line="400" w:lineRule="exact"/>
              <w:jc w:val="center"/>
              <w:rPr>
                <w:rFonts w:ascii="宋体" w:hAnsi="宋体" w:eastAsia="宋体" w:cs="宋体"/>
                <w:bCs/>
                <w:highlight w:val="none"/>
              </w:rPr>
            </w:pPr>
          </w:p>
        </w:tc>
        <w:tc>
          <w:tcPr>
            <w:tcW w:w="1508" w:type="dxa"/>
            <w:vAlign w:val="center"/>
          </w:tcPr>
          <w:p w14:paraId="363FC269">
            <w:pPr>
              <w:spacing w:line="400" w:lineRule="exact"/>
              <w:jc w:val="center"/>
              <w:rPr>
                <w:rFonts w:ascii="宋体" w:hAnsi="宋体" w:eastAsia="宋体" w:cs="宋体"/>
                <w:bCs/>
                <w:highlight w:val="none"/>
              </w:rPr>
            </w:pPr>
          </w:p>
        </w:tc>
        <w:tc>
          <w:tcPr>
            <w:tcW w:w="1382" w:type="dxa"/>
            <w:vAlign w:val="center"/>
          </w:tcPr>
          <w:p w14:paraId="746BEF28">
            <w:pPr>
              <w:spacing w:line="400" w:lineRule="exact"/>
              <w:jc w:val="center"/>
              <w:rPr>
                <w:rFonts w:ascii="宋体" w:hAnsi="宋体" w:eastAsia="宋体" w:cs="宋体"/>
                <w:bCs/>
                <w:highlight w:val="none"/>
              </w:rPr>
            </w:pPr>
          </w:p>
        </w:tc>
        <w:tc>
          <w:tcPr>
            <w:tcW w:w="1399" w:type="dxa"/>
            <w:vAlign w:val="center"/>
          </w:tcPr>
          <w:p w14:paraId="30FC7A66">
            <w:pPr>
              <w:spacing w:line="400" w:lineRule="exact"/>
              <w:jc w:val="center"/>
              <w:rPr>
                <w:rFonts w:ascii="宋体" w:hAnsi="宋体" w:eastAsia="宋体" w:cs="宋体"/>
                <w:bCs/>
                <w:highlight w:val="none"/>
              </w:rPr>
            </w:pPr>
          </w:p>
        </w:tc>
        <w:tc>
          <w:tcPr>
            <w:tcW w:w="1485" w:type="dxa"/>
            <w:vAlign w:val="center"/>
          </w:tcPr>
          <w:p w14:paraId="4E9BBB00">
            <w:pPr>
              <w:spacing w:line="400" w:lineRule="exact"/>
              <w:jc w:val="center"/>
              <w:rPr>
                <w:rFonts w:ascii="宋体" w:hAnsi="宋体" w:eastAsia="宋体" w:cs="宋体"/>
                <w:bCs/>
                <w:highlight w:val="none"/>
              </w:rPr>
            </w:pPr>
          </w:p>
        </w:tc>
        <w:tc>
          <w:tcPr>
            <w:tcW w:w="1958" w:type="dxa"/>
            <w:tcBorders>
              <w:right w:val="single" w:color="auto" w:sz="4" w:space="0"/>
            </w:tcBorders>
            <w:vAlign w:val="center"/>
          </w:tcPr>
          <w:p w14:paraId="47EEA3BE">
            <w:pPr>
              <w:spacing w:line="400" w:lineRule="exact"/>
              <w:jc w:val="center"/>
              <w:rPr>
                <w:rFonts w:ascii="宋体" w:hAnsi="宋体" w:eastAsia="宋体" w:cs="宋体"/>
                <w:bCs/>
                <w:highlight w:val="none"/>
              </w:rPr>
            </w:pPr>
          </w:p>
        </w:tc>
        <w:tc>
          <w:tcPr>
            <w:tcW w:w="950" w:type="dxa"/>
            <w:tcBorders>
              <w:left w:val="single" w:color="auto" w:sz="4" w:space="0"/>
            </w:tcBorders>
            <w:vAlign w:val="center"/>
          </w:tcPr>
          <w:p w14:paraId="21FE10E2">
            <w:pPr>
              <w:spacing w:line="400" w:lineRule="exact"/>
              <w:jc w:val="center"/>
              <w:rPr>
                <w:rFonts w:ascii="宋体" w:hAnsi="宋体" w:eastAsia="宋体" w:cs="宋体"/>
                <w:bCs/>
                <w:highlight w:val="none"/>
              </w:rPr>
            </w:pPr>
          </w:p>
        </w:tc>
      </w:tr>
      <w:tr w14:paraId="5D74A6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2462B4FB">
            <w:pPr>
              <w:spacing w:line="400" w:lineRule="exact"/>
              <w:jc w:val="center"/>
              <w:rPr>
                <w:rFonts w:ascii="宋体" w:hAnsi="宋体" w:eastAsia="宋体" w:cs="宋体"/>
                <w:bCs/>
                <w:highlight w:val="none"/>
              </w:rPr>
            </w:pPr>
          </w:p>
        </w:tc>
        <w:tc>
          <w:tcPr>
            <w:tcW w:w="1508" w:type="dxa"/>
            <w:tcBorders>
              <w:right w:val="single" w:color="auto" w:sz="4" w:space="0"/>
            </w:tcBorders>
            <w:vAlign w:val="center"/>
          </w:tcPr>
          <w:p w14:paraId="6473E0E8">
            <w:pPr>
              <w:spacing w:line="400" w:lineRule="exact"/>
              <w:jc w:val="center"/>
              <w:rPr>
                <w:rFonts w:ascii="宋体" w:hAnsi="宋体" w:eastAsia="宋体" w:cs="宋体"/>
                <w:bCs/>
                <w:highlight w:val="none"/>
              </w:rPr>
            </w:pPr>
          </w:p>
        </w:tc>
        <w:tc>
          <w:tcPr>
            <w:tcW w:w="1382" w:type="dxa"/>
            <w:tcBorders>
              <w:left w:val="single" w:color="auto" w:sz="4" w:space="0"/>
            </w:tcBorders>
            <w:vAlign w:val="center"/>
          </w:tcPr>
          <w:p w14:paraId="351AEACA">
            <w:pPr>
              <w:spacing w:line="400" w:lineRule="exact"/>
              <w:jc w:val="center"/>
              <w:rPr>
                <w:rFonts w:ascii="宋体" w:hAnsi="宋体" w:eastAsia="宋体" w:cs="宋体"/>
                <w:bCs/>
                <w:highlight w:val="none"/>
              </w:rPr>
            </w:pPr>
          </w:p>
        </w:tc>
        <w:tc>
          <w:tcPr>
            <w:tcW w:w="1399" w:type="dxa"/>
            <w:vAlign w:val="center"/>
          </w:tcPr>
          <w:p w14:paraId="10D3F3FD">
            <w:pPr>
              <w:spacing w:line="400" w:lineRule="exact"/>
              <w:jc w:val="center"/>
              <w:rPr>
                <w:rFonts w:ascii="宋体" w:hAnsi="宋体" w:eastAsia="宋体" w:cs="宋体"/>
                <w:bCs/>
                <w:highlight w:val="none"/>
              </w:rPr>
            </w:pPr>
          </w:p>
        </w:tc>
        <w:tc>
          <w:tcPr>
            <w:tcW w:w="1485" w:type="dxa"/>
            <w:vAlign w:val="center"/>
          </w:tcPr>
          <w:p w14:paraId="0052348A">
            <w:pPr>
              <w:spacing w:line="400" w:lineRule="exact"/>
              <w:jc w:val="center"/>
              <w:rPr>
                <w:rFonts w:ascii="宋体" w:hAnsi="宋体" w:eastAsia="宋体" w:cs="宋体"/>
                <w:bCs/>
                <w:highlight w:val="none"/>
              </w:rPr>
            </w:pPr>
          </w:p>
        </w:tc>
        <w:tc>
          <w:tcPr>
            <w:tcW w:w="1958" w:type="dxa"/>
            <w:tcBorders>
              <w:right w:val="single" w:color="auto" w:sz="4" w:space="0"/>
            </w:tcBorders>
            <w:vAlign w:val="center"/>
          </w:tcPr>
          <w:p w14:paraId="7E0AB818">
            <w:pPr>
              <w:spacing w:line="400" w:lineRule="exact"/>
              <w:jc w:val="center"/>
              <w:rPr>
                <w:rFonts w:ascii="宋体" w:hAnsi="宋体" w:eastAsia="宋体" w:cs="宋体"/>
                <w:bCs/>
                <w:highlight w:val="none"/>
              </w:rPr>
            </w:pPr>
          </w:p>
        </w:tc>
        <w:tc>
          <w:tcPr>
            <w:tcW w:w="950" w:type="dxa"/>
            <w:tcBorders>
              <w:left w:val="single" w:color="auto" w:sz="4" w:space="0"/>
            </w:tcBorders>
            <w:vAlign w:val="center"/>
          </w:tcPr>
          <w:p w14:paraId="3BF45357">
            <w:pPr>
              <w:spacing w:line="400" w:lineRule="exact"/>
              <w:jc w:val="center"/>
              <w:rPr>
                <w:rFonts w:ascii="宋体" w:hAnsi="宋体" w:eastAsia="宋体" w:cs="宋体"/>
                <w:bCs/>
                <w:highlight w:val="none"/>
              </w:rPr>
            </w:pPr>
          </w:p>
        </w:tc>
      </w:tr>
      <w:tr w14:paraId="133B9A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14:paraId="329D704D">
            <w:pPr>
              <w:spacing w:line="400" w:lineRule="exact"/>
              <w:rPr>
                <w:rFonts w:ascii="宋体" w:hAnsi="宋体" w:eastAsia="宋体" w:cs="宋体"/>
                <w:bCs/>
                <w:highlight w:val="none"/>
              </w:rPr>
            </w:pPr>
          </w:p>
        </w:tc>
        <w:tc>
          <w:tcPr>
            <w:tcW w:w="1508" w:type="dxa"/>
            <w:tcBorders>
              <w:left w:val="single" w:color="auto" w:sz="4" w:space="0"/>
              <w:right w:val="single" w:color="auto" w:sz="4" w:space="0"/>
            </w:tcBorders>
            <w:vAlign w:val="center"/>
          </w:tcPr>
          <w:p w14:paraId="34DB3EE2">
            <w:pPr>
              <w:spacing w:line="400" w:lineRule="exact"/>
              <w:rPr>
                <w:rFonts w:ascii="宋体" w:hAnsi="宋体" w:eastAsia="宋体" w:cs="宋体"/>
                <w:bCs/>
                <w:highlight w:val="none"/>
              </w:rPr>
            </w:pPr>
          </w:p>
        </w:tc>
        <w:tc>
          <w:tcPr>
            <w:tcW w:w="1382" w:type="dxa"/>
            <w:tcBorders>
              <w:left w:val="single" w:color="auto" w:sz="4" w:space="0"/>
              <w:right w:val="single" w:color="auto" w:sz="4" w:space="0"/>
            </w:tcBorders>
            <w:vAlign w:val="center"/>
          </w:tcPr>
          <w:p w14:paraId="6F16B80E">
            <w:pPr>
              <w:spacing w:line="400" w:lineRule="exact"/>
              <w:rPr>
                <w:rFonts w:ascii="宋体" w:hAnsi="宋体" w:eastAsia="宋体" w:cs="宋体"/>
                <w:bCs/>
                <w:highlight w:val="none"/>
              </w:rPr>
            </w:pPr>
          </w:p>
        </w:tc>
        <w:tc>
          <w:tcPr>
            <w:tcW w:w="1399" w:type="dxa"/>
            <w:tcBorders>
              <w:left w:val="single" w:color="auto" w:sz="4" w:space="0"/>
              <w:right w:val="single" w:color="auto" w:sz="4" w:space="0"/>
            </w:tcBorders>
            <w:vAlign w:val="center"/>
          </w:tcPr>
          <w:p w14:paraId="03D7F05C">
            <w:pPr>
              <w:spacing w:line="400" w:lineRule="exact"/>
              <w:rPr>
                <w:rFonts w:ascii="宋体" w:hAnsi="宋体" w:eastAsia="宋体" w:cs="宋体"/>
                <w:bCs/>
                <w:highlight w:val="none"/>
              </w:rPr>
            </w:pPr>
          </w:p>
        </w:tc>
        <w:tc>
          <w:tcPr>
            <w:tcW w:w="1485" w:type="dxa"/>
            <w:tcBorders>
              <w:left w:val="single" w:color="auto" w:sz="4" w:space="0"/>
              <w:right w:val="single" w:color="auto" w:sz="4" w:space="0"/>
            </w:tcBorders>
            <w:vAlign w:val="center"/>
          </w:tcPr>
          <w:p w14:paraId="4926CF63">
            <w:pPr>
              <w:spacing w:line="400" w:lineRule="exact"/>
              <w:rPr>
                <w:rFonts w:ascii="宋体" w:hAnsi="宋体" w:eastAsia="宋体" w:cs="宋体"/>
                <w:bCs/>
                <w:highlight w:val="none"/>
              </w:rPr>
            </w:pPr>
          </w:p>
        </w:tc>
        <w:tc>
          <w:tcPr>
            <w:tcW w:w="1958" w:type="dxa"/>
            <w:tcBorders>
              <w:left w:val="single" w:color="auto" w:sz="4" w:space="0"/>
              <w:right w:val="single" w:color="auto" w:sz="4" w:space="0"/>
            </w:tcBorders>
            <w:vAlign w:val="center"/>
          </w:tcPr>
          <w:p w14:paraId="7891A49E">
            <w:pPr>
              <w:spacing w:line="400" w:lineRule="exact"/>
              <w:rPr>
                <w:rFonts w:ascii="宋体" w:hAnsi="宋体" w:eastAsia="宋体" w:cs="宋体"/>
                <w:bCs/>
                <w:highlight w:val="none"/>
              </w:rPr>
            </w:pPr>
          </w:p>
        </w:tc>
        <w:tc>
          <w:tcPr>
            <w:tcW w:w="950" w:type="dxa"/>
            <w:tcBorders>
              <w:left w:val="single" w:color="auto" w:sz="4" w:space="0"/>
            </w:tcBorders>
            <w:vAlign w:val="center"/>
          </w:tcPr>
          <w:p w14:paraId="60382BAD">
            <w:pPr>
              <w:spacing w:line="400" w:lineRule="exact"/>
              <w:rPr>
                <w:rFonts w:ascii="宋体" w:hAnsi="宋体" w:eastAsia="宋体" w:cs="宋体"/>
                <w:bCs/>
                <w:highlight w:val="none"/>
              </w:rPr>
            </w:pPr>
          </w:p>
        </w:tc>
      </w:tr>
      <w:tr w14:paraId="66FF0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06BD44A9">
            <w:pPr>
              <w:spacing w:line="400" w:lineRule="exact"/>
              <w:rPr>
                <w:rFonts w:ascii="宋体" w:hAnsi="宋体" w:eastAsia="宋体" w:cs="宋体"/>
                <w:bCs/>
                <w:highlight w:val="none"/>
              </w:rPr>
            </w:pPr>
          </w:p>
        </w:tc>
        <w:tc>
          <w:tcPr>
            <w:tcW w:w="1508" w:type="dxa"/>
            <w:vAlign w:val="center"/>
          </w:tcPr>
          <w:p w14:paraId="5B5E2AF2">
            <w:pPr>
              <w:spacing w:line="400" w:lineRule="exact"/>
              <w:rPr>
                <w:rFonts w:ascii="宋体" w:hAnsi="宋体" w:eastAsia="宋体" w:cs="宋体"/>
                <w:bCs/>
                <w:highlight w:val="none"/>
              </w:rPr>
            </w:pPr>
          </w:p>
        </w:tc>
        <w:tc>
          <w:tcPr>
            <w:tcW w:w="1382" w:type="dxa"/>
            <w:vAlign w:val="center"/>
          </w:tcPr>
          <w:p w14:paraId="2A7EAE55">
            <w:pPr>
              <w:spacing w:line="400" w:lineRule="exact"/>
              <w:rPr>
                <w:rFonts w:ascii="宋体" w:hAnsi="宋体" w:eastAsia="宋体" w:cs="宋体"/>
                <w:bCs/>
                <w:highlight w:val="none"/>
              </w:rPr>
            </w:pPr>
          </w:p>
        </w:tc>
        <w:tc>
          <w:tcPr>
            <w:tcW w:w="1399" w:type="dxa"/>
            <w:vAlign w:val="center"/>
          </w:tcPr>
          <w:p w14:paraId="41532CDE">
            <w:pPr>
              <w:spacing w:line="400" w:lineRule="exact"/>
              <w:rPr>
                <w:rFonts w:ascii="宋体" w:hAnsi="宋体" w:eastAsia="宋体" w:cs="宋体"/>
                <w:bCs/>
                <w:highlight w:val="none"/>
              </w:rPr>
            </w:pPr>
          </w:p>
        </w:tc>
        <w:tc>
          <w:tcPr>
            <w:tcW w:w="1485" w:type="dxa"/>
            <w:tcBorders>
              <w:right w:val="single" w:color="auto" w:sz="4" w:space="0"/>
            </w:tcBorders>
            <w:vAlign w:val="center"/>
          </w:tcPr>
          <w:p w14:paraId="7B852902">
            <w:pPr>
              <w:spacing w:line="400" w:lineRule="exact"/>
              <w:rPr>
                <w:rFonts w:ascii="宋体" w:hAnsi="宋体" w:eastAsia="宋体" w:cs="宋体"/>
                <w:bCs/>
                <w:highlight w:val="none"/>
              </w:rPr>
            </w:pPr>
          </w:p>
        </w:tc>
        <w:tc>
          <w:tcPr>
            <w:tcW w:w="1958" w:type="dxa"/>
            <w:tcBorders>
              <w:left w:val="single" w:color="auto" w:sz="4" w:space="0"/>
              <w:right w:val="single" w:color="auto" w:sz="4" w:space="0"/>
            </w:tcBorders>
            <w:vAlign w:val="center"/>
          </w:tcPr>
          <w:p w14:paraId="61F772A2">
            <w:pPr>
              <w:spacing w:line="400" w:lineRule="exact"/>
              <w:rPr>
                <w:rFonts w:ascii="宋体" w:hAnsi="宋体" w:eastAsia="宋体" w:cs="宋体"/>
                <w:bCs/>
                <w:highlight w:val="none"/>
              </w:rPr>
            </w:pPr>
          </w:p>
        </w:tc>
        <w:tc>
          <w:tcPr>
            <w:tcW w:w="950" w:type="dxa"/>
            <w:tcBorders>
              <w:left w:val="single" w:color="auto" w:sz="4" w:space="0"/>
            </w:tcBorders>
            <w:vAlign w:val="center"/>
          </w:tcPr>
          <w:p w14:paraId="73A03E27">
            <w:pPr>
              <w:spacing w:line="400" w:lineRule="exact"/>
              <w:rPr>
                <w:rFonts w:ascii="宋体" w:hAnsi="宋体" w:eastAsia="宋体" w:cs="宋体"/>
                <w:bCs/>
                <w:highlight w:val="none"/>
              </w:rPr>
            </w:pPr>
          </w:p>
        </w:tc>
      </w:tr>
      <w:tr w14:paraId="5A2D32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14:paraId="1F89A79D">
            <w:pPr>
              <w:spacing w:line="400" w:lineRule="exact"/>
              <w:jc w:val="center"/>
              <w:rPr>
                <w:rFonts w:ascii="宋体" w:hAnsi="宋体" w:eastAsia="宋体" w:cs="宋体"/>
                <w:bCs/>
                <w:highlight w:val="none"/>
              </w:rPr>
            </w:pPr>
          </w:p>
        </w:tc>
        <w:tc>
          <w:tcPr>
            <w:tcW w:w="1508" w:type="dxa"/>
            <w:vAlign w:val="center"/>
          </w:tcPr>
          <w:p w14:paraId="47EED37B">
            <w:pPr>
              <w:spacing w:line="400" w:lineRule="exact"/>
              <w:jc w:val="center"/>
              <w:rPr>
                <w:rFonts w:ascii="宋体" w:hAnsi="宋体" w:eastAsia="宋体" w:cs="宋体"/>
                <w:bCs/>
                <w:highlight w:val="none"/>
              </w:rPr>
            </w:pPr>
          </w:p>
        </w:tc>
        <w:tc>
          <w:tcPr>
            <w:tcW w:w="1382" w:type="dxa"/>
            <w:vAlign w:val="center"/>
          </w:tcPr>
          <w:p w14:paraId="668305C6">
            <w:pPr>
              <w:spacing w:line="400" w:lineRule="exact"/>
              <w:jc w:val="center"/>
              <w:rPr>
                <w:rFonts w:ascii="宋体" w:hAnsi="宋体" w:eastAsia="宋体" w:cs="宋体"/>
                <w:bCs/>
                <w:highlight w:val="none"/>
              </w:rPr>
            </w:pPr>
          </w:p>
        </w:tc>
        <w:tc>
          <w:tcPr>
            <w:tcW w:w="1399" w:type="dxa"/>
            <w:vAlign w:val="center"/>
          </w:tcPr>
          <w:p w14:paraId="243476CE">
            <w:pPr>
              <w:spacing w:line="400" w:lineRule="exact"/>
              <w:jc w:val="center"/>
              <w:rPr>
                <w:rFonts w:ascii="宋体" w:hAnsi="宋体" w:eastAsia="宋体" w:cs="宋体"/>
                <w:bCs/>
                <w:highlight w:val="none"/>
              </w:rPr>
            </w:pPr>
          </w:p>
        </w:tc>
        <w:tc>
          <w:tcPr>
            <w:tcW w:w="1485" w:type="dxa"/>
            <w:tcBorders>
              <w:right w:val="single" w:color="auto" w:sz="4" w:space="0"/>
            </w:tcBorders>
            <w:vAlign w:val="center"/>
          </w:tcPr>
          <w:p w14:paraId="7275ED08">
            <w:pPr>
              <w:spacing w:line="400" w:lineRule="exact"/>
              <w:jc w:val="center"/>
              <w:rPr>
                <w:rFonts w:ascii="宋体" w:hAnsi="宋体" w:eastAsia="宋体" w:cs="宋体"/>
                <w:bCs/>
                <w:highlight w:val="none"/>
              </w:rPr>
            </w:pPr>
          </w:p>
        </w:tc>
        <w:tc>
          <w:tcPr>
            <w:tcW w:w="1958" w:type="dxa"/>
            <w:tcBorders>
              <w:left w:val="single" w:color="auto" w:sz="4" w:space="0"/>
              <w:right w:val="single" w:color="auto" w:sz="4" w:space="0"/>
            </w:tcBorders>
            <w:vAlign w:val="center"/>
          </w:tcPr>
          <w:p w14:paraId="6ADA878E">
            <w:pPr>
              <w:spacing w:line="400" w:lineRule="exact"/>
              <w:jc w:val="center"/>
              <w:rPr>
                <w:rFonts w:ascii="宋体" w:hAnsi="宋体" w:eastAsia="宋体" w:cs="宋体"/>
                <w:bCs/>
                <w:highlight w:val="none"/>
              </w:rPr>
            </w:pPr>
          </w:p>
        </w:tc>
        <w:tc>
          <w:tcPr>
            <w:tcW w:w="950" w:type="dxa"/>
            <w:tcBorders>
              <w:left w:val="single" w:color="auto" w:sz="4" w:space="0"/>
            </w:tcBorders>
            <w:vAlign w:val="center"/>
          </w:tcPr>
          <w:p w14:paraId="6FF0A159">
            <w:pPr>
              <w:spacing w:line="400" w:lineRule="exact"/>
              <w:jc w:val="center"/>
              <w:rPr>
                <w:rFonts w:ascii="宋体" w:hAnsi="宋体" w:eastAsia="宋体" w:cs="宋体"/>
                <w:bCs/>
                <w:highlight w:val="none"/>
              </w:rPr>
            </w:pPr>
          </w:p>
        </w:tc>
      </w:tr>
    </w:tbl>
    <w:p w14:paraId="6903A133">
      <w:pPr>
        <w:spacing w:line="360" w:lineRule="auto"/>
        <w:rPr>
          <w:rFonts w:ascii="宋体" w:hAnsi="宋体" w:eastAsia="宋体" w:cs="宋体"/>
          <w:highlight w:val="none"/>
        </w:rPr>
      </w:pPr>
      <w:r>
        <w:rPr>
          <w:rFonts w:hint="eastAsia" w:ascii="宋体" w:hAnsi="宋体" w:eastAsia="宋体" w:cs="宋体"/>
          <w:highlight w:val="none"/>
        </w:rPr>
        <w:t>注：以上业绩</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仅限于投标人自己实施的</w:t>
      </w:r>
      <w:r>
        <w:rPr>
          <w:rFonts w:hint="eastAsia" w:ascii="宋体" w:hAnsi="宋体" w:eastAsia="宋体" w:cs="宋体"/>
          <w:highlight w:val="none"/>
          <w:lang w:eastAsia="zh-CN"/>
        </w:rPr>
        <w:t>）</w:t>
      </w:r>
      <w:r>
        <w:rPr>
          <w:rFonts w:hint="eastAsia" w:ascii="宋体" w:hAnsi="宋体" w:eastAsia="宋体" w:cs="宋体"/>
          <w:highlight w:val="none"/>
        </w:rPr>
        <w:t>需提供合同关键页（首页、总金额页、标的物页）复印件并加盖公章。</w:t>
      </w:r>
    </w:p>
    <w:p w14:paraId="00005D3C">
      <w:pPr>
        <w:adjustRightInd w:val="0"/>
        <w:spacing w:line="600" w:lineRule="auto"/>
        <w:rPr>
          <w:rFonts w:ascii="宋体" w:hAnsi="宋体" w:eastAsia="宋体" w:cs="宋体"/>
          <w:bCs/>
          <w:highlight w:val="none"/>
          <w:u w:val="single"/>
        </w:rPr>
      </w:pPr>
      <w:r>
        <w:rPr>
          <w:rFonts w:hint="eastAsia" w:ascii="宋体" w:hAnsi="宋体" w:eastAsia="宋体" w:cs="宋体"/>
          <w:bCs/>
          <w:highlight w:val="none"/>
        </w:rPr>
        <w:t>供应商名称：</w:t>
      </w:r>
      <w:r>
        <w:rPr>
          <w:rFonts w:hint="eastAsia" w:ascii="宋体" w:hAnsi="宋体" w:eastAsia="宋体" w:cs="宋体"/>
          <w:bCs/>
          <w:highlight w:val="none"/>
          <w:u w:val="single"/>
        </w:rPr>
        <w:t xml:space="preserve">              （全称及公章）</w:t>
      </w:r>
    </w:p>
    <w:p w14:paraId="197046CA">
      <w:pPr>
        <w:adjustRightInd w:val="0"/>
        <w:snapToGrid w:val="0"/>
        <w:spacing w:line="600" w:lineRule="auto"/>
        <w:rPr>
          <w:rFonts w:ascii="宋体" w:hAnsi="宋体" w:eastAsia="宋体" w:cs="宋体"/>
          <w:highlight w:val="none"/>
        </w:rPr>
      </w:pPr>
      <w:r>
        <w:rPr>
          <w:rFonts w:hint="eastAsia" w:ascii="宋体" w:hAnsi="宋体" w:eastAsia="宋体" w:cs="宋体"/>
          <w:highlight w:val="none"/>
        </w:rPr>
        <w:t>法定代表人（负责人）或被授权人（签字或盖章）：</w:t>
      </w:r>
    </w:p>
    <w:p w14:paraId="5E49866A">
      <w:pPr>
        <w:adjustRightInd w:val="0"/>
        <w:snapToGrid w:val="0"/>
        <w:spacing w:line="600" w:lineRule="auto"/>
        <w:rPr>
          <w:rFonts w:ascii="宋体" w:hAnsi="宋体" w:eastAsia="宋体" w:cs="宋体"/>
          <w:sz w:val="36"/>
          <w:szCs w:val="36"/>
          <w:highlight w:val="none"/>
        </w:rPr>
      </w:pPr>
      <w:r>
        <w:rPr>
          <w:rFonts w:hint="eastAsia" w:ascii="宋体" w:hAnsi="宋体" w:eastAsia="宋体" w:cs="宋体"/>
          <w:bCs/>
          <w:highlight w:val="none"/>
        </w:rPr>
        <w:t xml:space="preserve">日    </w:t>
      </w:r>
      <w:r>
        <w:rPr>
          <w:rFonts w:hint="eastAsia" w:ascii="宋体" w:hAnsi="宋体" w:eastAsia="宋体" w:cs="宋体"/>
          <w:highlight w:val="none"/>
        </w:rPr>
        <w:t xml:space="preserve">期:                   </w:t>
      </w:r>
      <w:bookmarkEnd w:id="219"/>
      <w:bookmarkEnd w:id="220"/>
      <w:bookmarkEnd w:id="221"/>
      <w:bookmarkEnd w:id="222"/>
    </w:p>
    <w:p w14:paraId="7F6B12A9">
      <w:pPr>
        <w:rPr>
          <w:rFonts w:ascii="宋体" w:hAnsi="宋体" w:eastAsia="宋体" w:cs="宋体"/>
          <w:highlight w:val="none"/>
        </w:rPr>
      </w:pPr>
      <w:r>
        <w:rPr>
          <w:rFonts w:hint="eastAsia" w:ascii="宋体" w:hAnsi="宋体" w:eastAsia="宋体" w:cs="宋体"/>
          <w:highlight w:val="none"/>
        </w:rPr>
        <w:br w:type="page"/>
      </w:r>
    </w:p>
    <w:p w14:paraId="5A0E9EB9">
      <w:pPr>
        <w:pStyle w:val="4"/>
        <w:ind w:firstLine="657"/>
        <w:rPr>
          <w:rFonts w:ascii="宋体" w:hAnsi="宋体" w:cs="宋体"/>
          <w:highlight w:val="none"/>
        </w:rPr>
      </w:pPr>
      <w:bookmarkStart w:id="226" w:name="_Toc23432"/>
      <w:bookmarkStart w:id="227" w:name="_Toc17129"/>
      <w:bookmarkStart w:id="228" w:name="_Toc31283"/>
      <w:bookmarkStart w:id="229" w:name="_Toc22400"/>
      <w:bookmarkStart w:id="230" w:name="_Toc18894"/>
      <w:bookmarkStart w:id="231" w:name="_Toc4431"/>
      <w:bookmarkStart w:id="232" w:name="_Toc9666"/>
      <w:bookmarkStart w:id="233" w:name="_Toc29034"/>
      <w:r>
        <w:rPr>
          <w:rFonts w:hint="eastAsia" w:ascii="宋体" w:hAnsi="宋体" w:cs="宋体"/>
          <w:highlight w:val="none"/>
        </w:rPr>
        <w:t>第九部分  供应商认为有必要说明的其他问题</w:t>
      </w:r>
      <w:bookmarkEnd w:id="226"/>
      <w:bookmarkEnd w:id="227"/>
      <w:bookmarkEnd w:id="228"/>
      <w:bookmarkEnd w:id="229"/>
      <w:bookmarkEnd w:id="230"/>
      <w:bookmarkEnd w:id="231"/>
      <w:bookmarkEnd w:id="232"/>
      <w:bookmarkEnd w:id="233"/>
    </w:p>
    <w:p w14:paraId="38C3B8CE">
      <w:pPr>
        <w:rPr>
          <w:rFonts w:ascii="宋体" w:hAnsi="宋体" w:eastAsia="宋体" w:cs="宋体"/>
          <w:highlight w:val="none"/>
        </w:rPr>
      </w:pPr>
    </w:p>
    <w:p w14:paraId="05D21EE7">
      <w:pPr>
        <w:rPr>
          <w:rFonts w:ascii="宋体" w:hAnsi="宋体" w:eastAsia="宋体" w:cs="宋体"/>
          <w:highlight w:val="none"/>
        </w:rPr>
      </w:pPr>
      <w:r>
        <w:rPr>
          <w:rFonts w:hint="eastAsia" w:ascii="宋体" w:hAnsi="宋体" w:eastAsia="宋体" w:cs="宋体"/>
          <w:highlight w:val="none"/>
        </w:rPr>
        <w:t>供应商认为有必要提供的其他证明文件</w:t>
      </w:r>
    </w:p>
    <w:p w14:paraId="30043E66">
      <w:pPr>
        <w:rPr>
          <w:rFonts w:ascii="宋体" w:hAnsi="宋体" w:eastAsia="宋体" w:cs="宋体"/>
          <w:highlight w:val="none"/>
        </w:rPr>
      </w:pPr>
      <w:r>
        <w:rPr>
          <w:rFonts w:hint="eastAsia" w:ascii="宋体" w:hAnsi="宋体" w:eastAsia="宋体" w:cs="宋体"/>
          <w:highlight w:val="none"/>
        </w:rPr>
        <w:br w:type="page"/>
      </w:r>
    </w:p>
    <w:p w14:paraId="148BAC9B">
      <w:pPr>
        <w:adjustRightInd w:val="0"/>
        <w:spacing w:line="416" w:lineRule="atLeast"/>
        <w:jc w:val="center"/>
        <w:textAlignment w:val="baseline"/>
        <w:rPr>
          <w:rFonts w:ascii="宋体" w:hAnsi="宋体" w:eastAsia="宋体" w:cs="宋体"/>
          <w:highlight w:val="none"/>
        </w:rPr>
      </w:pPr>
      <w:bookmarkStart w:id="234" w:name="_Toc20129"/>
      <w:bookmarkStart w:id="235" w:name="_Toc7273"/>
      <w:bookmarkStart w:id="236" w:name="_Toc22501"/>
      <w:bookmarkStart w:id="237" w:name="_Toc9607"/>
      <w:bookmarkStart w:id="238" w:name="_Toc8177"/>
      <w:bookmarkStart w:id="239" w:name="_Toc22866"/>
      <w:r>
        <w:rPr>
          <w:rFonts w:hint="eastAsia" w:ascii="宋体" w:hAnsi="宋体" w:eastAsia="宋体" w:cs="宋体"/>
          <w:highlight w:val="none"/>
        </w:rPr>
        <w:t>附件一、中小企业申明</w:t>
      </w:r>
      <w:bookmarkEnd w:id="234"/>
      <w:bookmarkEnd w:id="235"/>
      <w:bookmarkEnd w:id="236"/>
      <w:bookmarkEnd w:id="237"/>
      <w:bookmarkEnd w:id="238"/>
      <w:bookmarkEnd w:id="239"/>
    </w:p>
    <w:p w14:paraId="5E57CEAE">
      <w:pPr>
        <w:rPr>
          <w:rFonts w:ascii="宋体" w:hAnsi="宋体" w:eastAsia="宋体" w:cs="宋体"/>
          <w:highlight w:val="none"/>
        </w:rPr>
      </w:pPr>
    </w:p>
    <w:p w14:paraId="40D5E909">
      <w:pPr>
        <w:spacing w:line="588" w:lineRule="exact"/>
        <w:ind w:firstLine="520" w:firstLineChars="200"/>
        <w:rPr>
          <w:rFonts w:ascii="宋体" w:hAnsi="宋体" w:eastAsia="宋体" w:cs="宋体"/>
          <w:spacing w:val="6"/>
          <w:highlight w:val="none"/>
        </w:rPr>
      </w:pPr>
      <w:bookmarkStart w:id="240" w:name="_Toc11130"/>
      <w:bookmarkStart w:id="241" w:name="_Toc11556"/>
      <w:bookmarkStart w:id="242" w:name="_Toc30503"/>
      <w:bookmarkStart w:id="243" w:name="_Toc15467"/>
      <w:bookmarkStart w:id="244" w:name="_Toc3198"/>
      <w:r>
        <w:rPr>
          <w:rFonts w:hint="eastAsia" w:ascii="宋体" w:hAnsi="宋体" w:eastAsia="宋体" w:cs="宋体"/>
          <w:spacing w:val="6"/>
          <w:highlight w:val="none"/>
        </w:rPr>
        <w:t>根据《政府采购促进中小企业发展管理办法》（财库[2020]46号）的规定，由供应商自行声明并对真实性负责。如有虚假，将依法承担相应责任。</w:t>
      </w:r>
    </w:p>
    <w:p w14:paraId="2187FE1C">
      <w:pPr>
        <w:spacing w:line="312" w:lineRule="auto"/>
        <w:jc w:val="center"/>
        <w:rPr>
          <w:rFonts w:ascii="宋体" w:hAnsi="宋体" w:eastAsia="宋体" w:cs="宋体"/>
          <w:b/>
          <w:spacing w:val="6"/>
          <w:highlight w:val="none"/>
        </w:rPr>
      </w:pPr>
      <w:r>
        <w:rPr>
          <w:rFonts w:hint="eastAsia" w:ascii="宋体" w:hAnsi="宋体" w:eastAsia="宋体" w:cs="宋体"/>
          <w:b/>
          <w:spacing w:val="6"/>
          <w:highlight w:val="none"/>
        </w:rPr>
        <w:t>中小企业声明函</w:t>
      </w:r>
    </w:p>
    <w:p w14:paraId="6403645E">
      <w:pPr>
        <w:pStyle w:val="29"/>
        <w:shd w:val="clear" w:color="auto" w:fill="FCFCFC"/>
        <w:spacing w:before="0" w:beforeAutospacing="0" w:after="0" w:afterAutospacing="0" w:line="510" w:lineRule="atLeast"/>
        <w:ind w:firstLine="480"/>
        <w:rPr>
          <w:rFonts w:eastAsia="宋体"/>
          <w:spacing w:val="8"/>
          <w:highlight w:val="none"/>
        </w:rPr>
      </w:pPr>
      <w:r>
        <w:rPr>
          <w:rFonts w:hint="eastAsia" w:eastAsia="宋体"/>
          <w:spacing w:val="8"/>
          <w:highlight w:val="none"/>
        </w:rPr>
        <w:t>本公司郑重声明，根据《政府采购促进中小企业发展管理办法》（财库﹝2020﹞46 号）的规定，本公司参加</w:t>
      </w:r>
      <w:r>
        <w:rPr>
          <w:rFonts w:hint="eastAsia" w:eastAsia="宋体"/>
          <w:spacing w:val="8"/>
          <w:highlight w:val="none"/>
          <w:u w:val="single"/>
        </w:rPr>
        <w:t>（单位名称）</w:t>
      </w:r>
      <w:r>
        <w:rPr>
          <w:rFonts w:hint="eastAsia" w:eastAsia="宋体"/>
          <w:spacing w:val="8"/>
          <w:highlight w:val="none"/>
        </w:rPr>
        <w:t>的</w:t>
      </w:r>
      <w:r>
        <w:rPr>
          <w:rFonts w:hint="eastAsia" w:eastAsia="宋体"/>
          <w:spacing w:val="8"/>
          <w:highlight w:val="none"/>
          <w:u w:val="single"/>
        </w:rPr>
        <w:t>（项目名称）</w:t>
      </w:r>
      <w:r>
        <w:rPr>
          <w:rFonts w:hint="eastAsia" w:eastAsia="宋体"/>
          <w:spacing w:val="8"/>
          <w:highlight w:val="none"/>
        </w:rPr>
        <w:t>采购活动，服务全部由符合政策要求的中小企业承接。相关企业的具体情况如下：</w:t>
      </w:r>
    </w:p>
    <w:p w14:paraId="3E258B93">
      <w:pPr>
        <w:pStyle w:val="29"/>
        <w:shd w:val="clear" w:color="auto" w:fill="FCFCFC"/>
        <w:spacing w:before="0" w:beforeAutospacing="0" w:after="0" w:afterAutospacing="0" w:line="510" w:lineRule="atLeast"/>
        <w:ind w:firstLine="480"/>
        <w:rPr>
          <w:rFonts w:eastAsia="宋体"/>
          <w:spacing w:val="8"/>
          <w:highlight w:val="none"/>
        </w:rPr>
      </w:pPr>
      <w:r>
        <w:rPr>
          <w:rFonts w:hint="eastAsia" w:eastAsia="宋体"/>
          <w:spacing w:val="8"/>
          <w:highlight w:val="none"/>
        </w:rPr>
        <w:t>1.</w:t>
      </w:r>
      <w:r>
        <w:rPr>
          <w:rFonts w:hint="eastAsia" w:eastAsia="宋体"/>
          <w:spacing w:val="8"/>
          <w:highlight w:val="none"/>
          <w:u w:val="single"/>
        </w:rPr>
        <w:t>（标的名称）</w:t>
      </w:r>
      <w:r>
        <w:rPr>
          <w:rFonts w:hint="eastAsia" w:eastAsia="宋体"/>
          <w:spacing w:val="8"/>
          <w:highlight w:val="none"/>
        </w:rPr>
        <w:t> ，属于</w:t>
      </w:r>
      <w:r>
        <w:rPr>
          <w:rFonts w:hint="eastAsia" w:eastAsia="宋体"/>
          <w:spacing w:val="8"/>
          <w:highlight w:val="none"/>
          <w:u w:val="single"/>
        </w:rPr>
        <w:t>（采购内容所属行业）</w:t>
      </w:r>
      <w:r>
        <w:rPr>
          <w:rFonts w:hint="eastAsia" w:eastAsia="宋体"/>
          <w:spacing w:val="8"/>
          <w:highlight w:val="none"/>
        </w:rPr>
        <w:t>；承接企业为</w:t>
      </w:r>
      <w:r>
        <w:rPr>
          <w:rFonts w:hint="eastAsia" w:eastAsia="宋体"/>
          <w:spacing w:val="8"/>
          <w:highlight w:val="none"/>
          <w:u w:val="single"/>
        </w:rPr>
        <w:t>（企业名称）</w:t>
      </w:r>
      <w:r>
        <w:rPr>
          <w:rFonts w:hint="eastAsia" w:eastAsia="宋体"/>
          <w:spacing w:val="8"/>
          <w:highlight w:val="none"/>
        </w:rPr>
        <w:t>，从业人员</w:t>
      </w:r>
      <w:r>
        <w:rPr>
          <w:rFonts w:hint="eastAsia" w:eastAsia="宋体"/>
          <w:spacing w:val="8"/>
          <w:highlight w:val="none"/>
          <w:u w:val="single"/>
        </w:rPr>
        <w:t xml:space="preserve">   </w:t>
      </w:r>
      <w:r>
        <w:rPr>
          <w:rFonts w:hint="eastAsia" w:eastAsia="宋体"/>
          <w:spacing w:val="8"/>
          <w:highlight w:val="none"/>
        </w:rPr>
        <w:t>人，营业收入为</w:t>
      </w:r>
      <w:r>
        <w:rPr>
          <w:rFonts w:hint="eastAsia" w:eastAsia="宋体"/>
          <w:spacing w:val="8"/>
          <w:highlight w:val="none"/>
          <w:u w:val="single"/>
        </w:rPr>
        <w:t xml:space="preserve">   </w:t>
      </w:r>
      <w:r>
        <w:rPr>
          <w:rFonts w:hint="eastAsia" w:eastAsia="宋体"/>
          <w:spacing w:val="8"/>
          <w:highlight w:val="none"/>
        </w:rPr>
        <w:t>万元，资产总额为</w:t>
      </w:r>
      <w:r>
        <w:rPr>
          <w:rFonts w:hint="eastAsia" w:eastAsia="宋体"/>
          <w:spacing w:val="8"/>
          <w:highlight w:val="none"/>
          <w:u w:val="single"/>
        </w:rPr>
        <w:t xml:space="preserve">   </w:t>
      </w:r>
      <w:r>
        <w:rPr>
          <w:rFonts w:hint="eastAsia" w:eastAsia="宋体"/>
          <w:spacing w:val="8"/>
          <w:highlight w:val="none"/>
        </w:rPr>
        <w:t>万元，属于</w:t>
      </w:r>
      <w:r>
        <w:rPr>
          <w:rFonts w:hint="eastAsia" w:eastAsia="宋体"/>
          <w:spacing w:val="8"/>
          <w:highlight w:val="none"/>
          <w:u w:val="single"/>
        </w:rPr>
        <w:t>（中型企业、小型企业、微型企业）</w:t>
      </w:r>
      <w:r>
        <w:rPr>
          <w:rFonts w:hint="eastAsia" w:eastAsia="宋体"/>
          <w:spacing w:val="8"/>
          <w:highlight w:val="none"/>
        </w:rPr>
        <w:t>；</w:t>
      </w:r>
    </w:p>
    <w:p w14:paraId="76BE452B">
      <w:pPr>
        <w:pStyle w:val="29"/>
        <w:shd w:val="clear" w:color="auto" w:fill="FCFCFC"/>
        <w:spacing w:before="0" w:beforeAutospacing="0" w:after="0" w:afterAutospacing="0" w:line="510" w:lineRule="atLeast"/>
        <w:ind w:firstLine="480"/>
        <w:rPr>
          <w:rFonts w:eastAsia="宋体"/>
          <w:spacing w:val="8"/>
          <w:highlight w:val="none"/>
        </w:rPr>
      </w:pPr>
      <w:r>
        <w:rPr>
          <w:rFonts w:hint="eastAsia" w:eastAsia="宋体"/>
          <w:spacing w:val="8"/>
          <w:highlight w:val="none"/>
        </w:rPr>
        <w:t>2.</w:t>
      </w:r>
      <w:r>
        <w:rPr>
          <w:rFonts w:hint="eastAsia" w:eastAsia="宋体"/>
          <w:spacing w:val="8"/>
          <w:highlight w:val="none"/>
          <w:u w:val="single"/>
        </w:rPr>
        <w:t>（标的名称）</w:t>
      </w:r>
      <w:r>
        <w:rPr>
          <w:rFonts w:hint="eastAsia" w:eastAsia="宋体"/>
          <w:spacing w:val="8"/>
          <w:highlight w:val="none"/>
        </w:rPr>
        <w:t> ，属于</w:t>
      </w:r>
      <w:r>
        <w:rPr>
          <w:rFonts w:hint="eastAsia" w:eastAsia="宋体"/>
          <w:spacing w:val="8"/>
          <w:highlight w:val="none"/>
          <w:u w:val="single"/>
        </w:rPr>
        <w:t>（采购内容所属行业）</w:t>
      </w:r>
      <w:r>
        <w:rPr>
          <w:rFonts w:hint="eastAsia" w:eastAsia="宋体"/>
          <w:spacing w:val="8"/>
          <w:highlight w:val="none"/>
        </w:rPr>
        <w:t>；承建（承接）企业为</w:t>
      </w:r>
      <w:r>
        <w:rPr>
          <w:rFonts w:hint="eastAsia" w:eastAsia="宋体"/>
          <w:spacing w:val="8"/>
          <w:highlight w:val="none"/>
          <w:u w:val="single"/>
        </w:rPr>
        <w:t>（企业名称）</w:t>
      </w:r>
      <w:r>
        <w:rPr>
          <w:rFonts w:hint="eastAsia" w:eastAsia="宋体"/>
          <w:spacing w:val="8"/>
          <w:highlight w:val="none"/>
        </w:rPr>
        <w:t>，从业人员人，营业收入为万元，资产总额为万元，属于</w:t>
      </w:r>
      <w:r>
        <w:rPr>
          <w:rFonts w:hint="eastAsia" w:eastAsia="宋体"/>
          <w:spacing w:val="8"/>
          <w:highlight w:val="none"/>
          <w:u w:val="single"/>
        </w:rPr>
        <w:t>（中型企业、小型企业、微型企业）</w:t>
      </w:r>
      <w:r>
        <w:rPr>
          <w:rFonts w:hint="eastAsia" w:eastAsia="宋体"/>
          <w:spacing w:val="8"/>
          <w:highlight w:val="none"/>
        </w:rPr>
        <w:t>；</w:t>
      </w:r>
    </w:p>
    <w:p w14:paraId="02432801">
      <w:pPr>
        <w:pStyle w:val="29"/>
        <w:shd w:val="clear" w:color="auto" w:fill="FCFCFC"/>
        <w:spacing w:before="0" w:beforeAutospacing="0" w:after="0" w:afterAutospacing="0" w:line="510" w:lineRule="atLeast"/>
        <w:ind w:firstLine="480"/>
        <w:rPr>
          <w:rFonts w:eastAsia="宋体"/>
          <w:spacing w:val="8"/>
          <w:highlight w:val="none"/>
        </w:rPr>
      </w:pPr>
      <w:r>
        <w:rPr>
          <w:rFonts w:hint="eastAsia" w:eastAsia="宋体"/>
          <w:spacing w:val="8"/>
          <w:highlight w:val="none"/>
        </w:rPr>
        <w:t>……</w:t>
      </w:r>
    </w:p>
    <w:p w14:paraId="1AB15AAA">
      <w:pPr>
        <w:pStyle w:val="29"/>
        <w:shd w:val="clear" w:color="auto" w:fill="FCFCFC"/>
        <w:spacing w:before="0" w:beforeAutospacing="0" w:after="0" w:afterAutospacing="0" w:line="510" w:lineRule="atLeast"/>
        <w:ind w:firstLine="480"/>
        <w:rPr>
          <w:rFonts w:eastAsia="宋体"/>
          <w:spacing w:val="8"/>
          <w:highlight w:val="none"/>
        </w:rPr>
      </w:pPr>
      <w:r>
        <w:rPr>
          <w:rFonts w:hint="eastAsia" w:eastAsia="宋体"/>
          <w:spacing w:val="8"/>
          <w:highlight w:val="none"/>
        </w:rPr>
        <w:t>以上企业，不属于大企业的分支机构，不存在控股股东为大企业的情形，也不存在与大企业的负责人为同一人的情形。</w:t>
      </w:r>
    </w:p>
    <w:p w14:paraId="51ED0D6B">
      <w:pPr>
        <w:pStyle w:val="29"/>
        <w:shd w:val="clear" w:color="auto" w:fill="FCFCFC"/>
        <w:spacing w:before="0" w:beforeAutospacing="0" w:after="0" w:afterAutospacing="0" w:line="510" w:lineRule="atLeast"/>
        <w:ind w:firstLine="480"/>
        <w:rPr>
          <w:rFonts w:eastAsia="宋体"/>
          <w:spacing w:val="8"/>
          <w:highlight w:val="none"/>
        </w:rPr>
      </w:pPr>
      <w:r>
        <w:rPr>
          <w:rFonts w:hint="eastAsia" w:eastAsia="宋体"/>
          <w:spacing w:val="8"/>
          <w:highlight w:val="none"/>
        </w:rPr>
        <w:t>本企业对上述声明内容的真实性负责。如有虚假，将依法承担相应责任。</w:t>
      </w:r>
    </w:p>
    <w:p w14:paraId="045450A5">
      <w:pPr>
        <w:pStyle w:val="16"/>
        <w:spacing w:line="312" w:lineRule="auto"/>
        <w:ind w:right="372" w:firstLine="645"/>
        <w:rPr>
          <w:rFonts w:ascii="宋体" w:hAnsi="宋体" w:eastAsia="宋体" w:cs="宋体"/>
          <w:spacing w:val="6"/>
          <w:sz w:val="24"/>
          <w:highlight w:val="none"/>
        </w:rPr>
      </w:pPr>
    </w:p>
    <w:p w14:paraId="33F8D7BE">
      <w:pPr>
        <w:rPr>
          <w:rFonts w:ascii="宋体" w:hAnsi="宋体" w:eastAsia="宋体" w:cs="宋体"/>
          <w:highlight w:val="none"/>
        </w:rPr>
      </w:pPr>
      <w:r>
        <w:rPr>
          <w:rFonts w:hint="eastAsia" w:ascii="宋体" w:hAnsi="宋体" w:eastAsia="宋体" w:cs="宋体"/>
          <w:b/>
          <w:bCs/>
          <w:spacing w:val="6"/>
          <w:highlight w:val="none"/>
        </w:rPr>
        <w:t>备注：本项目所属行业为：信息技术服务业。</w:t>
      </w:r>
    </w:p>
    <w:p w14:paraId="37560438">
      <w:pPr>
        <w:spacing w:line="312" w:lineRule="auto"/>
        <w:rPr>
          <w:rFonts w:ascii="宋体" w:hAnsi="宋体" w:eastAsia="宋体" w:cs="宋体"/>
          <w:spacing w:val="6"/>
          <w:highlight w:val="none"/>
        </w:rPr>
      </w:pPr>
      <w:r>
        <w:rPr>
          <w:rFonts w:hint="eastAsia" w:ascii="宋体" w:hAnsi="宋体" w:eastAsia="宋体" w:cs="宋体"/>
          <w:spacing w:val="6"/>
          <w:highlight w:val="none"/>
        </w:rPr>
        <w:t>企业名称（盖章）：</w:t>
      </w:r>
    </w:p>
    <w:p w14:paraId="66E73BF9">
      <w:pPr>
        <w:spacing w:line="312" w:lineRule="auto"/>
        <w:rPr>
          <w:rFonts w:ascii="宋体" w:hAnsi="宋体" w:eastAsia="宋体" w:cs="宋体"/>
          <w:spacing w:val="6"/>
          <w:highlight w:val="none"/>
        </w:rPr>
        <w:sectPr>
          <w:headerReference r:id="rId9" w:type="default"/>
          <w:footerReference r:id="rId10" w:type="default"/>
          <w:pgSz w:w="11906" w:h="16838"/>
          <w:pgMar w:top="1440" w:right="1803" w:bottom="1440" w:left="1803" w:header="850" w:footer="992" w:gutter="0"/>
          <w:cols w:space="0" w:num="1"/>
          <w:titlePg/>
          <w:docGrid w:type="linesAndChars" w:linePitch="395" w:charSpace="1724"/>
        </w:sectPr>
      </w:pPr>
      <w:r>
        <w:rPr>
          <w:rFonts w:hint="eastAsia" w:ascii="宋体" w:hAnsi="宋体" w:eastAsia="宋体" w:cs="宋体"/>
          <w:spacing w:val="6"/>
          <w:highlight w:val="none"/>
        </w:rPr>
        <w:t>日期：</w:t>
      </w:r>
    </w:p>
    <w:bookmarkEnd w:id="240"/>
    <w:bookmarkEnd w:id="241"/>
    <w:bookmarkEnd w:id="242"/>
    <w:bookmarkEnd w:id="243"/>
    <w:bookmarkEnd w:id="244"/>
    <w:p w14:paraId="470E59BF">
      <w:pPr>
        <w:adjustRightInd w:val="0"/>
        <w:spacing w:line="416" w:lineRule="atLeast"/>
        <w:jc w:val="center"/>
        <w:textAlignment w:val="baseline"/>
        <w:rPr>
          <w:rFonts w:ascii="宋体" w:hAnsi="宋体" w:eastAsia="宋体" w:cs="宋体"/>
          <w:highlight w:val="none"/>
        </w:rPr>
      </w:pPr>
      <w:bookmarkStart w:id="245" w:name="_Toc21174"/>
      <w:bookmarkStart w:id="246" w:name="_Toc21466"/>
      <w:bookmarkStart w:id="247" w:name="_Toc14587"/>
      <w:r>
        <w:rPr>
          <w:rFonts w:hint="eastAsia" w:ascii="宋体" w:hAnsi="宋体" w:eastAsia="宋体" w:cs="宋体"/>
          <w:highlight w:val="none"/>
        </w:rPr>
        <w:t>附件二、残疾人福利性单位声明</w:t>
      </w:r>
      <w:bookmarkEnd w:id="245"/>
      <w:bookmarkEnd w:id="246"/>
      <w:bookmarkEnd w:id="247"/>
    </w:p>
    <w:p w14:paraId="73F76584">
      <w:pPr>
        <w:spacing w:line="588" w:lineRule="exact"/>
        <w:ind w:firstLine="504" w:firstLineChars="200"/>
        <w:rPr>
          <w:rFonts w:ascii="宋体" w:hAnsi="宋体" w:eastAsia="宋体" w:cs="宋体"/>
          <w:spacing w:val="6"/>
          <w:highlight w:val="none"/>
        </w:rPr>
      </w:pPr>
      <w:r>
        <w:rPr>
          <w:rFonts w:hint="eastAsia" w:ascii="宋体" w:hAnsi="宋体" w:eastAsia="宋体" w:cs="宋体"/>
          <w:spacing w:val="6"/>
          <w:highlight w:val="none"/>
        </w:rPr>
        <w:t>根据《三部门联合发布关于促进残疾人就业政府采购政策的通知》（财库〔2017〕141号）的规定，由供应商自行申明，并对申明真实性负责。如有虚假，将依法承担相应责任。</w:t>
      </w:r>
    </w:p>
    <w:p w14:paraId="578B2896">
      <w:pPr>
        <w:rPr>
          <w:rFonts w:ascii="宋体" w:hAnsi="宋体" w:eastAsia="宋体" w:cs="宋体"/>
          <w:highlight w:val="none"/>
        </w:rPr>
      </w:pPr>
    </w:p>
    <w:p w14:paraId="07D5F06C">
      <w:pPr>
        <w:adjustRightInd w:val="0"/>
        <w:spacing w:line="416" w:lineRule="atLeast"/>
        <w:jc w:val="center"/>
        <w:textAlignment w:val="baseline"/>
        <w:rPr>
          <w:rFonts w:ascii="宋体" w:hAnsi="宋体" w:eastAsia="宋体" w:cs="宋体"/>
          <w:highlight w:val="none"/>
        </w:rPr>
      </w:pPr>
      <w:bookmarkStart w:id="248" w:name="_Toc26193"/>
      <w:bookmarkStart w:id="249" w:name="_Toc27385"/>
      <w:bookmarkStart w:id="250" w:name="_Toc2723"/>
      <w:bookmarkStart w:id="251" w:name="_Toc13075"/>
      <w:bookmarkStart w:id="252" w:name="_Toc13817"/>
      <w:bookmarkStart w:id="253" w:name="_Toc3053"/>
      <w:r>
        <w:rPr>
          <w:rFonts w:hint="eastAsia" w:ascii="宋体" w:hAnsi="宋体" w:eastAsia="宋体" w:cs="宋体"/>
          <w:highlight w:val="none"/>
        </w:rPr>
        <w:t>附件三、监狱企业证明文件</w:t>
      </w:r>
      <w:bookmarkEnd w:id="248"/>
      <w:bookmarkEnd w:id="249"/>
      <w:bookmarkEnd w:id="250"/>
      <w:bookmarkEnd w:id="251"/>
      <w:bookmarkEnd w:id="252"/>
      <w:bookmarkEnd w:id="253"/>
    </w:p>
    <w:p w14:paraId="2BF1CC56">
      <w:pPr>
        <w:rPr>
          <w:rFonts w:ascii="宋体" w:hAnsi="宋体" w:eastAsia="宋体" w:cs="宋体"/>
          <w:highlight w:val="none"/>
        </w:rPr>
      </w:pPr>
    </w:p>
    <w:p w14:paraId="114BBE81">
      <w:pPr>
        <w:snapToGrid w:val="0"/>
        <w:spacing w:line="480" w:lineRule="auto"/>
        <w:ind w:firstLine="504" w:firstLineChars="200"/>
        <w:rPr>
          <w:rFonts w:ascii="宋体" w:hAnsi="宋体" w:eastAsia="宋体" w:cs="宋体"/>
          <w:b/>
          <w:bCs/>
          <w:spacing w:val="48"/>
          <w:sz w:val="72"/>
          <w:szCs w:val="72"/>
          <w:highlight w:val="none"/>
        </w:rPr>
      </w:pPr>
      <w:r>
        <w:rPr>
          <w:rFonts w:hint="eastAsia" w:ascii="宋体" w:hAnsi="宋体" w:eastAsia="宋体" w:cs="宋体"/>
          <w:spacing w:val="6"/>
          <w:highlight w:val="none"/>
        </w:rPr>
        <w:t>说明：根据</w:t>
      </w:r>
      <w:r>
        <w:rPr>
          <w:rFonts w:hint="eastAsia" w:ascii="宋体" w:hAnsi="宋体" w:eastAsia="宋体" w:cs="宋体"/>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2B4874E2">
      <w:pPr>
        <w:adjustRightInd w:val="0"/>
        <w:spacing w:line="416" w:lineRule="atLeast"/>
        <w:textAlignment w:val="baseline"/>
        <w:rPr>
          <w:rFonts w:ascii="宋体" w:hAnsi="宋体" w:eastAsia="宋体" w:cs="宋体"/>
          <w:highlight w:val="none"/>
        </w:rPr>
      </w:pPr>
      <w:bookmarkStart w:id="254" w:name="_Toc13303"/>
      <w:bookmarkStart w:id="255" w:name="_Toc3267"/>
      <w:bookmarkStart w:id="256" w:name="_Toc22654"/>
      <w:bookmarkStart w:id="257" w:name="_Toc2126"/>
      <w:bookmarkStart w:id="258" w:name="_Toc23930"/>
      <w:bookmarkStart w:id="259" w:name="_Toc11969"/>
      <w:bookmarkStart w:id="260" w:name="_Toc563"/>
      <w:bookmarkStart w:id="261" w:name="_Toc13122"/>
      <w:bookmarkStart w:id="262" w:name="_Toc15754"/>
      <w:bookmarkStart w:id="263" w:name="_Toc18799"/>
      <w:r>
        <w:rPr>
          <w:rFonts w:hint="eastAsia" w:ascii="宋体" w:hAnsi="宋体" w:eastAsia="宋体" w:cs="宋体"/>
          <w:highlight w:val="none"/>
        </w:rPr>
        <w:t>附件四、“节能产品”，“环境标志产品”证明材料</w:t>
      </w:r>
      <w:bookmarkEnd w:id="254"/>
      <w:bookmarkEnd w:id="255"/>
      <w:bookmarkEnd w:id="256"/>
      <w:bookmarkEnd w:id="257"/>
      <w:bookmarkEnd w:id="258"/>
      <w:bookmarkEnd w:id="259"/>
      <w:bookmarkEnd w:id="260"/>
      <w:bookmarkEnd w:id="261"/>
      <w:bookmarkEnd w:id="262"/>
      <w:bookmarkEnd w:id="263"/>
    </w:p>
    <w:p w14:paraId="37C09FED">
      <w:pPr>
        <w:spacing w:line="360" w:lineRule="auto"/>
        <w:ind w:firstLine="504" w:firstLineChars="200"/>
        <w:rPr>
          <w:rFonts w:ascii="宋体" w:hAnsi="宋体" w:eastAsia="宋体" w:cs="宋体"/>
          <w:spacing w:val="6"/>
          <w:highlight w:val="none"/>
        </w:rPr>
      </w:pPr>
      <w:r>
        <w:rPr>
          <w:rFonts w:hint="eastAsia" w:ascii="宋体" w:hAnsi="宋体" w:eastAsia="宋体" w:cs="宋体"/>
          <w:spacing w:val="6"/>
          <w:highlight w:val="none"/>
        </w:rPr>
        <w:t>1、供应商提供的产品属于下列情形，应按照磋商文件第三部分供应商须知总则第六款规定提供产品列入“节能产品品目清单”，“环境标志产品品目清单”相应产品的国家确定的认证机构出具的、处于有效期内的节能产品、环境标志产品认证证书。</w:t>
      </w:r>
    </w:p>
    <w:p w14:paraId="334178E1">
      <w:pPr>
        <w:spacing w:line="360" w:lineRule="auto"/>
        <w:ind w:left="480" w:leftChars="200"/>
        <w:rPr>
          <w:rFonts w:ascii="宋体" w:hAnsi="宋体" w:eastAsia="宋体" w:cs="宋体"/>
          <w:highlight w:val="none"/>
        </w:rPr>
      </w:pPr>
      <w:r>
        <w:rPr>
          <w:rFonts w:hint="eastAsia" w:ascii="宋体" w:hAnsi="宋体" w:eastAsia="宋体" w:cs="宋体"/>
          <w:highlight w:val="none"/>
        </w:rPr>
        <w:t>2、未按照上述要求提供的，评审时不予以考虑。</w:t>
      </w:r>
    </w:p>
    <w:p w14:paraId="1B9EC4CB">
      <w:pPr>
        <w:spacing w:line="360" w:lineRule="auto"/>
        <w:ind w:left="480" w:leftChars="200"/>
        <w:rPr>
          <w:rFonts w:ascii="宋体" w:hAnsi="宋体" w:eastAsia="宋体" w:cs="宋体"/>
          <w:highlight w:val="none"/>
        </w:rPr>
      </w:pPr>
    </w:p>
    <w:p w14:paraId="1A9C3365">
      <w:pPr>
        <w:spacing w:line="360" w:lineRule="auto"/>
        <w:ind w:left="480" w:leftChars="200"/>
        <w:rPr>
          <w:rFonts w:ascii="宋体" w:hAnsi="宋体" w:eastAsia="宋体" w:cs="宋体"/>
          <w:highlight w:val="none"/>
        </w:rPr>
      </w:pPr>
    </w:p>
    <w:p w14:paraId="15C9C358">
      <w:pPr>
        <w:snapToGrid w:val="0"/>
        <w:spacing w:line="360" w:lineRule="auto"/>
        <w:ind w:firstLine="480" w:firstLineChars="200"/>
        <w:rPr>
          <w:rFonts w:ascii="宋体" w:hAnsi="宋体" w:eastAsia="宋体" w:cs="宋体"/>
          <w:highlight w:val="none"/>
        </w:rPr>
      </w:pPr>
    </w:p>
    <w:p w14:paraId="52FD2CE6">
      <w:pPr>
        <w:rPr>
          <w:rFonts w:ascii="宋体" w:hAnsi="宋体" w:eastAsia="宋体" w:cs="宋体"/>
          <w:highlight w:val="none"/>
        </w:rPr>
      </w:pPr>
      <w:bookmarkStart w:id="264" w:name="_Toc364"/>
      <w:bookmarkStart w:id="265" w:name="_Toc4757"/>
      <w:bookmarkStart w:id="266" w:name="_Toc3159"/>
      <w:bookmarkStart w:id="267" w:name="_Toc11924"/>
      <w:bookmarkStart w:id="268" w:name="_Toc5338"/>
      <w:bookmarkStart w:id="269" w:name="_Toc654"/>
      <w:r>
        <w:rPr>
          <w:rFonts w:hint="eastAsia" w:ascii="宋体" w:hAnsi="宋体" w:eastAsia="宋体" w:cs="宋体"/>
          <w:highlight w:val="none"/>
        </w:rPr>
        <w:br w:type="page"/>
      </w:r>
    </w:p>
    <w:bookmarkEnd w:id="264"/>
    <w:p w14:paraId="32F0DA47">
      <w:pPr>
        <w:adjustRightInd w:val="0"/>
        <w:spacing w:line="416" w:lineRule="atLeast"/>
        <w:textAlignment w:val="baseline"/>
        <w:rPr>
          <w:rFonts w:ascii="宋体" w:hAnsi="宋体" w:eastAsia="宋体" w:cs="宋体"/>
          <w:sz w:val="22"/>
          <w:szCs w:val="22"/>
          <w:highlight w:val="none"/>
        </w:rPr>
      </w:pPr>
      <w:r>
        <w:rPr>
          <w:rFonts w:hint="eastAsia" w:ascii="宋体" w:hAnsi="宋体" w:eastAsia="宋体" w:cs="宋体"/>
          <w:sz w:val="22"/>
          <w:szCs w:val="22"/>
          <w:highlight w:val="none"/>
        </w:rPr>
        <w:t>附件四、质疑函样本</w:t>
      </w:r>
    </w:p>
    <w:p w14:paraId="3E89E0BC">
      <w:pPr>
        <w:adjustRightInd w:val="0"/>
        <w:spacing w:line="416" w:lineRule="atLeast"/>
        <w:textAlignment w:val="baseline"/>
        <w:rPr>
          <w:rFonts w:ascii="宋体" w:hAnsi="宋体" w:eastAsia="宋体" w:cs="宋体"/>
          <w:bCs/>
          <w:sz w:val="22"/>
          <w:szCs w:val="22"/>
          <w:highlight w:val="none"/>
        </w:rPr>
      </w:pPr>
      <w:r>
        <w:rPr>
          <w:rFonts w:hint="eastAsia" w:ascii="宋体" w:hAnsi="宋体" w:eastAsia="宋体" w:cs="宋体"/>
          <w:bCs/>
          <w:sz w:val="22"/>
          <w:szCs w:val="22"/>
          <w:highlight w:val="none"/>
        </w:rPr>
        <w:t>一、质疑供应商基本信息</w:t>
      </w:r>
    </w:p>
    <w:p w14:paraId="4E51924C">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质疑供应商：                                        </w:t>
      </w:r>
    </w:p>
    <w:p w14:paraId="41C3036F">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地址：                          邮编：                                                   </w:t>
      </w:r>
    </w:p>
    <w:p w14:paraId="5290FEF0">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联系人：                      联系电话：                              </w:t>
      </w:r>
    </w:p>
    <w:p w14:paraId="6F9BC26E">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授权代表：                                          </w:t>
      </w:r>
    </w:p>
    <w:p w14:paraId="79B1067D">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联系电话：                                            </w:t>
      </w:r>
    </w:p>
    <w:p w14:paraId="6143A3A0">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地址：                         邮编：                                                </w:t>
      </w:r>
    </w:p>
    <w:p w14:paraId="73310D57">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二、质疑项目基本情况</w:t>
      </w:r>
    </w:p>
    <w:p w14:paraId="289055B9">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质疑项目的名称：                                      </w:t>
      </w:r>
    </w:p>
    <w:p w14:paraId="425CFEA2">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质疑项目的编号：               ：                 </w:t>
      </w:r>
    </w:p>
    <w:p w14:paraId="3E0FB50B">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采购人名称：                                         </w:t>
      </w:r>
    </w:p>
    <w:p w14:paraId="202FB730">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采购文件获取日期：                                           </w:t>
      </w:r>
    </w:p>
    <w:p w14:paraId="1BC477CE">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三、质疑事项具体内容</w:t>
      </w:r>
    </w:p>
    <w:p w14:paraId="382B078D">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质疑事项1：                                         </w:t>
      </w:r>
    </w:p>
    <w:p w14:paraId="62645CA3">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事实依据：                                                                                               </w:t>
      </w:r>
    </w:p>
    <w:p w14:paraId="4F55CD5B">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法律依据：                                                                                               </w:t>
      </w:r>
    </w:p>
    <w:p w14:paraId="096DC941">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质疑事项2</w:t>
      </w:r>
    </w:p>
    <w:p w14:paraId="56B96F58">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四、与质疑事项相关的质疑请求</w:t>
      </w:r>
    </w:p>
    <w:p w14:paraId="5B9A9800">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请求：                                               </w:t>
      </w:r>
    </w:p>
    <w:p w14:paraId="51CF68CC">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签字(签章)：                   公章：                      </w:t>
      </w:r>
    </w:p>
    <w:p w14:paraId="327DA28B">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 xml:space="preserve">日期：    </w:t>
      </w:r>
    </w:p>
    <w:p w14:paraId="6C911F37">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质疑函制作说明：</w:t>
      </w:r>
    </w:p>
    <w:p w14:paraId="20D2426D">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1.供应商提出质疑时，应提交质疑函和必要的证明材料。</w:t>
      </w:r>
    </w:p>
    <w:p w14:paraId="6B481482">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AE84539">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3.质疑供应商若对项目的某一分包进行质疑，质疑函中应列明具体分。</w:t>
      </w:r>
    </w:p>
    <w:p w14:paraId="0C7C7D53">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4.质疑函的质疑事项应具体、明确，并有必要的事实依据和法律依据。</w:t>
      </w:r>
    </w:p>
    <w:p w14:paraId="1BE40CBE">
      <w:pPr>
        <w:keepNext/>
        <w:keepLines/>
        <w:adjustRightInd w:val="0"/>
        <w:spacing w:line="416" w:lineRule="atLeast"/>
        <w:textAlignment w:val="baseline"/>
        <w:rPr>
          <w:rFonts w:ascii="宋体" w:hAnsi="宋体" w:eastAsia="宋体" w:cs="宋体"/>
          <w:bCs/>
          <w:highlight w:val="none"/>
        </w:rPr>
      </w:pPr>
      <w:r>
        <w:rPr>
          <w:rFonts w:hint="eastAsia" w:ascii="宋体" w:hAnsi="宋体" w:eastAsia="宋体" w:cs="宋体"/>
          <w:bCs/>
          <w:highlight w:val="none"/>
        </w:rPr>
        <w:t>5.质疑函的质疑请求应与质疑事项相关。</w:t>
      </w:r>
    </w:p>
    <w:p w14:paraId="34884DC6">
      <w:pPr>
        <w:rPr>
          <w:rFonts w:ascii="宋体" w:hAnsi="宋体" w:eastAsia="宋体" w:cs="宋体"/>
          <w:highlight w:val="none"/>
        </w:rPr>
      </w:pPr>
      <w:r>
        <w:rPr>
          <w:rFonts w:hint="eastAsia" w:ascii="宋体" w:hAnsi="宋体" w:eastAsia="宋体" w:cs="宋体"/>
          <w:bCs/>
          <w:highlight w:val="none"/>
        </w:rPr>
        <w:t>6.质疑供应商为自然人的，质疑函应由本人签字；质疑供应商为法人或者其他组织的，质疑函应由法定代表人、主要负责人，或者其授权代表签字或者盖章，并加盖公章。</w:t>
      </w:r>
    </w:p>
    <w:bookmarkEnd w:id="265"/>
    <w:bookmarkEnd w:id="266"/>
    <w:bookmarkEnd w:id="267"/>
    <w:bookmarkEnd w:id="268"/>
    <w:bookmarkEnd w:id="269"/>
    <w:p w14:paraId="028926EF">
      <w:pPr>
        <w:rPr>
          <w:rFonts w:ascii="宋体" w:hAnsi="宋体" w:eastAsia="宋体" w:cs="宋体"/>
          <w:b/>
          <w:bCs/>
          <w:spacing w:val="48"/>
          <w:sz w:val="72"/>
          <w:szCs w:val="72"/>
          <w:highlight w:val="none"/>
        </w:rPr>
      </w:pPr>
      <w:r>
        <w:rPr>
          <w:rFonts w:hint="eastAsia" w:ascii="宋体" w:hAnsi="宋体" w:eastAsia="宋体" w:cs="宋体"/>
          <w:b/>
          <w:bCs/>
          <w:spacing w:val="48"/>
          <w:sz w:val="72"/>
          <w:szCs w:val="72"/>
          <w:highlight w:val="none"/>
        </w:rPr>
        <w:br w:type="page"/>
      </w:r>
    </w:p>
    <w:p w14:paraId="26BF01CE">
      <w:pPr>
        <w:pStyle w:val="4"/>
        <w:rPr>
          <w:rFonts w:ascii="宋体" w:hAnsi="宋体" w:cs="宋体"/>
          <w:highlight w:val="none"/>
        </w:rPr>
      </w:pPr>
      <w:bookmarkStart w:id="270" w:name="_Toc3565"/>
      <w:bookmarkStart w:id="271" w:name="_Toc6927"/>
      <w:bookmarkStart w:id="272" w:name="_Toc14350"/>
      <w:bookmarkStart w:id="273" w:name="_Toc13582"/>
      <w:bookmarkStart w:id="274" w:name="_Toc16890"/>
      <w:bookmarkStart w:id="275" w:name="_Toc29276"/>
      <w:bookmarkStart w:id="276" w:name="_Toc10241"/>
      <w:r>
        <w:rPr>
          <w:rFonts w:hint="eastAsia" w:ascii="宋体" w:hAnsi="宋体" w:cs="宋体"/>
          <w:highlight w:val="none"/>
        </w:rPr>
        <w:t>第十部分  供应商参加政府采购活动承诺书</w:t>
      </w:r>
      <w:bookmarkEnd w:id="270"/>
      <w:bookmarkEnd w:id="271"/>
      <w:bookmarkEnd w:id="272"/>
      <w:bookmarkEnd w:id="273"/>
      <w:bookmarkEnd w:id="274"/>
      <w:bookmarkEnd w:id="275"/>
      <w:bookmarkEnd w:id="276"/>
    </w:p>
    <w:p w14:paraId="487299B5">
      <w:pPr>
        <w:spacing w:line="560" w:lineRule="exact"/>
        <w:ind w:firstLine="480" w:firstLineChars="200"/>
        <w:jc w:val="both"/>
        <w:rPr>
          <w:rFonts w:ascii="宋体" w:hAnsi="宋体" w:eastAsia="宋体" w:cs="宋体"/>
          <w:highlight w:val="none"/>
        </w:rPr>
      </w:pPr>
      <w:r>
        <w:rPr>
          <w:rFonts w:hint="eastAsia" w:ascii="宋体" w:hAnsi="宋体" w:eastAsia="宋体" w:cs="宋体"/>
          <w:b/>
          <w:bCs/>
          <w:highlight w:val="none"/>
        </w:rPr>
        <w:t>未签署下列承诺书的，将被视为无效投标，其责任由供应商自行承担。</w:t>
      </w:r>
    </w:p>
    <w:p w14:paraId="272E1E66">
      <w:pPr>
        <w:jc w:val="center"/>
        <w:rPr>
          <w:rFonts w:ascii="宋体" w:hAnsi="宋体" w:eastAsia="宋体" w:cs="宋体"/>
          <w:highlight w:val="none"/>
        </w:rPr>
      </w:pPr>
      <w:bookmarkStart w:id="277" w:name="_Toc1577"/>
      <w:r>
        <w:rPr>
          <w:rFonts w:hint="eastAsia" w:ascii="宋体" w:hAnsi="宋体" w:eastAsia="宋体" w:cs="宋体"/>
          <w:highlight w:val="none"/>
        </w:rPr>
        <w:t>（一）质量安全责任承诺书</w:t>
      </w:r>
      <w:bookmarkEnd w:id="277"/>
    </w:p>
    <w:p w14:paraId="65F1AA58">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为保证本采购项目顺利进行，作为投标供应商，现郑重承诺：</w:t>
      </w:r>
    </w:p>
    <w:p w14:paraId="22F902AF">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1．我方所投产品的生产（包括设计、制造、安装、改造、维修等）、投入使用的材料等均完全符合国家现行质量、安全、环保标准和要求。</w:t>
      </w:r>
    </w:p>
    <w:p w14:paraId="7F030C2A">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2．我方将严格按照国家现行相关储存、运输、安装调试技术标准及规范、服务标准及规范、施工标准及规范，在规定的时限内，保质、保量完成项目全部内容，并向采购人交付合格产品。</w:t>
      </w:r>
    </w:p>
    <w:p w14:paraId="5237473C">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3．对于因产品生产质量以及储存、运输、安装调试、服务、施工等过程中产生的任何安全事故，我方承担全部责任。</w:t>
      </w:r>
    </w:p>
    <w:p w14:paraId="4D8DE169">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4．我方提供的货物、工程、服务等符合现行的国家、行业、地区、企业标准及要求，标准不一致的，以更为严格的为准，我方对提供的货物、工程、服务等的质量、安全、环保等承担全部责任。</w:t>
      </w:r>
    </w:p>
    <w:p w14:paraId="6D3C0BF7">
      <w:pPr>
        <w:spacing w:line="560" w:lineRule="exact"/>
        <w:ind w:firstLine="480" w:firstLineChars="200"/>
        <w:jc w:val="both"/>
        <w:rPr>
          <w:rFonts w:ascii="宋体" w:hAnsi="宋体" w:eastAsia="宋体" w:cs="宋体"/>
          <w:highlight w:val="none"/>
        </w:rPr>
      </w:pPr>
    </w:p>
    <w:p w14:paraId="6EC2B0D8">
      <w:pPr>
        <w:spacing w:line="560" w:lineRule="exact"/>
        <w:ind w:firstLine="2656" w:firstLineChars="1107"/>
        <w:jc w:val="both"/>
        <w:rPr>
          <w:rFonts w:ascii="宋体" w:hAnsi="宋体" w:eastAsia="宋体" w:cs="宋体"/>
          <w:highlight w:val="none"/>
        </w:rPr>
      </w:pPr>
      <w:r>
        <w:rPr>
          <w:rFonts w:hint="eastAsia" w:ascii="宋体" w:hAnsi="宋体" w:eastAsia="宋体" w:cs="宋体"/>
          <w:highlight w:val="none"/>
        </w:rPr>
        <w:t>供应商：（供应商全称并加盖公章）</w:t>
      </w:r>
    </w:p>
    <w:p w14:paraId="00B7BD3D">
      <w:pPr>
        <w:spacing w:line="560" w:lineRule="exact"/>
        <w:ind w:firstLine="2656" w:firstLineChars="1107"/>
        <w:jc w:val="both"/>
        <w:rPr>
          <w:rFonts w:ascii="宋体" w:hAnsi="宋体" w:eastAsia="宋体" w:cs="宋体"/>
          <w:highlight w:val="none"/>
        </w:rPr>
      </w:pPr>
      <w:r>
        <w:rPr>
          <w:rFonts w:hint="eastAsia" w:ascii="宋体" w:hAnsi="宋体" w:eastAsia="宋体" w:cs="宋体"/>
          <w:highlight w:val="none"/>
        </w:rPr>
        <w:t>日  期：    年  月  日</w:t>
      </w:r>
    </w:p>
    <w:p w14:paraId="12001B6D">
      <w:pPr>
        <w:spacing w:line="560" w:lineRule="exact"/>
        <w:ind w:firstLine="560" w:firstLineChars="200"/>
        <w:jc w:val="both"/>
        <w:rPr>
          <w:rFonts w:ascii="宋体" w:hAnsi="宋体" w:eastAsia="宋体" w:cs="宋体"/>
          <w:sz w:val="28"/>
          <w:szCs w:val="28"/>
          <w:highlight w:val="none"/>
        </w:rPr>
      </w:pPr>
    </w:p>
    <w:p w14:paraId="07B24335">
      <w:pP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4F32E257">
      <w:pPr>
        <w:jc w:val="center"/>
        <w:rPr>
          <w:rFonts w:ascii="宋体" w:hAnsi="宋体" w:eastAsia="宋体" w:cs="宋体"/>
          <w:highlight w:val="none"/>
        </w:rPr>
      </w:pPr>
      <w:bookmarkStart w:id="278" w:name="_Toc15439"/>
      <w:r>
        <w:rPr>
          <w:rFonts w:hint="eastAsia" w:ascii="宋体" w:hAnsi="宋体" w:eastAsia="宋体" w:cs="宋体"/>
          <w:highlight w:val="none"/>
        </w:rPr>
        <w:t>（二）参加政府采购活动行为自律承诺书</w:t>
      </w:r>
      <w:bookmarkEnd w:id="278"/>
    </w:p>
    <w:p w14:paraId="7B6AFA45">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作为参加本次政府采购项目的供应商，我方郑重承诺在参与政府采购活动中遵纪守法、公平竞争、诚实守信，如有违反愿承担一切责任及后果：</w:t>
      </w:r>
    </w:p>
    <w:p w14:paraId="374BDCDA">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1．不与采购人、采购代理机构、政府采购评审专家恶意串通，不向其行贿或提供其他不正当利益；</w:t>
      </w:r>
    </w:p>
    <w:p w14:paraId="7CD473EF">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2．不与其他供应商恶意串通，采取“围标、串标、陪标”等商业欺诈手段谋取中标、成交；</w:t>
      </w:r>
    </w:p>
    <w:p w14:paraId="49CF6543">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3．不提供虚假或无效证明文件（包括但不限于资格证明文件、合同及验收文件、检验检测报告、从业人员资格证书、机构或所投产品的各类认证证书等）或虚假材料谋取中标、成交；</w:t>
      </w:r>
    </w:p>
    <w:p w14:paraId="5A1E3430">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4．不采取不正当手段诋毁、排挤其他供应商；</w:t>
      </w:r>
    </w:p>
    <w:p w14:paraId="3D75DF5F">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5．不以不正当理由拒不与采购人签订政府采购合同，或逾期签订政府采购合同，或不按照采购文件确定的事项签订政府采购合同；</w:t>
      </w:r>
    </w:p>
    <w:p w14:paraId="7CD4017F">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6．不以不正当理由拒绝履行合同义务，不会擅自变更、中止或者终止政府采购合同或将政府采购合同转包；</w:t>
      </w:r>
    </w:p>
    <w:p w14:paraId="02EE6EC6">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7．不在提供商品、服务或工程施工过程中提供假冒伪劣产品，损害采购人的合法权益或公共利益；</w:t>
      </w:r>
    </w:p>
    <w:p w14:paraId="726B5D0E">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8．不采取捏造事实、提供虚假材料或者以非法手段取得证明材料进行质疑和投诉；</w:t>
      </w:r>
    </w:p>
    <w:p w14:paraId="25A5F2CB">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9．不发生其他有悖于政府采购公开、公平、公正和诚信原则的行为。</w:t>
      </w:r>
    </w:p>
    <w:p w14:paraId="35F7C8E7">
      <w:pPr>
        <w:spacing w:line="560" w:lineRule="exact"/>
        <w:ind w:firstLine="480" w:firstLineChars="200"/>
        <w:jc w:val="both"/>
        <w:rPr>
          <w:rFonts w:ascii="宋体" w:hAnsi="宋体" w:eastAsia="宋体" w:cs="宋体"/>
          <w:highlight w:val="none"/>
        </w:rPr>
      </w:pPr>
      <w:r>
        <w:rPr>
          <w:rFonts w:hint="eastAsia" w:ascii="宋体" w:hAnsi="宋体" w:eastAsia="宋体" w:cs="宋体"/>
          <w:highlight w:val="none"/>
        </w:rPr>
        <w:t>10．尊重和接受政府采购监督管理部门的监督和采购人、采购代理机构的政府采购工作要求，愿意承担因违约行为给采购人造成的损失。</w:t>
      </w:r>
    </w:p>
    <w:p w14:paraId="015C93FD">
      <w:pPr>
        <w:spacing w:line="560" w:lineRule="exact"/>
        <w:ind w:firstLine="480" w:firstLineChars="200"/>
        <w:jc w:val="both"/>
        <w:rPr>
          <w:rFonts w:ascii="宋体" w:hAnsi="宋体" w:eastAsia="宋体" w:cs="宋体"/>
          <w:highlight w:val="none"/>
        </w:rPr>
      </w:pPr>
    </w:p>
    <w:p w14:paraId="1FDE1B59">
      <w:pPr>
        <w:spacing w:line="560" w:lineRule="exact"/>
        <w:ind w:firstLine="2656" w:firstLineChars="1107"/>
        <w:jc w:val="both"/>
        <w:rPr>
          <w:rFonts w:ascii="宋体" w:hAnsi="宋体" w:eastAsia="宋体" w:cs="宋体"/>
          <w:highlight w:val="none"/>
        </w:rPr>
      </w:pPr>
      <w:r>
        <w:rPr>
          <w:rFonts w:hint="eastAsia" w:ascii="宋体" w:hAnsi="宋体" w:eastAsia="宋体" w:cs="宋体"/>
          <w:highlight w:val="none"/>
        </w:rPr>
        <w:t>供应商：（供应商全称并加盖公章）</w:t>
      </w:r>
    </w:p>
    <w:p w14:paraId="5DE88B7A">
      <w:pPr>
        <w:spacing w:line="560" w:lineRule="exact"/>
        <w:ind w:firstLine="2656" w:firstLineChars="1107"/>
        <w:jc w:val="both"/>
        <w:rPr>
          <w:rFonts w:ascii="宋体" w:hAnsi="宋体" w:eastAsia="宋体" w:cs="宋体"/>
          <w:highlight w:val="none"/>
        </w:rPr>
      </w:pPr>
      <w:r>
        <w:rPr>
          <w:rFonts w:hint="eastAsia" w:ascii="宋体" w:hAnsi="宋体" w:eastAsia="宋体" w:cs="宋体"/>
          <w:highlight w:val="none"/>
        </w:rPr>
        <w:t>日  期：    年  月  日</w:t>
      </w:r>
    </w:p>
    <w:p w14:paraId="4AAD078D">
      <w:pPr>
        <w:rPr>
          <w:rFonts w:ascii="宋体" w:hAnsi="宋体" w:eastAsia="宋体" w:cs="宋体"/>
          <w:b/>
          <w:bCs/>
          <w:spacing w:val="48"/>
          <w:sz w:val="72"/>
          <w:szCs w:val="72"/>
          <w:highlight w:val="none"/>
        </w:rPr>
      </w:pPr>
      <w:r>
        <w:rPr>
          <w:rFonts w:hint="eastAsia" w:ascii="宋体" w:hAnsi="宋体" w:eastAsia="宋体" w:cs="宋体"/>
          <w:b/>
          <w:bCs/>
          <w:spacing w:val="48"/>
          <w:sz w:val="72"/>
          <w:szCs w:val="72"/>
          <w:highlight w:val="none"/>
        </w:rPr>
        <w:br w:type="page"/>
      </w:r>
    </w:p>
    <w:p w14:paraId="4FB28CFE">
      <w:pPr>
        <w:rPr>
          <w:rFonts w:ascii="宋体" w:hAnsi="宋体" w:eastAsia="宋体" w:cs="宋体"/>
          <w:sz w:val="72"/>
          <w:szCs w:val="72"/>
          <w:highlight w:val="none"/>
        </w:rPr>
      </w:pPr>
      <w:r>
        <w:rPr>
          <w:rFonts w:hint="eastAsia" w:ascii="宋体" w:hAnsi="宋体" w:eastAsia="宋体" w:cs="宋体"/>
          <w:b/>
          <w:bCs/>
          <w:spacing w:val="48"/>
          <w:sz w:val="72"/>
          <w:szCs w:val="72"/>
          <w:highlight w:val="none"/>
        </w:rPr>
        <w:t>公平</w:t>
      </w:r>
    </w:p>
    <w:p w14:paraId="43AC9EB0">
      <w:pPr>
        <w:rPr>
          <w:rFonts w:ascii="宋体" w:hAnsi="宋体" w:eastAsia="宋体" w:cs="宋体"/>
          <w:sz w:val="72"/>
          <w:szCs w:val="72"/>
          <w:highlight w:val="none"/>
        </w:rPr>
      </w:pPr>
    </w:p>
    <w:p w14:paraId="4F770DFA">
      <w:pPr>
        <w:jc w:val="center"/>
        <w:rPr>
          <w:rFonts w:ascii="宋体" w:hAnsi="宋体" w:eastAsia="宋体" w:cs="宋体"/>
          <w:b/>
          <w:bCs/>
          <w:spacing w:val="48"/>
          <w:sz w:val="72"/>
          <w:szCs w:val="72"/>
          <w:highlight w:val="none"/>
        </w:rPr>
      </w:pPr>
    </w:p>
    <w:p w14:paraId="56528FE9">
      <w:pPr>
        <w:jc w:val="center"/>
        <w:rPr>
          <w:rFonts w:ascii="宋体" w:hAnsi="宋体" w:eastAsia="宋体" w:cs="宋体"/>
          <w:b/>
          <w:bCs/>
          <w:spacing w:val="48"/>
          <w:sz w:val="72"/>
          <w:szCs w:val="72"/>
          <w:highlight w:val="none"/>
        </w:rPr>
      </w:pPr>
      <w:r>
        <w:rPr>
          <w:rFonts w:hint="eastAsia" w:ascii="宋体" w:hAnsi="宋体" w:eastAsia="宋体" w:cs="宋体"/>
          <w:b/>
          <w:bCs/>
          <w:spacing w:val="48"/>
          <w:sz w:val="72"/>
          <w:szCs w:val="72"/>
          <w:highlight w:val="none"/>
        </w:rPr>
        <w:t>公正</w:t>
      </w:r>
    </w:p>
    <w:p w14:paraId="33432B3F">
      <w:pPr>
        <w:rPr>
          <w:rFonts w:ascii="宋体" w:hAnsi="宋体" w:eastAsia="宋体" w:cs="宋体"/>
          <w:b/>
          <w:bCs/>
          <w:spacing w:val="48"/>
          <w:sz w:val="72"/>
          <w:szCs w:val="72"/>
          <w:highlight w:val="none"/>
        </w:rPr>
      </w:pPr>
    </w:p>
    <w:p w14:paraId="66A8924F">
      <w:pPr>
        <w:rPr>
          <w:rFonts w:ascii="宋体" w:hAnsi="宋体" w:eastAsia="宋体" w:cs="宋体"/>
          <w:b/>
          <w:bCs/>
          <w:spacing w:val="48"/>
          <w:sz w:val="72"/>
          <w:szCs w:val="72"/>
          <w:highlight w:val="none"/>
        </w:rPr>
      </w:pPr>
    </w:p>
    <w:p w14:paraId="4094E83F">
      <w:pPr>
        <w:jc w:val="right"/>
        <w:rPr>
          <w:rFonts w:ascii="宋体" w:hAnsi="宋体" w:eastAsia="宋体" w:cs="宋体"/>
          <w:b/>
          <w:bCs/>
          <w:spacing w:val="48"/>
          <w:sz w:val="72"/>
          <w:szCs w:val="72"/>
          <w:highlight w:val="none"/>
        </w:rPr>
      </w:pPr>
      <w:r>
        <w:rPr>
          <w:rFonts w:hint="eastAsia" w:ascii="宋体" w:hAnsi="宋体" w:eastAsia="宋体" w:cs="宋体"/>
          <w:b/>
          <w:bCs/>
          <w:spacing w:val="48"/>
          <w:sz w:val="72"/>
          <w:szCs w:val="72"/>
          <w:highlight w:val="none"/>
        </w:rPr>
        <w:t>公开</w:t>
      </w:r>
    </w:p>
    <w:p w14:paraId="68BDF0F0">
      <w:pPr>
        <w:jc w:val="right"/>
        <w:rPr>
          <w:rFonts w:ascii="宋体" w:hAnsi="宋体" w:eastAsia="宋体" w:cs="宋体"/>
          <w:b/>
          <w:bCs/>
          <w:spacing w:val="48"/>
          <w:sz w:val="32"/>
          <w:szCs w:val="32"/>
          <w:highlight w:val="none"/>
        </w:rPr>
      </w:pPr>
    </w:p>
    <w:p w14:paraId="5EE754D2">
      <w:pPr>
        <w:ind w:firstLine="1059" w:firstLineChars="353"/>
        <w:rPr>
          <w:rFonts w:ascii="宋体" w:hAnsi="宋体" w:eastAsia="宋体" w:cs="宋体"/>
          <w:b/>
          <w:bCs/>
          <w:sz w:val="30"/>
          <w:szCs w:val="30"/>
          <w:highlight w:val="none"/>
        </w:rPr>
      </w:pPr>
    </w:p>
    <w:p w14:paraId="47F023BA">
      <w:pPr>
        <w:ind w:firstLine="1059" w:firstLineChars="353"/>
        <w:rPr>
          <w:rFonts w:ascii="宋体" w:hAnsi="宋体" w:eastAsia="宋体" w:cs="宋体"/>
          <w:b/>
          <w:bCs/>
          <w:sz w:val="30"/>
          <w:szCs w:val="30"/>
          <w:highlight w:val="none"/>
        </w:rPr>
      </w:pPr>
    </w:p>
    <w:p w14:paraId="715720FF">
      <w:pPr>
        <w:rPr>
          <w:rFonts w:ascii="宋体" w:hAnsi="宋体" w:eastAsia="宋体" w:cs="宋体"/>
          <w:b/>
          <w:bCs/>
          <w:sz w:val="30"/>
          <w:szCs w:val="30"/>
          <w:highlight w:val="none"/>
        </w:rPr>
      </w:pPr>
    </w:p>
    <w:p w14:paraId="10B9889B">
      <w:pPr>
        <w:rPr>
          <w:rFonts w:ascii="宋体" w:hAnsi="宋体" w:eastAsia="宋体" w:cs="宋体"/>
          <w:b/>
          <w:bCs/>
          <w:sz w:val="30"/>
          <w:szCs w:val="30"/>
          <w:highlight w:val="none"/>
        </w:rPr>
      </w:pPr>
    </w:p>
    <w:p w14:paraId="3AF11EB4">
      <w:pPr>
        <w:rPr>
          <w:rFonts w:ascii="宋体" w:hAnsi="宋体" w:eastAsia="宋体" w:cs="宋体"/>
          <w:b/>
          <w:bCs/>
          <w:sz w:val="30"/>
          <w:szCs w:val="30"/>
          <w:highlight w:val="none"/>
        </w:rPr>
      </w:pPr>
      <w:r>
        <w:rPr>
          <w:rFonts w:hint="eastAsia" w:ascii="宋体" w:hAnsi="宋体" w:eastAsia="宋体" w:cs="宋体"/>
          <w:b/>
          <w:bCs/>
          <w:sz w:val="30"/>
          <w:szCs w:val="30"/>
          <w:highlight w:val="none"/>
        </w:rPr>
        <w:t>企业名称：陕西万泽招标有限公司</w:t>
      </w:r>
    </w:p>
    <w:p w14:paraId="21404ADE">
      <w:pPr>
        <w:rPr>
          <w:rFonts w:ascii="宋体" w:hAnsi="宋体" w:eastAsia="宋体" w:cs="宋体"/>
          <w:b/>
          <w:bCs/>
          <w:sz w:val="30"/>
          <w:szCs w:val="30"/>
          <w:highlight w:val="none"/>
        </w:rPr>
      </w:pPr>
      <w:r>
        <w:rPr>
          <w:rFonts w:hint="eastAsia" w:ascii="宋体" w:hAnsi="宋体" w:eastAsia="宋体" w:cs="宋体"/>
          <w:b/>
          <w:bCs/>
          <w:sz w:val="30"/>
          <w:szCs w:val="30"/>
          <w:highlight w:val="none"/>
        </w:rPr>
        <w:t>地    址：西安市雁塔区唐延路35号旺座现代城C座2502室</w:t>
      </w:r>
    </w:p>
    <w:p w14:paraId="79C41DE9">
      <w:pPr>
        <w:rPr>
          <w:rFonts w:ascii="宋体" w:hAnsi="宋体" w:eastAsia="宋体" w:cs="宋体"/>
          <w:b/>
          <w:bCs/>
          <w:sz w:val="30"/>
          <w:szCs w:val="30"/>
          <w:highlight w:val="none"/>
        </w:rPr>
      </w:pPr>
      <w:r>
        <w:rPr>
          <w:rFonts w:hint="eastAsia" w:ascii="宋体" w:hAnsi="宋体" w:eastAsia="宋体" w:cs="宋体"/>
          <w:b/>
          <w:bCs/>
          <w:sz w:val="30"/>
          <w:szCs w:val="30"/>
          <w:highlight w:val="none"/>
        </w:rPr>
        <w:t>邮政编码：710065</w:t>
      </w:r>
    </w:p>
    <w:p w14:paraId="04C376BD">
      <w:pPr>
        <w:rPr>
          <w:rFonts w:ascii="宋体" w:hAnsi="宋体" w:eastAsia="宋体" w:cs="宋体"/>
          <w:b/>
          <w:bCs/>
          <w:sz w:val="30"/>
          <w:szCs w:val="30"/>
          <w:highlight w:val="none"/>
        </w:rPr>
      </w:pPr>
      <w:r>
        <w:rPr>
          <w:rFonts w:hint="eastAsia" w:ascii="宋体" w:hAnsi="宋体" w:eastAsia="宋体" w:cs="宋体"/>
          <w:b/>
          <w:bCs/>
          <w:sz w:val="30"/>
          <w:szCs w:val="30"/>
          <w:highlight w:val="none"/>
        </w:rPr>
        <w:t>电    话：029-88319689</w:t>
      </w:r>
    </w:p>
    <w:p w14:paraId="05406F05">
      <w:pPr>
        <w:spacing w:line="560" w:lineRule="exact"/>
        <w:rPr>
          <w:rFonts w:ascii="宋体" w:hAnsi="宋体" w:eastAsia="宋体" w:cs="宋体"/>
          <w:sz w:val="32"/>
          <w:szCs w:val="32"/>
          <w:highlight w:val="none"/>
        </w:rPr>
      </w:pPr>
      <w:r>
        <w:rPr>
          <w:rFonts w:hint="eastAsia" w:ascii="宋体" w:hAnsi="宋体" w:eastAsia="宋体" w:cs="宋体"/>
          <w:b/>
          <w:bCs/>
          <w:sz w:val="30"/>
          <w:szCs w:val="30"/>
          <w:highlight w:val="none"/>
        </w:rPr>
        <w:t>传    真：029-88319689</w:t>
      </w:r>
    </w:p>
    <w:sectPr>
      <w:headerReference r:id="rId11" w:type="default"/>
      <w:footerReference r:id="rId13" w:type="default"/>
      <w:headerReference r:id="rId12" w:type="even"/>
      <w:pgSz w:w="11906" w:h="16838"/>
      <w:pgMar w:top="1440" w:right="1800" w:bottom="1440" w:left="1800"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1DA4">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B88E9">
    <w:pPr>
      <w:pStyle w:val="22"/>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4735E">
                          <w:pPr>
                            <w:pStyle w:val="22"/>
                          </w:pPr>
                          <w:r>
                            <w:t xml:space="preserve">第 </w:t>
                          </w:r>
                          <w:r>
                            <w:fldChar w:fldCharType="begin"/>
                          </w:r>
                          <w:r>
                            <w:instrText xml:space="preserve"> PAGE  \* MERGEFORMAT </w:instrText>
                          </w:r>
                          <w:r>
                            <w:fldChar w:fldCharType="separate"/>
                          </w:r>
                          <w:r>
                            <w:t>276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E94735E">
                    <w:pPr>
                      <w:pStyle w:val="22"/>
                    </w:pPr>
                    <w:r>
                      <w:t xml:space="preserve">第 </w:t>
                    </w:r>
                    <w:r>
                      <w:fldChar w:fldCharType="begin"/>
                    </w:r>
                    <w:r>
                      <w:instrText xml:space="preserve"> PAGE  \* MERGEFORMAT </w:instrText>
                    </w:r>
                    <w:r>
                      <w:fldChar w:fldCharType="separate"/>
                    </w:r>
                    <w:r>
                      <w:t>276</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DDA5">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6FC86">
                          <w:pPr>
                            <w:pStyle w:val="22"/>
                          </w:pPr>
                          <w:r>
                            <w:t xml:space="preserve">第 </w:t>
                          </w:r>
                          <w:r>
                            <w:fldChar w:fldCharType="begin"/>
                          </w:r>
                          <w:r>
                            <w:instrText xml:space="preserve"> PAGE  \* MERGEFORMAT </w:instrText>
                          </w:r>
                          <w:r>
                            <w:fldChar w:fldCharType="separate"/>
                          </w:r>
                          <w:r>
                            <w:t>275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06FC86">
                    <w:pPr>
                      <w:pStyle w:val="22"/>
                    </w:pPr>
                    <w:r>
                      <w:t xml:space="preserve">第 </w:t>
                    </w:r>
                    <w:r>
                      <w:fldChar w:fldCharType="begin"/>
                    </w:r>
                    <w:r>
                      <w:instrText xml:space="preserve"> PAGE  \* MERGEFORMAT </w:instrText>
                    </w:r>
                    <w:r>
                      <w:fldChar w:fldCharType="separate"/>
                    </w:r>
                    <w:r>
                      <w:t>275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8A0E">
    <w:pPr>
      <w:pStyle w:val="22"/>
      <w:tabs>
        <w:tab w:val="center" w:pos="4150"/>
        <w:tab w:val="right" w:pos="8420"/>
        <w:tab w:val="clear" w:pos="4153"/>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D3108">
                          <w:pPr>
                            <w:pStyle w:val="22"/>
                          </w:pPr>
                          <w:r>
                            <w:t xml:space="preserve">第 </w:t>
                          </w:r>
                          <w:r>
                            <w:fldChar w:fldCharType="begin"/>
                          </w:r>
                          <w:r>
                            <w:instrText xml:space="preserve"> PAGE  \* MERGEFORMAT </w:instrText>
                          </w:r>
                          <w:r>
                            <w:fldChar w:fldCharType="separate"/>
                          </w:r>
                          <w:r>
                            <w:t>327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5BD3108">
                    <w:pPr>
                      <w:pStyle w:val="22"/>
                    </w:pPr>
                    <w:r>
                      <w:t xml:space="preserve">第 </w:t>
                    </w:r>
                    <w:r>
                      <w:fldChar w:fldCharType="begin"/>
                    </w:r>
                    <w:r>
                      <w:instrText xml:space="preserve"> PAGE  \* MERGEFORMAT </w:instrText>
                    </w:r>
                    <w:r>
                      <w:fldChar w:fldCharType="separate"/>
                    </w:r>
                    <w:r>
                      <w:t>327</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99E0">
    <w:pPr>
      <w:pStyle w:val="22"/>
      <w:tabs>
        <w:tab w:val="center" w:pos="4150"/>
        <w:tab w:val="right" w:pos="8420"/>
        <w:tab w:val="clear" w:pos="4153"/>
      </w:tabs>
      <w:rPr>
        <w:rFonts w:ascii="宋体" w:hAns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E16C3">
                          <w:pPr>
                            <w:pStyle w:val="22"/>
                          </w:pPr>
                          <w:r>
                            <w:t xml:space="preserve">第 </w:t>
                          </w:r>
                          <w:r>
                            <w:fldChar w:fldCharType="begin"/>
                          </w:r>
                          <w:r>
                            <w:instrText xml:space="preserve"> PAGE  \* MERGEFORMAT </w:instrText>
                          </w:r>
                          <w:r>
                            <w:fldChar w:fldCharType="separate"/>
                          </w:r>
                          <w:r>
                            <w:t>332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17E16C3">
                    <w:pPr>
                      <w:pStyle w:val="22"/>
                    </w:pPr>
                    <w:r>
                      <w:t xml:space="preserve">第 </w:t>
                    </w:r>
                    <w:r>
                      <w:fldChar w:fldCharType="begin"/>
                    </w:r>
                    <w:r>
                      <w:instrText xml:space="preserve"> PAGE  \* MERGEFORMAT </w:instrText>
                    </w:r>
                    <w:r>
                      <w:fldChar w:fldCharType="separate"/>
                    </w:r>
                    <w:r>
                      <w:t>332</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5C9D">
    <w:pPr>
      <w:pStyle w:val="23"/>
      <w:jc w:val="left"/>
      <w:rPr>
        <w:rFonts w:eastAsia="宋体"/>
        <w:sz w:val="15"/>
        <w:szCs w:val="15"/>
      </w:rPr>
    </w:pPr>
    <w:r>
      <w:rPr>
        <w:rFonts w:hint="eastAsia" w:ascii="宋体" w:hAnsi="宋体" w:eastAsia="宋体" w:cs="宋体"/>
        <w:sz w:val="15"/>
        <w:szCs w:val="15"/>
      </w:rPr>
      <w:t>中国人民政治协商会议西安市委员会办公厅西安市“数字政协”项目</w:t>
    </w:r>
    <w:r>
      <w:rPr>
        <w:rFonts w:ascii="宋体" w:hAnsi="宋体" w:eastAsia="宋体" w:cs="宋体"/>
        <w:sz w:val="15"/>
        <w:szCs w:val="15"/>
      </w:rPr>
      <w:t xml:space="preserve"> </w:t>
    </w:r>
    <w:r>
      <w:rPr>
        <w:rFonts w:hint="eastAsia" w:ascii="宋体" w:hAnsi="宋体" w:eastAsia="宋体" w:cs="宋体"/>
        <w:sz w:val="15"/>
        <w:szCs w:val="15"/>
      </w:rPr>
      <w:t xml:space="preserve">                         SXWZ2024ZB-SZX-265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A1753">
    <w:pPr>
      <w:adjustRightInd w:val="0"/>
      <w:snapToGrid w:val="0"/>
      <w:spacing w:line="360" w:lineRule="auto"/>
      <w:rPr>
        <w:rFonts w:ascii="宋体"/>
        <w:sz w:val="15"/>
        <w:szCs w:val="15"/>
        <w:highlight w:val="yellow"/>
        <w:u w:val="single"/>
      </w:rPr>
    </w:pPr>
    <w:r>
      <w:rPr>
        <w:rFonts w:hint="eastAsia" w:ascii="宋体"/>
        <w:sz w:val="15"/>
        <w:szCs w:val="15"/>
        <w:u w:val="single"/>
      </w:rPr>
      <w:t>中国人民政治协商会议西安市委员会办公厅西安市“数字政协”项目</w:t>
    </w:r>
    <w:r>
      <w:rPr>
        <w:rFonts w:ascii="宋体"/>
        <w:sz w:val="15"/>
        <w:szCs w:val="15"/>
        <w:u w:val="single"/>
      </w:rPr>
      <w:t xml:space="preserve">    </w:t>
    </w:r>
    <w:r>
      <w:rPr>
        <w:rFonts w:hint="eastAsia" w:ascii="宋体"/>
        <w:sz w:val="15"/>
        <w:szCs w:val="15"/>
        <w:u w:val="single"/>
      </w:rPr>
      <w:t xml:space="preserve">                        SXWZ2024ZB-SZX-265</w:t>
    </w:r>
  </w:p>
  <w:p w14:paraId="7786645F">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0C3C">
    <w:pPr>
      <w:adjustRightInd w:val="0"/>
      <w:snapToGrid w:val="0"/>
      <w:spacing w:line="360" w:lineRule="auto"/>
      <w:rPr>
        <w:rFonts w:ascii="宋体"/>
        <w:sz w:val="15"/>
        <w:szCs w:val="15"/>
        <w:highlight w:val="yellow"/>
        <w:u w:val="single"/>
      </w:rPr>
    </w:pPr>
    <w:r>
      <w:rPr>
        <w:rFonts w:hint="eastAsia" w:ascii="宋体"/>
        <w:sz w:val="15"/>
        <w:szCs w:val="15"/>
        <w:u w:val="single"/>
      </w:rPr>
      <w:t>中国人民政治协商会议西安市委员会办公厅西安市“数字政协”项目</w:t>
    </w:r>
    <w:r>
      <w:rPr>
        <w:rFonts w:ascii="宋体"/>
        <w:sz w:val="15"/>
        <w:szCs w:val="15"/>
        <w:u w:val="single"/>
      </w:rPr>
      <w:t xml:space="preserve">    </w:t>
    </w:r>
    <w:r>
      <w:rPr>
        <w:rFonts w:hint="eastAsia" w:ascii="宋体"/>
        <w:sz w:val="15"/>
        <w:szCs w:val="15"/>
        <w:u w:val="single"/>
      </w:rPr>
      <w:t xml:space="preserve">                        SXWZ2024ZB-SZX-265</w:t>
    </w:r>
  </w:p>
  <w:p w14:paraId="5F55516F">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5F0C">
    <w:pPr>
      <w:adjustRightInd w:val="0"/>
      <w:snapToGrid w:val="0"/>
      <w:spacing w:line="360" w:lineRule="auto"/>
    </w:pPr>
    <w:r>
      <w:rPr>
        <w:rFonts w:hint="eastAsia" w:ascii="宋体"/>
        <w:sz w:val="15"/>
        <w:szCs w:val="15"/>
        <w:u w:val="single"/>
      </w:rPr>
      <w:t>中国人民政治协商会议西安市委员会办公厅西安市“数字政协”项目</w:t>
    </w:r>
    <w:r>
      <w:rPr>
        <w:rFonts w:ascii="宋体"/>
        <w:sz w:val="15"/>
        <w:szCs w:val="15"/>
        <w:u w:val="single"/>
      </w:rPr>
      <w:t xml:space="preserve">   </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SXWZ2024ZB-SZX-265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70F0">
    <w:pPr>
      <w:adjustRightInd w:val="0"/>
      <w:snapToGrid w:val="0"/>
      <w:spacing w:line="360" w:lineRule="auto"/>
      <w:rPr>
        <w:rFonts w:ascii="宋体"/>
        <w:sz w:val="15"/>
        <w:szCs w:val="15"/>
        <w:highlight w:val="yellow"/>
        <w:u w:val="single"/>
      </w:rPr>
    </w:pPr>
    <w:r>
      <w:rPr>
        <w:rFonts w:hint="eastAsia" w:ascii="宋体"/>
        <w:sz w:val="15"/>
        <w:szCs w:val="15"/>
        <w:u w:val="single"/>
      </w:rPr>
      <w:t>中国人民政治协商会议西安市委员会办公厅西安市“数字政协”项目</w:t>
    </w:r>
    <w:r>
      <w:rPr>
        <w:rFonts w:ascii="宋体"/>
        <w:sz w:val="15"/>
        <w:szCs w:val="15"/>
        <w:u w:val="single"/>
      </w:rPr>
      <w:t xml:space="preserve">       </w:t>
    </w:r>
    <w:r>
      <w:rPr>
        <w:rFonts w:hint="eastAsia" w:ascii="宋体"/>
        <w:sz w:val="15"/>
        <w:szCs w:val="15"/>
        <w:u w:val="single"/>
      </w:rPr>
      <w:t xml:space="preserve"> SXWZ2024ZB-SZX-265</w:t>
    </w:r>
  </w:p>
  <w:p w14:paraId="41E473BA">
    <w:pPr>
      <w:pStyle w:val="2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D1BA">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C9FAC"/>
    <w:multiLevelType w:val="singleLevel"/>
    <w:tmpl w:val="823C9FAC"/>
    <w:lvl w:ilvl="0" w:tentative="0">
      <w:start w:val="1"/>
      <w:numFmt w:val="decimal"/>
      <w:suff w:val="nothing"/>
      <w:lvlText w:val="（%1）"/>
      <w:lvlJc w:val="left"/>
      <w:pPr>
        <w:ind w:left="425" w:leftChars="0" w:hanging="425" w:firstLineChars="0"/>
      </w:pPr>
      <w:rPr>
        <w:rFonts w:hint="default"/>
      </w:rPr>
    </w:lvl>
  </w:abstractNum>
  <w:abstractNum w:abstractNumId="1">
    <w:nsid w:val="8D068D7C"/>
    <w:multiLevelType w:val="singleLevel"/>
    <w:tmpl w:val="8D068D7C"/>
    <w:lvl w:ilvl="0" w:tentative="0">
      <w:start w:val="1"/>
      <w:numFmt w:val="decimal"/>
      <w:suff w:val="nothing"/>
      <w:lvlText w:val="（%1）"/>
      <w:lvlJc w:val="left"/>
      <w:pPr>
        <w:ind w:left="425" w:leftChars="0" w:hanging="425" w:firstLineChars="0"/>
      </w:pPr>
      <w:rPr>
        <w:rFonts w:hint="default"/>
      </w:rPr>
    </w:lvl>
  </w:abstractNum>
  <w:abstractNum w:abstractNumId="2">
    <w:nsid w:val="8E3E62F7"/>
    <w:multiLevelType w:val="singleLevel"/>
    <w:tmpl w:val="8E3E62F7"/>
    <w:lvl w:ilvl="0" w:tentative="0">
      <w:start w:val="1"/>
      <w:numFmt w:val="decimal"/>
      <w:suff w:val="nothing"/>
      <w:lvlText w:val="（%1）"/>
      <w:lvlJc w:val="left"/>
      <w:pPr>
        <w:ind w:left="425" w:leftChars="0" w:hanging="425" w:firstLineChars="0"/>
      </w:pPr>
      <w:rPr>
        <w:rFonts w:hint="default"/>
      </w:rPr>
    </w:lvl>
  </w:abstractNum>
  <w:abstractNum w:abstractNumId="3">
    <w:nsid w:val="90FFC530"/>
    <w:multiLevelType w:val="singleLevel"/>
    <w:tmpl w:val="90FFC530"/>
    <w:lvl w:ilvl="0" w:tentative="0">
      <w:start w:val="1"/>
      <w:numFmt w:val="decimal"/>
      <w:suff w:val="nothing"/>
      <w:lvlText w:val="（%1）"/>
      <w:lvlJc w:val="left"/>
      <w:pPr>
        <w:ind w:left="425" w:leftChars="0" w:hanging="425" w:firstLineChars="0"/>
      </w:pPr>
      <w:rPr>
        <w:rFonts w:hint="default"/>
      </w:rPr>
    </w:lvl>
  </w:abstractNum>
  <w:abstractNum w:abstractNumId="4">
    <w:nsid w:val="91B47B1E"/>
    <w:multiLevelType w:val="multilevel"/>
    <w:tmpl w:val="91B47B1E"/>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5">
    <w:nsid w:val="934ED8C8"/>
    <w:multiLevelType w:val="multilevel"/>
    <w:tmpl w:val="934ED8C8"/>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6">
    <w:nsid w:val="94E3A467"/>
    <w:multiLevelType w:val="multilevel"/>
    <w:tmpl w:val="94E3A467"/>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7">
    <w:nsid w:val="9EFF4DE9"/>
    <w:multiLevelType w:val="multilevel"/>
    <w:tmpl w:val="9EFF4DE9"/>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8">
    <w:nsid w:val="A1392E7F"/>
    <w:multiLevelType w:val="multilevel"/>
    <w:tmpl w:val="A1392E7F"/>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9">
    <w:nsid w:val="A1896041"/>
    <w:multiLevelType w:val="singleLevel"/>
    <w:tmpl w:val="A1896041"/>
    <w:lvl w:ilvl="0" w:tentative="0">
      <w:start w:val="1"/>
      <w:numFmt w:val="decimal"/>
      <w:suff w:val="nothing"/>
      <w:lvlText w:val="（%1）"/>
      <w:lvlJc w:val="left"/>
      <w:pPr>
        <w:ind w:left="425" w:leftChars="0" w:hanging="425" w:firstLineChars="0"/>
      </w:pPr>
      <w:rPr>
        <w:rFonts w:hint="default"/>
      </w:rPr>
    </w:lvl>
  </w:abstractNum>
  <w:abstractNum w:abstractNumId="10">
    <w:nsid w:val="A4AC0FA8"/>
    <w:multiLevelType w:val="multilevel"/>
    <w:tmpl w:val="A4AC0FA8"/>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11">
    <w:nsid w:val="A7DF79C7"/>
    <w:multiLevelType w:val="multilevel"/>
    <w:tmpl w:val="A7DF79C7"/>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12">
    <w:nsid w:val="ACEDC7B0"/>
    <w:multiLevelType w:val="multilevel"/>
    <w:tmpl w:val="ACEDC7B0"/>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13">
    <w:nsid w:val="B11099F0"/>
    <w:multiLevelType w:val="multilevel"/>
    <w:tmpl w:val="B11099F0"/>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14">
    <w:nsid w:val="B5205F41"/>
    <w:multiLevelType w:val="singleLevel"/>
    <w:tmpl w:val="B5205F41"/>
    <w:lvl w:ilvl="0" w:tentative="0">
      <w:start w:val="1"/>
      <w:numFmt w:val="decimal"/>
      <w:suff w:val="nothing"/>
      <w:lvlText w:val="（%1）"/>
      <w:lvlJc w:val="left"/>
      <w:pPr>
        <w:ind w:left="425" w:leftChars="0" w:hanging="425" w:firstLineChars="0"/>
      </w:pPr>
      <w:rPr>
        <w:rFonts w:hint="default"/>
      </w:rPr>
    </w:lvl>
  </w:abstractNum>
  <w:abstractNum w:abstractNumId="15">
    <w:nsid w:val="B69EE90B"/>
    <w:multiLevelType w:val="singleLevel"/>
    <w:tmpl w:val="B69EE90B"/>
    <w:lvl w:ilvl="0" w:tentative="0">
      <w:start w:val="1"/>
      <w:numFmt w:val="decimal"/>
      <w:suff w:val="nothing"/>
      <w:lvlText w:val="（%1）"/>
      <w:lvlJc w:val="left"/>
    </w:lvl>
  </w:abstractNum>
  <w:abstractNum w:abstractNumId="16">
    <w:nsid w:val="BA1672A8"/>
    <w:multiLevelType w:val="singleLevel"/>
    <w:tmpl w:val="BA1672A8"/>
    <w:lvl w:ilvl="0" w:tentative="0">
      <w:start w:val="1"/>
      <w:numFmt w:val="decimal"/>
      <w:suff w:val="nothing"/>
      <w:lvlText w:val="（%1）"/>
      <w:lvlJc w:val="left"/>
      <w:pPr>
        <w:ind w:left="425" w:leftChars="0" w:hanging="425" w:firstLineChars="0"/>
      </w:pPr>
      <w:rPr>
        <w:rFonts w:hint="default"/>
      </w:rPr>
    </w:lvl>
  </w:abstractNum>
  <w:abstractNum w:abstractNumId="17">
    <w:nsid w:val="BC286AB3"/>
    <w:multiLevelType w:val="multilevel"/>
    <w:tmpl w:val="BC286AB3"/>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18">
    <w:nsid w:val="C3F7053D"/>
    <w:multiLevelType w:val="multilevel"/>
    <w:tmpl w:val="C3F7053D"/>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19">
    <w:nsid w:val="C7D4E7C3"/>
    <w:multiLevelType w:val="multilevel"/>
    <w:tmpl w:val="C7D4E7C3"/>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20">
    <w:nsid w:val="C8560D05"/>
    <w:multiLevelType w:val="singleLevel"/>
    <w:tmpl w:val="C8560D05"/>
    <w:lvl w:ilvl="0" w:tentative="0">
      <w:start w:val="2"/>
      <w:numFmt w:val="chineseCounting"/>
      <w:suff w:val="space"/>
      <w:lvlText w:val="第%1部分"/>
      <w:lvlJc w:val="left"/>
      <w:rPr>
        <w:rFonts w:hint="eastAsia"/>
      </w:rPr>
    </w:lvl>
  </w:abstractNum>
  <w:abstractNum w:abstractNumId="21">
    <w:nsid w:val="CB3B3B7F"/>
    <w:multiLevelType w:val="multilevel"/>
    <w:tmpl w:val="CB3B3B7F"/>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22">
    <w:nsid w:val="CB54F09D"/>
    <w:multiLevelType w:val="singleLevel"/>
    <w:tmpl w:val="CB54F09D"/>
    <w:lvl w:ilvl="0" w:tentative="0">
      <w:start w:val="1"/>
      <w:numFmt w:val="decimal"/>
      <w:suff w:val="nothing"/>
      <w:lvlText w:val="（%1）"/>
      <w:lvlJc w:val="left"/>
      <w:pPr>
        <w:ind w:left="425" w:leftChars="0" w:hanging="425" w:firstLineChars="0"/>
      </w:pPr>
      <w:rPr>
        <w:rFonts w:hint="default"/>
      </w:rPr>
    </w:lvl>
  </w:abstractNum>
  <w:abstractNum w:abstractNumId="23">
    <w:nsid w:val="CF7B0E76"/>
    <w:multiLevelType w:val="multilevel"/>
    <w:tmpl w:val="CF7B0E76"/>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24">
    <w:nsid w:val="CFBA0D9B"/>
    <w:multiLevelType w:val="singleLevel"/>
    <w:tmpl w:val="CFBA0D9B"/>
    <w:lvl w:ilvl="0" w:tentative="0">
      <w:start w:val="1"/>
      <w:numFmt w:val="decimal"/>
      <w:suff w:val="nothing"/>
      <w:lvlText w:val="（%1）"/>
      <w:lvlJc w:val="left"/>
      <w:pPr>
        <w:ind w:left="425" w:leftChars="0" w:hanging="425" w:firstLineChars="0"/>
      </w:pPr>
      <w:rPr>
        <w:rFonts w:hint="default"/>
      </w:rPr>
    </w:lvl>
  </w:abstractNum>
  <w:abstractNum w:abstractNumId="25">
    <w:nsid w:val="DB40B6D4"/>
    <w:multiLevelType w:val="multilevel"/>
    <w:tmpl w:val="DB40B6D4"/>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26">
    <w:nsid w:val="DD45CF87"/>
    <w:multiLevelType w:val="multilevel"/>
    <w:tmpl w:val="DD45CF87"/>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27">
    <w:nsid w:val="DE9BDBEE"/>
    <w:multiLevelType w:val="singleLevel"/>
    <w:tmpl w:val="DE9BDBEE"/>
    <w:lvl w:ilvl="0" w:tentative="0">
      <w:start w:val="1"/>
      <w:numFmt w:val="decimal"/>
      <w:suff w:val="nothing"/>
      <w:lvlText w:val="（%1）"/>
      <w:lvlJc w:val="left"/>
      <w:pPr>
        <w:ind w:left="425" w:leftChars="0" w:hanging="425" w:firstLineChars="0"/>
      </w:pPr>
      <w:rPr>
        <w:rFonts w:hint="default"/>
      </w:rPr>
    </w:lvl>
  </w:abstractNum>
  <w:abstractNum w:abstractNumId="28">
    <w:nsid w:val="E3156CE0"/>
    <w:multiLevelType w:val="singleLevel"/>
    <w:tmpl w:val="E3156CE0"/>
    <w:lvl w:ilvl="0" w:tentative="0">
      <w:start w:val="1"/>
      <w:numFmt w:val="decimal"/>
      <w:suff w:val="nothing"/>
      <w:lvlText w:val="（%1）"/>
      <w:lvlJc w:val="left"/>
      <w:pPr>
        <w:ind w:left="425" w:leftChars="0" w:hanging="425" w:firstLineChars="0"/>
      </w:pPr>
      <w:rPr>
        <w:rFonts w:hint="default"/>
      </w:rPr>
    </w:lvl>
  </w:abstractNum>
  <w:abstractNum w:abstractNumId="29">
    <w:nsid w:val="E32FB759"/>
    <w:multiLevelType w:val="multilevel"/>
    <w:tmpl w:val="E32FB759"/>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30">
    <w:nsid w:val="E41D7AA7"/>
    <w:multiLevelType w:val="singleLevel"/>
    <w:tmpl w:val="E41D7AA7"/>
    <w:lvl w:ilvl="0" w:tentative="0">
      <w:start w:val="1"/>
      <w:numFmt w:val="decimal"/>
      <w:suff w:val="nothing"/>
      <w:lvlText w:val="（%1）"/>
      <w:lvlJc w:val="left"/>
      <w:pPr>
        <w:ind w:left="425" w:leftChars="0" w:hanging="425" w:firstLineChars="0"/>
      </w:pPr>
      <w:rPr>
        <w:rFonts w:hint="default"/>
      </w:rPr>
    </w:lvl>
  </w:abstractNum>
  <w:abstractNum w:abstractNumId="31">
    <w:nsid w:val="E42AB07B"/>
    <w:multiLevelType w:val="multilevel"/>
    <w:tmpl w:val="E42AB07B"/>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32">
    <w:nsid w:val="E5DD5665"/>
    <w:multiLevelType w:val="singleLevel"/>
    <w:tmpl w:val="E5DD5665"/>
    <w:lvl w:ilvl="0" w:tentative="0">
      <w:start w:val="1"/>
      <w:numFmt w:val="decimal"/>
      <w:suff w:val="nothing"/>
      <w:lvlText w:val="（%1）"/>
      <w:lvlJc w:val="left"/>
      <w:pPr>
        <w:ind w:left="425" w:leftChars="0" w:hanging="425" w:firstLineChars="0"/>
      </w:pPr>
      <w:rPr>
        <w:rFonts w:hint="default"/>
      </w:rPr>
    </w:lvl>
  </w:abstractNum>
  <w:abstractNum w:abstractNumId="33">
    <w:nsid w:val="E9B1BEB7"/>
    <w:multiLevelType w:val="multilevel"/>
    <w:tmpl w:val="E9B1BEB7"/>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34">
    <w:nsid w:val="EB25EB92"/>
    <w:multiLevelType w:val="multilevel"/>
    <w:tmpl w:val="EB25EB92"/>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35">
    <w:nsid w:val="EBE365E0"/>
    <w:multiLevelType w:val="multilevel"/>
    <w:tmpl w:val="EBE365E0"/>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36">
    <w:nsid w:val="EBF07755"/>
    <w:multiLevelType w:val="singleLevel"/>
    <w:tmpl w:val="EBF07755"/>
    <w:lvl w:ilvl="0" w:tentative="0">
      <w:start w:val="1"/>
      <w:numFmt w:val="decimal"/>
      <w:suff w:val="nothing"/>
      <w:lvlText w:val="（%1）"/>
      <w:lvlJc w:val="left"/>
      <w:pPr>
        <w:ind w:left="425" w:leftChars="0" w:hanging="425" w:firstLineChars="0"/>
      </w:pPr>
      <w:rPr>
        <w:rFonts w:hint="default"/>
      </w:rPr>
    </w:lvl>
  </w:abstractNum>
  <w:abstractNum w:abstractNumId="37">
    <w:nsid w:val="F1B539CC"/>
    <w:multiLevelType w:val="singleLevel"/>
    <w:tmpl w:val="F1B539CC"/>
    <w:lvl w:ilvl="0" w:tentative="0">
      <w:start w:val="1"/>
      <w:numFmt w:val="decimal"/>
      <w:suff w:val="nothing"/>
      <w:lvlText w:val="（%1）"/>
      <w:lvlJc w:val="left"/>
      <w:pPr>
        <w:ind w:left="425" w:leftChars="0" w:hanging="425" w:firstLineChars="0"/>
      </w:pPr>
      <w:rPr>
        <w:rFonts w:hint="default"/>
      </w:rPr>
    </w:lvl>
  </w:abstractNum>
  <w:abstractNum w:abstractNumId="38">
    <w:nsid w:val="FB0EDECE"/>
    <w:multiLevelType w:val="singleLevel"/>
    <w:tmpl w:val="FB0EDECE"/>
    <w:lvl w:ilvl="0" w:tentative="0">
      <w:start w:val="1"/>
      <w:numFmt w:val="decimal"/>
      <w:suff w:val="nothing"/>
      <w:lvlText w:val="（%1）"/>
      <w:lvlJc w:val="left"/>
      <w:pPr>
        <w:ind w:left="425" w:leftChars="0" w:hanging="425" w:firstLineChars="0"/>
      </w:pPr>
      <w:rPr>
        <w:rFonts w:hint="default"/>
      </w:rPr>
    </w:lvl>
  </w:abstractNum>
  <w:abstractNum w:abstractNumId="39">
    <w:nsid w:val="FC21DBD7"/>
    <w:multiLevelType w:val="multilevel"/>
    <w:tmpl w:val="FC21DBD7"/>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40">
    <w:nsid w:val="FDBAEE68"/>
    <w:multiLevelType w:val="multilevel"/>
    <w:tmpl w:val="FDBAEE68"/>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41">
    <w:nsid w:val="FF549EA7"/>
    <w:multiLevelType w:val="multilevel"/>
    <w:tmpl w:val="FF549EA7"/>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42">
    <w:nsid w:val="0295B81C"/>
    <w:multiLevelType w:val="multilevel"/>
    <w:tmpl w:val="0295B81C"/>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43">
    <w:nsid w:val="02B183BA"/>
    <w:multiLevelType w:val="singleLevel"/>
    <w:tmpl w:val="02B183BA"/>
    <w:lvl w:ilvl="0" w:tentative="0">
      <w:start w:val="1"/>
      <w:numFmt w:val="decimal"/>
      <w:suff w:val="nothing"/>
      <w:lvlText w:val="（%1）"/>
      <w:lvlJc w:val="left"/>
      <w:pPr>
        <w:ind w:left="425" w:leftChars="0" w:hanging="425" w:firstLineChars="0"/>
      </w:pPr>
      <w:rPr>
        <w:rFonts w:hint="default"/>
      </w:rPr>
    </w:lvl>
  </w:abstractNum>
  <w:abstractNum w:abstractNumId="44">
    <w:nsid w:val="038394F3"/>
    <w:multiLevelType w:val="singleLevel"/>
    <w:tmpl w:val="038394F3"/>
    <w:lvl w:ilvl="0" w:tentative="0">
      <w:start w:val="1"/>
      <w:numFmt w:val="decimal"/>
      <w:suff w:val="nothing"/>
      <w:lvlText w:val="（%1）"/>
      <w:lvlJc w:val="left"/>
      <w:pPr>
        <w:ind w:left="425" w:leftChars="0" w:hanging="425" w:firstLineChars="0"/>
      </w:pPr>
      <w:rPr>
        <w:rFonts w:hint="default"/>
      </w:rPr>
    </w:lvl>
  </w:abstractNum>
  <w:abstractNum w:abstractNumId="45">
    <w:nsid w:val="0433D4EF"/>
    <w:multiLevelType w:val="singleLevel"/>
    <w:tmpl w:val="0433D4EF"/>
    <w:lvl w:ilvl="0" w:tentative="0">
      <w:start w:val="1"/>
      <w:numFmt w:val="decimal"/>
      <w:suff w:val="nothing"/>
      <w:lvlText w:val="（%1）"/>
      <w:lvlJc w:val="left"/>
      <w:pPr>
        <w:ind w:left="425" w:leftChars="0" w:hanging="425" w:firstLineChars="0"/>
      </w:pPr>
      <w:rPr>
        <w:rFonts w:hint="default"/>
      </w:rPr>
    </w:lvl>
  </w:abstractNum>
  <w:abstractNum w:abstractNumId="46">
    <w:nsid w:val="06F63D86"/>
    <w:multiLevelType w:val="multilevel"/>
    <w:tmpl w:val="06F63D86"/>
    <w:lvl w:ilvl="0" w:tentative="0">
      <w:start w:val="1"/>
      <w:numFmt w:val="bullet"/>
      <w:lvlText w:val=""/>
      <w:lvlJc w:val="left"/>
      <w:pPr>
        <w:ind w:left="989" w:hanging="440"/>
      </w:pPr>
      <w:rPr>
        <w:rFonts w:hint="default" w:ascii="Wingdings" w:hAnsi="Wingdings"/>
      </w:rPr>
    </w:lvl>
    <w:lvl w:ilvl="1" w:tentative="0">
      <w:start w:val="1"/>
      <w:numFmt w:val="bullet"/>
      <w:lvlText w:val=""/>
      <w:lvlJc w:val="left"/>
      <w:pPr>
        <w:ind w:left="1429" w:hanging="440"/>
      </w:pPr>
      <w:rPr>
        <w:rFonts w:hint="default" w:ascii="Wingdings" w:hAnsi="Wingdings"/>
      </w:rPr>
    </w:lvl>
    <w:lvl w:ilvl="2" w:tentative="0">
      <w:start w:val="1"/>
      <w:numFmt w:val="bullet"/>
      <w:lvlText w:val=""/>
      <w:lvlJc w:val="left"/>
      <w:pPr>
        <w:ind w:left="1869" w:hanging="440"/>
      </w:pPr>
      <w:rPr>
        <w:rFonts w:hint="default" w:ascii="Wingdings" w:hAnsi="Wingdings"/>
      </w:rPr>
    </w:lvl>
    <w:lvl w:ilvl="3" w:tentative="0">
      <w:start w:val="1"/>
      <w:numFmt w:val="bullet"/>
      <w:lvlText w:val=""/>
      <w:lvlJc w:val="left"/>
      <w:pPr>
        <w:ind w:left="2309" w:hanging="440"/>
      </w:pPr>
      <w:rPr>
        <w:rFonts w:hint="default" w:ascii="Wingdings" w:hAnsi="Wingdings"/>
      </w:rPr>
    </w:lvl>
    <w:lvl w:ilvl="4" w:tentative="0">
      <w:start w:val="1"/>
      <w:numFmt w:val="bullet"/>
      <w:lvlText w:val=""/>
      <w:lvlJc w:val="left"/>
      <w:pPr>
        <w:ind w:left="2749" w:hanging="440"/>
      </w:pPr>
      <w:rPr>
        <w:rFonts w:hint="default" w:ascii="Wingdings" w:hAnsi="Wingdings"/>
      </w:rPr>
    </w:lvl>
    <w:lvl w:ilvl="5" w:tentative="0">
      <w:start w:val="1"/>
      <w:numFmt w:val="bullet"/>
      <w:lvlText w:val=""/>
      <w:lvlJc w:val="left"/>
      <w:pPr>
        <w:ind w:left="3189" w:hanging="440"/>
      </w:pPr>
      <w:rPr>
        <w:rFonts w:hint="default" w:ascii="Wingdings" w:hAnsi="Wingdings"/>
      </w:rPr>
    </w:lvl>
    <w:lvl w:ilvl="6" w:tentative="0">
      <w:start w:val="1"/>
      <w:numFmt w:val="bullet"/>
      <w:lvlText w:val=""/>
      <w:lvlJc w:val="left"/>
      <w:pPr>
        <w:ind w:left="3629" w:hanging="440"/>
      </w:pPr>
      <w:rPr>
        <w:rFonts w:hint="default" w:ascii="Wingdings" w:hAnsi="Wingdings"/>
      </w:rPr>
    </w:lvl>
    <w:lvl w:ilvl="7" w:tentative="0">
      <w:start w:val="1"/>
      <w:numFmt w:val="bullet"/>
      <w:lvlText w:val=""/>
      <w:lvlJc w:val="left"/>
      <w:pPr>
        <w:ind w:left="4069" w:hanging="440"/>
      </w:pPr>
      <w:rPr>
        <w:rFonts w:hint="default" w:ascii="Wingdings" w:hAnsi="Wingdings"/>
      </w:rPr>
    </w:lvl>
    <w:lvl w:ilvl="8" w:tentative="0">
      <w:start w:val="1"/>
      <w:numFmt w:val="bullet"/>
      <w:lvlText w:val=""/>
      <w:lvlJc w:val="left"/>
      <w:pPr>
        <w:ind w:left="4509" w:hanging="440"/>
      </w:pPr>
      <w:rPr>
        <w:rFonts w:hint="default" w:ascii="Wingdings" w:hAnsi="Wingdings"/>
      </w:rPr>
    </w:lvl>
  </w:abstractNum>
  <w:abstractNum w:abstractNumId="47">
    <w:nsid w:val="08710732"/>
    <w:multiLevelType w:val="singleLevel"/>
    <w:tmpl w:val="08710732"/>
    <w:lvl w:ilvl="0" w:tentative="0">
      <w:start w:val="1"/>
      <w:numFmt w:val="decimal"/>
      <w:suff w:val="nothing"/>
      <w:lvlText w:val="（%1）"/>
      <w:lvlJc w:val="left"/>
      <w:pPr>
        <w:ind w:left="425" w:leftChars="0" w:hanging="425" w:firstLineChars="0"/>
      </w:pPr>
      <w:rPr>
        <w:rFonts w:hint="default"/>
      </w:rPr>
    </w:lvl>
  </w:abstractNum>
  <w:abstractNum w:abstractNumId="48">
    <w:nsid w:val="0CCE78E1"/>
    <w:multiLevelType w:val="multilevel"/>
    <w:tmpl w:val="0CCE78E1"/>
    <w:lvl w:ilvl="0" w:tentative="0">
      <w:start w:val="1"/>
      <w:numFmt w:val="bullet"/>
      <w:lvlText w:val=""/>
      <w:lvlJc w:val="left"/>
      <w:pPr>
        <w:ind w:left="932" w:hanging="440"/>
      </w:pPr>
      <w:rPr>
        <w:rFonts w:hint="default" w:ascii="Wingdings" w:hAnsi="Wingding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107A7556"/>
    <w:multiLevelType w:val="multilevel"/>
    <w:tmpl w:val="107A7556"/>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50">
    <w:nsid w:val="109C53AA"/>
    <w:multiLevelType w:val="multilevel"/>
    <w:tmpl w:val="109C53AA"/>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51">
    <w:nsid w:val="10FFFB2F"/>
    <w:multiLevelType w:val="multilevel"/>
    <w:tmpl w:val="10FFFB2F"/>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52">
    <w:nsid w:val="1427F346"/>
    <w:multiLevelType w:val="multilevel"/>
    <w:tmpl w:val="1427F346"/>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53">
    <w:nsid w:val="1636DC13"/>
    <w:multiLevelType w:val="singleLevel"/>
    <w:tmpl w:val="1636DC13"/>
    <w:lvl w:ilvl="0" w:tentative="0">
      <w:start w:val="1"/>
      <w:numFmt w:val="decimal"/>
      <w:suff w:val="nothing"/>
      <w:lvlText w:val="（%1）"/>
      <w:lvlJc w:val="left"/>
      <w:pPr>
        <w:ind w:left="425" w:leftChars="0" w:hanging="425" w:firstLineChars="0"/>
      </w:pPr>
      <w:rPr>
        <w:rFonts w:hint="default"/>
      </w:rPr>
    </w:lvl>
  </w:abstractNum>
  <w:abstractNum w:abstractNumId="54">
    <w:nsid w:val="17F593B8"/>
    <w:multiLevelType w:val="singleLevel"/>
    <w:tmpl w:val="17F593B8"/>
    <w:lvl w:ilvl="0" w:tentative="0">
      <w:start w:val="1"/>
      <w:numFmt w:val="decimal"/>
      <w:suff w:val="nothing"/>
      <w:lvlText w:val="（%1）"/>
      <w:lvlJc w:val="left"/>
      <w:pPr>
        <w:ind w:left="425" w:leftChars="0" w:hanging="425" w:firstLineChars="0"/>
      </w:pPr>
      <w:rPr>
        <w:rFonts w:hint="default"/>
        <w:sz w:val="24"/>
      </w:rPr>
    </w:lvl>
  </w:abstractNum>
  <w:abstractNum w:abstractNumId="55">
    <w:nsid w:val="182E5C55"/>
    <w:multiLevelType w:val="multilevel"/>
    <w:tmpl w:val="182E5C55"/>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56">
    <w:nsid w:val="18C51B34"/>
    <w:multiLevelType w:val="singleLevel"/>
    <w:tmpl w:val="18C51B34"/>
    <w:lvl w:ilvl="0" w:tentative="0">
      <w:start w:val="1"/>
      <w:numFmt w:val="decimal"/>
      <w:suff w:val="nothing"/>
      <w:lvlText w:val="（%1）"/>
      <w:lvlJc w:val="left"/>
      <w:pPr>
        <w:ind w:left="425" w:leftChars="0" w:hanging="425" w:firstLineChars="0"/>
      </w:pPr>
      <w:rPr>
        <w:rFonts w:hint="default"/>
      </w:rPr>
    </w:lvl>
  </w:abstractNum>
  <w:abstractNum w:abstractNumId="57">
    <w:nsid w:val="1D82374D"/>
    <w:multiLevelType w:val="singleLevel"/>
    <w:tmpl w:val="1D82374D"/>
    <w:lvl w:ilvl="0" w:tentative="0">
      <w:start w:val="1"/>
      <w:numFmt w:val="decimal"/>
      <w:suff w:val="nothing"/>
      <w:lvlText w:val="（%1）"/>
      <w:lvlJc w:val="left"/>
      <w:pPr>
        <w:ind w:left="425" w:leftChars="0" w:hanging="425" w:firstLineChars="0"/>
      </w:pPr>
      <w:rPr>
        <w:rFonts w:hint="default"/>
      </w:rPr>
    </w:lvl>
  </w:abstractNum>
  <w:abstractNum w:abstractNumId="58">
    <w:nsid w:val="221C489B"/>
    <w:multiLevelType w:val="singleLevel"/>
    <w:tmpl w:val="221C489B"/>
    <w:lvl w:ilvl="0" w:tentative="0">
      <w:start w:val="2"/>
      <w:numFmt w:val="chineseCounting"/>
      <w:suff w:val="nothing"/>
      <w:lvlText w:val="%1、"/>
      <w:lvlJc w:val="left"/>
      <w:rPr>
        <w:rFonts w:hint="eastAsia"/>
      </w:rPr>
    </w:lvl>
  </w:abstractNum>
  <w:abstractNum w:abstractNumId="59">
    <w:nsid w:val="23FC7A42"/>
    <w:multiLevelType w:val="multilevel"/>
    <w:tmpl w:val="23FC7A42"/>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60">
    <w:nsid w:val="25966864"/>
    <w:multiLevelType w:val="singleLevel"/>
    <w:tmpl w:val="25966864"/>
    <w:lvl w:ilvl="0" w:tentative="0">
      <w:start w:val="1"/>
      <w:numFmt w:val="decimal"/>
      <w:suff w:val="nothing"/>
      <w:lvlText w:val="（%1）"/>
      <w:lvlJc w:val="left"/>
      <w:pPr>
        <w:ind w:left="425" w:leftChars="0" w:hanging="425" w:firstLineChars="0"/>
      </w:pPr>
      <w:rPr>
        <w:rFonts w:hint="default"/>
      </w:rPr>
    </w:lvl>
  </w:abstractNum>
  <w:abstractNum w:abstractNumId="61">
    <w:nsid w:val="2A164572"/>
    <w:multiLevelType w:val="multilevel"/>
    <w:tmpl w:val="2A164572"/>
    <w:lvl w:ilvl="0" w:tentative="0">
      <w:start w:val="1"/>
      <w:numFmt w:val="bullet"/>
      <w:lvlText w:val=""/>
      <w:lvlJc w:val="left"/>
      <w:pPr>
        <w:ind w:left="1006" w:hanging="440"/>
      </w:pPr>
      <w:rPr>
        <w:rFonts w:hint="default" w:ascii="Wingdings" w:hAnsi="Wingdings"/>
      </w:rPr>
    </w:lvl>
    <w:lvl w:ilvl="1" w:tentative="0">
      <w:start w:val="1"/>
      <w:numFmt w:val="bullet"/>
      <w:lvlText w:val=""/>
      <w:lvlJc w:val="left"/>
      <w:pPr>
        <w:ind w:left="989" w:hanging="440"/>
      </w:pPr>
      <w:rPr>
        <w:rFonts w:hint="default" w:ascii="Wingdings" w:hAnsi="Wingdings"/>
      </w:rPr>
    </w:lvl>
    <w:lvl w:ilvl="2" w:tentative="0">
      <w:start w:val="1"/>
      <w:numFmt w:val="bullet"/>
      <w:lvlText w:val=""/>
      <w:lvlJc w:val="left"/>
      <w:pPr>
        <w:ind w:left="1886" w:hanging="440"/>
      </w:pPr>
      <w:rPr>
        <w:rFonts w:hint="default" w:ascii="Wingdings" w:hAnsi="Wingdings"/>
      </w:rPr>
    </w:lvl>
    <w:lvl w:ilvl="3" w:tentative="0">
      <w:start w:val="1"/>
      <w:numFmt w:val="bullet"/>
      <w:lvlText w:val=""/>
      <w:lvlJc w:val="left"/>
      <w:pPr>
        <w:ind w:left="2326" w:hanging="440"/>
      </w:pPr>
      <w:rPr>
        <w:rFonts w:hint="default" w:ascii="Wingdings" w:hAnsi="Wingdings"/>
      </w:rPr>
    </w:lvl>
    <w:lvl w:ilvl="4" w:tentative="0">
      <w:start w:val="1"/>
      <w:numFmt w:val="bullet"/>
      <w:lvlText w:val=""/>
      <w:lvlJc w:val="left"/>
      <w:pPr>
        <w:ind w:left="2766" w:hanging="440"/>
      </w:pPr>
      <w:rPr>
        <w:rFonts w:hint="default" w:ascii="Wingdings" w:hAnsi="Wingdings"/>
      </w:rPr>
    </w:lvl>
    <w:lvl w:ilvl="5" w:tentative="0">
      <w:start w:val="1"/>
      <w:numFmt w:val="bullet"/>
      <w:lvlText w:val=""/>
      <w:lvlJc w:val="left"/>
      <w:pPr>
        <w:ind w:left="3206" w:hanging="440"/>
      </w:pPr>
      <w:rPr>
        <w:rFonts w:hint="default" w:ascii="Wingdings" w:hAnsi="Wingdings"/>
      </w:rPr>
    </w:lvl>
    <w:lvl w:ilvl="6" w:tentative="0">
      <w:start w:val="1"/>
      <w:numFmt w:val="bullet"/>
      <w:lvlText w:val=""/>
      <w:lvlJc w:val="left"/>
      <w:pPr>
        <w:ind w:left="3646" w:hanging="440"/>
      </w:pPr>
      <w:rPr>
        <w:rFonts w:hint="default" w:ascii="Wingdings" w:hAnsi="Wingdings"/>
      </w:rPr>
    </w:lvl>
    <w:lvl w:ilvl="7" w:tentative="0">
      <w:start w:val="1"/>
      <w:numFmt w:val="bullet"/>
      <w:lvlText w:val=""/>
      <w:lvlJc w:val="left"/>
      <w:pPr>
        <w:ind w:left="4086" w:hanging="440"/>
      </w:pPr>
      <w:rPr>
        <w:rFonts w:hint="default" w:ascii="Wingdings" w:hAnsi="Wingdings"/>
      </w:rPr>
    </w:lvl>
    <w:lvl w:ilvl="8" w:tentative="0">
      <w:start w:val="1"/>
      <w:numFmt w:val="bullet"/>
      <w:lvlText w:val=""/>
      <w:lvlJc w:val="left"/>
      <w:pPr>
        <w:ind w:left="4526" w:hanging="440"/>
      </w:pPr>
      <w:rPr>
        <w:rFonts w:hint="default" w:ascii="Wingdings" w:hAnsi="Wingdings"/>
      </w:rPr>
    </w:lvl>
  </w:abstractNum>
  <w:abstractNum w:abstractNumId="62">
    <w:nsid w:val="2A332D5E"/>
    <w:multiLevelType w:val="multilevel"/>
    <w:tmpl w:val="2A332D5E"/>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63">
    <w:nsid w:val="2A463F8C"/>
    <w:multiLevelType w:val="multilevel"/>
    <w:tmpl w:val="2A463F8C"/>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64">
    <w:nsid w:val="2BC2FBC6"/>
    <w:multiLevelType w:val="singleLevel"/>
    <w:tmpl w:val="2BC2FBC6"/>
    <w:lvl w:ilvl="0" w:tentative="0">
      <w:start w:val="1"/>
      <w:numFmt w:val="decimal"/>
      <w:suff w:val="nothing"/>
      <w:lvlText w:val="（%1）"/>
      <w:lvlJc w:val="left"/>
      <w:pPr>
        <w:ind w:left="425" w:leftChars="0" w:hanging="425" w:firstLineChars="0"/>
      </w:pPr>
      <w:rPr>
        <w:rFonts w:hint="default"/>
      </w:rPr>
    </w:lvl>
  </w:abstractNum>
  <w:abstractNum w:abstractNumId="65">
    <w:nsid w:val="3516982F"/>
    <w:multiLevelType w:val="multilevel"/>
    <w:tmpl w:val="3516982F"/>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66">
    <w:nsid w:val="37E74982"/>
    <w:multiLevelType w:val="multilevel"/>
    <w:tmpl w:val="37E74982"/>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67">
    <w:nsid w:val="3883E21B"/>
    <w:multiLevelType w:val="multilevel"/>
    <w:tmpl w:val="3883E21B"/>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68">
    <w:nsid w:val="3912C037"/>
    <w:multiLevelType w:val="multilevel"/>
    <w:tmpl w:val="3912C037"/>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69">
    <w:nsid w:val="3A566714"/>
    <w:multiLevelType w:val="multilevel"/>
    <w:tmpl w:val="3A566714"/>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70">
    <w:nsid w:val="3D59A25E"/>
    <w:multiLevelType w:val="multilevel"/>
    <w:tmpl w:val="3D59A25E"/>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71">
    <w:nsid w:val="422674A1"/>
    <w:multiLevelType w:val="multilevel"/>
    <w:tmpl w:val="422674A1"/>
    <w:lvl w:ilvl="0" w:tentative="0">
      <w:start w:val="1"/>
      <w:numFmt w:val="bullet"/>
      <w:lvlText w:val=""/>
      <w:lvlJc w:val="left"/>
      <w:pPr>
        <w:ind w:left="1006" w:hanging="440"/>
      </w:pPr>
      <w:rPr>
        <w:rFonts w:hint="default" w:ascii="Wingdings" w:hAnsi="Wingdings"/>
      </w:rPr>
    </w:lvl>
    <w:lvl w:ilvl="1" w:tentative="0">
      <w:start w:val="1"/>
      <w:numFmt w:val="bullet"/>
      <w:lvlText w:val=""/>
      <w:lvlJc w:val="left"/>
      <w:pPr>
        <w:ind w:left="989" w:hanging="440"/>
      </w:pPr>
      <w:rPr>
        <w:rFonts w:hint="default" w:ascii="Wingdings" w:hAnsi="Wingdings"/>
      </w:rPr>
    </w:lvl>
    <w:lvl w:ilvl="2" w:tentative="0">
      <w:start w:val="1"/>
      <w:numFmt w:val="bullet"/>
      <w:lvlText w:val=""/>
      <w:lvlJc w:val="left"/>
      <w:pPr>
        <w:ind w:left="1886" w:hanging="440"/>
      </w:pPr>
      <w:rPr>
        <w:rFonts w:hint="default" w:ascii="Wingdings" w:hAnsi="Wingdings"/>
      </w:rPr>
    </w:lvl>
    <w:lvl w:ilvl="3" w:tentative="0">
      <w:start w:val="1"/>
      <w:numFmt w:val="bullet"/>
      <w:lvlText w:val=""/>
      <w:lvlJc w:val="left"/>
      <w:pPr>
        <w:ind w:left="2326" w:hanging="440"/>
      </w:pPr>
      <w:rPr>
        <w:rFonts w:hint="default" w:ascii="Wingdings" w:hAnsi="Wingdings"/>
      </w:rPr>
    </w:lvl>
    <w:lvl w:ilvl="4" w:tentative="0">
      <w:start w:val="1"/>
      <w:numFmt w:val="bullet"/>
      <w:lvlText w:val=""/>
      <w:lvlJc w:val="left"/>
      <w:pPr>
        <w:ind w:left="2766" w:hanging="440"/>
      </w:pPr>
      <w:rPr>
        <w:rFonts w:hint="default" w:ascii="Wingdings" w:hAnsi="Wingdings"/>
      </w:rPr>
    </w:lvl>
    <w:lvl w:ilvl="5" w:tentative="0">
      <w:start w:val="1"/>
      <w:numFmt w:val="bullet"/>
      <w:lvlText w:val=""/>
      <w:lvlJc w:val="left"/>
      <w:pPr>
        <w:ind w:left="3206" w:hanging="440"/>
      </w:pPr>
      <w:rPr>
        <w:rFonts w:hint="default" w:ascii="Wingdings" w:hAnsi="Wingdings"/>
      </w:rPr>
    </w:lvl>
    <w:lvl w:ilvl="6" w:tentative="0">
      <w:start w:val="1"/>
      <w:numFmt w:val="bullet"/>
      <w:lvlText w:val=""/>
      <w:lvlJc w:val="left"/>
      <w:pPr>
        <w:ind w:left="3646" w:hanging="440"/>
      </w:pPr>
      <w:rPr>
        <w:rFonts w:hint="default" w:ascii="Wingdings" w:hAnsi="Wingdings"/>
      </w:rPr>
    </w:lvl>
    <w:lvl w:ilvl="7" w:tentative="0">
      <w:start w:val="1"/>
      <w:numFmt w:val="bullet"/>
      <w:lvlText w:val=""/>
      <w:lvlJc w:val="left"/>
      <w:pPr>
        <w:ind w:left="4086" w:hanging="440"/>
      </w:pPr>
      <w:rPr>
        <w:rFonts w:hint="default" w:ascii="Wingdings" w:hAnsi="Wingdings"/>
      </w:rPr>
    </w:lvl>
    <w:lvl w:ilvl="8" w:tentative="0">
      <w:start w:val="1"/>
      <w:numFmt w:val="bullet"/>
      <w:lvlText w:val=""/>
      <w:lvlJc w:val="left"/>
      <w:pPr>
        <w:ind w:left="4526" w:hanging="440"/>
      </w:pPr>
      <w:rPr>
        <w:rFonts w:hint="default" w:ascii="Wingdings" w:hAnsi="Wingdings"/>
      </w:rPr>
    </w:lvl>
  </w:abstractNum>
  <w:abstractNum w:abstractNumId="72">
    <w:nsid w:val="45DA089C"/>
    <w:multiLevelType w:val="multilevel"/>
    <w:tmpl w:val="45DA089C"/>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73">
    <w:nsid w:val="464E3171"/>
    <w:multiLevelType w:val="multilevel"/>
    <w:tmpl w:val="464E3171"/>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74">
    <w:nsid w:val="46C6DAEA"/>
    <w:multiLevelType w:val="singleLevel"/>
    <w:tmpl w:val="46C6DAEA"/>
    <w:lvl w:ilvl="0" w:tentative="0">
      <w:start w:val="1"/>
      <w:numFmt w:val="decimal"/>
      <w:suff w:val="nothing"/>
      <w:lvlText w:val="（%1）"/>
      <w:lvlJc w:val="left"/>
      <w:pPr>
        <w:ind w:left="425" w:leftChars="0" w:hanging="425" w:firstLineChars="0"/>
      </w:pPr>
      <w:rPr>
        <w:rFonts w:hint="default"/>
      </w:rPr>
    </w:lvl>
  </w:abstractNum>
  <w:abstractNum w:abstractNumId="75">
    <w:nsid w:val="47BD1DDC"/>
    <w:multiLevelType w:val="multilevel"/>
    <w:tmpl w:val="47BD1DDC"/>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76">
    <w:nsid w:val="48B1D87B"/>
    <w:multiLevelType w:val="multilevel"/>
    <w:tmpl w:val="48B1D87B"/>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77">
    <w:nsid w:val="4992637B"/>
    <w:multiLevelType w:val="multilevel"/>
    <w:tmpl w:val="4992637B"/>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78">
    <w:nsid w:val="49D88858"/>
    <w:multiLevelType w:val="multilevel"/>
    <w:tmpl w:val="49D88858"/>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79">
    <w:nsid w:val="4A3172F7"/>
    <w:multiLevelType w:val="singleLevel"/>
    <w:tmpl w:val="4A3172F7"/>
    <w:lvl w:ilvl="0" w:tentative="0">
      <w:start w:val="1"/>
      <w:numFmt w:val="decimal"/>
      <w:lvlText w:val="%1."/>
      <w:lvlJc w:val="left"/>
      <w:pPr>
        <w:ind w:left="425" w:hanging="425"/>
      </w:pPr>
      <w:rPr>
        <w:rFonts w:hint="default"/>
      </w:rPr>
    </w:lvl>
  </w:abstractNum>
  <w:abstractNum w:abstractNumId="80">
    <w:nsid w:val="4A6A8A1E"/>
    <w:multiLevelType w:val="multilevel"/>
    <w:tmpl w:val="4A6A8A1E"/>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81">
    <w:nsid w:val="4B1D42CA"/>
    <w:multiLevelType w:val="singleLevel"/>
    <w:tmpl w:val="4B1D42CA"/>
    <w:lvl w:ilvl="0" w:tentative="0">
      <w:start w:val="1"/>
      <w:numFmt w:val="decimal"/>
      <w:suff w:val="nothing"/>
      <w:lvlText w:val="（%1）"/>
      <w:lvlJc w:val="left"/>
      <w:pPr>
        <w:ind w:left="425" w:leftChars="0" w:hanging="425" w:firstLineChars="0"/>
      </w:pPr>
      <w:rPr>
        <w:rFonts w:hint="default"/>
      </w:rPr>
    </w:lvl>
  </w:abstractNum>
  <w:abstractNum w:abstractNumId="82">
    <w:nsid w:val="4B7A16AB"/>
    <w:multiLevelType w:val="singleLevel"/>
    <w:tmpl w:val="4B7A16AB"/>
    <w:lvl w:ilvl="0" w:tentative="0">
      <w:start w:val="1"/>
      <w:numFmt w:val="decimal"/>
      <w:lvlText w:val="%1."/>
      <w:lvlJc w:val="left"/>
      <w:pPr>
        <w:ind w:left="425" w:hanging="425"/>
      </w:pPr>
      <w:rPr>
        <w:rFonts w:hint="default"/>
      </w:rPr>
    </w:lvl>
  </w:abstractNum>
  <w:abstractNum w:abstractNumId="83">
    <w:nsid w:val="4C240FBD"/>
    <w:multiLevelType w:val="multilevel"/>
    <w:tmpl w:val="4C240FBD"/>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84">
    <w:nsid w:val="4C812368"/>
    <w:multiLevelType w:val="multilevel"/>
    <w:tmpl w:val="4C812368"/>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85">
    <w:nsid w:val="4DD50818"/>
    <w:multiLevelType w:val="multilevel"/>
    <w:tmpl w:val="4DD50818"/>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86">
    <w:nsid w:val="4ED55345"/>
    <w:multiLevelType w:val="multilevel"/>
    <w:tmpl w:val="4ED55345"/>
    <w:lvl w:ilvl="0" w:tentative="0">
      <w:start w:val="1"/>
      <w:numFmt w:val="decimal"/>
      <w:lvlText w:val="%1."/>
      <w:lvlJc w:val="left"/>
      <w:pPr>
        <w:ind w:left="932" w:hanging="440"/>
      </w:pPr>
    </w:lvl>
    <w:lvl w:ilvl="1" w:tentative="0">
      <w:start w:val="1"/>
      <w:numFmt w:val="lowerLetter"/>
      <w:lvlText w:val="%2)"/>
      <w:lvlJc w:val="left"/>
      <w:pPr>
        <w:ind w:left="1372" w:hanging="440"/>
      </w:pPr>
    </w:lvl>
    <w:lvl w:ilvl="2" w:tentative="0">
      <w:start w:val="1"/>
      <w:numFmt w:val="lowerRoman"/>
      <w:lvlText w:val="%3."/>
      <w:lvlJc w:val="right"/>
      <w:pPr>
        <w:ind w:left="1812" w:hanging="440"/>
      </w:pPr>
    </w:lvl>
    <w:lvl w:ilvl="3" w:tentative="0">
      <w:start w:val="1"/>
      <w:numFmt w:val="decimal"/>
      <w:lvlText w:val="%4."/>
      <w:lvlJc w:val="left"/>
      <w:pPr>
        <w:ind w:left="2252" w:hanging="440"/>
      </w:pPr>
    </w:lvl>
    <w:lvl w:ilvl="4" w:tentative="0">
      <w:start w:val="1"/>
      <w:numFmt w:val="lowerLetter"/>
      <w:lvlText w:val="%5)"/>
      <w:lvlJc w:val="left"/>
      <w:pPr>
        <w:ind w:left="2692" w:hanging="440"/>
      </w:pPr>
    </w:lvl>
    <w:lvl w:ilvl="5" w:tentative="0">
      <w:start w:val="1"/>
      <w:numFmt w:val="lowerRoman"/>
      <w:lvlText w:val="%6."/>
      <w:lvlJc w:val="right"/>
      <w:pPr>
        <w:ind w:left="3132" w:hanging="440"/>
      </w:pPr>
    </w:lvl>
    <w:lvl w:ilvl="6" w:tentative="0">
      <w:start w:val="1"/>
      <w:numFmt w:val="decimal"/>
      <w:lvlText w:val="%7."/>
      <w:lvlJc w:val="left"/>
      <w:pPr>
        <w:ind w:left="3572" w:hanging="440"/>
      </w:pPr>
    </w:lvl>
    <w:lvl w:ilvl="7" w:tentative="0">
      <w:start w:val="1"/>
      <w:numFmt w:val="lowerLetter"/>
      <w:lvlText w:val="%8)"/>
      <w:lvlJc w:val="left"/>
      <w:pPr>
        <w:ind w:left="4012" w:hanging="440"/>
      </w:pPr>
    </w:lvl>
    <w:lvl w:ilvl="8" w:tentative="0">
      <w:start w:val="1"/>
      <w:numFmt w:val="lowerRoman"/>
      <w:lvlText w:val="%9."/>
      <w:lvlJc w:val="right"/>
      <w:pPr>
        <w:ind w:left="4452" w:hanging="440"/>
      </w:pPr>
    </w:lvl>
  </w:abstractNum>
  <w:abstractNum w:abstractNumId="87">
    <w:nsid w:val="527D89E4"/>
    <w:multiLevelType w:val="multilevel"/>
    <w:tmpl w:val="527D89E4"/>
    <w:lvl w:ilvl="0" w:tentative="0">
      <w:start w:val="1"/>
      <w:numFmt w:val="decimal"/>
      <w:lvlText w:val="%1."/>
      <w:lvlJc w:val="left"/>
      <w:pPr>
        <w:ind w:left="932" w:hanging="440"/>
      </w:pPr>
    </w:lvl>
    <w:lvl w:ilvl="1" w:tentative="0">
      <w:start w:val="1"/>
      <w:numFmt w:val="lowerLetter"/>
      <w:lvlText w:val="%2)"/>
      <w:lvlJc w:val="left"/>
      <w:pPr>
        <w:ind w:left="1372" w:hanging="440"/>
      </w:pPr>
    </w:lvl>
    <w:lvl w:ilvl="2" w:tentative="0">
      <w:start w:val="1"/>
      <w:numFmt w:val="lowerRoman"/>
      <w:lvlText w:val="%3."/>
      <w:lvlJc w:val="right"/>
      <w:pPr>
        <w:ind w:left="1812" w:hanging="440"/>
      </w:pPr>
    </w:lvl>
    <w:lvl w:ilvl="3" w:tentative="0">
      <w:start w:val="1"/>
      <w:numFmt w:val="decimal"/>
      <w:lvlText w:val="%4."/>
      <w:lvlJc w:val="left"/>
      <w:pPr>
        <w:ind w:left="2252" w:hanging="440"/>
      </w:pPr>
    </w:lvl>
    <w:lvl w:ilvl="4" w:tentative="0">
      <w:start w:val="1"/>
      <w:numFmt w:val="lowerLetter"/>
      <w:lvlText w:val="%5)"/>
      <w:lvlJc w:val="left"/>
      <w:pPr>
        <w:ind w:left="2692" w:hanging="440"/>
      </w:pPr>
    </w:lvl>
    <w:lvl w:ilvl="5" w:tentative="0">
      <w:start w:val="1"/>
      <w:numFmt w:val="lowerRoman"/>
      <w:lvlText w:val="%6."/>
      <w:lvlJc w:val="right"/>
      <w:pPr>
        <w:ind w:left="3132" w:hanging="440"/>
      </w:pPr>
    </w:lvl>
    <w:lvl w:ilvl="6" w:tentative="0">
      <w:start w:val="1"/>
      <w:numFmt w:val="decimal"/>
      <w:lvlText w:val="%7."/>
      <w:lvlJc w:val="left"/>
      <w:pPr>
        <w:ind w:left="3572" w:hanging="440"/>
      </w:pPr>
    </w:lvl>
    <w:lvl w:ilvl="7" w:tentative="0">
      <w:start w:val="1"/>
      <w:numFmt w:val="lowerLetter"/>
      <w:lvlText w:val="%8)"/>
      <w:lvlJc w:val="left"/>
      <w:pPr>
        <w:ind w:left="4012" w:hanging="440"/>
      </w:pPr>
    </w:lvl>
    <w:lvl w:ilvl="8" w:tentative="0">
      <w:start w:val="1"/>
      <w:numFmt w:val="lowerRoman"/>
      <w:lvlText w:val="%9."/>
      <w:lvlJc w:val="right"/>
      <w:pPr>
        <w:ind w:left="4452" w:hanging="440"/>
      </w:pPr>
    </w:lvl>
  </w:abstractNum>
  <w:abstractNum w:abstractNumId="88">
    <w:nsid w:val="54CD0282"/>
    <w:multiLevelType w:val="multilevel"/>
    <w:tmpl w:val="54CD0282"/>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9">
    <w:nsid w:val="54DBAD8B"/>
    <w:multiLevelType w:val="singleLevel"/>
    <w:tmpl w:val="54DBAD8B"/>
    <w:lvl w:ilvl="0" w:tentative="0">
      <w:start w:val="1"/>
      <w:numFmt w:val="decimal"/>
      <w:suff w:val="nothing"/>
      <w:lvlText w:val="（%1）"/>
      <w:lvlJc w:val="left"/>
      <w:pPr>
        <w:ind w:left="425" w:leftChars="0" w:hanging="425" w:firstLineChars="0"/>
      </w:pPr>
      <w:rPr>
        <w:rFonts w:hint="default"/>
      </w:rPr>
    </w:lvl>
  </w:abstractNum>
  <w:abstractNum w:abstractNumId="90">
    <w:nsid w:val="58DD4AEC"/>
    <w:multiLevelType w:val="multilevel"/>
    <w:tmpl w:val="58DD4AEC"/>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91">
    <w:nsid w:val="59334264"/>
    <w:multiLevelType w:val="singleLevel"/>
    <w:tmpl w:val="59334264"/>
    <w:lvl w:ilvl="0" w:tentative="0">
      <w:start w:val="1"/>
      <w:numFmt w:val="decimal"/>
      <w:suff w:val="nothing"/>
      <w:lvlText w:val="（%1）"/>
      <w:lvlJc w:val="left"/>
      <w:pPr>
        <w:ind w:left="425" w:leftChars="0" w:hanging="425" w:firstLineChars="0"/>
      </w:pPr>
      <w:rPr>
        <w:rFonts w:hint="default"/>
      </w:rPr>
    </w:lvl>
  </w:abstractNum>
  <w:abstractNum w:abstractNumId="92">
    <w:nsid w:val="5A1B6232"/>
    <w:multiLevelType w:val="singleLevel"/>
    <w:tmpl w:val="5A1B6232"/>
    <w:lvl w:ilvl="0" w:tentative="0">
      <w:start w:val="1"/>
      <w:numFmt w:val="decimal"/>
      <w:suff w:val="nothing"/>
      <w:lvlText w:val="（%1）"/>
      <w:lvlJc w:val="left"/>
      <w:pPr>
        <w:ind w:left="425" w:leftChars="0" w:hanging="425" w:firstLineChars="0"/>
      </w:pPr>
      <w:rPr>
        <w:rFonts w:hint="default"/>
      </w:rPr>
    </w:lvl>
  </w:abstractNum>
  <w:abstractNum w:abstractNumId="93">
    <w:nsid w:val="5CA12A93"/>
    <w:multiLevelType w:val="multilevel"/>
    <w:tmpl w:val="5CA12A93"/>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94">
    <w:nsid w:val="5D7DCC17"/>
    <w:multiLevelType w:val="multilevel"/>
    <w:tmpl w:val="5D7DCC17"/>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95">
    <w:nsid w:val="5E370351"/>
    <w:multiLevelType w:val="singleLevel"/>
    <w:tmpl w:val="5E370351"/>
    <w:lvl w:ilvl="0" w:tentative="0">
      <w:start w:val="1"/>
      <w:numFmt w:val="decimal"/>
      <w:suff w:val="nothing"/>
      <w:lvlText w:val="（%1）"/>
      <w:lvlJc w:val="left"/>
      <w:pPr>
        <w:ind w:left="425" w:leftChars="0" w:hanging="425" w:firstLineChars="0"/>
      </w:pPr>
      <w:rPr>
        <w:rFonts w:hint="default"/>
      </w:rPr>
    </w:lvl>
  </w:abstractNum>
  <w:abstractNum w:abstractNumId="96">
    <w:nsid w:val="5EA110B4"/>
    <w:multiLevelType w:val="multilevel"/>
    <w:tmpl w:val="5EA110B4"/>
    <w:lvl w:ilvl="0" w:tentative="0">
      <w:start w:val="1"/>
      <w:numFmt w:val="bullet"/>
      <w:lvlText w:val=""/>
      <w:lvlJc w:val="left"/>
      <w:pPr>
        <w:ind w:left="932" w:hanging="440"/>
      </w:pPr>
      <w:rPr>
        <w:rFonts w:hint="default" w:ascii="Wingdings" w:hAnsi="Wingding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7">
    <w:nsid w:val="5EA29402"/>
    <w:multiLevelType w:val="multilevel"/>
    <w:tmpl w:val="5EA29402"/>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98">
    <w:nsid w:val="5EE687E6"/>
    <w:multiLevelType w:val="multilevel"/>
    <w:tmpl w:val="5EE687E6"/>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99">
    <w:nsid w:val="604438AF"/>
    <w:multiLevelType w:val="singleLevel"/>
    <w:tmpl w:val="604438AF"/>
    <w:lvl w:ilvl="0" w:tentative="0">
      <w:start w:val="1"/>
      <w:numFmt w:val="decimal"/>
      <w:suff w:val="nothing"/>
      <w:lvlText w:val="（%1）"/>
      <w:lvlJc w:val="left"/>
      <w:pPr>
        <w:ind w:left="425" w:leftChars="0" w:hanging="425" w:firstLineChars="0"/>
      </w:pPr>
      <w:rPr>
        <w:rFonts w:hint="default"/>
      </w:rPr>
    </w:lvl>
  </w:abstractNum>
  <w:abstractNum w:abstractNumId="100">
    <w:nsid w:val="61F90AA7"/>
    <w:multiLevelType w:val="singleLevel"/>
    <w:tmpl w:val="61F90AA7"/>
    <w:lvl w:ilvl="0" w:tentative="0">
      <w:start w:val="1"/>
      <w:numFmt w:val="decimal"/>
      <w:suff w:val="nothing"/>
      <w:lvlText w:val="（%1）"/>
      <w:lvlJc w:val="left"/>
      <w:pPr>
        <w:ind w:left="425" w:leftChars="0" w:hanging="425" w:firstLineChars="0"/>
      </w:pPr>
      <w:rPr>
        <w:rFonts w:hint="default"/>
      </w:rPr>
    </w:lvl>
  </w:abstractNum>
  <w:abstractNum w:abstractNumId="101">
    <w:nsid w:val="62B1CF19"/>
    <w:multiLevelType w:val="singleLevel"/>
    <w:tmpl w:val="62B1CF19"/>
    <w:lvl w:ilvl="0" w:tentative="0">
      <w:start w:val="1"/>
      <w:numFmt w:val="decimal"/>
      <w:suff w:val="nothing"/>
      <w:lvlText w:val="（%1）"/>
      <w:lvlJc w:val="left"/>
      <w:pPr>
        <w:ind w:left="425" w:leftChars="0" w:hanging="425" w:firstLineChars="0"/>
      </w:pPr>
      <w:rPr>
        <w:rFonts w:hint="default"/>
      </w:rPr>
    </w:lvl>
  </w:abstractNum>
  <w:abstractNum w:abstractNumId="102">
    <w:nsid w:val="650093BF"/>
    <w:multiLevelType w:val="singleLevel"/>
    <w:tmpl w:val="650093BF"/>
    <w:lvl w:ilvl="0" w:tentative="0">
      <w:start w:val="1"/>
      <w:numFmt w:val="decimal"/>
      <w:suff w:val="nothing"/>
      <w:lvlText w:val="（%1）"/>
      <w:lvlJc w:val="left"/>
      <w:pPr>
        <w:ind w:left="425" w:leftChars="0" w:hanging="425" w:firstLineChars="0"/>
      </w:pPr>
      <w:rPr>
        <w:rFonts w:hint="default"/>
      </w:rPr>
    </w:lvl>
  </w:abstractNum>
  <w:abstractNum w:abstractNumId="103">
    <w:nsid w:val="681AB1C0"/>
    <w:multiLevelType w:val="multilevel"/>
    <w:tmpl w:val="681AB1C0"/>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10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2"/>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05">
    <w:nsid w:val="73763414"/>
    <w:multiLevelType w:val="multilevel"/>
    <w:tmpl w:val="73763414"/>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06">
    <w:nsid w:val="7740D632"/>
    <w:multiLevelType w:val="singleLevel"/>
    <w:tmpl w:val="7740D632"/>
    <w:lvl w:ilvl="0" w:tentative="0">
      <w:start w:val="1"/>
      <w:numFmt w:val="decimal"/>
      <w:suff w:val="nothing"/>
      <w:lvlText w:val="（%1）"/>
      <w:lvlJc w:val="left"/>
      <w:pPr>
        <w:ind w:left="425" w:leftChars="0" w:hanging="425" w:firstLineChars="0"/>
      </w:pPr>
      <w:rPr>
        <w:rFonts w:hint="default"/>
      </w:rPr>
    </w:lvl>
  </w:abstractNum>
  <w:abstractNum w:abstractNumId="107">
    <w:nsid w:val="77B4D4DA"/>
    <w:multiLevelType w:val="singleLevel"/>
    <w:tmpl w:val="77B4D4DA"/>
    <w:lvl w:ilvl="0" w:tentative="0">
      <w:start w:val="1"/>
      <w:numFmt w:val="decimal"/>
      <w:suff w:val="nothing"/>
      <w:lvlText w:val="（%1）"/>
      <w:lvlJc w:val="left"/>
      <w:pPr>
        <w:ind w:left="425" w:leftChars="0" w:hanging="425" w:firstLineChars="0"/>
      </w:pPr>
      <w:rPr>
        <w:rFonts w:hint="default"/>
      </w:rPr>
    </w:lvl>
  </w:abstractNum>
  <w:abstractNum w:abstractNumId="108">
    <w:nsid w:val="77CD76A2"/>
    <w:multiLevelType w:val="multilevel"/>
    <w:tmpl w:val="77CD76A2"/>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abstractNum w:abstractNumId="109">
    <w:nsid w:val="7B8B6453"/>
    <w:multiLevelType w:val="singleLevel"/>
    <w:tmpl w:val="7B8B6453"/>
    <w:lvl w:ilvl="0" w:tentative="0">
      <w:start w:val="1"/>
      <w:numFmt w:val="decimal"/>
      <w:suff w:val="nothing"/>
      <w:lvlText w:val="（%1）"/>
      <w:lvlJc w:val="left"/>
      <w:pPr>
        <w:ind w:left="425" w:leftChars="0" w:hanging="425" w:firstLineChars="0"/>
      </w:pPr>
      <w:rPr>
        <w:rFonts w:hint="default"/>
      </w:rPr>
    </w:lvl>
  </w:abstractNum>
  <w:abstractNum w:abstractNumId="110">
    <w:nsid w:val="7F1026B1"/>
    <w:multiLevelType w:val="multilevel"/>
    <w:tmpl w:val="7F1026B1"/>
    <w:lvl w:ilvl="0" w:tentative="0">
      <w:start w:val="1"/>
      <w:numFmt w:val="decimal"/>
      <w:lvlText w:val="%1."/>
      <w:lvlJc w:val="left"/>
      <w:pPr>
        <w:ind w:left="908" w:hanging="440"/>
      </w:pPr>
      <w:rPr>
        <w:rFonts w:hint="eastAsia"/>
      </w:rPr>
    </w:lvl>
    <w:lvl w:ilvl="1" w:tentative="0">
      <w:start w:val="1"/>
      <w:numFmt w:val="lowerLetter"/>
      <w:lvlText w:val="%2)"/>
      <w:lvlJc w:val="left"/>
      <w:pPr>
        <w:ind w:left="1348" w:hanging="440"/>
      </w:pPr>
    </w:lvl>
    <w:lvl w:ilvl="2" w:tentative="0">
      <w:start w:val="1"/>
      <w:numFmt w:val="lowerRoman"/>
      <w:lvlText w:val="%3."/>
      <w:lvlJc w:val="right"/>
      <w:pPr>
        <w:ind w:left="1788" w:hanging="440"/>
      </w:pPr>
    </w:lvl>
    <w:lvl w:ilvl="3" w:tentative="0">
      <w:start w:val="1"/>
      <w:numFmt w:val="decimal"/>
      <w:lvlText w:val="%4."/>
      <w:lvlJc w:val="left"/>
      <w:pPr>
        <w:ind w:left="2228" w:hanging="440"/>
      </w:pPr>
    </w:lvl>
    <w:lvl w:ilvl="4" w:tentative="0">
      <w:start w:val="1"/>
      <w:numFmt w:val="lowerLetter"/>
      <w:lvlText w:val="%5)"/>
      <w:lvlJc w:val="left"/>
      <w:pPr>
        <w:ind w:left="2668" w:hanging="440"/>
      </w:pPr>
    </w:lvl>
    <w:lvl w:ilvl="5" w:tentative="0">
      <w:start w:val="1"/>
      <w:numFmt w:val="lowerRoman"/>
      <w:lvlText w:val="%6."/>
      <w:lvlJc w:val="right"/>
      <w:pPr>
        <w:ind w:left="3108" w:hanging="440"/>
      </w:pPr>
    </w:lvl>
    <w:lvl w:ilvl="6" w:tentative="0">
      <w:start w:val="1"/>
      <w:numFmt w:val="decimal"/>
      <w:lvlText w:val="%7."/>
      <w:lvlJc w:val="left"/>
      <w:pPr>
        <w:ind w:left="3548" w:hanging="440"/>
      </w:pPr>
    </w:lvl>
    <w:lvl w:ilvl="7" w:tentative="0">
      <w:start w:val="1"/>
      <w:numFmt w:val="lowerLetter"/>
      <w:lvlText w:val="%8)"/>
      <w:lvlJc w:val="left"/>
      <w:pPr>
        <w:ind w:left="3988" w:hanging="440"/>
      </w:pPr>
    </w:lvl>
    <w:lvl w:ilvl="8" w:tentative="0">
      <w:start w:val="1"/>
      <w:numFmt w:val="lowerRoman"/>
      <w:lvlText w:val="%9."/>
      <w:lvlJc w:val="right"/>
      <w:pPr>
        <w:ind w:left="4428" w:hanging="440"/>
      </w:pPr>
    </w:lvl>
  </w:abstractNum>
  <w:num w:numId="1">
    <w:abstractNumId w:val="104"/>
  </w:num>
  <w:num w:numId="2">
    <w:abstractNumId w:val="58"/>
  </w:num>
  <w:num w:numId="3">
    <w:abstractNumId w:val="88"/>
  </w:num>
  <w:num w:numId="4">
    <w:abstractNumId w:val="102"/>
  </w:num>
  <w:num w:numId="5">
    <w:abstractNumId w:val="55"/>
  </w:num>
  <w:num w:numId="6">
    <w:abstractNumId w:val="96"/>
  </w:num>
  <w:num w:numId="7">
    <w:abstractNumId w:val="48"/>
  </w:num>
  <w:num w:numId="8">
    <w:abstractNumId w:val="68"/>
  </w:num>
  <w:num w:numId="9">
    <w:abstractNumId w:val="93"/>
  </w:num>
  <w:num w:numId="10">
    <w:abstractNumId w:val="98"/>
  </w:num>
  <w:num w:numId="11">
    <w:abstractNumId w:val="94"/>
  </w:num>
  <w:num w:numId="12">
    <w:abstractNumId w:val="29"/>
  </w:num>
  <w:num w:numId="13">
    <w:abstractNumId w:val="7"/>
  </w:num>
  <w:num w:numId="14">
    <w:abstractNumId w:val="105"/>
  </w:num>
  <w:num w:numId="15">
    <w:abstractNumId w:val="76"/>
  </w:num>
  <w:num w:numId="16">
    <w:abstractNumId w:val="42"/>
  </w:num>
  <w:num w:numId="17">
    <w:abstractNumId w:val="59"/>
  </w:num>
  <w:num w:numId="18">
    <w:abstractNumId w:val="77"/>
  </w:num>
  <w:num w:numId="19">
    <w:abstractNumId w:val="11"/>
  </w:num>
  <w:num w:numId="20">
    <w:abstractNumId w:val="0"/>
  </w:num>
  <w:num w:numId="21">
    <w:abstractNumId w:val="28"/>
  </w:num>
  <w:num w:numId="22">
    <w:abstractNumId w:val="43"/>
  </w:num>
  <w:num w:numId="23">
    <w:abstractNumId w:val="45"/>
  </w:num>
  <w:num w:numId="24">
    <w:abstractNumId w:val="41"/>
  </w:num>
  <w:num w:numId="25">
    <w:abstractNumId w:val="32"/>
  </w:num>
  <w:num w:numId="26">
    <w:abstractNumId w:val="57"/>
  </w:num>
  <w:num w:numId="27">
    <w:abstractNumId w:val="15"/>
  </w:num>
  <w:num w:numId="28">
    <w:abstractNumId w:val="99"/>
  </w:num>
  <w:num w:numId="29">
    <w:abstractNumId w:val="66"/>
  </w:num>
  <w:num w:numId="30">
    <w:abstractNumId w:val="27"/>
  </w:num>
  <w:num w:numId="31">
    <w:abstractNumId w:val="62"/>
  </w:num>
  <w:num w:numId="32">
    <w:abstractNumId w:val="5"/>
  </w:num>
  <w:num w:numId="33">
    <w:abstractNumId w:val="52"/>
  </w:num>
  <w:num w:numId="34">
    <w:abstractNumId w:val="64"/>
  </w:num>
  <w:num w:numId="35">
    <w:abstractNumId w:val="67"/>
  </w:num>
  <w:num w:numId="36">
    <w:abstractNumId w:val="108"/>
  </w:num>
  <w:num w:numId="37">
    <w:abstractNumId w:val="101"/>
  </w:num>
  <w:num w:numId="38">
    <w:abstractNumId w:val="75"/>
  </w:num>
  <w:num w:numId="39">
    <w:abstractNumId w:val="13"/>
  </w:num>
  <w:num w:numId="40">
    <w:abstractNumId w:val="50"/>
  </w:num>
  <w:num w:numId="41">
    <w:abstractNumId w:val="17"/>
  </w:num>
  <w:num w:numId="42">
    <w:abstractNumId w:val="40"/>
  </w:num>
  <w:num w:numId="43">
    <w:abstractNumId w:val="85"/>
  </w:num>
  <w:num w:numId="44">
    <w:abstractNumId w:val="49"/>
  </w:num>
  <w:num w:numId="45">
    <w:abstractNumId w:val="70"/>
  </w:num>
  <w:num w:numId="46">
    <w:abstractNumId w:val="84"/>
  </w:num>
  <w:num w:numId="47">
    <w:abstractNumId w:val="110"/>
  </w:num>
  <w:num w:numId="48">
    <w:abstractNumId w:val="4"/>
  </w:num>
  <w:num w:numId="49">
    <w:abstractNumId w:val="38"/>
  </w:num>
  <w:num w:numId="50">
    <w:abstractNumId w:val="2"/>
  </w:num>
  <w:num w:numId="51">
    <w:abstractNumId w:val="31"/>
  </w:num>
  <w:num w:numId="52">
    <w:abstractNumId w:val="51"/>
  </w:num>
  <w:num w:numId="53">
    <w:abstractNumId w:val="80"/>
  </w:num>
  <w:num w:numId="54">
    <w:abstractNumId w:val="81"/>
  </w:num>
  <w:num w:numId="55">
    <w:abstractNumId w:val="30"/>
  </w:num>
  <w:num w:numId="56">
    <w:abstractNumId w:val="53"/>
  </w:num>
  <w:num w:numId="57">
    <w:abstractNumId w:val="100"/>
  </w:num>
  <w:num w:numId="58">
    <w:abstractNumId w:val="14"/>
  </w:num>
  <w:num w:numId="59">
    <w:abstractNumId w:val="47"/>
  </w:num>
  <w:num w:numId="60">
    <w:abstractNumId w:val="8"/>
  </w:num>
  <w:num w:numId="61">
    <w:abstractNumId w:val="72"/>
  </w:num>
  <w:num w:numId="62">
    <w:abstractNumId w:val="36"/>
  </w:num>
  <w:num w:numId="63">
    <w:abstractNumId w:val="83"/>
  </w:num>
  <w:num w:numId="64">
    <w:abstractNumId w:val="90"/>
  </w:num>
  <w:num w:numId="65">
    <w:abstractNumId w:val="19"/>
  </w:num>
  <w:num w:numId="66">
    <w:abstractNumId w:val="73"/>
  </w:num>
  <w:num w:numId="67">
    <w:abstractNumId w:val="23"/>
  </w:num>
  <w:num w:numId="68">
    <w:abstractNumId w:val="78"/>
  </w:num>
  <w:num w:numId="69">
    <w:abstractNumId w:val="6"/>
  </w:num>
  <w:num w:numId="70">
    <w:abstractNumId w:val="63"/>
  </w:num>
  <w:num w:numId="71">
    <w:abstractNumId w:val="25"/>
  </w:num>
  <w:num w:numId="72">
    <w:abstractNumId w:val="35"/>
  </w:num>
  <w:num w:numId="73">
    <w:abstractNumId w:val="21"/>
  </w:num>
  <w:num w:numId="74">
    <w:abstractNumId w:val="89"/>
  </w:num>
  <w:num w:numId="75">
    <w:abstractNumId w:val="39"/>
  </w:num>
  <w:num w:numId="76">
    <w:abstractNumId w:val="103"/>
  </w:num>
  <w:num w:numId="77">
    <w:abstractNumId w:val="65"/>
  </w:num>
  <w:num w:numId="78">
    <w:abstractNumId w:val="74"/>
  </w:num>
  <w:num w:numId="79">
    <w:abstractNumId w:val="92"/>
  </w:num>
  <w:num w:numId="80">
    <w:abstractNumId w:val="12"/>
  </w:num>
  <w:num w:numId="81">
    <w:abstractNumId w:val="18"/>
  </w:num>
  <w:num w:numId="82">
    <w:abstractNumId w:val="91"/>
  </w:num>
  <w:num w:numId="83">
    <w:abstractNumId w:val="109"/>
  </w:num>
  <w:num w:numId="84">
    <w:abstractNumId w:val="95"/>
  </w:num>
  <w:num w:numId="85">
    <w:abstractNumId w:val="69"/>
  </w:num>
  <w:num w:numId="86">
    <w:abstractNumId w:val="56"/>
  </w:num>
  <w:num w:numId="87">
    <w:abstractNumId w:val="60"/>
  </w:num>
  <w:num w:numId="88">
    <w:abstractNumId w:val="34"/>
  </w:num>
  <w:num w:numId="89">
    <w:abstractNumId w:val="97"/>
  </w:num>
  <w:num w:numId="90">
    <w:abstractNumId w:val="16"/>
  </w:num>
  <w:num w:numId="91">
    <w:abstractNumId w:val="107"/>
  </w:num>
  <w:num w:numId="92">
    <w:abstractNumId w:val="44"/>
  </w:num>
  <w:num w:numId="93">
    <w:abstractNumId w:val="10"/>
  </w:num>
  <w:num w:numId="94">
    <w:abstractNumId w:val="26"/>
  </w:num>
  <w:num w:numId="95">
    <w:abstractNumId w:val="33"/>
  </w:num>
  <w:num w:numId="96">
    <w:abstractNumId w:val="9"/>
  </w:num>
  <w:num w:numId="97">
    <w:abstractNumId w:val="24"/>
  </w:num>
  <w:num w:numId="98">
    <w:abstractNumId w:val="3"/>
  </w:num>
  <w:num w:numId="99">
    <w:abstractNumId w:val="1"/>
  </w:num>
  <w:num w:numId="100">
    <w:abstractNumId w:val="87"/>
  </w:num>
  <w:num w:numId="101">
    <w:abstractNumId w:val="86"/>
  </w:num>
  <w:num w:numId="102">
    <w:abstractNumId w:val="37"/>
  </w:num>
  <w:num w:numId="103">
    <w:abstractNumId w:val="106"/>
  </w:num>
  <w:num w:numId="104">
    <w:abstractNumId w:val="22"/>
  </w:num>
  <w:num w:numId="105">
    <w:abstractNumId w:val="82"/>
  </w:num>
  <w:num w:numId="106">
    <w:abstractNumId w:val="79"/>
  </w:num>
  <w:num w:numId="107">
    <w:abstractNumId w:val="54"/>
  </w:num>
  <w:num w:numId="108">
    <w:abstractNumId w:val="46"/>
  </w:num>
  <w:num w:numId="109">
    <w:abstractNumId w:val="61"/>
  </w:num>
  <w:num w:numId="110">
    <w:abstractNumId w:val="71"/>
  </w:num>
  <w:num w:numId="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mODIyMDcyM2Y0Y2MwYzc5M2I4ZGNhZGEzMmNkZDUifQ=="/>
    <w:docVar w:name="KSO_WPS_MARK_KEY" w:val="80036a5b-7dd8-43a6-9a6d-5d8db499de1c"/>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0289"/>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6060"/>
    <w:rsid w:val="00067A39"/>
    <w:rsid w:val="00067D44"/>
    <w:rsid w:val="0007053B"/>
    <w:rsid w:val="00070AA6"/>
    <w:rsid w:val="000724F3"/>
    <w:rsid w:val="000727A2"/>
    <w:rsid w:val="000728EF"/>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3B62"/>
    <w:rsid w:val="000B5741"/>
    <w:rsid w:val="000B5ACF"/>
    <w:rsid w:val="000B6858"/>
    <w:rsid w:val="000C048C"/>
    <w:rsid w:val="000C078B"/>
    <w:rsid w:val="000C21A4"/>
    <w:rsid w:val="000C49F9"/>
    <w:rsid w:val="000C4C29"/>
    <w:rsid w:val="000C538D"/>
    <w:rsid w:val="000C59A5"/>
    <w:rsid w:val="000D0AF3"/>
    <w:rsid w:val="000D0DE1"/>
    <w:rsid w:val="000D0F04"/>
    <w:rsid w:val="000D1277"/>
    <w:rsid w:val="000D12BE"/>
    <w:rsid w:val="000D14E4"/>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217"/>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1731D"/>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B50"/>
    <w:rsid w:val="00137E7B"/>
    <w:rsid w:val="00137F00"/>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7A1"/>
    <w:rsid w:val="00184DE0"/>
    <w:rsid w:val="00184F72"/>
    <w:rsid w:val="00187846"/>
    <w:rsid w:val="00191693"/>
    <w:rsid w:val="00191834"/>
    <w:rsid w:val="0019185E"/>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1562"/>
    <w:rsid w:val="001F2059"/>
    <w:rsid w:val="001F23C9"/>
    <w:rsid w:val="001F49A1"/>
    <w:rsid w:val="001F4ACC"/>
    <w:rsid w:val="001F7532"/>
    <w:rsid w:val="001F7B5A"/>
    <w:rsid w:val="001F7B89"/>
    <w:rsid w:val="00201795"/>
    <w:rsid w:val="0020498C"/>
    <w:rsid w:val="002051A7"/>
    <w:rsid w:val="00207790"/>
    <w:rsid w:val="00210CFC"/>
    <w:rsid w:val="00210FBE"/>
    <w:rsid w:val="00212328"/>
    <w:rsid w:val="002125C8"/>
    <w:rsid w:val="00213205"/>
    <w:rsid w:val="002137AF"/>
    <w:rsid w:val="002170FC"/>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394F"/>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07CC"/>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06A5"/>
    <w:rsid w:val="00281D1A"/>
    <w:rsid w:val="002827CD"/>
    <w:rsid w:val="00282837"/>
    <w:rsid w:val="00282CF7"/>
    <w:rsid w:val="002848E9"/>
    <w:rsid w:val="00291777"/>
    <w:rsid w:val="00291899"/>
    <w:rsid w:val="0029384E"/>
    <w:rsid w:val="00294428"/>
    <w:rsid w:val="002961E2"/>
    <w:rsid w:val="00296372"/>
    <w:rsid w:val="00297703"/>
    <w:rsid w:val="00297866"/>
    <w:rsid w:val="002A3B25"/>
    <w:rsid w:val="002A62BF"/>
    <w:rsid w:val="002A6815"/>
    <w:rsid w:val="002A703D"/>
    <w:rsid w:val="002A7FF7"/>
    <w:rsid w:val="002B2DE8"/>
    <w:rsid w:val="002B35C4"/>
    <w:rsid w:val="002B36C2"/>
    <w:rsid w:val="002B59BE"/>
    <w:rsid w:val="002B65AB"/>
    <w:rsid w:val="002B696D"/>
    <w:rsid w:val="002B69BA"/>
    <w:rsid w:val="002C05A3"/>
    <w:rsid w:val="002C4511"/>
    <w:rsid w:val="002C58E6"/>
    <w:rsid w:val="002C5CFF"/>
    <w:rsid w:val="002D2B5F"/>
    <w:rsid w:val="002D327B"/>
    <w:rsid w:val="002D390E"/>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36E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164"/>
    <w:rsid w:val="00374506"/>
    <w:rsid w:val="0037495D"/>
    <w:rsid w:val="003752C8"/>
    <w:rsid w:val="0037531B"/>
    <w:rsid w:val="00375819"/>
    <w:rsid w:val="00375C89"/>
    <w:rsid w:val="0037664E"/>
    <w:rsid w:val="00376DAF"/>
    <w:rsid w:val="00377466"/>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4C5E"/>
    <w:rsid w:val="003C61F3"/>
    <w:rsid w:val="003C6AB2"/>
    <w:rsid w:val="003C6E49"/>
    <w:rsid w:val="003C7C29"/>
    <w:rsid w:val="003D1F39"/>
    <w:rsid w:val="003D2606"/>
    <w:rsid w:val="003D2CE1"/>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77D"/>
    <w:rsid w:val="00415AB5"/>
    <w:rsid w:val="00416478"/>
    <w:rsid w:val="00420875"/>
    <w:rsid w:val="0042388D"/>
    <w:rsid w:val="00425038"/>
    <w:rsid w:val="0042688F"/>
    <w:rsid w:val="00427ABD"/>
    <w:rsid w:val="004317AB"/>
    <w:rsid w:val="00431DBF"/>
    <w:rsid w:val="00432061"/>
    <w:rsid w:val="00433512"/>
    <w:rsid w:val="0043432D"/>
    <w:rsid w:val="00441423"/>
    <w:rsid w:val="00441D7B"/>
    <w:rsid w:val="00444250"/>
    <w:rsid w:val="00444298"/>
    <w:rsid w:val="004456C5"/>
    <w:rsid w:val="00454666"/>
    <w:rsid w:val="004547F6"/>
    <w:rsid w:val="00455AE4"/>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0DED"/>
    <w:rsid w:val="004A570C"/>
    <w:rsid w:val="004A5CFF"/>
    <w:rsid w:val="004A61D7"/>
    <w:rsid w:val="004A6B5A"/>
    <w:rsid w:val="004B1026"/>
    <w:rsid w:val="004B13F6"/>
    <w:rsid w:val="004B2F0F"/>
    <w:rsid w:val="004B5992"/>
    <w:rsid w:val="004C07CC"/>
    <w:rsid w:val="004C093C"/>
    <w:rsid w:val="004C0B7A"/>
    <w:rsid w:val="004C0CA0"/>
    <w:rsid w:val="004C22D4"/>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6BAA"/>
    <w:rsid w:val="004F7234"/>
    <w:rsid w:val="004F7D8F"/>
    <w:rsid w:val="0050182A"/>
    <w:rsid w:val="00501CED"/>
    <w:rsid w:val="0050264E"/>
    <w:rsid w:val="00502DB5"/>
    <w:rsid w:val="0050431E"/>
    <w:rsid w:val="00504916"/>
    <w:rsid w:val="005053C1"/>
    <w:rsid w:val="005061B3"/>
    <w:rsid w:val="00506ECC"/>
    <w:rsid w:val="00510D3F"/>
    <w:rsid w:val="00511E18"/>
    <w:rsid w:val="00512B77"/>
    <w:rsid w:val="00515ADE"/>
    <w:rsid w:val="00515E63"/>
    <w:rsid w:val="005176F4"/>
    <w:rsid w:val="005203BA"/>
    <w:rsid w:val="00521EC1"/>
    <w:rsid w:val="005220F8"/>
    <w:rsid w:val="00522932"/>
    <w:rsid w:val="00524232"/>
    <w:rsid w:val="00524ED7"/>
    <w:rsid w:val="0052539A"/>
    <w:rsid w:val="005309DD"/>
    <w:rsid w:val="005330CB"/>
    <w:rsid w:val="0053320F"/>
    <w:rsid w:val="005340C0"/>
    <w:rsid w:val="00534E48"/>
    <w:rsid w:val="0053507D"/>
    <w:rsid w:val="00535F18"/>
    <w:rsid w:val="00537136"/>
    <w:rsid w:val="005406CD"/>
    <w:rsid w:val="00540970"/>
    <w:rsid w:val="00544037"/>
    <w:rsid w:val="00544FDF"/>
    <w:rsid w:val="0054537C"/>
    <w:rsid w:val="00547AD0"/>
    <w:rsid w:val="005509F0"/>
    <w:rsid w:val="00551012"/>
    <w:rsid w:val="00551EEC"/>
    <w:rsid w:val="00553778"/>
    <w:rsid w:val="00553AC5"/>
    <w:rsid w:val="00554646"/>
    <w:rsid w:val="00554791"/>
    <w:rsid w:val="00555365"/>
    <w:rsid w:val="005555A0"/>
    <w:rsid w:val="005559F1"/>
    <w:rsid w:val="005601F6"/>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2A3"/>
    <w:rsid w:val="005A43AB"/>
    <w:rsid w:val="005A4B53"/>
    <w:rsid w:val="005A5A7B"/>
    <w:rsid w:val="005A5B0F"/>
    <w:rsid w:val="005A69F8"/>
    <w:rsid w:val="005A6B45"/>
    <w:rsid w:val="005A7B9D"/>
    <w:rsid w:val="005B0579"/>
    <w:rsid w:val="005B0DE7"/>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3F5"/>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5F59"/>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4739C"/>
    <w:rsid w:val="006518D0"/>
    <w:rsid w:val="00652393"/>
    <w:rsid w:val="00656003"/>
    <w:rsid w:val="00657150"/>
    <w:rsid w:val="006571DD"/>
    <w:rsid w:val="0065774D"/>
    <w:rsid w:val="0065792C"/>
    <w:rsid w:val="00662E32"/>
    <w:rsid w:val="0066550B"/>
    <w:rsid w:val="0066668A"/>
    <w:rsid w:val="00667CAB"/>
    <w:rsid w:val="0067009A"/>
    <w:rsid w:val="00675065"/>
    <w:rsid w:val="00675563"/>
    <w:rsid w:val="00675DAD"/>
    <w:rsid w:val="00680453"/>
    <w:rsid w:val="00682389"/>
    <w:rsid w:val="00685346"/>
    <w:rsid w:val="00685390"/>
    <w:rsid w:val="00685B24"/>
    <w:rsid w:val="006870E8"/>
    <w:rsid w:val="00690BC5"/>
    <w:rsid w:val="00690C8E"/>
    <w:rsid w:val="00691341"/>
    <w:rsid w:val="006933DD"/>
    <w:rsid w:val="0069471D"/>
    <w:rsid w:val="00695670"/>
    <w:rsid w:val="00695E20"/>
    <w:rsid w:val="006A28C1"/>
    <w:rsid w:val="006A2D90"/>
    <w:rsid w:val="006A3BA0"/>
    <w:rsid w:val="006A4EC6"/>
    <w:rsid w:val="006A6B87"/>
    <w:rsid w:val="006A6DF3"/>
    <w:rsid w:val="006A7769"/>
    <w:rsid w:val="006B1C0F"/>
    <w:rsid w:val="006B20D5"/>
    <w:rsid w:val="006B34F6"/>
    <w:rsid w:val="006B4952"/>
    <w:rsid w:val="006B5EA1"/>
    <w:rsid w:val="006B62C2"/>
    <w:rsid w:val="006B6316"/>
    <w:rsid w:val="006B6C2F"/>
    <w:rsid w:val="006B7A21"/>
    <w:rsid w:val="006B7AFE"/>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D5810"/>
    <w:rsid w:val="006E1A0E"/>
    <w:rsid w:val="006E46B8"/>
    <w:rsid w:val="006E6E8B"/>
    <w:rsid w:val="006E7C76"/>
    <w:rsid w:val="006F04CD"/>
    <w:rsid w:val="006F07C9"/>
    <w:rsid w:val="006F0A6B"/>
    <w:rsid w:val="006F0F75"/>
    <w:rsid w:val="006F1FE1"/>
    <w:rsid w:val="006F3496"/>
    <w:rsid w:val="006F4633"/>
    <w:rsid w:val="006F5AC8"/>
    <w:rsid w:val="006F5C72"/>
    <w:rsid w:val="006F5F50"/>
    <w:rsid w:val="006F721C"/>
    <w:rsid w:val="006F7A75"/>
    <w:rsid w:val="007000B5"/>
    <w:rsid w:val="00703F7A"/>
    <w:rsid w:val="00704218"/>
    <w:rsid w:val="00706102"/>
    <w:rsid w:val="007064FE"/>
    <w:rsid w:val="00711356"/>
    <w:rsid w:val="007122D3"/>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473C0"/>
    <w:rsid w:val="007552A7"/>
    <w:rsid w:val="00757FC1"/>
    <w:rsid w:val="00760265"/>
    <w:rsid w:val="00760B95"/>
    <w:rsid w:val="00763522"/>
    <w:rsid w:val="00763B46"/>
    <w:rsid w:val="00767121"/>
    <w:rsid w:val="00770A23"/>
    <w:rsid w:val="00770D89"/>
    <w:rsid w:val="00771FBD"/>
    <w:rsid w:val="00772751"/>
    <w:rsid w:val="00772BFA"/>
    <w:rsid w:val="007732E5"/>
    <w:rsid w:val="00773A1F"/>
    <w:rsid w:val="007750D4"/>
    <w:rsid w:val="00775725"/>
    <w:rsid w:val="00775864"/>
    <w:rsid w:val="00777A45"/>
    <w:rsid w:val="00780950"/>
    <w:rsid w:val="00781A2A"/>
    <w:rsid w:val="0079003B"/>
    <w:rsid w:val="00790857"/>
    <w:rsid w:val="0079457B"/>
    <w:rsid w:val="00797959"/>
    <w:rsid w:val="007A00B3"/>
    <w:rsid w:val="007A0298"/>
    <w:rsid w:val="007A0EED"/>
    <w:rsid w:val="007A1F61"/>
    <w:rsid w:val="007A2D00"/>
    <w:rsid w:val="007A3433"/>
    <w:rsid w:val="007A5B38"/>
    <w:rsid w:val="007A7AC5"/>
    <w:rsid w:val="007B1707"/>
    <w:rsid w:val="007B1F48"/>
    <w:rsid w:val="007B4190"/>
    <w:rsid w:val="007B5A22"/>
    <w:rsid w:val="007B7608"/>
    <w:rsid w:val="007B7795"/>
    <w:rsid w:val="007C0677"/>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3C63"/>
    <w:rsid w:val="007F5493"/>
    <w:rsid w:val="007F5B53"/>
    <w:rsid w:val="007F60D5"/>
    <w:rsid w:val="007F6DC7"/>
    <w:rsid w:val="0080075E"/>
    <w:rsid w:val="00802948"/>
    <w:rsid w:val="00802AAC"/>
    <w:rsid w:val="00806FED"/>
    <w:rsid w:val="00811115"/>
    <w:rsid w:val="008122DE"/>
    <w:rsid w:val="008134C7"/>
    <w:rsid w:val="008139EB"/>
    <w:rsid w:val="00813D5F"/>
    <w:rsid w:val="00814FA5"/>
    <w:rsid w:val="008150A6"/>
    <w:rsid w:val="008151E2"/>
    <w:rsid w:val="00816091"/>
    <w:rsid w:val="00816182"/>
    <w:rsid w:val="00817B55"/>
    <w:rsid w:val="00821BA2"/>
    <w:rsid w:val="00822824"/>
    <w:rsid w:val="008228B9"/>
    <w:rsid w:val="00822A87"/>
    <w:rsid w:val="00823606"/>
    <w:rsid w:val="00824639"/>
    <w:rsid w:val="00826C95"/>
    <w:rsid w:val="00830FB7"/>
    <w:rsid w:val="00832985"/>
    <w:rsid w:val="008332CE"/>
    <w:rsid w:val="00833538"/>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3B59"/>
    <w:rsid w:val="00864D01"/>
    <w:rsid w:val="00865BFC"/>
    <w:rsid w:val="0086750D"/>
    <w:rsid w:val="00870585"/>
    <w:rsid w:val="0087394A"/>
    <w:rsid w:val="00873EAC"/>
    <w:rsid w:val="00874C93"/>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236D"/>
    <w:rsid w:val="008C23DF"/>
    <w:rsid w:val="008C64FB"/>
    <w:rsid w:val="008C6F63"/>
    <w:rsid w:val="008C771B"/>
    <w:rsid w:val="008C77A4"/>
    <w:rsid w:val="008D0DB7"/>
    <w:rsid w:val="008D2D4C"/>
    <w:rsid w:val="008D2DAF"/>
    <w:rsid w:val="008D3C1B"/>
    <w:rsid w:val="008D4EEC"/>
    <w:rsid w:val="008D5BFC"/>
    <w:rsid w:val="008E0064"/>
    <w:rsid w:val="008E1C91"/>
    <w:rsid w:val="008E2EFF"/>
    <w:rsid w:val="008E3145"/>
    <w:rsid w:val="008E3B9E"/>
    <w:rsid w:val="008E4E0F"/>
    <w:rsid w:val="008E5935"/>
    <w:rsid w:val="008E5F6C"/>
    <w:rsid w:val="008E738E"/>
    <w:rsid w:val="008F0A84"/>
    <w:rsid w:val="008F0CC3"/>
    <w:rsid w:val="008F44C7"/>
    <w:rsid w:val="008F5035"/>
    <w:rsid w:val="008F5056"/>
    <w:rsid w:val="00900C2F"/>
    <w:rsid w:val="0090408F"/>
    <w:rsid w:val="00906F8A"/>
    <w:rsid w:val="009104E4"/>
    <w:rsid w:val="00910A37"/>
    <w:rsid w:val="00911443"/>
    <w:rsid w:val="0091386E"/>
    <w:rsid w:val="00915570"/>
    <w:rsid w:val="0091611D"/>
    <w:rsid w:val="00916267"/>
    <w:rsid w:val="009162E4"/>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0656"/>
    <w:rsid w:val="00942FD9"/>
    <w:rsid w:val="009459A5"/>
    <w:rsid w:val="0094638E"/>
    <w:rsid w:val="00946A82"/>
    <w:rsid w:val="00951071"/>
    <w:rsid w:val="0095333C"/>
    <w:rsid w:val="009544D9"/>
    <w:rsid w:val="00954F9F"/>
    <w:rsid w:val="00955186"/>
    <w:rsid w:val="00955282"/>
    <w:rsid w:val="00956990"/>
    <w:rsid w:val="00956EE8"/>
    <w:rsid w:val="009570F6"/>
    <w:rsid w:val="00964544"/>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21CB"/>
    <w:rsid w:val="00994B4C"/>
    <w:rsid w:val="00994E42"/>
    <w:rsid w:val="00995178"/>
    <w:rsid w:val="009960E6"/>
    <w:rsid w:val="00996A50"/>
    <w:rsid w:val="009A1C33"/>
    <w:rsid w:val="009A2439"/>
    <w:rsid w:val="009A2BFF"/>
    <w:rsid w:val="009A6D30"/>
    <w:rsid w:val="009B206F"/>
    <w:rsid w:val="009B5F6F"/>
    <w:rsid w:val="009B7A7F"/>
    <w:rsid w:val="009B7A90"/>
    <w:rsid w:val="009B7BA4"/>
    <w:rsid w:val="009B7BE5"/>
    <w:rsid w:val="009C1007"/>
    <w:rsid w:val="009C1F6E"/>
    <w:rsid w:val="009C2514"/>
    <w:rsid w:val="009C3C03"/>
    <w:rsid w:val="009C3C6C"/>
    <w:rsid w:val="009C3EBA"/>
    <w:rsid w:val="009C4C61"/>
    <w:rsid w:val="009C5377"/>
    <w:rsid w:val="009C545F"/>
    <w:rsid w:val="009C58A2"/>
    <w:rsid w:val="009C6BDC"/>
    <w:rsid w:val="009C7BA0"/>
    <w:rsid w:val="009D0714"/>
    <w:rsid w:val="009D0B1C"/>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809"/>
    <w:rsid w:val="00A07D9C"/>
    <w:rsid w:val="00A109CC"/>
    <w:rsid w:val="00A13EDB"/>
    <w:rsid w:val="00A14C4D"/>
    <w:rsid w:val="00A15845"/>
    <w:rsid w:val="00A17213"/>
    <w:rsid w:val="00A17B52"/>
    <w:rsid w:val="00A2141C"/>
    <w:rsid w:val="00A21B16"/>
    <w:rsid w:val="00A22D76"/>
    <w:rsid w:val="00A2438C"/>
    <w:rsid w:val="00A24D47"/>
    <w:rsid w:val="00A30370"/>
    <w:rsid w:val="00A32017"/>
    <w:rsid w:val="00A3527C"/>
    <w:rsid w:val="00A36E1D"/>
    <w:rsid w:val="00A37E7E"/>
    <w:rsid w:val="00A37F9A"/>
    <w:rsid w:val="00A4098F"/>
    <w:rsid w:val="00A4193A"/>
    <w:rsid w:val="00A4269E"/>
    <w:rsid w:val="00A42D4A"/>
    <w:rsid w:val="00A438C4"/>
    <w:rsid w:val="00A45C6F"/>
    <w:rsid w:val="00A46DCC"/>
    <w:rsid w:val="00A5014E"/>
    <w:rsid w:val="00A523AC"/>
    <w:rsid w:val="00A55DD6"/>
    <w:rsid w:val="00A562E3"/>
    <w:rsid w:val="00A569D3"/>
    <w:rsid w:val="00A6062B"/>
    <w:rsid w:val="00A61E35"/>
    <w:rsid w:val="00A62089"/>
    <w:rsid w:val="00A62B50"/>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28"/>
    <w:rsid w:val="00A76BBD"/>
    <w:rsid w:val="00A76D29"/>
    <w:rsid w:val="00A81335"/>
    <w:rsid w:val="00A816E2"/>
    <w:rsid w:val="00A81ADF"/>
    <w:rsid w:val="00A85C9E"/>
    <w:rsid w:val="00A86383"/>
    <w:rsid w:val="00A86960"/>
    <w:rsid w:val="00A86B01"/>
    <w:rsid w:val="00A87BF3"/>
    <w:rsid w:val="00A91A54"/>
    <w:rsid w:val="00A91B7E"/>
    <w:rsid w:val="00A93EDB"/>
    <w:rsid w:val="00A96F13"/>
    <w:rsid w:val="00AA1080"/>
    <w:rsid w:val="00AA16D3"/>
    <w:rsid w:val="00AA18CA"/>
    <w:rsid w:val="00AA1D98"/>
    <w:rsid w:val="00AA23BB"/>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2FB"/>
    <w:rsid w:val="00AD0634"/>
    <w:rsid w:val="00AD2D43"/>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2257"/>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4D79"/>
    <w:rsid w:val="00B262C9"/>
    <w:rsid w:val="00B26A2C"/>
    <w:rsid w:val="00B26BDA"/>
    <w:rsid w:val="00B30526"/>
    <w:rsid w:val="00B3125B"/>
    <w:rsid w:val="00B32F9A"/>
    <w:rsid w:val="00B32FCD"/>
    <w:rsid w:val="00B34577"/>
    <w:rsid w:val="00B34E07"/>
    <w:rsid w:val="00B43464"/>
    <w:rsid w:val="00B4498A"/>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52E"/>
    <w:rsid w:val="00B64780"/>
    <w:rsid w:val="00B6494B"/>
    <w:rsid w:val="00B64BD5"/>
    <w:rsid w:val="00B64D7D"/>
    <w:rsid w:val="00B658BB"/>
    <w:rsid w:val="00B65E8E"/>
    <w:rsid w:val="00B6622F"/>
    <w:rsid w:val="00B67926"/>
    <w:rsid w:val="00B679FA"/>
    <w:rsid w:val="00B72B4C"/>
    <w:rsid w:val="00B75DE1"/>
    <w:rsid w:val="00B7618B"/>
    <w:rsid w:val="00B76EAC"/>
    <w:rsid w:val="00B81ECA"/>
    <w:rsid w:val="00B838D7"/>
    <w:rsid w:val="00B83DCC"/>
    <w:rsid w:val="00B84B47"/>
    <w:rsid w:val="00B84FA9"/>
    <w:rsid w:val="00B86A3E"/>
    <w:rsid w:val="00B903B2"/>
    <w:rsid w:val="00B9113C"/>
    <w:rsid w:val="00B91DE8"/>
    <w:rsid w:val="00B92946"/>
    <w:rsid w:val="00B93ECE"/>
    <w:rsid w:val="00B96111"/>
    <w:rsid w:val="00B975ED"/>
    <w:rsid w:val="00B979E2"/>
    <w:rsid w:val="00B97D1F"/>
    <w:rsid w:val="00B97E9D"/>
    <w:rsid w:val="00BA25DB"/>
    <w:rsid w:val="00BA2633"/>
    <w:rsid w:val="00BA38E0"/>
    <w:rsid w:val="00BA4649"/>
    <w:rsid w:val="00BA51C2"/>
    <w:rsid w:val="00BA619F"/>
    <w:rsid w:val="00BA7D43"/>
    <w:rsid w:val="00BB02EB"/>
    <w:rsid w:val="00BB08FA"/>
    <w:rsid w:val="00BB0940"/>
    <w:rsid w:val="00BB0A6C"/>
    <w:rsid w:val="00BB17F3"/>
    <w:rsid w:val="00BB2858"/>
    <w:rsid w:val="00BB2DBC"/>
    <w:rsid w:val="00BB4AC7"/>
    <w:rsid w:val="00BB4CD0"/>
    <w:rsid w:val="00BB4F92"/>
    <w:rsid w:val="00BB61C1"/>
    <w:rsid w:val="00BB6B4A"/>
    <w:rsid w:val="00BB788F"/>
    <w:rsid w:val="00BB7E90"/>
    <w:rsid w:val="00BB7F6A"/>
    <w:rsid w:val="00BC03CC"/>
    <w:rsid w:val="00BC0EC2"/>
    <w:rsid w:val="00BC11D7"/>
    <w:rsid w:val="00BC1B9C"/>
    <w:rsid w:val="00BC2C14"/>
    <w:rsid w:val="00BC31EE"/>
    <w:rsid w:val="00BC3C19"/>
    <w:rsid w:val="00BC40FB"/>
    <w:rsid w:val="00BC4B27"/>
    <w:rsid w:val="00BC5C23"/>
    <w:rsid w:val="00BC66F6"/>
    <w:rsid w:val="00BD15BE"/>
    <w:rsid w:val="00BD2E19"/>
    <w:rsid w:val="00BD3BF3"/>
    <w:rsid w:val="00BD5316"/>
    <w:rsid w:val="00BD6613"/>
    <w:rsid w:val="00BE20E8"/>
    <w:rsid w:val="00BE41BE"/>
    <w:rsid w:val="00BE4EBB"/>
    <w:rsid w:val="00BE50D4"/>
    <w:rsid w:val="00BE6F8C"/>
    <w:rsid w:val="00BE735F"/>
    <w:rsid w:val="00BF0B0F"/>
    <w:rsid w:val="00BF150A"/>
    <w:rsid w:val="00BF30A5"/>
    <w:rsid w:val="00BF3210"/>
    <w:rsid w:val="00BF3B09"/>
    <w:rsid w:val="00BF4A06"/>
    <w:rsid w:val="00BF4EB4"/>
    <w:rsid w:val="00BF7FDA"/>
    <w:rsid w:val="00C00340"/>
    <w:rsid w:val="00C03270"/>
    <w:rsid w:val="00C03937"/>
    <w:rsid w:val="00C048FB"/>
    <w:rsid w:val="00C04CFA"/>
    <w:rsid w:val="00C074A8"/>
    <w:rsid w:val="00C076EF"/>
    <w:rsid w:val="00C15E59"/>
    <w:rsid w:val="00C15E84"/>
    <w:rsid w:val="00C169DF"/>
    <w:rsid w:val="00C16C84"/>
    <w:rsid w:val="00C178B8"/>
    <w:rsid w:val="00C21DB4"/>
    <w:rsid w:val="00C224CD"/>
    <w:rsid w:val="00C232D6"/>
    <w:rsid w:val="00C25539"/>
    <w:rsid w:val="00C25C2B"/>
    <w:rsid w:val="00C2744F"/>
    <w:rsid w:val="00C30514"/>
    <w:rsid w:val="00C33D5F"/>
    <w:rsid w:val="00C34648"/>
    <w:rsid w:val="00C34D95"/>
    <w:rsid w:val="00C357EB"/>
    <w:rsid w:val="00C37015"/>
    <w:rsid w:val="00C40072"/>
    <w:rsid w:val="00C408BD"/>
    <w:rsid w:val="00C4213E"/>
    <w:rsid w:val="00C438D5"/>
    <w:rsid w:val="00C45741"/>
    <w:rsid w:val="00C4699F"/>
    <w:rsid w:val="00C472A3"/>
    <w:rsid w:val="00C50227"/>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0C54"/>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0D5"/>
    <w:rsid w:val="00CD5C64"/>
    <w:rsid w:val="00CD5D99"/>
    <w:rsid w:val="00CD69A5"/>
    <w:rsid w:val="00CD7C0B"/>
    <w:rsid w:val="00CD7C6C"/>
    <w:rsid w:val="00CE3BDB"/>
    <w:rsid w:val="00CE4305"/>
    <w:rsid w:val="00CE44AB"/>
    <w:rsid w:val="00CE4BC6"/>
    <w:rsid w:val="00CE52BF"/>
    <w:rsid w:val="00CE651B"/>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3CDD"/>
    <w:rsid w:val="00D1422B"/>
    <w:rsid w:val="00D1756F"/>
    <w:rsid w:val="00D21893"/>
    <w:rsid w:val="00D21D40"/>
    <w:rsid w:val="00D21E87"/>
    <w:rsid w:val="00D23DB6"/>
    <w:rsid w:val="00D242FC"/>
    <w:rsid w:val="00D24CEB"/>
    <w:rsid w:val="00D24F90"/>
    <w:rsid w:val="00D26400"/>
    <w:rsid w:val="00D264F9"/>
    <w:rsid w:val="00D27DBA"/>
    <w:rsid w:val="00D31768"/>
    <w:rsid w:val="00D33471"/>
    <w:rsid w:val="00D35E6A"/>
    <w:rsid w:val="00D361F7"/>
    <w:rsid w:val="00D37A4D"/>
    <w:rsid w:val="00D37BDA"/>
    <w:rsid w:val="00D37C2B"/>
    <w:rsid w:val="00D41D8D"/>
    <w:rsid w:val="00D42198"/>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2748"/>
    <w:rsid w:val="00DD35BB"/>
    <w:rsid w:val="00DD40A1"/>
    <w:rsid w:val="00DD5EDD"/>
    <w:rsid w:val="00DD6B34"/>
    <w:rsid w:val="00DD7198"/>
    <w:rsid w:val="00DE0AED"/>
    <w:rsid w:val="00DE3B48"/>
    <w:rsid w:val="00DF0FF1"/>
    <w:rsid w:val="00DF1557"/>
    <w:rsid w:val="00DF49C5"/>
    <w:rsid w:val="00DF6B72"/>
    <w:rsid w:val="00DF7223"/>
    <w:rsid w:val="00DF749E"/>
    <w:rsid w:val="00DF7988"/>
    <w:rsid w:val="00E0112E"/>
    <w:rsid w:val="00E02056"/>
    <w:rsid w:val="00E037A2"/>
    <w:rsid w:val="00E037D5"/>
    <w:rsid w:val="00E07564"/>
    <w:rsid w:val="00E07EB9"/>
    <w:rsid w:val="00E10A87"/>
    <w:rsid w:val="00E10CE5"/>
    <w:rsid w:val="00E114BC"/>
    <w:rsid w:val="00E11D50"/>
    <w:rsid w:val="00E13609"/>
    <w:rsid w:val="00E14B3C"/>
    <w:rsid w:val="00E16067"/>
    <w:rsid w:val="00E212E3"/>
    <w:rsid w:val="00E22505"/>
    <w:rsid w:val="00E226B6"/>
    <w:rsid w:val="00E227F4"/>
    <w:rsid w:val="00E23903"/>
    <w:rsid w:val="00E2465F"/>
    <w:rsid w:val="00E2575E"/>
    <w:rsid w:val="00E25E0D"/>
    <w:rsid w:val="00E2668C"/>
    <w:rsid w:val="00E27DAA"/>
    <w:rsid w:val="00E27FDC"/>
    <w:rsid w:val="00E303C9"/>
    <w:rsid w:val="00E30D57"/>
    <w:rsid w:val="00E30E7D"/>
    <w:rsid w:val="00E31BA9"/>
    <w:rsid w:val="00E332F8"/>
    <w:rsid w:val="00E33659"/>
    <w:rsid w:val="00E4021E"/>
    <w:rsid w:val="00E40872"/>
    <w:rsid w:val="00E41594"/>
    <w:rsid w:val="00E4296F"/>
    <w:rsid w:val="00E45332"/>
    <w:rsid w:val="00E46A08"/>
    <w:rsid w:val="00E47BE1"/>
    <w:rsid w:val="00E47CE8"/>
    <w:rsid w:val="00E50986"/>
    <w:rsid w:val="00E518FB"/>
    <w:rsid w:val="00E53051"/>
    <w:rsid w:val="00E53FEE"/>
    <w:rsid w:val="00E56FE8"/>
    <w:rsid w:val="00E57945"/>
    <w:rsid w:val="00E57C5E"/>
    <w:rsid w:val="00E6057C"/>
    <w:rsid w:val="00E607A7"/>
    <w:rsid w:val="00E60C5E"/>
    <w:rsid w:val="00E63BD1"/>
    <w:rsid w:val="00E6467D"/>
    <w:rsid w:val="00E65D81"/>
    <w:rsid w:val="00E66BCF"/>
    <w:rsid w:val="00E67086"/>
    <w:rsid w:val="00E71342"/>
    <w:rsid w:val="00E728E4"/>
    <w:rsid w:val="00E73380"/>
    <w:rsid w:val="00E76F53"/>
    <w:rsid w:val="00E77471"/>
    <w:rsid w:val="00E777FC"/>
    <w:rsid w:val="00E83372"/>
    <w:rsid w:val="00E83DB2"/>
    <w:rsid w:val="00E840FB"/>
    <w:rsid w:val="00E8555A"/>
    <w:rsid w:val="00E85DAF"/>
    <w:rsid w:val="00E86A39"/>
    <w:rsid w:val="00E8703F"/>
    <w:rsid w:val="00E872CE"/>
    <w:rsid w:val="00E87825"/>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3540"/>
    <w:rsid w:val="00EF4228"/>
    <w:rsid w:val="00EF473E"/>
    <w:rsid w:val="00EF4DC8"/>
    <w:rsid w:val="00EF5A83"/>
    <w:rsid w:val="00EF6140"/>
    <w:rsid w:val="00EF659E"/>
    <w:rsid w:val="00EF6A13"/>
    <w:rsid w:val="00EF6F24"/>
    <w:rsid w:val="00F00971"/>
    <w:rsid w:val="00F01751"/>
    <w:rsid w:val="00F02CF2"/>
    <w:rsid w:val="00F036C9"/>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A24"/>
    <w:rsid w:val="00F44E00"/>
    <w:rsid w:val="00F44EC3"/>
    <w:rsid w:val="00F459DC"/>
    <w:rsid w:val="00F45C60"/>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8F7"/>
    <w:rsid w:val="00F76A72"/>
    <w:rsid w:val="00F77340"/>
    <w:rsid w:val="00F8042D"/>
    <w:rsid w:val="00F8355F"/>
    <w:rsid w:val="00F85256"/>
    <w:rsid w:val="00F87572"/>
    <w:rsid w:val="00F87CA2"/>
    <w:rsid w:val="00F87F7D"/>
    <w:rsid w:val="00F91976"/>
    <w:rsid w:val="00F92C8D"/>
    <w:rsid w:val="00F931AD"/>
    <w:rsid w:val="00F94E58"/>
    <w:rsid w:val="00F95FE5"/>
    <w:rsid w:val="00F9741A"/>
    <w:rsid w:val="00FA18B4"/>
    <w:rsid w:val="00FA1F53"/>
    <w:rsid w:val="00FA2095"/>
    <w:rsid w:val="00FA244D"/>
    <w:rsid w:val="00FA5A09"/>
    <w:rsid w:val="00FA7224"/>
    <w:rsid w:val="00FB01BB"/>
    <w:rsid w:val="00FB1215"/>
    <w:rsid w:val="00FB35D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7A3"/>
    <w:rsid w:val="00FF2E19"/>
    <w:rsid w:val="00FF756F"/>
    <w:rsid w:val="012B3375"/>
    <w:rsid w:val="01630249"/>
    <w:rsid w:val="01784B4C"/>
    <w:rsid w:val="017C00DE"/>
    <w:rsid w:val="019127B6"/>
    <w:rsid w:val="01B36BD0"/>
    <w:rsid w:val="01CC7C92"/>
    <w:rsid w:val="01D63646"/>
    <w:rsid w:val="02025CB9"/>
    <w:rsid w:val="021E22B0"/>
    <w:rsid w:val="0233386D"/>
    <w:rsid w:val="025657AD"/>
    <w:rsid w:val="02A058B1"/>
    <w:rsid w:val="02AD5394"/>
    <w:rsid w:val="02C1531D"/>
    <w:rsid w:val="02C2748F"/>
    <w:rsid w:val="02DD42B6"/>
    <w:rsid w:val="02E828A9"/>
    <w:rsid w:val="02E90D84"/>
    <w:rsid w:val="02ED7EC0"/>
    <w:rsid w:val="030516AD"/>
    <w:rsid w:val="031B2C7F"/>
    <w:rsid w:val="033C0731"/>
    <w:rsid w:val="03655EFB"/>
    <w:rsid w:val="037A4244"/>
    <w:rsid w:val="037B7CFB"/>
    <w:rsid w:val="039D0E92"/>
    <w:rsid w:val="03A013D6"/>
    <w:rsid w:val="03B43A47"/>
    <w:rsid w:val="03C45ECE"/>
    <w:rsid w:val="03CB5833"/>
    <w:rsid w:val="03D472D2"/>
    <w:rsid w:val="03F40DCB"/>
    <w:rsid w:val="03FEEBE1"/>
    <w:rsid w:val="04117EFE"/>
    <w:rsid w:val="043B5B50"/>
    <w:rsid w:val="043F474B"/>
    <w:rsid w:val="046B09B5"/>
    <w:rsid w:val="048735A5"/>
    <w:rsid w:val="049727D9"/>
    <w:rsid w:val="049B195A"/>
    <w:rsid w:val="04A377DA"/>
    <w:rsid w:val="04B62C99"/>
    <w:rsid w:val="04D56E5D"/>
    <w:rsid w:val="05160A69"/>
    <w:rsid w:val="05375CC5"/>
    <w:rsid w:val="05444DBA"/>
    <w:rsid w:val="05696E27"/>
    <w:rsid w:val="0580749C"/>
    <w:rsid w:val="058D14E6"/>
    <w:rsid w:val="058E56BB"/>
    <w:rsid w:val="05BE19CA"/>
    <w:rsid w:val="05ED18D2"/>
    <w:rsid w:val="05F11A75"/>
    <w:rsid w:val="060043AE"/>
    <w:rsid w:val="06081544"/>
    <w:rsid w:val="06A967F3"/>
    <w:rsid w:val="06DA4BFF"/>
    <w:rsid w:val="06EB2968"/>
    <w:rsid w:val="0703314B"/>
    <w:rsid w:val="07130FFD"/>
    <w:rsid w:val="07292EE8"/>
    <w:rsid w:val="0741698F"/>
    <w:rsid w:val="075B159E"/>
    <w:rsid w:val="07670352"/>
    <w:rsid w:val="077D6974"/>
    <w:rsid w:val="07866B35"/>
    <w:rsid w:val="07A97260"/>
    <w:rsid w:val="07AF24D7"/>
    <w:rsid w:val="08114B38"/>
    <w:rsid w:val="086B2EB8"/>
    <w:rsid w:val="08AE1E9F"/>
    <w:rsid w:val="08B51586"/>
    <w:rsid w:val="08B64E94"/>
    <w:rsid w:val="08C05347"/>
    <w:rsid w:val="08DD4532"/>
    <w:rsid w:val="08E61090"/>
    <w:rsid w:val="08F16230"/>
    <w:rsid w:val="08FF26FB"/>
    <w:rsid w:val="090D12BC"/>
    <w:rsid w:val="0922463B"/>
    <w:rsid w:val="09840E0B"/>
    <w:rsid w:val="09C50A30"/>
    <w:rsid w:val="0A0A1357"/>
    <w:rsid w:val="0A3665F0"/>
    <w:rsid w:val="0A4F4DA1"/>
    <w:rsid w:val="0A634F0B"/>
    <w:rsid w:val="0A652A31"/>
    <w:rsid w:val="0A825391"/>
    <w:rsid w:val="0A886720"/>
    <w:rsid w:val="0AFD28B8"/>
    <w:rsid w:val="0B0E4E77"/>
    <w:rsid w:val="0B265C7B"/>
    <w:rsid w:val="0B352404"/>
    <w:rsid w:val="0B370D50"/>
    <w:rsid w:val="0B3C451C"/>
    <w:rsid w:val="0B3FBD1E"/>
    <w:rsid w:val="0B4A2518"/>
    <w:rsid w:val="0B5847B0"/>
    <w:rsid w:val="0B7849E6"/>
    <w:rsid w:val="0B7A05C0"/>
    <w:rsid w:val="0B8F3825"/>
    <w:rsid w:val="0C452B1A"/>
    <w:rsid w:val="0C654F6B"/>
    <w:rsid w:val="0C982AD8"/>
    <w:rsid w:val="0CB61F51"/>
    <w:rsid w:val="0CD8398F"/>
    <w:rsid w:val="0CD96C5B"/>
    <w:rsid w:val="0CDB367E"/>
    <w:rsid w:val="0CEE6D0E"/>
    <w:rsid w:val="0D26294C"/>
    <w:rsid w:val="0D57671F"/>
    <w:rsid w:val="0D5D01CF"/>
    <w:rsid w:val="0D771816"/>
    <w:rsid w:val="0D9533C2"/>
    <w:rsid w:val="0D953916"/>
    <w:rsid w:val="0DBF36E9"/>
    <w:rsid w:val="0DD71201"/>
    <w:rsid w:val="0DF97AA6"/>
    <w:rsid w:val="0E032C8D"/>
    <w:rsid w:val="0E1E7AC7"/>
    <w:rsid w:val="0E320E7D"/>
    <w:rsid w:val="0E3977C0"/>
    <w:rsid w:val="0EB4110F"/>
    <w:rsid w:val="0EC37A58"/>
    <w:rsid w:val="0ECE4D0A"/>
    <w:rsid w:val="0F28737A"/>
    <w:rsid w:val="0F4C7E82"/>
    <w:rsid w:val="0F7702DC"/>
    <w:rsid w:val="0F8E6586"/>
    <w:rsid w:val="0FAD1102"/>
    <w:rsid w:val="0FDAB10A"/>
    <w:rsid w:val="0FE47A65"/>
    <w:rsid w:val="100F5919"/>
    <w:rsid w:val="101F1E72"/>
    <w:rsid w:val="102962AF"/>
    <w:rsid w:val="105F0EF9"/>
    <w:rsid w:val="10831E63"/>
    <w:rsid w:val="108550E0"/>
    <w:rsid w:val="109C2F25"/>
    <w:rsid w:val="10B4026F"/>
    <w:rsid w:val="10BD7259"/>
    <w:rsid w:val="111F7DDE"/>
    <w:rsid w:val="115B1B6F"/>
    <w:rsid w:val="117556CB"/>
    <w:rsid w:val="11A227BD"/>
    <w:rsid w:val="11C2208A"/>
    <w:rsid w:val="11E21B68"/>
    <w:rsid w:val="11EC5AD8"/>
    <w:rsid w:val="11F74311"/>
    <w:rsid w:val="12285E95"/>
    <w:rsid w:val="12291BED"/>
    <w:rsid w:val="122B16B6"/>
    <w:rsid w:val="12323A59"/>
    <w:rsid w:val="12331667"/>
    <w:rsid w:val="12402D34"/>
    <w:rsid w:val="12582E7C"/>
    <w:rsid w:val="126C1FE6"/>
    <w:rsid w:val="126D4B79"/>
    <w:rsid w:val="12A3059B"/>
    <w:rsid w:val="12AA7B7B"/>
    <w:rsid w:val="12EF6300"/>
    <w:rsid w:val="12F375CC"/>
    <w:rsid w:val="12F708E7"/>
    <w:rsid w:val="13010B40"/>
    <w:rsid w:val="13021F9A"/>
    <w:rsid w:val="131F7E9C"/>
    <w:rsid w:val="132208B4"/>
    <w:rsid w:val="132711CC"/>
    <w:rsid w:val="13283952"/>
    <w:rsid w:val="1337ADE3"/>
    <w:rsid w:val="133E088E"/>
    <w:rsid w:val="134A4EBA"/>
    <w:rsid w:val="134E49AB"/>
    <w:rsid w:val="13685340"/>
    <w:rsid w:val="137B5074"/>
    <w:rsid w:val="138C7281"/>
    <w:rsid w:val="13946135"/>
    <w:rsid w:val="139A1F14"/>
    <w:rsid w:val="13C22CA3"/>
    <w:rsid w:val="13CE2C10"/>
    <w:rsid w:val="13EB21F9"/>
    <w:rsid w:val="13ED2CFB"/>
    <w:rsid w:val="13F015BE"/>
    <w:rsid w:val="14215C1B"/>
    <w:rsid w:val="14472262"/>
    <w:rsid w:val="14757D15"/>
    <w:rsid w:val="14EC2739"/>
    <w:rsid w:val="14ED01F3"/>
    <w:rsid w:val="14F00745"/>
    <w:rsid w:val="14F42AF1"/>
    <w:rsid w:val="14F43330"/>
    <w:rsid w:val="152164BB"/>
    <w:rsid w:val="15232540"/>
    <w:rsid w:val="15311E8E"/>
    <w:rsid w:val="154B1D2C"/>
    <w:rsid w:val="15597637"/>
    <w:rsid w:val="15B36B63"/>
    <w:rsid w:val="15D647EB"/>
    <w:rsid w:val="15D850E2"/>
    <w:rsid w:val="15FF7430"/>
    <w:rsid w:val="160375F6"/>
    <w:rsid w:val="165654BC"/>
    <w:rsid w:val="1660497C"/>
    <w:rsid w:val="1661127C"/>
    <w:rsid w:val="1662251B"/>
    <w:rsid w:val="166C50CF"/>
    <w:rsid w:val="167C182F"/>
    <w:rsid w:val="167C538B"/>
    <w:rsid w:val="16C06226"/>
    <w:rsid w:val="16EF57C4"/>
    <w:rsid w:val="16F2233D"/>
    <w:rsid w:val="16FC64CC"/>
    <w:rsid w:val="17051824"/>
    <w:rsid w:val="17051C7E"/>
    <w:rsid w:val="17087642"/>
    <w:rsid w:val="173C25DA"/>
    <w:rsid w:val="175B1444"/>
    <w:rsid w:val="17680005"/>
    <w:rsid w:val="177E77F7"/>
    <w:rsid w:val="177FCA7E"/>
    <w:rsid w:val="17B71A01"/>
    <w:rsid w:val="17EF7DDE"/>
    <w:rsid w:val="17EFB309"/>
    <w:rsid w:val="18475E6C"/>
    <w:rsid w:val="186C142F"/>
    <w:rsid w:val="18AF3DEC"/>
    <w:rsid w:val="18BA4890"/>
    <w:rsid w:val="18EE702A"/>
    <w:rsid w:val="18F30610"/>
    <w:rsid w:val="18FD16E5"/>
    <w:rsid w:val="190A54ED"/>
    <w:rsid w:val="19204E18"/>
    <w:rsid w:val="195D72F9"/>
    <w:rsid w:val="19673E6C"/>
    <w:rsid w:val="197113F3"/>
    <w:rsid w:val="198070A3"/>
    <w:rsid w:val="198D78AF"/>
    <w:rsid w:val="19A83B7A"/>
    <w:rsid w:val="19B4308D"/>
    <w:rsid w:val="19C12750"/>
    <w:rsid w:val="19D511CC"/>
    <w:rsid w:val="19D861C6"/>
    <w:rsid w:val="1A4B1C44"/>
    <w:rsid w:val="1A544A06"/>
    <w:rsid w:val="1A584361"/>
    <w:rsid w:val="1A5E2A16"/>
    <w:rsid w:val="1A7045BE"/>
    <w:rsid w:val="1A756CC1"/>
    <w:rsid w:val="1A8B4301"/>
    <w:rsid w:val="1A9F3D3E"/>
    <w:rsid w:val="1AB570BD"/>
    <w:rsid w:val="1ABD7F1C"/>
    <w:rsid w:val="1AD4799A"/>
    <w:rsid w:val="1AF85D10"/>
    <w:rsid w:val="1B167911"/>
    <w:rsid w:val="1B1A7868"/>
    <w:rsid w:val="1B210BF7"/>
    <w:rsid w:val="1B487F31"/>
    <w:rsid w:val="1B7B1C32"/>
    <w:rsid w:val="1BBBAF32"/>
    <w:rsid w:val="1BDF6566"/>
    <w:rsid w:val="1BE56E50"/>
    <w:rsid w:val="1BE9F2B4"/>
    <w:rsid w:val="1BF63E31"/>
    <w:rsid w:val="1BF969A6"/>
    <w:rsid w:val="1C275D99"/>
    <w:rsid w:val="1C6963B1"/>
    <w:rsid w:val="1C844F99"/>
    <w:rsid w:val="1C881AC3"/>
    <w:rsid w:val="1C9E7F7A"/>
    <w:rsid w:val="1CB82594"/>
    <w:rsid w:val="1CB95703"/>
    <w:rsid w:val="1CBFBA45"/>
    <w:rsid w:val="1D0B56FE"/>
    <w:rsid w:val="1D24052A"/>
    <w:rsid w:val="1D3E6F1E"/>
    <w:rsid w:val="1D5C4168"/>
    <w:rsid w:val="1D632632"/>
    <w:rsid w:val="1D835834"/>
    <w:rsid w:val="1D8F0EE1"/>
    <w:rsid w:val="1DA93B73"/>
    <w:rsid w:val="1DFB970A"/>
    <w:rsid w:val="1E1A454E"/>
    <w:rsid w:val="1E206F43"/>
    <w:rsid w:val="1E620680"/>
    <w:rsid w:val="1E7159F1"/>
    <w:rsid w:val="1E724E01"/>
    <w:rsid w:val="1E9C42C4"/>
    <w:rsid w:val="1EB01480"/>
    <w:rsid w:val="1EB1403F"/>
    <w:rsid w:val="1EB36C6D"/>
    <w:rsid w:val="1EDA5344"/>
    <w:rsid w:val="1EEA620B"/>
    <w:rsid w:val="1EF16A18"/>
    <w:rsid w:val="1EF2430B"/>
    <w:rsid w:val="1F321241"/>
    <w:rsid w:val="1F5F1830"/>
    <w:rsid w:val="1F7B8FA3"/>
    <w:rsid w:val="1F850C2D"/>
    <w:rsid w:val="1F974086"/>
    <w:rsid w:val="1F9A2D26"/>
    <w:rsid w:val="1FAF60B9"/>
    <w:rsid w:val="1FB3BA60"/>
    <w:rsid w:val="1FBF3E58"/>
    <w:rsid w:val="1FDF6B7A"/>
    <w:rsid w:val="1FEF748A"/>
    <w:rsid w:val="1FFFC998"/>
    <w:rsid w:val="200C01F2"/>
    <w:rsid w:val="202C737B"/>
    <w:rsid w:val="203A7603"/>
    <w:rsid w:val="20486A71"/>
    <w:rsid w:val="205B4263"/>
    <w:rsid w:val="20664FE1"/>
    <w:rsid w:val="20A17A40"/>
    <w:rsid w:val="20DF4E94"/>
    <w:rsid w:val="20F85F56"/>
    <w:rsid w:val="21010C69"/>
    <w:rsid w:val="213571AA"/>
    <w:rsid w:val="213C10B5"/>
    <w:rsid w:val="213C22E6"/>
    <w:rsid w:val="21471270"/>
    <w:rsid w:val="214E201A"/>
    <w:rsid w:val="215A2F22"/>
    <w:rsid w:val="217355DC"/>
    <w:rsid w:val="217B1982"/>
    <w:rsid w:val="217FE13F"/>
    <w:rsid w:val="21894E00"/>
    <w:rsid w:val="218B501C"/>
    <w:rsid w:val="219263AA"/>
    <w:rsid w:val="21A66A54"/>
    <w:rsid w:val="21B66C7B"/>
    <w:rsid w:val="21BF2283"/>
    <w:rsid w:val="21D04669"/>
    <w:rsid w:val="21E52424"/>
    <w:rsid w:val="220D77DF"/>
    <w:rsid w:val="2228286B"/>
    <w:rsid w:val="223F5F09"/>
    <w:rsid w:val="22D652C2"/>
    <w:rsid w:val="22D93B65"/>
    <w:rsid w:val="22E92488"/>
    <w:rsid w:val="23157720"/>
    <w:rsid w:val="231E4554"/>
    <w:rsid w:val="232163A0"/>
    <w:rsid w:val="233EAED5"/>
    <w:rsid w:val="233F7E6C"/>
    <w:rsid w:val="23460D9A"/>
    <w:rsid w:val="23627FFE"/>
    <w:rsid w:val="23642056"/>
    <w:rsid w:val="23812AF5"/>
    <w:rsid w:val="23A474C1"/>
    <w:rsid w:val="23A52C20"/>
    <w:rsid w:val="23AFEADC"/>
    <w:rsid w:val="23ED2132"/>
    <w:rsid w:val="23FFAB63"/>
    <w:rsid w:val="24034FA7"/>
    <w:rsid w:val="24084702"/>
    <w:rsid w:val="242B1EA8"/>
    <w:rsid w:val="24305A06"/>
    <w:rsid w:val="243E0123"/>
    <w:rsid w:val="245C67FB"/>
    <w:rsid w:val="2483373B"/>
    <w:rsid w:val="249B20CB"/>
    <w:rsid w:val="24DF5AD4"/>
    <w:rsid w:val="24F1163A"/>
    <w:rsid w:val="24F353B2"/>
    <w:rsid w:val="24FC3E64"/>
    <w:rsid w:val="251175E6"/>
    <w:rsid w:val="251E5D62"/>
    <w:rsid w:val="252849A2"/>
    <w:rsid w:val="25305AE8"/>
    <w:rsid w:val="254B598A"/>
    <w:rsid w:val="256F76D1"/>
    <w:rsid w:val="259D70CC"/>
    <w:rsid w:val="25B1B68E"/>
    <w:rsid w:val="25B207E3"/>
    <w:rsid w:val="25B21B8A"/>
    <w:rsid w:val="25BC57A4"/>
    <w:rsid w:val="26123616"/>
    <w:rsid w:val="261A696E"/>
    <w:rsid w:val="26290DB5"/>
    <w:rsid w:val="262B46D7"/>
    <w:rsid w:val="2652435A"/>
    <w:rsid w:val="26551DA8"/>
    <w:rsid w:val="26610446"/>
    <w:rsid w:val="26834513"/>
    <w:rsid w:val="2685028B"/>
    <w:rsid w:val="2685763B"/>
    <w:rsid w:val="26AA7E51"/>
    <w:rsid w:val="26AC3A6A"/>
    <w:rsid w:val="26F176CF"/>
    <w:rsid w:val="26F6F7DE"/>
    <w:rsid w:val="273F1511"/>
    <w:rsid w:val="274F0899"/>
    <w:rsid w:val="276709BA"/>
    <w:rsid w:val="276E2ACE"/>
    <w:rsid w:val="27712014"/>
    <w:rsid w:val="278C389C"/>
    <w:rsid w:val="27B74703"/>
    <w:rsid w:val="27BFDB95"/>
    <w:rsid w:val="27CE7F6B"/>
    <w:rsid w:val="27FE6E63"/>
    <w:rsid w:val="28100029"/>
    <w:rsid w:val="28133675"/>
    <w:rsid w:val="28245882"/>
    <w:rsid w:val="283E4B96"/>
    <w:rsid w:val="2841511C"/>
    <w:rsid w:val="28416802"/>
    <w:rsid w:val="2866708D"/>
    <w:rsid w:val="28962DD3"/>
    <w:rsid w:val="289947F7"/>
    <w:rsid w:val="28A81DDD"/>
    <w:rsid w:val="28D904BE"/>
    <w:rsid w:val="28F416F8"/>
    <w:rsid w:val="2903797E"/>
    <w:rsid w:val="29084102"/>
    <w:rsid w:val="29427C8D"/>
    <w:rsid w:val="29984596"/>
    <w:rsid w:val="299D58EC"/>
    <w:rsid w:val="29A30A29"/>
    <w:rsid w:val="29E5365E"/>
    <w:rsid w:val="29F60B17"/>
    <w:rsid w:val="29FB4A9F"/>
    <w:rsid w:val="29FCA7E3"/>
    <w:rsid w:val="2A1C5CCB"/>
    <w:rsid w:val="2A2A29C3"/>
    <w:rsid w:val="2A3873C3"/>
    <w:rsid w:val="2A494C1D"/>
    <w:rsid w:val="2A67558D"/>
    <w:rsid w:val="2A7E58D0"/>
    <w:rsid w:val="2A810D6A"/>
    <w:rsid w:val="2A9823A5"/>
    <w:rsid w:val="2AA35184"/>
    <w:rsid w:val="2AB769AE"/>
    <w:rsid w:val="2ABE312B"/>
    <w:rsid w:val="2AFBFEB1"/>
    <w:rsid w:val="2B4E46E8"/>
    <w:rsid w:val="2B6F037D"/>
    <w:rsid w:val="2B8FDC92"/>
    <w:rsid w:val="2B9B5E5B"/>
    <w:rsid w:val="2BA80578"/>
    <w:rsid w:val="2BAE2033"/>
    <w:rsid w:val="2BB84E58"/>
    <w:rsid w:val="2BBF5FEE"/>
    <w:rsid w:val="2BDA4BD6"/>
    <w:rsid w:val="2C3243ED"/>
    <w:rsid w:val="2C493B09"/>
    <w:rsid w:val="2C636D38"/>
    <w:rsid w:val="2C6E17C2"/>
    <w:rsid w:val="2C940823"/>
    <w:rsid w:val="2CA5442E"/>
    <w:rsid w:val="2CA62D0A"/>
    <w:rsid w:val="2CB35427"/>
    <w:rsid w:val="2CBF5AF7"/>
    <w:rsid w:val="2CC96B0A"/>
    <w:rsid w:val="2CDA6E57"/>
    <w:rsid w:val="2CED6B8B"/>
    <w:rsid w:val="2D2F71A3"/>
    <w:rsid w:val="2D3B5436"/>
    <w:rsid w:val="2D3E1538"/>
    <w:rsid w:val="2D63556D"/>
    <w:rsid w:val="2D7738B0"/>
    <w:rsid w:val="2D8F19F0"/>
    <w:rsid w:val="2D8FC2F0"/>
    <w:rsid w:val="2DA07759"/>
    <w:rsid w:val="2DC31699"/>
    <w:rsid w:val="2E00469C"/>
    <w:rsid w:val="2E1F2D74"/>
    <w:rsid w:val="2E1FB49A"/>
    <w:rsid w:val="2E348068"/>
    <w:rsid w:val="2E382087"/>
    <w:rsid w:val="2E503607"/>
    <w:rsid w:val="2E514EF7"/>
    <w:rsid w:val="2E522BCA"/>
    <w:rsid w:val="2E6B4140"/>
    <w:rsid w:val="2E7378A5"/>
    <w:rsid w:val="2E8574DA"/>
    <w:rsid w:val="2E8C0AE2"/>
    <w:rsid w:val="2EBC4A66"/>
    <w:rsid w:val="2ED87AE7"/>
    <w:rsid w:val="2EEE0362"/>
    <w:rsid w:val="2EF014AF"/>
    <w:rsid w:val="2EFA558F"/>
    <w:rsid w:val="2F30293F"/>
    <w:rsid w:val="2F3945C8"/>
    <w:rsid w:val="2F407445"/>
    <w:rsid w:val="2F416D1A"/>
    <w:rsid w:val="2F5F1828"/>
    <w:rsid w:val="2F6942CC"/>
    <w:rsid w:val="2F6F649B"/>
    <w:rsid w:val="2F7449FE"/>
    <w:rsid w:val="2FB251E8"/>
    <w:rsid w:val="2FBB5AD0"/>
    <w:rsid w:val="2FBB7685"/>
    <w:rsid w:val="2FC45A02"/>
    <w:rsid w:val="2FD98687"/>
    <w:rsid w:val="2FDFFC03"/>
    <w:rsid w:val="2FF03F3B"/>
    <w:rsid w:val="2FF3C9A0"/>
    <w:rsid w:val="2FF7D170"/>
    <w:rsid w:val="2FFB82DB"/>
    <w:rsid w:val="2FFD0BCA"/>
    <w:rsid w:val="30B26121"/>
    <w:rsid w:val="30B74016"/>
    <w:rsid w:val="30C45585"/>
    <w:rsid w:val="30DF4778"/>
    <w:rsid w:val="30DFDA71"/>
    <w:rsid w:val="30E8643A"/>
    <w:rsid w:val="30FC67C7"/>
    <w:rsid w:val="30FC775B"/>
    <w:rsid w:val="310926B9"/>
    <w:rsid w:val="31244B45"/>
    <w:rsid w:val="31305298"/>
    <w:rsid w:val="313641CF"/>
    <w:rsid w:val="314F3970"/>
    <w:rsid w:val="3172765E"/>
    <w:rsid w:val="31740A3B"/>
    <w:rsid w:val="318D4498"/>
    <w:rsid w:val="3193352E"/>
    <w:rsid w:val="31957C1C"/>
    <w:rsid w:val="31A31F0E"/>
    <w:rsid w:val="31BF8949"/>
    <w:rsid w:val="31E84A2F"/>
    <w:rsid w:val="31F4367C"/>
    <w:rsid w:val="31FE7144"/>
    <w:rsid w:val="31FF6DC2"/>
    <w:rsid w:val="32096D22"/>
    <w:rsid w:val="320B0074"/>
    <w:rsid w:val="321E3078"/>
    <w:rsid w:val="322C6B36"/>
    <w:rsid w:val="32F256CB"/>
    <w:rsid w:val="32FF3174"/>
    <w:rsid w:val="33330BAB"/>
    <w:rsid w:val="33896EE1"/>
    <w:rsid w:val="339616AF"/>
    <w:rsid w:val="33ADEFDF"/>
    <w:rsid w:val="33C4118F"/>
    <w:rsid w:val="33C78CB2"/>
    <w:rsid w:val="33DB5CD5"/>
    <w:rsid w:val="33F64577"/>
    <w:rsid w:val="3407223A"/>
    <w:rsid w:val="342D5ABF"/>
    <w:rsid w:val="3434509F"/>
    <w:rsid w:val="34386694"/>
    <w:rsid w:val="344572AC"/>
    <w:rsid w:val="3448340A"/>
    <w:rsid w:val="34496D9C"/>
    <w:rsid w:val="344E52E0"/>
    <w:rsid w:val="345E42D2"/>
    <w:rsid w:val="3471191F"/>
    <w:rsid w:val="347622B5"/>
    <w:rsid w:val="34B63D06"/>
    <w:rsid w:val="34BA1A48"/>
    <w:rsid w:val="34BC25CF"/>
    <w:rsid w:val="34F433BA"/>
    <w:rsid w:val="350E3B42"/>
    <w:rsid w:val="3518676F"/>
    <w:rsid w:val="353C245D"/>
    <w:rsid w:val="356471B1"/>
    <w:rsid w:val="35773495"/>
    <w:rsid w:val="35A27517"/>
    <w:rsid w:val="35A6162C"/>
    <w:rsid w:val="35B357AD"/>
    <w:rsid w:val="35BB19CA"/>
    <w:rsid w:val="35BFBD5D"/>
    <w:rsid w:val="35C11BE9"/>
    <w:rsid w:val="35C30A55"/>
    <w:rsid w:val="35C7919A"/>
    <w:rsid w:val="35D55FFE"/>
    <w:rsid w:val="35FE32F0"/>
    <w:rsid w:val="35FEA248"/>
    <w:rsid w:val="36105698"/>
    <w:rsid w:val="363F2D60"/>
    <w:rsid w:val="36851168"/>
    <w:rsid w:val="369A1263"/>
    <w:rsid w:val="36C4019A"/>
    <w:rsid w:val="36E508ED"/>
    <w:rsid w:val="36FBA0E5"/>
    <w:rsid w:val="3717D769"/>
    <w:rsid w:val="371A7359"/>
    <w:rsid w:val="371F3F69"/>
    <w:rsid w:val="3727F606"/>
    <w:rsid w:val="372E2D00"/>
    <w:rsid w:val="37369CFF"/>
    <w:rsid w:val="373C69D9"/>
    <w:rsid w:val="374D4984"/>
    <w:rsid w:val="376B5EB7"/>
    <w:rsid w:val="377D5C98"/>
    <w:rsid w:val="377F3868"/>
    <w:rsid w:val="377FE78E"/>
    <w:rsid w:val="3781771E"/>
    <w:rsid w:val="37841E99"/>
    <w:rsid w:val="378C52B2"/>
    <w:rsid w:val="379A790F"/>
    <w:rsid w:val="37B24E1E"/>
    <w:rsid w:val="37BC7885"/>
    <w:rsid w:val="37BD6B20"/>
    <w:rsid w:val="37D20CCA"/>
    <w:rsid w:val="37D69C92"/>
    <w:rsid w:val="37EB4E76"/>
    <w:rsid w:val="37F3199F"/>
    <w:rsid w:val="37F7E4E4"/>
    <w:rsid w:val="37FA174A"/>
    <w:rsid w:val="37FFD3A6"/>
    <w:rsid w:val="38207E14"/>
    <w:rsid w:val="38213B8C"/>
    <w:rsid w:val="383275F7"/>
    <w:rsid w:val="38425CC1"/>
    <w:rsid w:val="3844773C"/>
    <w:rsid w:val="38462DC7"/>
    <w:rsid w:val="386C5F02"/>
    <w:rsid w:val="386E7489"/>
    <w:rsid w:val="38867D66"/>
    <w:rsid w:val="38894404"/>
    <w:rsid w:val="388A771C"/>
    <w:rsid w:val="388D1222"/>
    <w:rsid w:val="38A50319"/>
    <w:rsid w:val="38DD3F57"/>
    <w:rsid w:val="38F78BA9"/>
    <w:rsid w:val="38FD63A7"/>
    <w:rsid w:val="390037A2"/>
    <w:rsid w:val="39025C9D"/>
    <w:rsid w:val="39240A54"/>
    <w:rsid w:val="39673821"/>
    <w:rsid w:val="3971644D"/>
    <w:rsid w:val="39B5258B"/>
    <w:rsid w:val="39B73932"/>
    <w:rsid w:val="39BF7754"/>
    <w:rsid w:val="39C11183"/>
    <w:rsid w:val="39C7528B"/>
    <w:rsid w:val="39EDD784"/>
    <w:rsid w:val="39F72995"/>
    <w:rsid w:val="39FF2F77"/>
    <w:rsid w:val="3A0A33D2"/>
    <w:rsid w:val="3A2C0F5D"/>
    <w:rsid w:val="3A3F654C"/>
    <w:rsid w:val="3A7F586C"/>
    <w:rsid w:val="3A8E0FB7"/>
    <w:rsid w:val="3A990E22"/>
    <w:rsid w:val="3AA0523C"/>
    <w:rsid w:val="3AA34D2C"/>
    <w:rsid w:val="3ACEC965"/>
    <w:rsid w:val="3AE833AF"/>
    <w:rsid w:val="3AEB861A"/>
    <w:rsid w:val="3AF63785"/>
    <w:rsid w:val="3AFB0FA1"/>
    <w:rsid w:val="3B0468D6"/>
    <w:rsid w:val="3B286FE0"/>
    <w:rsid w:val="3B5B5699"/>
    <w:rsid w:val="3B5F5322"/>
    <w:rsid w:val="3B6C3370"/>
    <w:rsid w:val="3B6D695F"/>
    <w:rsid w:val="3B7FFCBE"/>
    <w:rsid w:val="3BA42BB3"/>
    <w:rsid w:val="3BB63B64"/>
    <w:rsid w:val="3BB824F8"/>
    <w:rsid w:val="3BCF564A"/>
    <w:rsid w:val="3BD64D36"/>
    <w:rsid w:val="3BFF1D47"/>
    <w:rsid w:val="3C2725F2"/>
    <w:rsid w:val="3C5A1B38"/>
    <w:rsid w:val="3C5E582A"/>
    <w:rsid w:val="3C7D63C0"/>
    <w:rsid w:val="3C830972"/>
    <w:rsid w:val="3C8628E4"/>
    <w:rsid w:val="3C942B7F"/>
    <w:rsid w:val="3C9ABC25"/>
    <w:rsid w:val="3C9B3F0D"/>
    <w:rsid w:val="3CC7658E"/>
    <w:rsid w:val="3D0A5A2A"/>
    <w:rsid w:val="3D1E504B"/>
    <w:rsid w:val="3D491BBB"/>
    <w:rsid w:val="3D5A5B95"/>
    <w:rsid w:val="3D6F17D9"/>
    <w:rsid w:val="3D794CAB"/>
    <w:rsid w:val="3D8175A7"/>
    <w:rsid w:val="3DA94408"/>
    <w:rsid w:val="3DB334D8"/>
    <w:rsid w:val="3DBFA831"/>
    <w:rsid w:val="3DCF42D5"/>
    <w:rsid w:val="3DD7038D"/>
    <w:rsid w:val="3DDB2E75"/>
    <w:rsid w:val="3DE10046"/>
    <w:rsid w:val="3DE77F3B"/>
    <w:rsid w:val="3DF30A45"/>
    <w:rsid w:val="3DF316D2"/>
    <w:rsid w:val="3DF3ABA2"/>
    <w:rsid w:val="3DF859A4"/>
    <w:rsid w:val="3DFB5E56"/>
    <w:rsid w:val="3DFF2076"/>
    <w:rsid w:val="3E0C4997"/>
    <w:rsid w:val="3E0E6961"/>
    <w:rsid w:val="3E135D25"/>
    <w:rsid w:val="3E1E76C5"/>
    <w:rsid w:val="3E1F1743"/>
    <w:rsid w:val="3E2B6BFA"/>
    <w:rsid w:val="3E5F71BC"/>
    <w:rsid w:val="3E907A7A"/>
    <w:rsid w:val="3EA22AA7"/>
    <w:rsid w:val="3EAF3CA0"/>
    <w:rsid w:val="3EDC080D"/>
    <w:rsid w:val="3EF32122"/>
    <w:rsid w:val="3EFB1F17"/>
    <w:rsid w:val="3EFB53E2"/>
    <w:rsid w:val="3EFFDD9C"/>
    <w:rsid w:val="3F0E0B47"/>
    <w:rsid w:val="3F277CDA"/>
    <w:rsid w:val="3F3032CD"/>
    <w:rsid w:val="3F37F266"/>
    <w:rsid w:val="3F3B497B"/>
    <w:rsid w:val="3F527AE4"/>
    <w:rsid w:val="3F557319"/>
    <w:rsid w:val="3F6D5B4D"/>
    <w:rsid w:val="3F7177B1"/>
    <w:rsid w:val="3F725B45"/>
    <w:rsid w:val="3F7F19CE"/>
    <w:rsid w:val="3F7F2033"/>
    <w:rsid w:val="3F80563C"/>
    <w:rsid w:val="3F8A0269"/>
    <w:rsid w:val="3F9D3D14"/>
    <w:rsid w:val="3FA008F5"/>
    <w:rsid w:val="3FB15BEC"/>
    <w:rsid w:val="3FBD7A54"/>
    <w:rsid w:val="3FBF5740"/>
    <w:rsid w:val="3FCD48BF"/>
    <w:rsid w:val="3FCF9D55"/>
    <w:rsid w:val="3FD00372"/>
    <w:rsid w:val="3FD65A73"/>
    <w:rsid w:val="3FDECA89"/>
    <w:rsid w:val="3FDF09EE"/>
    <w:rsid w:val="3FDF7157"/>
    <w:rsid w:val="3FEFBBA4"/>
    <w:rsid w:val="3FEFBBCB"/>
    <w:rsid w:val="3FF003B2"/>
    <w:rsid w:val="3FF380DD"/>
    <w:rsid w:val="3FF5A355"/>
    <w:rsid w:val="3FFBB2F6"/>
    <w:rsid w:val="3FFBC821"/>
    <w:rsid w:val="3FFC7A0E"/>
    <w:rsid w:val="3FFD1834"/>
    <w:rsid w:val="3FFDE6D2"/>
    <w:rsid w:val="3FFE1F17"/>
    <w:rsid w:val="3FFF0375"/>
    <w:rsid w:val="3FFF20DF"/>
    <w:rsid w:val="3FFF89F5"/>
    <w:rsid w:val="3FFFCFD3"/>
    <w:rsid w:val="3FFFEE1E"/>
    <w:rsid w:val="40050B81"/>
    <w:rsid w:val="4013200C"/>
    <w:rsid w:val="401F30A7"/>
    <w:rsid w:val="402B55A8"/>
    <w:rsid w:val="40455CF0"/>
    <w:rsid w:val="405215CC"/>
    <w:rsid w:val="4057639D"/>
    <w:rsid w:val="40782F31"/>
    <w:rsid w:val="407F76A2"/>
    <w:rsid w:val="40AB493B"/>
    <w:rsid w:val="40C81049"/>
    <w:rsid w:val="40E26B54"/>
    <w:rsid w:val="41485BF8"/>
    <w:rsid w:val="41504494"/>
    <w:rsid w:val="41560B72"/>
    <w:rsid w:val="41735459"/>
    <w:rsid w:val="419709CB"/>
    <w:rsid w:val="41B60906"/>
    <w:rsid w:val="41E62CEE"/>
    <w:rsid w:val="41F50336"/>
    <w:rsid w:val="42022339"/>
    <w:rsid w:val="42206453"/>
    <w:rsid w:val="423F17DF"/>
    <w:rsid w:val="425F6BF5"/>
    <w:rsid w:val="427B20EB"/>
    <w:rsid w:val="427C0258"/>
    <w:rsid w:val="42A17EBC"/>
    <w:rsid w:val="42C73F05"/>
    <w:rsid w:val="42D84F45"/>
    <w:rsid w:val="42DC67E7"/>
    <w:rsid w:val="42EF4FB3"/>
    <w:rsid w:val="43071EE4"/>
    <w:rsid w:val="431075CA"/>
    <w:rsid w:val="43164A80"/>
    <w:rsid w:val="431E02ED"/>
    <w:rsid w:val="4348021F"/>
    <w:rsid w:val="436365B2"/>
    <w:rsid w:val="43642539"/>
    <w:rsid w:val="436E05FA"/>
    <w:rsid w:val="43712B1F"/>
    <w:rsid w:val="43811864"/>
    <w:rsid w:val="438C4DCE"/>
    <w:rsid w:val="43B92B1D"/>
    <w:rsid w:val="43C95804"/>
    <w:rsid w:val="43FFBE69"/>
    <w:rsid w:val="441311BF"/>
    <w:rsid w:val="44294568"/>
    <w:rsid w:val="44380130"/>
    <w:rsid w:val="445F04C9"/>
    <w:rsid w:val="44721E55"/>
    <w:rsid w:val="44A1408B"/>
    <w:rsid w:val="44B50C18"/>
    <w:rsid w:val="44C26F91"/>
    <w:rsid w:val="44C33ACC"/>
    <w:rsid w:val="451F76A5"/>
    <w:rsid w:val="4520319B"/>
    <w:rsid w:val="45322F35"/>
    <w:rsid w:val="455E1F7C"/>
    <w:rsid w:val="456A0EB6"/>
    <w:rsid w:val="45765517"/>
    <w:rsid w:val="457E1C23"/>
    <w:rsid w:val="45964AD7"/>
    <w:rsid w:val="4597548E"/>
    <w:rsid w:val="45AF7F7A"/>
    <w:rsid w:val="45B53D96"/>
    <w:rsid w:val="45D65FB6"/>
    <w:rsid w:val="45DC69ED"/>
    <w:rsid w:val="45F46992"/>
    <w:rsid w:val="45FC3543"/>
    <w:rsid w:val="45FC3A56"/>
    <w:rsid w:val="46050649"/>
    <w:rsid w:val="4627786B"/>
    <w:rsid w:val="46445615"/>
    <w:rsid w:val="464B68CE"/>
    <w:rsid w:val="46BC33FE"/>
    <w:rsid w:val="46D055F2"/>
    <w:rsid w:val="46DAF3AD"/>
    <w:rsid w:val="46FBB91D"/>
    <w:rsid w:val="46FE497F"/>
    <w:rsid w:val="47015186"/>
    <w:rsid w:val="47042837"/>
    <w:rsid w:val="472471F5"/>
    <w:rsid w:val="47567208"/>
    <w:rsid w:val="47743CD8"/>
    <w:rsid w:val="4775443E"/>
    <w:rsid w:val="477F4501"/>
    <w:rsid w:val="4798224C"/>
    <w:rsid w:val="47A619B8"/>
    <w:rsid w:val="47BE31A6"/>
    <w:rsid w:val="47C572D2"/>
    <w:rsid w:val="47DFF8BD"/>
    <w:rsid w:val="47F66A74"/>
    <w:rsid w:val="47F7EC57"/>
    <w:rsid w:val="47FF6E37"/>
    <w:rsid w:val="480F17F3"/>
    <w:rsid w:val="48111527"/>
    <w:rsid w:val="481B0A84"/>
    <w:rsid w:val="484C255F"/>
    <w:rsid w:val="486C7C4E"/>
    <w:rsid w:val="488F1B48"/>
    <w:rsid w:val="48A36349"/>
    <w:rsid w:val="48A71E8C"/>
    <w:rsid w:val="48BB2A88"/>
    <w:rsid w:val="48E474DA"/>
    <w:rsid w:val="491925EE"/>
    <w:rsid w:val="492D408E"/>
    <w:rsid w:val="49646021"/>
    <w:rsid w:val="49A23AA3"/>
    <w:rsid w:val="49AD1724"/>
    <w:rsid w:val="49B10406"/>
    <w:rsid w:val="49B148CB"/>
    <w:rsid w:val="49C777B9"/>
    <w:rsid w:val="49CC2D15"/>
    <w:rsid w:val="49EC426F"/>
    <w:rsid w:val="49F84DA0"/>
    <w:rsid w:val="49F904C5"/>
    <w:rsid w:val="4A11580F"/>
    <w:rsid w:val="4A174DEF"/>
    <w:rsid w:val="4A372D9B"/>
    <w:rsid w:val="4A37E747"/>
    <w:rsid w:val="4A657908"/>
    <w:rsid w:val="4A8D6252"/>
    <w:rsid w:val="4AB077D7"/>
    <w:rsid w:val="4AB83D59"/>
    <w:rsid w:val="4ABFB8A7"/>
    <w:rsid w:val="4AE573BB"/>
    <w:rsid w:val="4AFE07B7"/>
    <w:rsid w:val="4B217CD3"/>
    <w:rsid w:val="4B8E2902"/>
    <w:rsid w:val="4B8E4B97"/>
    <w:rsid w:val="4B9C55AC"/>
    <w:rsid w:val="4BA157AB"/>
    <w:rsid w:val="4BB072A9"/>
    <w:rsid w:val="4BC13310"/>
    <w:rsid w:val="4BCA036B"/>
    <w:rsid w:val="4BD74836"/>
    <w:rsid w:val="4BDBB7AB"/>
    <w:rsid w:val="4BFF6C6C"/>
    <w:rsid w:val="4C4251D2"/>
    <w:rsid w:val="4C56377D"/>
    <w:rsid w:val="4C59349D"/>
    <w:rsid w:val="4C671627"/>
    <w:rsid w:val="4C9177F3"/>
    <w:rsid w:val="4CA23096"/>
    <w:rsid w:val="4CBC3CCA"/>
    <w:rsid w:val="4CEF6146"/>
    <w:rsid w:val="4CF51418"/>
    <w:rsid w:val="4D243AAB"/>
    <w:rsid w:val="4D5C5088"/>
    <w:rsid w:val="4D5D0D6B"/>
    <w:rsid w:val="4D6768C5"/>
    <w:rsid w:val="4D8C33FE"/>
    <w:rsid w:val="4DEB45C9"/>
    <w:rsid w:val="4DF7DAE2"/>
    <w:rsid w:val="4E026790"/>
    <w:rsid w:val="4E0A3905"/>
    <w:rsid w:val="4E0B07C7"/>
    <w:rsid w:val="4E200716"/>
    <w:rsid w:val="4E345F70"/>
    <w:rsid w:val="4E5559FC"/>
    <w:rsid w:val="4E6600F3"/>
    <w:rsid w:val="4E7BEEAF"/>
    <w:rsid w:val="4E9133C2"/>
    <w:rsid w:val="4EC453D2"/>
    <w:rsid w:val="4EC651E4"/>
    <w:rsid w:val="4ECF5C98"/>
    <w:rsid w:val="4ED22BA5"/>
    <w:rsid w:val="4ED7BFCD"/>
    <w:rsid w:val="4EDA1343"/>
    <w:rsid w:val="4EE380FB"/>
    <w:rsid w:val="4EED611E"/>
    <w:rsid w:val="4EF43951"/>
    <w:rsid w:val="4EFB5B3E"/>
    <w:rsid w:val="4EFF0564"/>
    <w:rsid w:val="4F1310AA"/>
    <w:rsid w:val="4F38383D"/>
    <w:rsid w:val="4F41298B"/>
    <w:rsid w:val="4F4C5DAE"/>
    <w:rsid w:val="4F5F7DCD"/>
    <w:rsid w:val="4F7B372A"/>
    <w:rsid w:val="4F7CE051"/>
    <w:rsid w:val="4F7F990D"/>
    <w:rsid w:val="4FB11910"/>
    <w:rsid w:val="4FCF2AA7"/>
    <w:rsid w:val="4FCF3870"/>
    <w:rsid w:val="4FDF1567"/>
    <w:rsid w:val="4FEB3398"/>
    <w:rsid w:val="4FF41C44"/>
    <w:rsid w:val="4FFF25AD"/>
    <w:rsid w:val="4FFF6109"/>
    <w:rsid w:val="4FFF667F"/>
    <w:rsid w:val="50160DEC"/>
    <w:rsid w:val="502A5210"/>
    <w:rsid w:val="503C14CC"/>
    <w:rsid w:val="505A738F"/>
    <w:rsid w:val="507A5168"/>
    <w:rsid w:val="507C3BFE"/>
    <w:rsid w:val="508B039D"/>
    <w:rsid w:val="50AD0932"/>
    <w:rsid w:val="50B31D37"/>
    <w:rsid w:val="50D17AA6"/>
    <w:rsid w:val="50EF43D0"/>
    <w:rsid w:val="50F7FEC0"/>
    <w:rsid w:val="510C7D13"/>
    <w:rsid w:val="51165E00"/>
    <w:rsid w:val="511F145F"/>
    <w:rsid w:val="512978E2"/>
    <w:rsid w:val="51612D03"/>
    <w:rsid w:val="51864D34"/>
    <w:rsid w:val="51886979"/>
    <w:rsid w:val="519F1952"/>
    <w:rsid w:val="51AC0798"/>
    <w:rsid w:val="51CF2275"/>
    <w:rsid w:val="51D66CF6"/>
    <w:rsid w:val="51DE4CD1"/>
    <w:rsid w:val="51EC1092"/>
    <w:rsid w:val="52104C64"/>
    <w:rsid w:val="52112B1E"/>
    <w:rsid w:val="521A1457"/>
    <w:rsid w:val="521A36CE"/>
    <w:rsid w:val="5242431B"/>
    <w:rsid w:val="524D7600"/>
    <w:rsid w:val="526C4581"/>
    <w:rsid w:val="52802470"/>
    <w:rsid w:val="529945F3"/>
    <w:rsid w:val="52A707CD"/>
    <w:rsid w:val="52BD7720"/>
    <w:rsid w:val="52C11D74"/>
    <w:rsid w:val="53422077"/>
    <w:rsid w:val="536D6A8A"/>
    <w:rsid w:val="537A06C8"/>
    <w:rsid w:val="537E3DC4"/>
    <w:rsid w:val="537E97AA"/>
    <w:rsid w:val="53B8319F"/>
    <w:rsid w:val="53D9623C"/>
    <w:rsid w:val="53ED0228"/>
    <w:rsid w:val="53FE7AF4"/>
    <w:rsid w:val="53FF759F"/>
    <w:rsid w:val="53FFE718"/>
    <w:rsid w:val="541F908D"/>
    <w:rsid w:val="547612B3"/>
    <w:rsid w:val="54921AE9"/>
    <w:rsid w:val="54C4584A"/>
    <w:rsid w:val="54F77CF7"/>
    <w:rsid w:val="54F780B5"/>
    <w:rsid w:val="54FC5522"/>
    <w:rsid w:val="55006BAB"/>
    <w:rsid w:val="55023F28"/>
    <w:rsid w:val="551036E7"/>
    <w:rsid w:val="55204DE1"/>
    <w:rsid w:val="55264138"/>
    <w:rsid w:val="5532487D"/>
    <w:rsid w:val="553E5926"/>
    <w:rsid w:val="55520454"/>
    <w:rsid w:val="555714B5"/>
    <w:rsid w:val="5583158B"/>
    <w:rsid w:val="558E710B"/>
    <w:rsid w:val="559C719C"/>
    <w:rsid w:val="55CE6CAA"/>
    <w:rsid w:val="55FF75DA"/>
    <w:rsid w:val="560207F0"/>
    <w:rsid w:val="560E744C"/>
    <w:rsid w:val="56530F5D"/>
    <w:rsid w:val="568C7443"/>
    <w:rsid w:val="569A671F"/>
    <w:rsid w:val="569AE73D"/>
    <w:rsid w:val="569C2904"/>
    <w:rsid w:val="56B22E44"/>
    <w:rsid w:val="56E524FD"/>
    <w:rsid w:val="56EB36AC"/>
    <w:rsid w:val="56F141EB"/>
    <w:rsid w:val="56F3E46B"/>
    <w:rsid w:val="56FF2AE1"/>
    <w:rsid w:val="56FF4165"/>
    <w:rsid w:val="57057286"/>
    <w:rsid w:val="570D4672"/>
    <w:rsid w:val="5717805F"/>
    <w:rsid w:val="57296716"/>
    <w:rsid w:val="57678359"/>
    <w:rsid w:val="57F5C64E"/>
    <w:rsid w:val="57FBE858"/>
    <w:rsid w:val="58134E48"/>
    <w:rsid w:val="582403CF"/>
    <w:rsid w:val="58376ED2"/>
    <w:rsid w:val="584B5649"/>
    <w:rsid w:val="585A4D40"/>
    <w:rsid w:val="58690F0C"/>
    <w:rsid w:val="58871392"/>
    <w:rsid w:val="58B42ACE"/>
    <w:rsid w:val="58B73B57"/>
    <w:rsid w:val="59051802"/>
    <w:rsid w:val="591A2BA2"/>
    <w:rsid w:val="59415A4D"/>
    <w:rsid w:val="59460AB0"/>
    <w:rsid w:val="59496E76"/>
    <w:rsid w:val="596F4300"/>
    <w:rsid w:val="5975E277"/>
    <w:rsid w:val="597B2C23"/>
    <w:rsid w:val="59855647"/>
    <w:rsid w:val="599FE415"/>
    <w:rsid w:val="59C7707A"/>
    <w:rsid w:val="59D97ED9"/>
    <w:rsid w:val="59E0076C"/>
    <w:rsid w:val="59F52F43"/>
    <w:rsid w:val="5A117165"/>
    <w:rsid w:val="5A4C2858"/>
    <w:rsid w:val="5A683600"/>
    <w:rsid w:val="5AB75786"/>
    <w:rsid w:val="5ADE0739"/>
    <w:rsid w:val="5AF56AED"/>
    <w:rsid w:val="5AF750C7"/>
    <w:rsid w:val="5AFFA4BB"/>
    <w:rsid w:val="5AFFC01B"/>
    <w:rsid w:val="5B022F52"/>
    <w:rsid w:val="5B0D53B9"/>
    <w:rsid w:val="5B1419A0"/>
    <w:rsid w:val="5B194E5C"/>
    <w:rsid w:val="5B2130BD"/>
    <w:rsid w:val="5B2F1F99"/>
    <w:rsid w:val="5B5E126B"/>
    <w:rsid w:val="5B8B15E4"/>
    <w:rsid w:val="5B8F6D7D"/>
    <w:rsid w:val="5B9E9ED7"/>
    <w:rsid w:val="5BBEBF29"/>
    <w:rsid w:val="5BE2525D"/>
    <w:rsid w:val="5BE797D5"/>
    <w:rsid w:val="5BED355C"/>
    <w:rsid w:val="5BEF90E2"/>
    <w:rsid w:val="5BFFF06C"/>
    <w:rsid w:val="5C067265"/>
    <w:rsid w:val="5C2C64D8"/>
    <w:rsid w:val="5C475CF4"/>
    <w:rsid w:val="5C4C0928"/>
    <w:rsid w:val="5C5F065B"/>
    <w:rsid w:val="5C753E74"/>
    <w:rsid w:val="5C7F074D"/>
    <w:rsid w:val="5C806824"/>
    <w:rsid w:val="5CA97B29"/>
    <w:rsid w:val="5CFFBA4A"/>
    <w:rsid w:val="5D33100E"/>
    <w:rsid w:val="5D347D3A"/>
    <w:rsid w:val="5D3A4CF9"/>
    <w:rsid w:val="5D447851"/>
    <w:rsid w:val="5D632009"/>
    <w:rsid w:val="5D7A5A91"/>
    <w:rsid w:val="5D7BB4D2"/>
    <w:rsid w:val="5D7C9F6A"/>
    <w:rsid w:val="5D942587"/>
    <w:rsid w:val="5D997B9D"/>
    <w:rsid w:val="5D9F7A4D"/>
    <w:rsid w:val="5DC626F6"/>
    <w:rsid w:val="5DD77F0F"/>
    <w:rsid w:val="5DFD2BEE"/>
    <w:rsid w:val="5DFD6338"/>
    <w:rsid w:val="5DFE22CA"/>
    <w:rsid w:val="5E2C5D14"/>
    <w:rsid w:val="5E7EDE62"/>
    <w:rsid w:val="5EA2193D"/>
    <w:rsid w:val="5EAA31DF"/>
    <w:rsid w:val="5EBA34EB"/>
    <w:rsid w:val="5EDD74D1"/>
    <w:rsid w:val="5EFBAC61"/>
    <w:rsid w:val="5EFD4A71"/>
    <w:rsid w:val="5EFEC3D3"/>
    <w:rsid w:val="5EFFC3D6"/>
    <w:rsid w:val="5F37CA5F"/>
    <w:rsid w:val="5F5226F9"/>
    <w:rsid w:val="5F5F3CE2"/>
    <w:rsid w:val="5F6DC900"/>
    <w:rsid w:val="5F746704"/>
    <w:rsid w:val="5F7590D6"/>
    <w:rsid w:val="5F9D4AAC"/>
    <w:rsid w:val="5F9FA369"/>
    <w:rsid w:val="5FB2BE43"/>
    <w:rsid w:val="5FC9464B"/>
    <w:rsid w:val="5FCF754E"/>
    <w:rsid w:val="5FD13E6F"/>
    <w:rsid w:val="5FD71092"/>
    <w:rsid w:val="5FDB1697"/>
    <w:rsid w:val="5FDD0774"/>
    <w:rsid w:val="5FDF238E"/>
    <w:rsid w:val="5FEBE4B0"/>
    <w:rsid w:val="5FF5DC45"/>
    <w:rsid w:val="5FFB11ED"/>
    <w:rsid w:val="5FFD2A6D"/>
    <w:rsid w:val="5FFE8B72"/>
    <w:rsid w:val="5FFEABC6"/>
    <w:rsid w:val="5FFF55E4"/>
    <w:rsid w:val="5FFF58E5"/>
    <w:rsid w:val="5FFF84E5"/>
    <w:rsid w:val="5FFFB2F5"/>
    <w:rsid w:val="602356A6"/>
    <w:rsid w:val="602D6DBB"/>
    <w:rsid w:val="603242D9"/>
    <w:rsid w:val="60541867"/>
    <w:rsid w:val="60A413FC"/>
    <w:rsid w:val="60C41052"/>
    <w:rsid w:val="60CA338B"/>
    <w:rsid w:val="60D22A39"/>
    <w:rsid w:val="60E7015E"/>
    <w:rsid w:val="60F764BF"/>
    <w:rsid w:val="61181721"/>
    <w:rsid w:val="6194096D"/>
    <w:rsid w:val="61A62889"/>
    <w:rsid w:val="61B34FA6"/>
    <w:rsid w:val="61C40F61"/>
    <w:rsid w:val="61D5EAB4"/>
    <w:rsid w:val="61F37E6F"/>
    <w:rsid w:val="61F949B0"/>
    <w:rsid w:val="62174F99"/>
    <w:rsid w:val="62312A9A"/>
    <w:rsid w:val="624C1682"/>
    <w:rsid w:val="62625436"/>
    <w:rsid w:val="62637F5B"/>
    <w:rsid w:val="627C282E"/>
    <w:rsid w:val="62B17737"/>
    <w:rsid w:val="62FDA5DD"/>
    <w:rsid w:val="62FF7D63"/>
    <w:rsid w:val="632D545D"/>
    <w:rsid w:val="634265E1"/>
    <w:rsid w:val="634A0DD6"/>
    <w:rsid w:val="636E387A"/>
    <w:rsid w:val="637F1085"/>
    <w:rsid w:val="63EFD2C4"/>
    <w:rsid w:val="6409606A"/>
    <w:rsid w:val="64412D3D"/>
    <w:rsid w:val="6446362D"/>
    <w:rsid w:val="644A1BF1"/>
    <w:rsid w:val="64722EF6"/>
    <w:rsid w:val="6478696C"/>
    <w:rsid w:val="648030C6"/>
    <w:rsid w:val="64BFA09C"/>
    <w:rsid w:val="64D540D3"/>
    <w:rsid w:val="64ED07CF"/>
    <w:rsid w:val="64F2748B"/>
    <w:rsid w:val="64F87849"/>
    <w:rsid w:val="650F4BE9"/>
    <w:rsid w:val="651E6BDA"/>
    <w:rsid w:val="653C2A02"/>
    <w:rsid w:val="6546685C"/>
    <w:rsid w:val="65496236"/>
    <w:rsid w:val="65497309"/>
    <w:rsid w:val="65510BD3"/>
    <w:rsid w:val="65566EB6"/>
    <w:rsid w:val="6556792C"/>
    <w:rsid w:val="6566736B"/>
    <w:rsid w:val="657C18D0"/>
    <w:rsid w:val="658253A4"/>
    <w:rsid w:val="65840B07"/>
    <w:rsid w:val="659B41B3"/>
    <w:rsid w:val="65BC376E"/>
    <w:rsid w:val="65D46E7C"/>
    <w:rsid w:val="65EB7404"/>
    <w:rsid w:val="65F7320E"/>
    <w:rsid w:val="65F7A629"/>
    <w:rsid w:val="65FD7E87"/>
    <w:rsid w:val="65FF4DC3"/>
    <w:rsid w:val="66196043"/>
    <w:rsid w:val="662242CD"/>
    <w:rsid w:val="662B5A52"/>
    <w:rsid w:val="66523BFE"/>
    <w:rsid w:val="665E7BD6"/>
    <w:rsid w:val="66A678D5"/>
    <w:rsid w:val="66C51CB7"/>
    <w:rsid w:val="66DE6B36"/>
    <w:rsid w:val="66EF5532"/>
    <w:rsid w:val="66F422E8"/>
    <w:rsid w:val="671E7365"/>
    <w:rsid w:val="672F50CE"/>
    <w:rsid w:val="67590E92"/>
    <w:rsid w:val="6763B464"/>
    <w:rsid w:val="677CE124"/>
    <w:rsid w:val="677D408C"/>
    <w:rsid w:val="677D51B1"/>
    <w:rsid w:val="67BFC046"/>
    <w:rsid w:val="67D53EC8"/>
    <w:rsid w:val="67DEC738"/>
    <w:rsid w:val="680539D0"/>
    <w:rsid w:val="68394457"/>
    <w:rsid w:val="686E34B7"/>
    <w:rsid w:val="68761884"/>
    <w:rsid w:val="68833E4A"/>
    <w:rsid w:val="68866387"/>
    <w:rsid w:val="688F642C"/>
    <w:rsid w:val="69004013"/>
    <w:rsid w:val="690D143F"/>
    <w:rsid w:val="69110F2F"/>
    <w:rsid w:val="693C34C5"/>
    <w:rsid w:val="698D22FA"/>
    <w:rsid w:val="69937B96"/>
    <w:rsid w:val="69B24E94"/>
    <w:rsid w:val="69BD79FE"/>
    <w:rsid w:val="69C16861"/>
    <w:rsid w:val="69CC12FA"/>
    <w:rsid w:val="69DA7573"/>
    <w:rsid w:val="69DB2106"/>
    <w:rsid w:val="69E5E4EF"/>
    <w:rsid w:val="69EB1780"/>
    <w:rsid w:val="69F22DFC"/>
    <w:rsid w:val="69FB668F"/>
    <w:rsid w:val="69FF522C"/>
    <w:rsid w:val="6A2C3B47"/>
    <w:rsid w:val="6A58493C"/>
    <w:rsid w:val="6A7A46C9"/>
    <w:rsid w:val="6A8348AD"/>
    <w:rsid w:val="6A836B1A"/>
    <w:rsid w:val="6AB1183D"/>
    <w:rsid w:val="6ABF2382"/>
    <w:rsid w:val="6AD55F8D"/>
    <w:rsid w:val="6AEFE485"/>
    <w:rsid w:val="6AF26B3F"/>
    <w:rsid w:val="6AFE62DA"/>
    <w:rsid w:val="6B3C5127"/>
    <w:rsid w:val="6B4277A8"/>
    <w:rsid w:val="6B4F21E3"/>
    <w:rsid w:val="6B6B75A7"/>
    <w:rsid w:val="6B6F7653"/>
    <w:rsid w:val="6B7452DD"/>
    <w:rsid w:val="6B7BFBBD"/>
    <w:rsid w:val="6BB9FBA4"/>
    <w:rsid w:val="6BBD6709"/>
    <w:rsid w:val="6BD46244"/>
    <w:rsid w:val="6BDB3DC2"/>
    <w:rsid w:val="6BDBDD6A"/>
    <w:rsid w:val="6BEEC8BE"/>
    <w:rsid w:val="6BF67B4A"/>
    <w:rsid w:val="6BFD0458"/>
    <w:rsid w:val="6BFD0D6B"/>
    <w:rsid w:val="6BFFFA8D"/>
    <w:rsid w:val="6C0A32DC"/>
    <w:rsid w:val="6C2F0D7C"/>
    <w:rsid w:val="6C4E46B2"/>
    <w:rsid w:val="6C5408EE"/>
    <w:rsid w:val="6C6D0B73"/>
    <w:rsid w:val="6C8E2897"/>
    <w:rsid w:val="6C90660F"/>
    <w:rsid w:val="6CEF1588"/>
    <w:rsid w:val="6CF73A7A"/>
    <w:rsid w:val="6CFF08C2"/>
    <w:rsid w:val="6D787928"/>
    <w:rsid w:val="6D7FE485"/>
    <w:rsid w:val="6D8D5A0A"/>
    <w:rsid w:val="6D9D0B76"/>
    <w:rsid w:val="6D9E3E83"/>
    <w:rsid w:val="6DAA1953"/>
    <w:rsid w:val="6DAA54AF"/>
    <w:rsid w:val="6DAB5388"/>
    <w:rsid w:val="6DCF4F15"/>
    <w:rsid w:val="6DD16EDF"/>
    <w:rsid w:val="6DDB761D"/>
    <w:rsid w:val="6DDC4F47"/>
    <w:rsid w:val="6DDF0F05"/>
    <w:rsid w:val="6DE44515"/>
    <w:rsid w:val="6DE4E890"/>
    <w:rsid w:val="6DE774B5"/>
    <w:rsid w:val="6DEF6387"/>
    <w:rsid w:val="6DEFBFE9"/>
    <w:rsid w:val="6DF7260A"/>
    <w:rsid w:val="6DFB3FEA"/>
    <w:rsid w:val="6DFDA2DD"/>
    <w:rsid w:val="6E2C2368"/>
    <w:rsid w:val="6E3DC4B5"/>
    <w:rsid w:val="6E6B10E2"/>
    <w:rsid w:val="6E7CCA96"/>
    <w:rsid w:val="6EB64023"/>
    <w:rsid w:val="6EBBC821"/>
    <w:rsid w:val="6EBF7D1A"/>
    <w:rsid w:val="6ED44BB7"/>
    <w:rsid w:val="6ED61006"/>
    <w:rsid w:val="6EDD898F"/>
    <w:rsid w:val="6EDF73DA"/>
    <w:rsid w:val="6EE24629"/>
    <w:rsid w:val="6EEF04A3"/>
    <w:rsid w:val="6EFD7DB0"/>
    <w:rsid w:val="6F1928EC"/>
    <w:rsid w:val="6F37B8B1"/>
    <w:rsid w:val="6F380D15"/>
    <w:rsid w:val="6F3FA401"/>
    <w:rsid w:val="6F471B9D"/>
    <w:rsid w:val="6F4D6A39"/>
    <w:rsid w:val="6F6347F5"/>
    <w:rsid w:val="6F675DCD"/>
    <w:rsid w:val="6F6F127B"/>
    <w:rsid w:val="6F7045A9"/>
    <w:rsid w:val="6F7D268E"/>
    <w:rsid w:val="6F887A72"/>
    <w:rsid w:val="6F9F896C"/>
    <w:rsid w:val="6FA6B344"/>
    <w:rsid w:val="6FBAB39A"/>
    <w:rsid w:val="6FC71F2A"/>
    <w:rsid w:val="6FCDDA98"/>
    <w:rsid w:val="6FCDE1EC"/>
    <w:rsid w:val="6FCFD4E6"/>
    <w:rsid w:val="6FD7A4A4"/>
    <w:rsid w:val="6FE56C72"/>
    <w:rsid w:val="6FEA0B0A"/>
    <w:rsid w:val="6FECBDEE"/>
    <w:rsid w:val="6FEDB963"/>
    <w:rsid w:val="6FEF3870"/>
    <w:rsid w:val="6FF5705A"/>
    <w:rsid w:val="6FF60E7F"/>
    <w:rsid w:val="6FF77FD8"/>
    <w:rsid w:val="6FFC891E"/>
    <w:rsid w:val="6FFC96D0"/>
    <w:rsid w:val="6FFE46AE"/>
    <w:rsid w:val="6FFE8AEF"/>
    <w:rsid w:val="6FFF3E13"/>
    <w:rsid w:val="6FFF41AF"/>
    <w:rsid w:val="6FFF69F1"/>
    <w:rsid w:val="6FFF78DD"/>
    <w:rsid w:val="6FFF79BF"/>
    <w:rsid w:val="701C5C8F"/>
    <w:rsid w:val="702F681D"/>
    <w:rsid w:val="704F50FD"/>
    <w:rsid w:val="706A7177"/>
    <w:rsid w:val="707029DF"/>
    <w:rsid w:val="70A0055D"/>
    <w:rsid w:val="70E31E79"/>
    <w:rsid w:val="70EC4C11"/>
    <w:rsid w:val="70FF5B11"/>
    <w:rsid w:val="7104137A"/>
    <w:rsid w:val="71431EA2"/>
    <w:rsid w:val="716B31A7"/>
    <w:rsid w:val="717958C4"/>
    <w:rsid w:val="717D693A"/>
    <w:rsid w:val="717F1CBA"/>
    <w:rsid w:val="71BC131F"/>
    <w:rsid w:val="71BF08EE"/>
    <w:rsid w:val="71DA68ED"/>
    <w:rsid w:val="71F5AD38"/>
    <w:rsid w:val="71FF5721"/>
    <w:rsid w:val="71FFDDFE"/>
    <w:rsid w:val="722066C1"/>
    <w:rsid w:val="723B0ADD"/>
    <w:rsid w:val="725A1399"/>
    <w:rsid w:val="725D4F25"/>
    <w:rsid w:val="726F6CC7"/>
    <w:rsid w:val="72733B5C"/>
    <w:rsid w:val="727F6DF9"/>
    <w:rsid w:val="72C76B03"/>
    <w:rsid w:val="72D54D7C"/>
    <w:rsid w:val="72DB5586"/>
    <w:rsid w:val="72EB4117"/>
    <w:rsid w:val="72FB2AFC"/>
    <w:rsid w:val="73061D27"/>
    <w:rsid w:val="731C0BFD"/>
    <w:rsid w:val="731D4975"/>
    <w:rsid w:val="732D105C"/>
    <w:rsid w:val="732E5022"/>
    <w:rsid w:val="734144FB"/>
    <w:rsid w:val="734168B5"/>
    <w:rsid w:val="734722FE"/>
    <w:rsid w:val="73494DAB"/>
    <w:rsid w:val="736425A4"/>
    <w:rsid w:val="7366E6AC"/>
    <w:rsid w:val="736769C7"/>
    <w:rsid w:val="73727A80"/>
    <w:rsid w:val="73777D39"/>
    <w:rsid w:val="7379B0E3"/>
    <w:rsid w:val="73A54BC7"/>
    <w:rsid w:val="73B303E7"/>
    <w:rsid w:val="73BC0C0D"/>
    <w:rsid w:val="73BF4AB1"/>
    <w:rsid w:val="73C87C8A"/>
    <w:rsid w:val="73E159A2"/>
    <w:rsid w:val="73E79A31"/>
    <w:rsid w:val="73E7D021"/>
    <w:rsid w:val="73EDFDD3"/>
    <w:rsid w:val="73FB5841"/>
    <w:rsid w:val="73FB8C6C"/>
    <w:rsid w:val="73FFE07E"/>
    <w:rsid w:val="73FFE173"/>
    <w:rsid w:val="744F0B5E"/>
    <w:rsid w:val="74600EC2"/>
    <w:rsid w:val="7476433D"/>
    <w:rsid w:val="749173C8"/>
    <w:rsid w:val="74E142F8"/>
    <w:rsid w:val="74E6194D"/>
    <w:rsid w:val="750641BE"/>
    <w:rsid w:val="752F340A"/>
    <w:rsid w:val="753FAAC0"/>
    <w:rsid w:val="75483C11"/>
    <w:rsid w:val="756BB492"/>
    <w:rsid w:val="757208FF"/>
    <w:rsid w:val="757FA67F"/>
    <w:rsid w:val="758807CB"/>
    <w:rsid w:val="759D4DA8"/>
    <w:rsid w:val="75BF0C09"/>
    <w:rsid w:val="75BFB0DB"/>
    <w:rsid w:val="75D27C98"/>
    <w:rsid w:val="75D61FCB"/>
    <w:rsid w:val="75E19C62"/>
    <w:rsid w:val="75F8E24C"/>
    <w:rsid w:val="75FADC0A"/>
    <w:rsid w:val="75FF6A13"/>
    <w:rsid w:val="761C7166"/>
    <w:rsid w:val="76487F5B"/>
    <w:rsid w:val="764A5A81"/>
    <w:rsid w:val="76524935"/>
    <w:rsid w:val="766A68E3"/>
    <w:rsid w:val="767DE3D4"/>
    <w:rsid w:val="767F1BE0"/>
    <w:rsid w:val="76830F93"/>
    <w:rsid w:val="769517AE"/>
    <w:rsid w:val="76960CC6"/>
    <w:rsid w:val="76A37A02"/>
    <w:rsid w:val="76BDF8E8"/>
    <w:rsid w:val="76C375E1"/>
    <w:rsid w:val="76CF58C2"/>
    <w:rsid w:val="76DB055D"/>
    <w:rsid w:val="76EFA253"/>
    <w:rsid w:val="76F13D8D"/>
    <w:rsid w:val="76F564A7"/>
    <w:rsid w:val="76FE03D0"/>
    <w:rsid w:val="76FFA799"/>
    <w:rsid w:val="76FFD2A0"/>
    <w:rsid w:val="77057CDF"/>
    <w:rsid w:val="77362502"/>
    <w:rsid w:val="773632E1"/>
    <w:rsid w:val="773B5ABC"/>
    <w:rsid w:val="773E0033"/>
    <w:rsid w:val="773F135E"/>
    <w:rsid w:val="775D7F1D"/>
    <w:rsid w:val="7769192A"/>
    <w:rsid w:val="776B3BB7"/>
    <w:rsid w:val="776D03F0"/>
    <w:rsid w:val="777C610E"/>
    <w:rsid w:val="779B8058"/>
    <w:rsid w:val="77AB6F29"/>
    <w:rsid w:val="77B77146"/>
    <w:rsid w:val="77BF98E5"/>
    <w:rsid w:val="77C41863"/>
    <w:rsid w:val="77C81353"/>
    <w:rsid w:val="77CB40EF"/>
    <w:rsid w:val="77DBFF88"/>
    <w:rsid w:val="77E10800"/>
    <w:rsid w:val="77E7C05E"/>
    <w:rsid w:val="77F2B9B6"/>
    <w:rsid w:val="77F42148"/>
    <w:rsid w:val="77F7147D"/>
    <w:rsid w:val="77FA3456"/>
    <w:rsid w:val="77FE174F"/>
    <w:rsid w:val="77FE9112"/>
    <w:rsid w:val="77FFB1B7"/>
    <w:rsid w:val="77FFD655"/>
    <w:rsid w:val="781B259A"/>
    <w:rsid w:val="78340796"/>
    <w:rsid w:val="78B146CA"/>
    <w:rsid w:val="78D54B94"/>
    <w:rsid w:val="78F76F97"/>
    <w:rsid w:val="790156A7"/>
    <w:rsid w:val="7936053E"/>
    <w:rsid w:val="794C38BE"/>
    <w:rsid w:val="7957AB8B"/>
    <w:rsid w:val="795BF983"/>
    <w:rsid w:val="798218C8"/>
    <w:rsid w:val="798E037A"/>
    <w:rsid w:val="79A712FF"/>
    <w:rsid w:val="79C13A53"/>
    <w:rsid w:val="79D10A03"/>
    <w:rsid w:val="79EB0225"/>
    <w:rsid w:val="79EEB0EB"/>
    <w:rsid w:val="79F18BBA"/>
    <w:rsid w:val="79F862F3"/>
    <w:rsid w:val="79FB4FDC"/>
    <w:rsid w:val="79FDE6DA"/>
    <w:rsid w:val="79FEA46A"/>
    <w:rsid w:val="79FF334D"/>
    <w:rsid w:val="7A103A91"/>
    <w:rsid w:val="7A1360D8"/>
    <w:rsid w:val="7A1F0468"/>
    <w:rsid w:val="7A244BFF"/>
    <w:rsid w:val="7A375CDF"/>
    <w:rsid w:val="7A3772D5"/>
    <w:rsid w:val="7A3F10CE"/>
    <w:rsid w:val="7A4D082D"/>
    <w:rsid w:val="7A4FC545"/>
    <w:rsid w:val="7A543EE8"/>
    <w:rsid w:val="7A951295"/>
    <w:rsid w:val="7AD75653"/>
    <w:rsid w:val="7ADE68DB"/>
    <w:rsid w:val="7ADFD92A"/>
    <w:rsid w:val="7AEA487A"/>
    <w:rsid w:val="7AEF9759"/>
    <w:rsid w:val="7AF619D9"/>
    <w:rsid w:val="7B1B74B9"/>
    <w:rsid w:val="7B3D350F"/>
    <w:rsid w:val="7B3FE5F6"/>
    <w:rsid w:val="7B4FF5F7"/>
    <w:rsid w:val="7B5532ED"/>
    <w:rsid w:val="7B584FDB"/>
    <w:rsid w:val="7B601929"/>
    <w:rsid w:val="7B747268"/>
    <w:rsid w:val="7B7605BE"/>
    <w:rsid w:val="7B792336"/>
    <w:rsid w:val="7B7C01FC"/>
    <w:rsid w:val="7B7FF899"/>
    <w:rsid w:val="7B9A636A"/>
    <w:rsid w:val="7B9E4116"/>
    <w:rsid w:val="7BA2142F"/>
    <w:rsid w:val="7BA4768F"/>
    <w:rsid w:val="7BAF3B22"/>
    <w:rsid w:val="7BB3FEE1"/>
    <w:rsid w:val="7BB5CE17"/>
    <w:rsid w:val="7BB73544"/>
    <w:rsid w:val="7BBB8D7A"/>
    <w:rsid w:val="7BBEB8FB"/>
    <w:rsid w:val="7BD007D6"/>
    <w:rsid w:val="7BE04CB6"/>
    <w:rsid w:val="7BF11E1E"/>
    <w:rsid w:val="7BF5213E"/>
    <w:rsid w:val="7BF78902"/>
    <w:rsid w:val="7BF78950"/>
    <w:rsid w:val="7BF9EB8B"/>
    <w:rsid w:val="7BFB8F3F"/>
    <w:rsid w:val="7BFBEB4E"/>
    <w:rsid w:val="7BFD4CFD"/>
    <w:rsid w:val="7BFDB572"/>
    <w:rsid w:val="7BFF62A8"/>
    <w:rsid w:val="7BFFB22E"/>
    <w:rsid w:val="7BFFBF01"/>
    <w:rsid w:val="7C241A97"/>
    <w:rsid w:val="7C67601A"/>
    <w:rsid w:val="7C6C2355"/>
    <w:rsid w:val="7C7E6484"/>
    <w:rsid w:val="7C7E8E76"/>
    <w:rsid w:val="7C8156B2"/>
    <w:rsid w:val="7C9327DE"/>
    <w:rsid w:val="7CA77726"/>
    <w:rsid w:val="7CB30898"/>
    <w:rsid w:val="7CBF921F"/>
    <w:rsid w:val="7CD12A58"/>
    <w:rsid w:val="7CD7DDAF"/>
    <w:rsid w:val="7CDF1D02"/>
    <w:rsid w:val="7CE00EED"/>
    <w:rsid w:val="7CE87ED9"/>
    <w:rsid w:val="7CF5A025"/>
    <w:rsid w:val="7CF91F3F"/>
    <w:rsid w:val="7CFB455A"/>
    <w:rsid w:val="7D0977F9"/>
    <w:rsid w:val="7D1E3A66"/>
    <w:rsid w:val="7D2DE691"/>
    <w:rsid w:val="7D3F4921"/>
    <w:rsid w:val="7D557910"/>
    <w:rsid w:val="7D592A4D"/>
    <w:rsid w:val="7D6B360A"/>
    <w:rsid w:val="7D6FB823"/>
    <w:rsid w:val="7D7F70DB"/>
    <w:rsid w:val="7D893333"/>
    <w:rsid w:val="7D9B1948"/>
    <w:rsid w:val="7DA10BFA"/>
    <w:rsid w:val="7DB163E5"/>
    <w:rsid w:val="7DB48D01"/>
    <w:rsid w:val="7DB761AB"/>
    <w:rsid w:val="7DBA2989"/>
    <w:rsid w:val="7DBF979E"/>
    <w:rsid w:val="7DCD78AB"/>
    <w:rsid w:val="7DDA94C2"/>
    <w:rsid w:val="7DDC50C3"/>
    <w:rsid w:val="7DDFA94E"/>
    <w:rsid w:val="7DEB1F79"/>
    <w:rsid w:val="7DEF6D66"/>
    <w:rsid w:val="7DEFA124"/>
    <w:rsid w:val="7DEFD13E"/>
    <w:rsid w:val="7DF29FEB"/>
    <w:rsid w:val="7DF6361C"/>
    <w:rsid w:val="7DF6743C"/>
    <w:rsid w:val="7DF7E75C"/>
    <w:rsid w:val="7DFA0D26"/>
    <w:rsid w:val="7DFD948B"/>
    <w:rsid w:val="7DFDE3C0"/>
    <w:rsid w:val="7DFE5390"/>
    <w:rsid w:val="7DFEB6E4"/>
    <w:rsid w:val="7DFF65FD"/>
    <w:rsid w:val="7DFF8B58"/>
    <w:rsid w:val="7DFFA4A5"/>
    <w:rsid w:val="7DFFEB56"/>
    <w:rsid w:val="7DFFF244"/>
    <w:rsid w:val="7E0724A9"/>
    <w:rsid w:val="7E33329E"/>
    <w:rsid w:val="7E4A7F29"/>
    <w:rsid w:val="7E4D1BCB"/>
    <w:rsid w:val="7E6E1B35"/>
    <w:rsid w:val="7E6E97D1"/>
    <w:rsid w:val="7E90249F"/>
    <w:rsid w:val="7E91DEE7"/>
    <w:rsid w:val="7E9EEB2F"/>
    <w:rsid w:val="7EAA6544"/>
    <w:rsid w:val="7EAF0403"/>
    <w:rsid w:val="7EB7F0AD"/>
    <w:rsid w:val="7EB912A6"/>
    <w:rsid w:val="7EBA1E96"/>
    <w:rsid w:val="7EC4714C"/>
    <w:rsid w:val="7ECE5C3A"/>
    <w:rsid w:val="7ED9B852"/>
    <w:rsid w:val="7EDA6092"/>
    <w:rsid w:val="7EDB0FDF"/>
    <w:rsid w:val="7EDE320A"/>
    <w:rsid w:val="7EDF2640"/>
    <w:rsid w:val="7EDFDC0A"/>
    <w:rsid w:val="7EF927B7"/>
    <w:rsid w:val="7EFBE991"/>
    <w:rsid w:val="7EFC9DE9"/>
    <w:rsid w:val="7EFD782D"/>
    <w:rsid w:val="7EFF676C"/>
    <w:rsid w:val="7EFF78B5"/>
    <w:rsid w:val="7EFF8E5B"/>
    <w:rsid w:val="7EFFD55F"/>
    <w:rsid w:val="7F0E08D5"/>
    <w:rsid w:val="7F0EB8A5"/>
    <w:rsid w:val="7F3379FA"/>
    <w:rsid w:val="7F57DA1C"/>
    <w:rsid w:val="7F5A9D4C"/>
    <w:rsid w:val="7F5BDA6D"/>
    <w:rsid w:val="7F6D1BE8"/>
    <w:rsid w:val="7F6F6E75"/>
    <w:rsid w:val="7F6F87D0"/>
    <w:rsid w:val="7F7B3476"/>
    <w:rsid w:val="7F7CA62B"/>
    <w:rsid w:val="7F7D535A"/>
    <w:rsid w:val="7F7E1C4D"/>
    <w:rsid w:val="7F7F99B8"/>
    <w:rsid w:val="7F7FCF63"/>
    <w:rsid w:val="7F819532"/>
    <w:rsid w:val="7F9A260E"/>
    <w:rsid w:val="7F9D70F1"/>
    <w:rsid w:val="7FAD2DF4"/>
    <w:rsid w:val="7FADD72B"/>
    <w:rsid w:val="7FAF9482"/>
    <w:rsid w:val="7FB02C1C"/>
    <w:rsid w:val="7FBAD1E2"/>
    <w:rsid w:val="7FBB9B20"/>
    <w:rsid w:val="7FBDC659"/>
    <w:rsid w:val="7FBF3EA3"/>
    <w:rsid w:val="7FC3B9B6"/>
    <w:rsid w:val="7FC6FA69"/>
    <w:rsid w:val="7FCB0FA6"/>
    <w:rsid w:val="7FCB4FD6"/>
    <w:rsid w:val="7FCD4699"/>
    <w:rsid w:val="7FCFEE80"/>
    <w:rsid w:val="7FD0F2DB"/>
    <w:rsid w:val="7FD29448"/>
    <w:rsid w:val="7FD30895"/>
    <w:rsid w:val="7FD794FF"/>
    <w:rsid w:val="7FD7DC83"/>
    <w:rsid w:val="7FD7E9C4"/>
    <w:rsid w:val="7FDBF45E"/>
    <w:rsid w:val="7FDE544B"/>
    <w:rsid w:val="7FDE7BFC"/>
    <w:rsid w:val="7FDE8747"/>
    <w:rsid w:val="7FECC893"/>
    <w:rsid w:val="7FED91C2"/>
    <w:rsid w:val="7FEDE99D"/>
    <w:rsid w:val="7FEE39FE"/>
    <w:rsid w:val="7FEF0698"/>
    <w:rsid w:val="7FEF159F"/>
    <w:rsid w:val="7FF379BC"/>
    <w:rsid w:val="7FF3CD0E"/>
    <w:rsid w:val="7FF57EDF"/>
    <w:rsid w:val="7FF62F34"/>
    <w:rsid w:val="7FF690E8"/>
    <w:rsid w:val="7FF705CB"/>
    <w:rsid w:val="7FF73B41"/>
    <w:rsid w:val="7FF756B0"/>
    <w:rsid w:val="7FF7DE30"/>
    <w:rsid w:val="7FF8654D"/>
    <w:rsid w:val="7FFA11ED"/>
    <w:rsid w:val="7FFA8BB1"/>
    <w:rsid w:val="7FFB2AD4"/>
    <w:rsid w:val="7FFBCE1A"/>
    <w:rsid w:val="7FFD2A2E"/>
    <w:rsid w:val="7FFD8DB4"/>
    <w:rsid w:val="7FFE65B0"/>
    <w:rsid w:val="7FFEC98D"/>
    <w:rsid w:val="7FFEF76D"/>
    <w:rsid w:val="7FFFAD29"/>
    <w:rsid w:val="8CEDFE84"/>
    <w:rsid w:val="8EF7961A"/>
    <w:rsid w:val="8EFE50A5"/>
    <w:rsid w:val="8FDB478D"/>
    <w:rsid w:val="8FF75C02"/>
    <w:rsid w:val="8FFD89D7"/>
    <w:rsid w:val="8FFF77D2"/>
    <w:rsid w:val="9353CDF5"/>
    <w:rsid w:val="93F764A9"/>
    <w:rsid w:val="94FE0CC2"/>
    <w:rsid w:val="95DFE0E0"/>
    <w:rsid w:val="973F7790"/>
    <w:rsid w:val="97B3A72D"/>
    <w:rsid w:val="97F63800"/>
    <w:rsid w:val="97F774FD"/>
    <w:rsid w:val="98BD4BF4"/>
    <w:rsid w:val="996B0D33"/>
    <w:rsid w:val="99FF074A"/>
    <w:rsid w:val="99FF8E84"/>
    <w:rsid w:val="9A679892"/>
    <w:rsid w:val="9AC9C9E0"/>
    <w:rsid w:val="9B1F8BCE"/>
    <w:rsid w:val="9BFF8EF9"/>
    <w:rsid w:val="9C7FBADB"/>
    <w:rsid w:val="9D6BBF5D"/>
    <w:rsid w:val="9DAB8E42"/>
    <w:rsid w:val="9DB3D3F9"/>
    <w:rsid w:val="9DDAD900"/>
    <w:rsid w:val="9DDD8C9D"/>
    <w:rsid w:val="9DEF942B"/>
    <w:rsid w:val="9DFA80CF"/>
    <w:rsid w:val="9DFCDBB2"/>
    <w:rsid w:val="9E9DFF1C"/>
    <w:rsid w:val="9EAFCB5E"/>
    <w:rsid w:val="9EFB63E6"/>
    <w:rsid w:val="9F5ECABA"/>
    <w:rsid w:val="9F5F0505"/>
    <w:rsid w:val="9FAF49DE"/>
    <w:rsid w:val="9FC58D12"/>
    <w:rsid w:val="9FD7644B"/>
    <w:rsid w:val="9FEF9E54"/>
    <w:rsid w:val="9FF3F6CF"/>
    <w:rsid w:val="9FFBA0DF"/>
    <w:rsid w:val="9FFF1731"/>
    <w:rsid w:val="9FFF29F5"/>
    <w:rsid w:val="A3AE0CF1"/>
    <w:rsid w:val="A3CF05AD"/>
    <w:rsid w:val="A3FFCF83"/>
    <w:rsid w:val="A52CF22A"/>
    <w:rsid w:val="A5DC2E31"/>
    <w:rsid w:val="A67EFE26"/>
    <w:rsid w:val="A7AD5EE7"/>
    <w:rsid w:val="A7B71851"/>
    <w:rsid w:val="A7DF2A2F"/>
    <w:rsid w:val="A7EFF6D3"/>
    <w:rsid w:val="A7F30ADE"/>
    <w:rsid w:val="AB5EDC8C"/>
    <w:rsid w:val="ABEDCE47"/>
    <w:rsid w:val="ABEF3833"/>
    <w:rsid w:val="ABEF9CBA"/>
    <w:rsid w:val="ABF294A4"/>
    <w:rsid w:val="ABFED5F8"/>
    <w:rsid w:val="AC3E63CE"/>
    <w:rsid w:val="ADF8A144"/>
    <w:rsid w:val="ADFE8A64"/>
    <w:rsid w:val="ADFF1297"/>
    <w:rsid w:val="AEEF175C"/>
    <w:rsid w:val="AEEFB489"/>
    <w:rsid w:val="AEF3D93A"/>
    <w:rsid w:val="AF39ED27"/>
    <w:rsid w:val="AF676B41"/>
    <w:rsid w:val="AFFD8482"/>
    <w:rsid w:val="AFFE6277"/>
    <w:rsid w:val="AFFFD0C6"/>
    <w:rsid w:val="B1A7DBCE"/>
    <w:rsid w:val="B1D79687"/>
    <w:rsid w:val="B2F9C9BD"/>
    <w:rsid w:val="B39BF874"/>
    <w:rsid w:val="B3DE12F9"/>
    <w:rsid w:val="B3DFFF34"/>
    <w:rsid w:val="B4D434E5"/>
    <w:rsid w:val="B4DEC48B"/>
    <w:rsid w:val="B5B5137E"/>
    <w:rsid w:val="B67FCC31"/>
    <w:rsid w:val="B6B92007"/>
    <w:rsid w:val="B6BFD0BB"/>
    <w:rsid w:val="B6FF1EC7"/>
    <w:rsid w:val="B7877960"/>
    <w:rsid w:val="B7A118E2"/>
    <w:rsid w:val="B7BB5599"/>
    <w:rsid w:val="B7FDB388"/>
    <w:rsid w:val="B7FE313D"/>
    <w:rsid w:val="B7FFF9B4"/>
    <w:rsid w:val="B877BBD9"/>
    <w:rsid w:val="BA3D33A5"/>
    <w:rsid w:val="BB5E36F7"/>
    <w:rsid w:val="BB63BFEE"/>
    <w:rsid w:val="BB7B6C91"/>
    <w:rsid w:val="BBB7F454"/>
    <w:rsid w:val="BBBB6F20"/>
    <w:rsid w:val="BBC71AD1"/>
    <w:rsid w:val="BBC92FBB"/>
    <w:rsid w:val="BBCF7DA8"/>
    <w:rsid w:val="BBDD6E74"/>
    <w:rsid w:val="BBEEAE37"/>
    <w:rsid w:val="BBF1EA26"/>
    <w:rsid w:val="BBFDD375"/>
    <w:rsid w:val="BBFE24B0"/>
    <w:rsid w:val="BBFE7C74"/>
    <w:rsid w:val="BBFEF89B"/>
    <w:rsid w:val="BC736258"/>
    <w:rsid w:val="BCBB456B"/>
    <w:rsid w:val="BCBB7373"/>
    <w:rsid w:val="BCF4CFE4"/>
    <w:rsid w:val="BD3336D8"/>
    <w:rsid w:val="BD3B00BA"/>
    <w:rsid w:val="BD3EF57F"/>
    <w:rsid w:val="BDB84AB1"/>
    <w:rsid w:val="BDBD2659"/>
    <w:rsid w:val="BDDE9520"/>
    <w:rsid w:val="BDF4B9B7"/>
    <w:rsid w:val="BDFF3BDB"/>
    <w:rsid w:val="BDFFC881"/>
    <w:rsid w:val="BEBF5A84"/>
    <w:rsid w:val="BEE7F58F"/>
    <w:rsid w:val="BEEA1B65"/>
    <w:rsid w:val="BEFB947D"/>
    <w:rsid w:val="BF2FB5D1"/>
    <w:rsid w:val="BF3A31C1"/>
    <w:rsid w:val="BF3F565B"/>
    <w:rsid w:val="BF5AB7A5"/>
    <w:rsid w:val="BF6DD62B"/>
    <w:rsid w:val="BF6E9374"/>
    <w:rsid w:val="BF7153E0"/>
    <w:rsid w:val="BFB7E0FF"/>
    <w:rsid w:val="BFB9C174"/>
    <w:rsid w:val="BFBD88E6"/>
    <w:rsid w:val="BFBE04F2"/>
    <w:rsid w:val="BFBE5001"/>
    <w:rsid w:val="BFCFA5EA"/>
    <w:rsid w:val="BFDF0E31"/>
    <w:rsid w:val="BFDF585E"/>
    <w:rsid w:val="BFE7A735"/>
    <w:rsid w:val="BFED4829"/>
    <w:rsid w:val="BFEE30A9"/>
    <w:rsid w:val="BFEF01A4"/>
    <w:rsid w:val="BFF65484"/>
    <w:rsid w:val="BFF9F0BB"/>
    <w:rsid w:val="BFFB4BAA"/>
    <w:rsid w:val="BFFBE4AB"/>
    <w:rsid w:val="BFFD1D8B"/>
    <w:rsid w:val="BFFD98EF"/>
    <w:rsid w:val="BFFDA721"/>
    <w:rsid w:val="BFFDB254"/>
    <w:rsid w:val="BFFF2CC2"/>
    <w:rsid w:val="BFFF776D"/>
    <w:rsid w:val="BFFFE0C8"/>
    <w:rsid w:val="BFFFEA3A"/>
    <w:rsid w:val="C56FFF7A"/>
    <w:rsid w:val="C7EC07F1"/>
    <w:rsid w:val="CB379ED0"/>
    <w:rsid w:val="CD3F7EBC"/>
    <w:rsid w:val="CD7FAAE1"/>
    <w:rsid w:val="CDA76245"/>
    <w:rsid w:val="CDDC01E1"/>
    <w:rsid w:val="CDDD2C6D"/>
    <w:rsid w:val="CDF67B54"/>
    <w:rsid w:val="CDF81B03"/>
    <w:rsid w:val="CE7E83DE"/>
    <w:rsid w:val="CEE126EA"/>
    <w:rsid w:val="CEFF265D"/>
    <w:rsid w:val="CEFF718C"/>
    <w:rsid w:val="CF5F454D"/>
    <w:rsid w:val="CF6FCC6C"/>
    <w:rsid w:val="CFAFFA50"/>
    <w:rsid w:val="CFBF25C1"/>
    <w:rsid w:val="CFD7FDCD"/>
    <w:rsid w:val="CFE7B3AB"/>
    <w:rsid w:val="CFFA3432"/>
    <w:rsid w:val="CFFA849E"/>
    <w:rsid w:val="CFFF31D9"/>
    <w:rsid w:val="CFFFC72D"/>
    <w:rsid w:val="D3E9380B"/>
    <w:rsid w:val="D4791AD8"/>
    <w:rsid w:val="D4F36E59"/>
    <w:rsid w:val="D4FFA7C2"/>
    <w:rsid w:val="D53F7FF8"/>
    <w:rsid w:val="D6BE0C9B"/>
    <w:rsid w:val="D6D5FFEA"/>
    <w:rsid w:val="D6F3DA60"/>
    <w:rsid w:val="D6FF5309"/>
    <w:rsid w:val="D75BE7FE"/>
    <w:rsid w:val="D75F4BC5"/>
    <w:rsid w:val="D76F19C5"/>
    <w:rsid w:val="D77BC2FA"/>
    <w:rsid w:val="D7BEAC58"/>
    <w:rsid w:val="D7EF87C8"/>
    <w:rsid w:val="D7FFCA35"/>
    <w:rsid w:val="DADFE85A"/>
    <w:rsid w:val="DAF9A245"/>
    <w:rsid w:val="DAFA299C"/>
    <w:rsid w:val="DB3F4EC1"/>
    <w:rsid w:val="DB3F9904"/>
    <w:rsid w:val="DB9FA578"/>
    <w:rsid w:val="DBA52420"/>
    <w:rsid w:val="DBAFDBA3"/>
    <w:rsid w:val="DBFF7B31"/>
    <w:rsid w:val="DBFF8EA8"/>
    <w:rsid w:val="DCFF2E49"/>
    <w:rsid w:val="DD537AE6"/>
    <w:rsid w:val="DD6E7A89"/>
    <w:rsid w:val="DDBE8BAC"/>
    <w:rsid w:val="DDFAFFD4"/>
    <w:rsid w:val="DDFF540F"/>
    <w:rsid w:val="DDFF6280"/>
    <w:rsid w:val="DE5F96E4"/>
    <w:rsid w:val="DE73CA84"/>
    <w:rsid w:val="DE7BD74C"/>
    <w:rsid w:val="DEAF680F"/>
    <w:rsid w:val="DEDDAADE"/>
    <w:rsid w:val="DEFB83DF"/>
    <w:rsid w:val="DEFDF1C9"/>
    <w:rsid w:val="DEFE3402"/>
    <w:rsid w:val="DEFFA302"/>
    <w:rsid w:val="DF0DDC8C"/>
    <w:rsid w:val="DF3C79F1"/>
    <w:rsid w:val="DF5ECAE6"/>
    <w:rsid w:val="DF5EF93C"/>
    <w:rsid w:val="DF6CA650"/>
    <w:rsid w:val="DF773BE2"/>
    <w:rsid w:val="DF7E3824"/>
    <w:rsid w:val="DF7FAD0E"/>
    <w:rsid w:val="DF977DD6"/>
    <w:rsid w:val="DFB10840"/>
    <w:rsid w:val="DFB71464"/>
    <w:rsid w:val="DFBB414E"/>
    <w:rsid w:val="DFBE74CF"/>
    <w:rsid w:val="DFCCCBDC"/>
    <w:rsid w:val="DFCF95E0"/>
    <w:rsid w:val="DFDF2501"/>
    <w:rsid w:val="DFDF3A12"/>
    <w:rsid w:val="DFEF11AA"/>
    <w:rsid w:val="DFEF650F"/>
    <w:rsid w:val="DFEF941B"/>
    <w:rsid w:val="DFF304A7"/>
    <w:rsid w:val="DFF74D87"/>
    <w:rsid w:val="DFF78AF4"/>
    <w:rsid w:val="DFF88953"/>
    <w:rsid w:val="DFF88F6F"/>
    <w:rsid w:val="DFFB07CF"/>
    <w:rsid w:val="DFFC9E34"/>
    <w:rsid w:val="DFFD0674"/>
    <w:rsid w:val="DFFDB124"/>
    <w:rsid w:val="DFFDDB51"/>
    <w:rsid w:val="DFFEE896"/>
    <w:rsid w:val="DFFF3987"/>
    <w:rsid w:val="DFFFA2F6"/>
    <w:rsid w:val="E1F40057"/>
    <w:rsid w:val="E2BEF03B"/>
    <w:rsid w:val="E3E76183"/>
    <w:rsid w:val="E3FEA32D"/>
    <w:rsid w:val="E555D1E2"/>
    <w:rsid w:val="E56D3BB8"/>
    <w:rsid w:val="E5AEA667"/>
    <w:rsid w:val="E5CDCF41"/>
    <w:rsid w:val="E5FDFABD"/>
    <w:rsid w:val="E692AB47"/>
    <w:rsid w:val="E6CFAAC9"/>
    <w:rsid w:val="E6E758B1"/>
    <w:rsid w:val="E6FF6E32"/>
    <w:rsid w:val="E74B3BE3"/>
    <w:rsid w:val="E75E7B1D"/>
    <w:rsid w:val="E7CFE510"/>
    <w:rsid w:val="E7F5EB6B"/>
    <w:rsid w:val="E7FBBFE1"/>
    <w:rsid w:val="E7FF83AC"/>
    <w:rsid w:val="E8FFCAF6"/>
    <w:rsid w:val="E9BA26F0"/>
    <w:rsid w:val="E9FCA5A8"/>
    <w:rsid w:val="E9FF0253"/>
    <w:rsid w:val="E9FF82B2"/>
    <w:rsid w:val="EA33DF8A"/>
    <w:rsid w:val="EAAFE437"/>
    <w:rsid w:val="EAC5933D"/>
    <w:rsid w:val="EAEF66FD"/>
    <w:rsid w:val="EAFE6BFC"/>
    <w:rsid w:val="EB24692C"/>
    <w:rsid w:val="EB3F09B5"/>
    <w:rsid w:val="EB4FF7D9"/>
    <w:rsid w:val="EBCBBCAF"/>
    <w:rsid w:val="EBF6F363"/>
    <w:rsid w:val="EBFA7C98"/>
    <w:rsid w:val="EBFB81A9"/>
    <w:rsid w:val="EC03CAA8"/>
    <w:rsid w:val="EC7FD6BB"/>
    <w:rsid w:val="EC8F7BD4"/>
    <w:rsid w:val="ECEB7746"/>
    <w:rsid w:val="ED57B430"/>
    <w:rsid w:val="ED5BB24D"/>
    <w:rsid w:val="ED7FAE63"/>
    <w:rsid w:val="EDBB96FC"/>
    <w:rsid w:val="EDE23748"/>
    <w:rsid w:val="EDEAE5A9"/>
    <w:rsid w:val="EDEFD089"/>
    <w:rsid w:val="EDFDD02A"/>
    <w:rsid w:val="EDFF2512"/>
    <w:rsid w:val="EDFFCAD9"/>
    <w:rsid w:val="EE51CD7C"/>
    <w:rsid w:val="EE8BF27C"/>
    <w:rsid w:val="EEEFC305"/>
    <w:rsid w:val="EEF2DA09"/>
    <w:rsid w:val="EEFA159F"/>
    <w:rsid w:val="EEFD10EA"/>
    <w:rsid w:val="EEFF55F6"/>
    <w:rsid w:val="EF5F1D93"/>
    <w:rsid w:val="EF5F95FF"/>
    <w:rsid w:val="EF6DB5A9"/>
    <w:rsid w:val="EF8E255C"/>
    <w:rsid w:val="EF9F3333"/>
    <w:rsid w:val="EFB0B37D"/>
    <w:rsid w:val="EFB2ED27"/>
    <w:rsid w:val="EFB9D425"/>
    <w:rsid w:val="EFBA4E1B"/>
    <w:rsid w:val="EFBB342E"/>
    <w:rsid w:val="EFBF3F35"/>
    <w:rsid w:val="EFC67F4D"/>
    <w:rsid w:val="EFDB80B3"/>
    <w:rsid w:val="EFDFB997"/>
    <w:rsid w:val="EFE57784"/>
    <w:rsid w:val="EFEEC83A"/>
    <w:rsid w:val="EFF342C9"/>
    <w:rsid w:val="EFF76740"/>
    <w:rsid w:val="EFFE9B7F"/>
    <w:rsid w:val="EFFF3E5E"/>
    <w:rsid w:val="F1FAEFD9"/>
    <w:rsid w:val="F1FB56D9"/>
    <w:rsid w:val="F39FA8E9"/>
    <w:rsid w:val="F3B98DB2"/>
    <w:rsid w:val="F3CF59CC"/>
    <w:rsid w:val="F3DBC88D"/>
    <w:rsid w:val="F3DEDE9F"/>
    <w:rsid w:val="F3DF2858"/>
    <w:rsid w:val="F3F741F3"/>
    <w:rsid w:val="F3FCD9C3"/>
    <w:rsid w:val="F4773A77"/>
    <w:rsid w:val="F4F36B25"/>
    <w:rsid w:val="F4FB7211"/>
    <w:rsid w:val="F509B776"/>
    <w:rsid w:val="F51BF6A1"/>
    <w:rsid w:val="F52AD347"/>
    <w:rsid w:val="F5AF7041"/>
    <w:rsid w:val="F5B54DC7"/>
    <w:rsid w:val="F5D907C8"/>
    <w:rsid w:val="F5FD62C6"/>
    <w:rsid w:val="F6269064"/>
    <w:rsid w:val="F6B968C9"/>
    <w:rsid w:val="F6CED8A6"/>
    <w:rsid w:val="F6DFDE16"/>
    <w:rsid w:val="F6FB4418"/>
    <w:rsid w:val="F6FF20C6"/>
    <w:rsid w:val="F6FFDBB7"/>
    <w:rsid w:val="F75F9A20"/>
    <w:rsid w:val="F76E823B"/>
    <w:rsid w:val="F76EBDAC"/>
    <w:rsid w:val="F7BC6C89"/>
    <w:rsid w:val="F7BDE697"/>
    <w:rsid w:val="F7BF8D73"/>
    <w:rsid w:val="F7D3743B"/>
    <w:rsid w:val="F7D78085"/>
    <w:rsid w:val="F7DBD9E6"/>
    <w:rsid w:val="F7DD99DD"/>
    <w:rsid w:val="F7DF0877"/>
    <w:rsid w:val="F7DFAC67"/>
    <w:rsid w:val="F7F91995"/>
    <w:rsid w:val="F7FB935C"/>
    <w:rsid w:val="F7FCCA14"/>
    <w:rsid w:val="F7FE70B5"/>
    <w:rsid w:val="F7FF91E7"/>
    <w:rsid w:val="F7FFC38D"/>
    <w:rsid w:val="F976EC4D"/>
    <w:rsid w:val="F97F7745"/>
    <w:rsid w:val="F9AF8B9F"/>
    <w:rsid w:val="F9BE6E89"/>
    <w:rsid w:val="F9BF80EA"/>
    <w:rsid w:val="F9DAA514"/>
    <w:rsid w:val="F9ED24D8"/>
    <w:rsid w:val="F9EFEF5D"/>
    <w:rsid w:val="F9F684C9"/>
    <w:rsid w:val="FAC7E3B6"/>
    <w:rsid w:val="FADF74B0"/>
    <w:rsid w:val="FADFB8CC"/>
    <w:rsid w:val="FAEE56C2"/>
    <w:rsid w:val="FAEF0032"/>
    <w:rsid w:val="FAEF49FD"/>
    <w:rsid w:val="FAF78F6F"/>
    <w:rsid w:val="FAFF9F0C"/>
    <w:rsid w:val="FB338DC2"/>
    <w:rsid w:val="FB3D40A8"/>
    <w:rsid w:val="FB57A36B"/>
    <w:rsid w:val="FB7006F7"/>
    <w:rsid w:val="FB73137E"/>
    <w:rsid w:val="FB77CC7A"/>
    <w:rsid w:val="FB7DCF50"/>
    <w:rsid w:val="FB8EB377"/>
    <w:rsid w:val="FB960291"/>
    <w:rsid w:val="FBA5D108"/>
    <w:rsid w:val="FBADC3D0"/>
    <w:rsid w:val="FBB7A446"/>
    <w:rsid w:val="FBBFABB8"/>
    <w:rsid w:val="FBD7A4D2"/>
    <w:rsid w:val="FBE7A72E"/>
    <w:rsid w:val="FBE9C6B4"/>
    <w:rsid w:val="FBEF7156"/>
    <w:rsid w:val="FBF6C4C3"/>
    <w:rsid w:val="FBFC2F36"/>
    <w:rsid w:val="FBFF7899"/>
    <w:rsid w:val="FBFFBCF6"/>
    <w:rsid w:val="FC1F04BB"/>
    <w:rsid w:val="FC6FA178"/>
    <w:rsid w:val="FC7EE4BB"/>
    <w:rsid w:val="FCB6335E"/>
    <w:rsid w:val="FCBA1B95"/>
    <w:rsid w:val="FCD7DA7F"/>
    <w:rsid w:val="FCFBC9D9"/>
    <w:rsid w:val="FCFEDE39"/>
    <w:rsid w:val="FCFEE82C"/>
    <w:rsid w:val="FCFEFC61"/>
    <w:rsid w:val="FD1FC142"/>
    <w:rsid w:val="FD37206C"/>
    <w:rsid w:val="FD3E81B5"/>
    <w:rsid w:val="FD668C4A"/>
    <w:rsid w:val="FD762B16"/>
    <w:rsid w:val="FD77169A"/>
    <w:rsid w:val="FD7D8CC0"/>
    <w:rsid w:val="FD7D9815"/>
    <w:rsid w:val="FD7FFAB8"/>
    <w:rsid w:val="FDAE0EB8"/>
    <w:rsid w:val="FDB7DD34"/>
    <w:rsid w:val="FDB9F8D7"/>
    <w:rsid w:val="FDBAA153"/>
    <w:rsid w:val="FDBF1910"/>
    <w:rsid w:val="FDBF82DA"/>
    <w:rsid w:val="FDBFEB2C"/>
    <w:rsid w:val="FDCA2250"/>
    <w:rsid w:val="FDCFD54D"/>
    <w:rsid w:val="FDD6DDC0"/>
    <w:rsid w:val="FDD752A4"/>
    <w:rsid w:val="FDDF5640"/>
    <w:rsid w:val="FDEAC456"/>
    <w:rsid w:val="FDED979F"/>
    <w:rsid w:val="FDEFDE68"/>
    <w:rsid w:val="FDFDDB9C"/>
    <w:rsid w:val="FDFFBA30"/>
    <w:rsid w:val="FE2A12A3"/>
    <w:rsid w:val="FE3F4FA8"/>
    <w:rsid w:val="FE5CD888"/>
    <w:rsid w:val="FE65653D"/>
    <w:rsid w:val="FE7E7954"/>
    <w:rsid w:val="FE7F25BA"/>
    <w:rsid w:val="FE7FCFE9"/>
    <w:rsid w:val="FE9F3470"/>
    <w:rsid w:val="FEA7176B"/>
    <w:rsid w:val="FEBE9C91"/>
    <w:rsid w:val="FEBF0942"/>
    <w:rsid w:val="FEBF8B56"/>
    <w:rsid w:val="FEDD056A"/>
    <w:rsid w:val="FEDD70C6"/>
    <w:rsid w:val="FEE6EE53"/>
    <w:rsid w:val="FEED3CAE"/>
    <w:rsid w:val="FEF08FC0"/>
    <w:rsid w:val="FEF832AF"/>
    <w:rsid w:val="FEFB4C62"/>
    <w:rsid w:val="FEFB591A"/>
    <w:rsid w:val="FEFBC2B8"/>
    <w:rsid w:val="FEFE6062"/>
    <w:rsid w:val="FF0F3931"/>
    <w:rsid w:val="FF39984C"/>
    <w:rsid w:val="FF3DFC58"/>
    <w:rsid w:val="FF4B417A"/>
    <w:rsid w:val="FF4FC459"/>
    <w:rsid w:val="FF5BB7A9"/>
    <w:rsid w:val="FF63183E"/>
    <w:rsid w:val="FF635D35"/>
    <w:rsid w:val="FF63B482"/>
    <w:rsid w:val="FF6FD8B7"/>
    <w:rsid w:val="FF717592"/>
    <w:rsid w:val="FF73C1F0"/>
    <w:rsid w:val="FF7BEE7A"/>
    <w:rsid w:val="FF7F0CE0"/>
    <w:rsid w:val="FF7F985C"/>
    <w:rsid w:val="FF7FEEFA"/>
    <w:rsid w:val="FF8A63F6"/>
    <w:rsid w:val="FF8DBEC2"/>
    <w:rsid w:val="FF8F307E"/>
    <w:rsid w:val="FF9DFCD7"/>
    <w:rsid w:val="FF9F238B"/>
    <w:rsid w:val="FFACB4A9"/>
    <w:rsid w:val="FFAF56D2"/>
    <w:rsid w:val="FFB10E39"/>
    <w:rsid w:val="FFB3BB42"/>
    <w:rsid w:val="FFB5458C"/>
    <w:rsid w:val="FFB676FF"/>
    <w:rsid w:val="FFBF5566"/>
    <w:rsid w:val="FFBFBBE1"/>
    <w:rsid w:val="FFBFC188"/>
    <w:rsid w:val="FFC6AE0D"/>
    <w:rsid w:val="FFCA12D7"/>
    <w:rsid w:val="FFCB6D29"/>
    <w:rsid w:val="FFCD8D36"/>
    <w:rsid w:val="FFCE1902"/>
    <w:rsid w:val="FFCF7F81"/>
    <w:rsid w:val="FFDBCA89"/>
    <w:rsid w:val="FFDBD58E"/>
    <w:rsid w:val="FFDF8748"/>
    <w:rsid w:val="FFDFF8D1"/>
    <w:rsid w:val="FFE3839C"/>
    <w:rsid w:val="FFE4E573"/>
    <w:rsid w:val="FFE78BF9"/>
    <w:rsid w:val="FFE7B553"/>
    <w:rsid w:val="FFE9445B"/>
    <w:rsid w:val="FFEBDD76"/>
    <w:rsid w:val="FFED2FD3"/>
    <w:rsid w:val="FFEF2913"/>
    <w:rsid w:val="FFEF7A56"/>
    <w:rsid w:val="FFEFAF86"/>
    <w:rsid w:val="FFEFC6BE"/>
    <w:rsid w:val="FFF33EB1"/>
    <w:rsid w:val="FFF366BC"/>
    <w:rsid w:val="FFF72CAF"/>
    <w:rsid w:val="FFF74B97"/>
    <w:rsid w:val="FFF7897D"/>
    <w:rsid w:val="FFF79772"/>
    <w:rsid w:val="FFF79EE9"/>
    <w:rsid w:val="FFF8E38F"/>
    <w:rsid w:val="FFF91FF0"/>
    <w:rsid w:val="FFF94351"/>
    <w:rsid w:val="FFF9664E"/>
    <w:rsid w:val="FFF9A265"/>
    <w:rsid w:val="FFFA58A9"/>
    <w:rsid w:val="FFFB8139"/>
    <w:rsid w:val="FFFBA83C"/>
    <w:rsid w:val="FFFCCEBF"/>
    <w:rsid w:val="FFFD027E"/>
    <w:rsid w:val="FFFD9499"/>
    <w:rsid w:val="FFFEC20D"/>
    <w:rsid w:val="FFFEE684"/>
    <w:rsid w:val="FFFF0FA7"/>
    <w:rsid w:val="FFFF29D2"/>
    <w:rsid w:val="FFFF3721"/>
    <w:rsid w:val="FFFF5051"/>
    <w:rsid w:val="FFFF578C"/>
    <w:rsid w:val="FFFF5E0D"/>
    <w:rsid w:val="FFFF8F05"/>
    <w:rsid w:val="FFFFBECD"/>
    <w:rsid w:val="FFFFC98F"/>
    <w:rsid w:val="FFFFC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nhideWhenUsed="0"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75"/>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76"/>
    <w:unhideWhenUsed/>
    <w:qFormat/>
    <w:uiPriority w:val="9"/>
    <w:pPr>
      <w:spacing w:line="560" w:lineRule="exact"/>
      <w:ind w:firstLine="640" w:firstLineChars="200"/>
      <w:jc w:val="both"/>
      <w:outlineLvl w:val="1"/>
    </w:pPr>
    <w:rPr>
      <w:rFonts w:ascii="楷体" w:hAnsi="楷体" w:eastAsia="宋体"/>
      <w:sz w:val="24"/>
      <w:szCs w:val="32"/>
    </w:rPr>
  </w:style>
  <w:style w:type="paragraph" w:styleId="5">
    <w:name w:val="heading 3"/>
    <w:basedOn w:val="1"/>
    <w:next w:val="1"/>
    <w:link w:val="77"/>
    <w:unhideWhenUsed/>
    <w:qFormat/>
    <w:uiPriority w:val="9"/>
    <w:pPr>
      <w:spacing w:line="560" w:lineRule="exact"/>
      <w:jc w:val="center"/>
      <w:outlineLvl w:val="2"/>
    </w:pPr>
    <w:rPr>
      <w:rFonts w:ascii="方正小标宋_GBK" w:hAnsi="方正小标宋_GBK" w:eastAsia="宋体"/>
      <w:sz w:val="24"/>
      <w:szCs w:val="36"/>
    </w:rPr>
  </w:style>
  <w:style w:type="paragraph" w:styleId="2">
    <w:name w:val="heading 4"/>
    <w:basedOn w:val="1"/>
    <w:next w:val="1"/>
    <w:link w:val="78"/>
    <w:unhideWhenUsed/>
    <w:qFormat/>
    <w:uiPriority w:val="9"/>
    <w:pPr>
      <w:keepNext/>
      <w:numPr>
        <w:ilvl w:val="3"/>
        <w:numId w:val="1"/>
      </w:numPr>
      <w:spacing w:before="240" w:after="60"/>
      <w:outlineLvl w:val="3"/>
    </w:pPr>
    <w:rPr>
      <w:rFonts w:eastAsia="宋体" w:asciiTheme="minorAscii" w:hAnsiTheme="minorAscii" w:cstheme="majorBidi"/>
      <w:bCs/>
      <w:szCs w:val="28"/>
    </w:rPr>
  </w:style>
  <w:style w:type="paragraph" w:styleId="6">
    <w:name w:val="heading 5"/>
    <w:basedOn w:val="1"/>
    <w:next w:val="1"/>
    <w:link w:val="79"/>
    <w:unhideWhenUsed/>
    <w:qFormat/>
    <w:uiPriority w:val="9"/>
    <w:pPr>
      <w:numPr>
        <w:ilvl w:val="4"/>
        <w:numId w:val="1"/>
      </w:numPr>
      <w:spacing w:before="240" w:after="60"/>
      <w:outlineLvl w:val="4"/>
    </w:pPr>
    <w:rPr>
      <w:rFonts w:eastAsia="宋体" w:asciiTheme="minorAscii" w:hAnsiTheme="minorAscii"/>
      <w:bCs/>
      <w:iCs/>
      <w:szCs w:val="26"/>
    </w:rPr>
  </w:style>
  <w:style w:type="paragraph" w:styleId="7">
    <w:name w:val="heading 6"/>
    <w:basedOn w:val="1"/>
    <w:next w:val="1"/>
    <w:link w:val="80"/>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1"/>
    <w:semiHidden/>
    <w:unhideWhenUsed/>
    <w:qFormat/>
    <w:uiPriority w:val="9"/>
    <w:pPr>
      <w:numPr>
        <w:ilvl w:val="6"/>
        <w:numId w:val="1"/>
      </w:numPr>
      <w:spacing w:before="240" w:after="60"/>
      <w:outlineLvl w:val="6"/>
    </w:pPr>
  </w:style>
  <w:style w:type="paragraph" w:styleId="9">
    <w:name w:val="heading 8"/>
    <w:basedOn w:val="1"/>
    <w:next w:val="1"/>
    <w:link w:val="82"/>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83"/>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ind w:firstLine="42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index 5"/>
    <w:basedOn w:val="1"/>
    <w:next w:val="1"/>
    <w:qFormat/>
    <w:uiPriority w:val="0"/>
    <w:pPr>
      <w:ind w:left="1680"/>
    </w:pPr>
  </w:style>
  <w:style w:type="paragraph" w:styleId="14">
    <w:name w:val="Document Map"/>
    <w:basedOn w:val="1"/>
    <w:link w:val="107"/>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99"/>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next w:val="1"/>
    <w:qFormat/>
    <w:uiPriority w:val="99"/>
    <w:rPr>
      <w:sz w:val="20"/>
    </w:rPr>
  </w:style>
  <w:style w:type="paragraph" w:styleId="17">
    <w:name w:val="Body Text Indent"/>
    <w:basedOn w:val="1"/>
    <w:next w:val="1"/>
    <w:qFormat/>
    <w:uiPriority w:val="99"/>
    <w:pPr>
      <w:spacing w:after="120"/>
      <w:ind w:left="420" w:leftChars="200"/>
    </w:pPr>
    <w:rPr>
      <w:sz w:val="20"/>
    </w:rPr>
  </w:style>
  <w:style w:type="paragraph" w:styleId="18">
    <w:name w:val="toc 3"/>
    <w:basedOn w:val="1"/>
    <w:next w:val="1"/>
    <w:semiHidden/>
    <w:unhideWhenUsed/>
    <w:qFormat/>
    <w:uiPriority w:val="39"/>
    <w:pPr>
      <w:ind w:left="840" w:leftChars="400"/>
    </w:pPr>
  </w:style>
  <w:style w:type="paragraph" w:styleId="19">
    <w:name w:val="Plain Text"/>
    <w:basedOn w:val="1"/>
    <w:qFormat/>
    <w:uiPriority w:val="99"/>
    <w:pPr>
      <w:spacing w:line="324" w:lineRule="auto"/>
    </w:pPr>
    <w:rPr>
      <w:rFonts w:ascii="宋体" w:hAnsi="Courier New"/>
      <w:sz w:val="20"/>
    </w:rPr>
  </w:style>
  <w:style w:type="paragraph" w:styleId="20">
    <w:name w:val="Date"/>
    <w:basedOn w:val="1"/>
    <w:next w:val="1"/>
    <w:link w:val="72"/>
    <w:semiHidden/>
    <w:unhideWhenUsed/>
    <w:qFormat/>
    <w:uiPriority w:val="99"/>
    <w:pPr>
      <w:ind w:left="100" w:leftChars="2500"/>
    </w:pPr>
  </w:style>
  <w:style w:type="paragraph" w:styleId="21">
    <w:name w:val="Balloon Text"/>
    <w:basedOn w:val="1"/>
    <w:link w:val="98"/>
    <w:semiHidden/>
    <w:unhideWhenUsed/>
    <w:qFormat/>
    <w:uiPriority w:val="99"/>
    <w:rPr>
      <w:sz w:val="18"/>
      <w:szCs w:val="18"/>
    </w:rPr>
  </w:style>
  <w:style w:type="paragraph" w:styleId="22">
    <w:name w:val="footer"/>
    <w:basedOn w:val="1"/>
    <w:link w:val="74"/>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7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Lines="100" w:afterLines="100"/>
    </w:pPr>
    <w:rPr>
      <w:rFonts w:ascii="Calibri" w:hAnsi="Calibri" w:eastAsia="宋体"/>
      <w:kern w:val="32"/>
      <w:sz w:val="32"/>
    </w:rPr>
  </w:style>
  <w:style w:type="paragraph" w:styleId="25">
    <w:name w:val="toc 4"/>
    <w:basedOn w:val="1"/>
    <w:next w:val="1"/>
    <w:qFormat/>
    <w:uiPriority w:val="39"/>
    <w:pPr>
      <w:ind w:left="630"/>
    </w:pPr>
    <w:rPr>
      <w:rFonts w:cs="Calibri"/>
      <w:sz w:val="18"/>
      <w:szCs w:val="18"/>
    </w:rPr>
  </w:style>
  <w:style w:type="paragraph" w:styleId="26">
    <w:name w:val="Subtitle"/>
    <w:basedOn w:val="1"/>
    <w:next w:val="1"/>
    <w:link w:val="85"/>
    <w:qFormat/>
    <w:uiPriority w:val="11"/>
    <w:pPr>
      <w:keepNext/>
      <w:spacing w:beforeLines="50" w:afterLines="50"/>
      <w:jc w:val="center"/>
      <w:outlineLvl w:val="1"/>
    </w:pPr>
    <w:rPr>
      <w:rFonts w:ascii="Calibri" w:hAnsi="Calibri" w:eastAsia="黑体" w:cstheme="majorBidi"/>
      <w:sz w:val="32"/>
    </w:rPr>
  </w:style>
  <w:style w:type="paragraph" w:styleId="27">
    <w:name w:val="toc 6"/>
    <w:basedOn w:val="1"/>
    <w:next w:val="1"/>
    <w:unhideWhenUsed/>
    <w:qFormat/>
    <w:uiPriority w:val="39"/>
    <w:pPr>
      <w:ind w:left="1200"/>
    </w:pPr>
    <w:rPr>
      <w:rFonts w:ascii="等线" w:eastAsia="等线"/>
      <w:sz w:val="18"/>
      <w:szCs w:val="18"/>
    </w:rPr>
  </w:style>
  <w:style w:type="paragraph" w:styleId="28">
    <w:name w:val="toc 2"/>
    <w:basedOn w:val="1"/>
    <w:next w:val="1"/>
    <w:semiHidden/>
    <w:unhideWhenUsed/>
    <w:qFormat/>
    <w:uiPriority w:val="39"/>
    <w:pPr>
      <w:ind w:left="420" w:leftChars="200"/>
    </w:pPr>
  </w:style>
  <w:style w:type="paragraph" w:styleId="29">
    <w:name w:val="Normal (Web)"/>
    <w:basedOn w:val="1"/>
    <w:qFormat/>
    <w:uiPriority w:val="99"/>
    <w:pPr>
      <w:spacing w:before="100" w:beforeAutospacing="1" w:after="100" w:afterAutospacing="1"/>
    </w:pPr>
    <w:rPr>
      <w:rFonts w:ascii="宋体" w:hAnsi="宋体" w:cs="宋体"/>
    </w:rPr>
  </w:style>
  <w:style w:type="paragraph" w:styleId="30">
    <w:name w:val="Title"/>
    <w:basedOn w:val="1"/>
    <w:next w:val="1"/>
    <w:link w:val="84"/>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5"/>
    <w:next w:val="15"/>
    <w:link w:val="106"/>
    <w:semiHidden/>
    <w:unhideWhenUsed/>
    <w:qFormat/>
    <w:uiPriority w:val="99"/>
    <w:rPr>
      <w:b/>
      <w:bCs/>
    </w:rPr>
  </w:style>
  <w:style w:type="paragraph" w:styleId="32">
    <w:name w:val="Body Text First Indent"/>
    <w:basedOn w:val="16"/>
    <w:next w:val="27"/>
    <w:qFormat/>
    <w:uiPriority w:val="0"/>
    <w:pPr>
      <w:spacing w:line="300" w:lineRule="auto"/>
      <w:ind w:firstLine="602"/>
    </w:pPr>
  </w:style>
  <w:style w:type="paragraph" w:styleId="33">
    <w:name w:val="Body Text First Indent 2"/>
    <w:basedOn w:val="17"/>
    <w:next w:val="1"/>
    <w:qFormat/>
    <w:uiPriority w:val="0"/>
    <w:pPr>
      <w:ind w:firstLine="420"/>
    </w:p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page number"/>
    <w:qFormat/>
    <w:uiPriority w:val="0"/>
    <w:rPr>
      <w:rFonts w:ascii="Times New Roman" w:hAnsi="Times New Roman" w:eastAsia="宋体" w:cs="Times New Roman"/>
    </w:rPr>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Emphasis"/>
    <w:basedOn w:val="36"/>
    <w:qFormat/>
    <w:uiPriority w:val="20"/>
    <w:rPr>
      <w:rFonts w:asciiTheme="minorHAnsi" w:hAnsiTheme="minorHAnsi"/>
      <w:b/>
      <w:i/>
      <w:iCs/>
    </w:rPr>
  </w:style>
  <w:style w:type="character" w:styleId="41">
    <w:name w:val="HTML Definition"/>
    <w:basedOn w:val="36"/>
    <w:semiHidden/>
    <w:unhideWhenUsed/>
    <w:qFormat/>
    <w:uiPriority w:val="99"/>
    <w:rPr>
      <w:color w:val="FFFFFF"/>
      <w:shd w:val="clear" w:color="auto" w:fill="048FD2"/>
    </w:rPr>
  </w:style>
  <w:style w:type="character" w:styleId="42">
    <w:name w:val="HTML Typewriter"/>
    <w:basedOn w:val="36"/>
    <w:semiHidden/>
    <w:unhideWhenUsed/>
    <w:qFormat/>
    <w:uiPriority w:val="99"/>
    <w:rPr>
      <w:rFonts w:hint="default" w:ascii="monospace" w:hAnsi="monospace" w:eastAsia="monospace" w:cs="monospace"/>
      <w:sz w:val="20"/>
    </w:rPr>
  </w:style>
  <w:style w:type="character" w:styleId="43">
    <w:name w:val="HTML Acronym"/>
    <w:basedOn w:val="36"/>
    <w:semiHidden/>
    <w:unhideWhenUsed/>
    <w:qFormat/>
    <w:uiPriority w:val="99"/>
  </w:style>
  <w:style w:type="character" w:styleId="44">
    <w:name w:val="HTML Variable"/>
    <w:basedOn w:val="36"/>
    <w:semiHidden/>
    <w:unhideWhenUsed/>
    <w:qFormat/>
    <w:uiPriority w:val="99"/>
  </w:style>
  <w:style w:type="character" w:styleId="45">
    <w:name w:val="Hyperlink"/>
    <w:basedOn w:val="36"/>
    <w:unhideWhenUsed/>
    <w:qFormat/>
    <w:uiPriority w:val="99"/>
    <w:rPr>
      <w:color w:val="0563C1" w:themeColor="hyperlink"/>
      <w:u w:val="single"/>
      <w14:textFill>
        <w14:solidFill>
          <w14:schemeClr w14:val="hlink"/>
        </w14:solidFill>
      </w14:textFill>
    </w:rPr>
  </w:style>
  <w:style w:type="character" w:styleId="46">
    <w:name w:val="HTML Code"/>
    <w:basedOn w:val="36"/>
    <w:semiHidden/>
    <w:unhideWhenUsed/>
    <w:qFormat/>
    <w:uiPriority w:val="99"/>
    <w:rPr>
      <w:rFonts w:hint="default" w:ascii="monospace" w:hAnsi="monospace" w:eastAsia="monospace" w:cs="monospace"/>
      <w:sz w:val="20"/>
    </w:rPr>
  </w:style>
  <w:style w:type="character" w:styleId="47">
    <w:name w:val="annotation reference"/>
    <w:basedOn w:val="36"/>
    <w:semiHidden/>
    <w:unhideWhenUsed/>
    <w:qFormat/>
    <w:uiPriority w:val="99"/>
    <w:rPr>
      <w:sz w:val="21"/>
      <w:szCs w:val="21"/>
    </w:rPr>
  </w:style>
  <w:style w:type="character" w:styleId="48">
    <w:name w:val="HTML Cite"/>
    <w:basedOn w:val="36"/>
    <w:semiHidden/>
    <w:unhideWhenUsed/>
    <w:qFormat/>
    <w:uiPriority w:val="99"/>
  </w:style>
  <w:style w:type="character" w:styleId="49">
    <w:name w:val="HTML Keyboard"/>
    <w:basedOn w:val="36"/>
    <w:semiHidden/>
    <w:unhideWhenUsed/>
    <w:qFormat/>
    <w:uiPriority w:val="99"/>
    <w:rPr>
      <w:rFonts w:ascii="monospace" w:hAnsi="monospace" w:eastAsia="monospace" w:cs="monospace"/>
      <w:sz w:val="20"/>
    </w:rPr>
  </w:style>
  <w:style w:type="character" w:styleId="50">
    <w:name w:val="HTML Sample"/>
    <w:basedOn w:val="36"/>
    <w:semiHidden/>
    <w:unhideWhenUsed/>
    <w:qFormat/>
    <w:uiPriority w:val="99"/>
    <w:rPr>
      <w:rFonts w:hint="default" w:ascii="monospace" w:hAnsi="monospace" w:eastAsia="monospace" w:cs="monospace"/>
    </w:rPr>
  </w:style>
  <w:style w:type="paragraph" w:customStyle="1" w:styleId="51">
    <w:name w:val="首行缩进"/>
    <w:basedOn w:val="1"/>
    <w:next w:val="16"/>
    <w:qFormat/>
    <w:uiPriority w:val="0"/>
    <w:pPr>
      <w:spacing w:line="360" w:lineRule="auto"/>
      <w:ind w:firstLine="480" w:firstLineChars="200"/>
    </w:pPr>
    <w:rPr>
      <w:szCs w:val="22"/>
      <w:lang w:val="zh-CN"/>
    </w:rPr>
  </w:style>
  <w:style w:type="paragraph" w:customStyle="1" w:styleId="52">
    <w:name w:val="※封面大标题"/>
    <w:basedOn w:val="1"/>
    <w:next w:val="1"/>
    <w:qFormat/>
    <w:uiPriority w:val="0"/>
    <w:pPr>
      <w:jc w:val="center"/>
    </w:pPr>
    <w:rPr>
      <w:rFonts w:ascii="华文中宋" w:hAnsi="华文中宋" w:eastAsia="华文中宋"/>
      <w:sz w:val="96"/>
      <w:szCs w:val="96"/>
    </w:rPr>
  </w:style>
  <w:style w:type="paragraph" w:customStyle="1" w:styleId="53">
    <w:name w:val="※封面题颌"/>
    <w:basedOn w:val="1"/>
    <w:next w:val="1"/>
    <w:qFormat/>
    <w:uiPriority w:val="0"/>
    <w:pPr>
      <w:jc w:val="center"/>
    </w:pPr>
    <w:rPr>
      <w:rFonts w:ascii="Calibri Light" w:hAnsi="Calibri Light" w:eastAsia="华文仿宋"/>
      <w:sz w:val="36"/>
      <w:szCs w:val="36"/>
    </w:rPr>
  </w:style>
  <w:style w:type="paragraph" w:customStyle="1" w:styleId="54">
    <w:name w:val="※封面题眉"/>
    <w:basedOn w:val="1"/>
    <w:next w:val="52"/>
    <w:qFormat/>
    <w:uiPriority w:val="0"/>
    <w:pPr>
      <w:jc w:val="center"/>
    </w:pPr>
    <w:rPr>
      <w:rFonts w:ascii="华文仿宋" w:hAnsi="华文仿宋" w:eastAsia="华文仿宋"/>
      <w:sz w:val="52"/>
      <w:szCs w:val="28"/>
    </w:rPr>
  </w:style>
  <w:style w:type="paragraph" w:customStyle="1" w:styleId="55">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56">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7">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8">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9">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60">
    <w:name w:val="※小标题 一"/>
    <w:basedOn w:val="59"/>
    <w:next w:val="59"/>
    <w:qFormat/>
    <w:uiPriority w:val="0"/>
    <w:pPr>
      <w:spacing w:before="120" w:line="240" w:lineRule="auto"/>
      <w:outlineLvl w:val="2"/>
    </w:pPr>
    <w:rPr>
      <w:b/>
      <w:color w:val="203864" w:themeColor="accent5" w:themeShade="80"/>
      <w:sz w:val="32"/>
    </w:rPr>
  </w:style>
  <w:style w:type="paragraph" w:customStyle="1" w:styleId="61">
    <w:name w:val="※小标题（1）"/>
    <w:basedOn w:val="1"/>
    <w:next w:val="59"/>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2">
    <w:name w:val="※小标题（一）"/>
    <w:basedOn w:val="1"/>
    <w:next w:val="59"/>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3">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4">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5">
    <w:name w:val="※页眉"/>
    <w:basedOn w:val="59"/>
    <w:qFormat/>
    <w:uiPriority w:val="0"/>
    <w:pPr>
      <w:pBdr>
        <w:bottom w:val="single" w:color="auto" w:sz="4" w:space="1"/>
      </w:pBdr>
      <w:spacing w:line="240" w:lineRule="atLeast"/>
      <w:jc w:val="right"/>
    </w:pPr>
    <w:rPr>
      <w:rFonts w:ascii="宋体" w:hAnsi="宋体" w:eastAsia="宋体"/>
      <w:sz w:val="18"/>
    </w:rPr>
  </w:style>
  <w:style w:type="paragraph" w:customStyle="1" w:styleId="66">
    <w:name w:val="※章节标题（第X章）"/>
    <w:basedOn w:val="1"/>
    <w:qFormat/>
    <w:uiPriority w:val="0"/>
    <w:pPr>
      <w:jc w:val="center"/>
      <w:outlineLvl w:val="0"/>
    </w:pPr>
    <w:rPr>
      <w:rFonts w:ascii="Calibri Light" w:hAnsi="Calibri Light" w:eastAsia="黑体"/>
      <w:sz w:val="36"/>
      <w:szCs w:val="28"/>
    </w:rPr>
  </w:style>
  <w:style w:type="paragraph" w:customStyle="1" w:styleId="67">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68">
    <w:name w:val="※章节标题（第Z部分分项）"/>
    <w:basedOn w:val="67"/>
    <w:qFormat/>
    <w:uiPriority w:val="0"/>
    <w:pPr>
      <w:outlineLvl w:val="2"/>
    </w:pPr>
  </w:style>
  <w:style w:type="paragraph" w:customStyle="1" w:styleId="69">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0">
    <w:name w:val="※正文（缩进2）"/>
    <w:basedOn w:val="59"/>
    <w:qFormat/>
    <w:uiPriority w:val="0"/>
    <w:pPr>
      <w:ind w:firstLine="200" w:firstLineChars="200"/>
    </w:pPr>
  </w:style>
  <w:style w:type="paragraph" w:customStyle="1" w:styleId="71">
    <w:name w:val="※正文（缩进4）"/>
    <w:basedOn w:val="59"/>
    <w:qFormat/>
    <w:uiPriority w:val="0"/>
    <w:pPr>
      <w:ind w:firstLine="400" w:firstLineChars="400"/>
    </w:pPr>
  </w:style>
  <w:style w:type="character" w:customStyle="1" w:styleId="72">
    <w:name w:val="日期 字符"/>
    <w:basedOn w:val="36"/>
    <w:link w:val="20"/>
    <w:semiHidden/>
    <w:qFormat/>
    <w:uiPriority w:val="99"/>
    <w:rPr>
      <w:rFonts w:ascii="华文仿宋" w:hAnsi="华文仿宋" w:eastAsia="华文仿宋"/>
      <w:sz w:val="28"/>
      <w:szCs w:val="28"/>
    </w:rPr>
  </w:style>
  <w:style w:type="character" w:customStyle="1" w:styleId="73">
    <w:name w:val="页眉 字符"/>
    <w:basedOn w:val="36"/>
    <w:link w:val="23"/>
    <w:qFormat/>
    <w:uiPriority w:val="0"/>
    <w:rPr>
      <w:rFonts w:ascii="华文仿宋" w:hAnsi="华文仿宋" w:eastAsia="华文仿宋"/>
      <w:sz w:val="18"/>
      <w:szCs w:val="18"/>
    </w:rPr>
  </w:style>
  <w:style w:type="character" w:customStyle="1" w:styleId="74">
    <w:name w:val="页脚 字符"/>
    <w:basedOn w:val="36"/>
    <w:link w:val="22"/>
    <w:qFormat/>
    <w:uiPriority w:val="99"/>
    <w:rPr>
      <w:rFonts w:ascii="华文仿宋" w:hAnsi="华文仿宋" w:eastAsia="华文仿宋"/>
      <w:sz w:val="18"/>
      <w:szCs w:val="18"/>
    </w:rPr>
  </w:style>
  <w:style w:type="character" w:customStyle="1" w:styleId="75">
    <w:name w:val="标题 1 字符"/>
    <w:basedOn w:val="36"/>
    <w:link w:val="3"/>
    <w:qFormat/>
    <w:uiPriority w:val="9"/>
    <w:rPr>
      <w:rFonts w:ascii="方正小标宋_GBK" w:hAnsi="仿宋" w:eastAsia="方正小标宋_GBK"/>
      <w:sz w:val="44"/>
      <w:szCs w:val="44"/>
    </w:rPr>
  </w:style>
  <w:style w:type="character" w:customStyle="1" w:styleId="76">
    <w:name w:val="标题 2 字符"/>
    <w:basedOn w:val="36"/>
    <w:link w:val="4"/>
    <w:qFormat/>
    <w:uiPriority w:val="9"/>
    <w:rPr>
      <w:rFonts w:ascii="楷体" w:hAnsi="楷体" w:eastAsia="宋体"/>
      <w:sz w:val="24"/>
      <w:szCs w:val="32"/>
    </w:rPr>
  </w:style>
  <w:style w:type="character" w:customStyle="1" w:styleId="77">
    <w:name w:val="标题 3 字符"/>
    <w:basedOn w:val="36"/>
    <w:link w:val="5"/>
    <w:qFormat/>
    <w:uiPriority w:val="9"/>
    <w:rPr>
      <w:rFonts w:ascii="方正小标宋_GBK" w:hAnsi="方正小标宋_GBK" w:eastAsia="宋体"/>
      <w:sz w:val="24"/>
      <w:szCs w:val="36"/>
    </w:rPr>
  </w:style>
  <w:style w:type="character" w:customStyle="1" w:styleId="78">
    <w:name w:val="标题 4 字符"/>
    <w:basedOn w:val="36"/>
    <w:link w:val="2"/>
    <w:semiHidden/>
    <w:qFormat/>
    <w:uiPriority w:val="9"/>
    <w:rPr>
      <w:rFonts w:eastAsia="宋体" w:asciiTheme="minorAscii" w:hAnsiTheme="minorAscii" w:cstheme="majorBidi"/>
      <w:bCs/>
      <w:sz w:val="24"/>
      <w:szCs w:val="28"/>
    </w:rPr>
  </w:style>
  <w:style w:type="character" w:customStyle="1" w:styleId="79">
    <w:name w:val="标题 5 字符"/>
    <w:basedOn w:val="36"/>
    <w:link w:val="6"/>
    <w:semiHidden/>
    <w:qFormat/>
    <w:uiPriority w:val="9"/>
    <w:rPr>
      <w:rFonts w:eastAsia="宋体" w:asciiTheme="minorAscii" w:hAnsiTheme="minorAscii"/>
      <w:bCs/>
      <w:iCs/>
      <w:sz w:val="24"/>
      <w:szCs w:val="26"/>
    </w:rPr>
  </w:style>
  <w:style w:type="character" w:customStyle="1" w:styleId="80">
    <w:name w:val="标题 6 字符"/>
    <w:basedOn w:val="36"/>
    <w:link w:val="7"/>
    <w:semiHidden/>
    <w:qFormat/>
    <w:uiPriority w:val="9"/>
    <w:rPr>
      <w:rFonts w:cstheme="majorBidi"/>
      <w:b/>
      <w:bCs/>
    </w:rPr>
  </w:style>
  <w:style w:type="character" w:customStyle="1" w:styleId="81">
    <w:name w:val="标题 7 字符"/>
    <w:basedOn w:val="36"/>
    <w:link w:val="8"/>
    <w:semiHidden/>
    <w:qFormat/>
    <w:uiPriority w:val="9"/>
    <w:rPr>
      <w:sz w:val="24"/>
      <w:szCs w:val="24"/>
    </w:rPr>
  </w:style>
  <w:style w:type="character" w:customStyle="1" w:styleId="82">
    <w:name w:val="标题 8 字符"/>
    <w:basedOn w:val="36"/>
    <w:link w:val="9"/>
    <w:semiHidden/>
    <w:qFormat/>
    <w:uiPriority w:val="9"/>
    <w:rPr>
      <w:rFonts w:cstheme="majorBidi"/>
      <w:i/>
      <w:iCs/>
      <w:sz w:val="24"/>
      <w:szCs w:val="24"/>
    </w:rPr>
  </w:style>
  <w:style w:type="character" w:customStyle="1" w:styleId="83">
    <w:name w:val="标题 9 字符"/>
    <w:basedOn w:val="36"/>
    <w:link w:val="10"/>
    <w:semiHidden/>
    <w:qFormat/>
    <w:uiPriority w:val="9"/>
    <w:rPr>
      <w:rFonts w:asciiTheme="majorHAnsi" w:hAnsiTheme="majorHAnsi" w:eastAsiaTheme="majorEastAsia" w:cstheme="majorBidi"/>
    </w:rPr>
  </w:style>
  <w:style w:type="character" w:customStyle="1" w:styleId="84">
    <w:name w:val="标题 字符"/>
    <w:basedOn w:val="36"/>
    <w:link w:val="30"/>
    <w:qFormat/>
    <w:uiPriority w:val="10"/>
    <w:rPr>
      <w:rFonts w:asciiTheme="majorHAnsi" w:hAnsiTheme="majorHAnsi" w:eastAsiaTheme="majorEastAsia" w:cstheme="majorBidi"/>
      <w:b/>
      <w:bCs/>
      <w:kern w:val="28"/>
      <w:sz w:val="32"/>
      <w:szCs w:val="32"/>
    </w:rPr>
  </w:style>
  <w:style w:type="character" w:customStyle="1" w:styleId="85">
    <w:name w:val="副标题 字符"/>
    <w:basedOn w:val="36"/>
    <w:link w:val="26"/>
    <w:qFormat/>
    <w:uiPriority w:val="11"/>
    <w:rPr>
      <w:rFonts w:ascii="Calibri" w:hAnsi="Calibri" w:eastAsia="黑体" w:cstheme="majorBidi"/>
      <w:sz w:val="32"/>
      <w:szCs w:val="24"/>
    </w:rPr>
  </w:style>
  <w:style w:type="paragraph" w:styleId="86">
    <w:name w:val="No Spacing"/>
    <w:basedOn w:val="1"/>
    <w:qFormat/>
    <w:uiPriority w:val="1"/>
    <w:rPr>
      <w:szCs w:val="32"/>
    </w:rPr>
  </w:style>
  <w:style w:type="paragraph" w:styleId="87">
    <w:name w:val="List Paragraph"/>
    <w:basedOn w:val="1"/>
    <w:qFormat/>
    <w:uiPriority w:val="0"/>
    <w:pPr>
      <w:ind w:left="720"/>
      <w:contextualSpacing/>
    </w:pPr>
  </w:style>
  <w:style w:type="paragraph" w:styleId="88">
    <w:name w:val="Quote"/>
    <w:basedOn w:val="1"/>
    <w:next w:val="1"/>
    <w:link w:val="89"/>
    <w:qFormat/>
    <w:uiPriority w:val="29"/>
    <w:rPr>
      <w:i/>
    </w:rPr>
  </w:style>
  <w:style w:type="character" w:customStyle="1" w:styleId="89">
    <w:name w:val="引用 字符"/>
    <w:basedOn w:val="36"/>
    <w:link w:val="88"/>
    <w:qFormat/>
    <w:uiPriority w:val="29"/>
    <w:rPr>
      <w:i/>
      <w:sz w:val="24"/>
      <w:szCs w:val="24"/>
    </w:rPr>
  </w:style>
  <w:style w:type="paragraph" w:styleId="90">
    <w:name w:val="Intense Quote"/>
    <w:basedOn w:val="1"/>
    <w:next w:val="1"/>
    <w:link w:val="91"/>
    <w:qFormat/>
    <w:uiPriority w:val="30"/>
    <w:pPr>
      <w:ind w:left="720" w:right="720"/>
    </w:pPr>
    <w:rPr>
      <w:b/>
      <w:i/>
      <w:szCs w:val="22"/>
    </w:rPr>
  </w:style>
  <w:style w:type="character" w:customStyle="1" w:styleId="91">
    <w:name w:val="明显引用 字符"/>
    <w:basedOn w:val="36"/>
    <w:link w:val="90"/>
    <w:qFormat/>
    <w:uiPriority w:val="30"/>
    <w:rPr>
      <w:b/>
      <w:i/>
      <w:sz w:val="24"/>
    </w:rPr>
  </w:style>
  <w:style w:type="character" w:customStyle="1" w:styleId="92">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3">
    <w:name w:val="明显强调1"/>
    <w:basedOn w:val="36"/>
    <w:qFormat/>
    <w:uiPriority w:val="21"/>
    <w:rPr>
      <w:b/>
      <w:i/>
      <w:sz w:val="24"/>
      <w:szCs w:val="24"/>
      <w:u w:val="single"/>
    </w:rPr>
  </w:style>
  <w:style w:type="character" w:customStyle="1" w:styleId="94">
    <w:name w:val="不明显参考1"/>
    <w:basedOn w:val="36"/>
    <w:qFormat/>
    <w:uiPriority w:val="31"/>
    <w:rPr>
      <w:sz w:val="24"/>
      <w:szCs w:val="24"/>
      <w:u w:val="single"/>
    </w:rPr>
  </w:style>
  <w:style w:type="character" w:customStyle="1" w:styleId="95">
    <w:name w:val="明显参考1"/>
    <w:basedOn w:val="36"/>
    <w:qFormat/>
    <w:uiPriority w:val="32"/>
    <w:rPr>
      <w:b/>
      <w:sz w:val="24"/>
      <w:u w:val="single"/>
    </w:rPr>
  </w:style>
  <w:style w:type="character" w:customStyle="1" w:styleId="96">
    <w:name w:val="书籍标题1"/>
    <w:basedOn w:val="36"/>
    <w:qFormat/>
    <w:uiPriority w:val="33"/>
    <w:rPr>
      <w:rFonts w:asciiTheme="majorHAnsi" w:hAnsiTheme="majorHAnsi" w:eastAsiaTheme="majorEastAsia"/>
      <w:b/>
      <w:i/>
      <w:sz w:val="24"/>
      <w:szCs w:val="24"/>
    </w:rPr>
  </w:style>
  <w:style w:type="paragraph" w:customStyle="1" w:styleId="97">
    <w:name w:val="TOC 标题1"/>
    <w:basedOn w:val="3"/>
    <w:next w:val="1"/>
    <w:semiHidden/>
    <w:unhideWhenUsed/>
    <w:qFormat/>
    <w:uiPriority w:val="39"/>
    <w:pPr>
      <w:outlineLvl w:val="9"/>
    </w:pPr>
  </w:style>
  <w:style w:type="character" w:customStyle="1" w:styleId="98">
    <w:name w:val="批注框文本 字符"/>
    <w:basedOn w:val="36"/>
    <w:link w:val="21"/>
    <w:semiHidden/>
    <w:qFormat/>
    <w:uiPriority w:val="99"/>
    <w:rPr>
      <w:sz w:val="18"/>
      <w:szCs w:val="18"/>
    </w:rPr>
  </w:style>
  <w:style w:type="character" w:customStyle="1" w:styleId="99">
    <w:name w:val="批注文字 字符"/>
    <w:basedOn w:val="36"/>
    <w:link w:val="15"/>
    <w:qFormat/>
    <w:uiPriority w:val="99"/>
    <w:rPr>
      <w:rFonts w:ascii="Calibri Light" w:hAnsi="Calibri Light" w:eastAsia="华文仿宋" w:cs="Calibri Light"/>
      <w:kern w:val="2"/>
      <w:sz w:val="28"/>
      <w:szCs w:val="28"/>
    </w:rPr>
  </w:style>
  <w:style w:type="paragraph" w:customStyle="1" w:styleId="100">
    <w:name w:val="@正文"/>
    <w:basedOn w:val="59"/>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01">
    <w:name w:val="@一级小标题"/>
    <w:basedOn w:val="1"/>
    <w:next w:val="100"/>
    <w:qFormat/>
    <w:uiPriority w:val="0"/>
    <w:pPr>
      <w:keepNext/>
      <w:spacing w:before="120" w:after="60"/>
      <w:outlineLvl w:val="2"/>
    </w:pPr>
    <w:rPr>
      <w:rFonts w:ascii="Calibri" w:hAnsi="Calibri" w:eastAsia="黑体"/>
      <w:kern w:val="28"/>
      <w:sz w:val="28"/>
    </w:rPr>
  </w:style>
  <w:style w:type="paragraph" w:customStyle="1" w:styleId="102">
    <w:name w:val="@标题"/>
    <w:basedOn w:val="1"/>
    <w:next w:val="100"/>
    <w:qFormat/>
    <w:uiPriority w:val="0"/>
    <w:pPr>
      <w:keepNext/>
      <w:spacing w:beforeLines="50" w:afterLines="50"/>
      <w:jc w:val="center"/>
      <w:outlineLvl w:val="1"/>
    </w:pPr>
    <w:rPr>
      <w:rFonts w:ascii="Calibri" w:hAnsi="Calibri" w:eastAsia="黑体"/>
      <w:kern w:val="32"/>
      <w:sz w:val="32"/>
    </w:rPr>
  </w:style>
  <w:style w:type="table" w:customStyle="1" w:styleId="103">
    <w:name w:val="网格型1"/>
    <w:basedOn w:val="3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4">
    <w:name w:val="页眉 Char1"/>
    <w:basedOn w:val="36"/>
    <w:semiHidden/>
    <w:qFormat/>
    <w:uiPriority w:val="99"/>
    <w:rPr>
      <w:rFonts w:cs="Calibri Light"/>
      <w:sz w:val="18"/>
      <w:szCs w:val="18"/>
    </w:rPr>
  </w:style>
  <w:style w:type="character" w:customStyle="1" w:styleId="105">
    <w:name w:val="页脚 Char1"/>
    <w:basedOn w:val="36"/>
    <w:semiHidden/>
    <w:qFormat/>
    <w:uiPriority w:val="99"/>
    <w:rPr>
      <w:rFonts w:cs="Calibri Light"/>
      <w:sz w:val="18"/>
      <w:szCs w:val="18"/>
    </w:rPr>
  </w:style>
  <w:style w:type="character" w:customStyle="1" w:styleId="106">
    <w:name w:val="批注主题 字符"/>
    <w:basedOn w:val="99"/>
    <w:link w:val="31"/>
    <w:semiHidden/>
    <w:qFormat/>
    <w:uiPriority w:val="99"/>
    <w:rPr>
      <w:rFonts w:ascii="Calibri Light" w:hAnsi="Calibri Light" w:eastAsia="华文仿宋" w:cs="Calibri Light"/>
      <w:b/>
      <w:bCs/>
      <w:kern w:val="2"/>
      <w:sz w:val="28"/>
      <w:szCs w:val="28"/>
    </w:rPr>
  </w:style>
  <w:style w:type="character" w:customStyle="1" w:styleId="107">
    <w:name w:val="文档结构图 字符"/>
    <w:basedOn w:val="36"/>
    <w:link w:val="14"/>
    <w:semiHidden/>
    <w:qFormat/>
    <w:uiPriority w:val="99"/>
    <w:rPr>
      <w:rFonts w:ascii="宋体" w:hAnsi="Calibri Light" w:eastAsia="宋体" w:cs="Calibri Light"/>
      <w:kern w:val="2"/>
      <w:sz w:val="18"/>
      <w:szCs w:val="18"/>
    </w:rPr>
  </w:style>
  <w:style w:type="character" w:styleId="108">
    <w:name w:val="Placeholder Text"/>
    <w:basedOn w:val="36"/>
    <w:semiHidden/>
    <w:qFormat/>
    <w:uiPriority w:val="99"/>
    <w:rPr>
      <w:color w:val="808080"/>
    </w:rPr>
  </w:style>
  <w:style w:type="character" w:customStyle="1" w:styleId="109">
    <w:name w:val="未处理的提及1"/>
    <w:basedOn w:val="36"/>
    <w:semiHidden/>
    <w:unhideWhenUsed/>
    <w:qFormat/>
    <w:uiPriority w:val="99"/>
    <w:rPr>
      <w:color w:val="605E5C"/>
      <w:shd w:val="clear" w:color="auto" w:fill="E1DFDD"/>
    </w:rPr>
  </w:style>
  <w:style w:type="paragraph" w:customStyle="1" w:styleId="110">
    <w:name w:val="样式1"/>
    <w:basedOn w:val="5"/>
    <w:link w:val="112"/>
    <w:qFormat/>
    <w:uiPriority w:val="0"/>
    <w:pPr>
      <w:jc w:val="left"/>
    </w:pPr>
    <w:rPr>
      <w:rFonts w:eastAsia="楷体"/>
      <w:sz w:val="32"/>
    </w:rPr>
  </w:style>
  <w:style w:type="paragraph" w:customStyle="1" w:styleId="111">
    <w:name w:val="样式2"/>
    <w:basedOn w:val="102"/>
    <w:link w:val="114"/>
    <w:qFormat/>
    <w:uiPriority w:val="0"/>
    <w:pPr>
      <w:spacing w:line="560" w:lineRule="exact"/>
      <w:ind w:firstLine="643" w:firstLineChars="200"/>
      <w:jc w:val="both"/>
    </w:pPr>
    <w:rPr>
      <w:rFonts w:ascii="仿宋_GB2312" w:hAnsi="仿宋" w:eastAsia="仿宋_GB2312"/>
      <w:b/>
      <w:bCs/>
      <w:szCs w:val="32"/>
    </w:rPr>
  </w:style>
  <w:style w:type="character" w:customStyle="1" w:styleId="112">
    <w:name w:val="样式1 字符"/>
    <w:basedOn w:val="76"/>
    <w:link w:val="110"/>
    <w:qFormat/>
    <w:uiPriority w:val="0"/>
    <w:rPr>
      <w:rFonts w:ascii="方正小标宋_GBK" w:hAnsi="仿宋" w:eastAsia="楷体"/>
      <w:sz w:val="32"/>
      <w:szCs w:val="36"/>
    </w:rPr>
  </w:style>
  <w:style w:type="paragraph" w:customStyle="1" w:styleId="113">
    <w:name w:val="样式3"/>
    <w:basedOn w:val="1"/>
    <w:link w:val="115"/>
    <w:qFormat/>
    <w:uiPriority w:val="0"/>
    <w:pPr>
      <w:spacing w:line="560" w:lineRule="exact"/>
      <w:jc w:val="center"/>
    </w:pPr>
    <w:rPr>
      <w:rFonts w:ascii="方正小标宋_GBK" w:hAnsi="仿宋" w:eastAsia="方正小标宋_GBK"/>
      <w:sz w:val="36"/>
      <w:szCs w:val="36"/>
    </w:rPr>
  </w:style>
  <w:style w:type="character" w:customStyle="1" w:styleId="114">
    <w:name w:val="样式2 字符"/>
    <w:basedOn w:val="36"/>
    <w:link w:val="111"/>
    <w:qFormat/>
    <w:uiPriority w:val="0"/>
    <w:rPr>
      <w:rFonts w:ascii="仿宋_GB2312" w:hAnsi="仿宋" w:eastAsia="仿宋_GB2312"/>
      <w:b/>
      <w:bCs/>
      <w:kern w:val="32"/>
      <w:sz w:val="32"/>
      <w:szCs w:val="32"/>
    </w:rPr>
  </w:style>
  <w:style w:type="character" w:customStyle="1" w:styleId="115">
    <w:name w:val="样式3 字符"/>
    <w:basedOn w:val="36"/>
    <w:link w:val="113"/>
    <w:qFormat/>
    <w:uiPriority w:val="0"/>
    <w:rPr>
      <w:rFonts w:ascii="方正小标宋_GBK" w:hAnsi="仿宋" w:eastAsia="方正小标宋_GBK"/>
      <w:sz w:val="36"/>
      <w:szCs w:val="36"/>
    </w:rPr>
  </w:style>
  <w:style w:type="paragraph" w:customStyle="1" w:styleId="116">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17">
    <w:name w:val="Table Paragraph"/>
    <w:basedOn w:val="1"/>
    <w:qFormat/>
    <w:uiPriority w:val="1"/>
  </w:style>
  <w:style w:type="paragraph" w:customStyle="1" w:styleId="118">
    <w:name w:val="纯文本1"/>
    <w:basedOn w:val="1"/>
    <w:qFormat/>
    <w:uiPriority w:val="0"/>
    <w:rPr>
      <w:rFonts w:ascii="宋体" w:hAnsi="Courier New" w:eastAsia="宋体"/>
      <w:szCs w:val="22"/>
    </w:rPr>
  </w:style>
  <w:style w:type="paragraph" w:customStyle="1" w:styleId="119">
    <w:name w:val="WPSOffice手动目录 1"/>
    <w:qFormat/>
    <w:uiPriority w:val="0"/>
    <w:rPr>
      <w:rFonts w:ascii="Times New Roman" w:hAnsi="Times New Roman" w:eastAsia="宋体" w:cs="Times New Roman"/>
      <w:lang w:val="en-US" w:eastAsia="zh-CN" w:bidi="ar-SA"/>
    </w:rPr>
  </w:style>
  <w:style w:type="paragraph" w:customStyle="1" w:styleId="1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2">
    <w:name w:val="mini-outputtext1"/>
    <w:basedOn w:val="36"/>
    <w:qFormat/>
    <w:uiPriority w:val="0"/>
  </w:style>
  <w:style w:type="paragraph" w:customStyle="1" w:styleId="123">
    <w:name w:val="KS表格"/>
    <w:basedOn w:val="1"/>
    <w:qFormat/>
    <w:uiPriority w:val="0"/>
    <w:pPr>
      <w:spacing w:line="300" w:lineRule="auto"/>
    </w:pPr>
    <w:rPr>
      <w:rFonts w:ascii="Times New Roman" w:hAnsi="Times New Roman" w:cs="黑体"/>
    </w:rPr>
  </w:style>
  <w:style w:type="paragraph" w:customStyle="1" w:styleId="124">
    <w:name w:val="列出段落1"/>
    <w:basedOn w:val="1"/>
    <w:qFormat/>
    <w:uiPriority w:val="34"/>
    <w:pPr>
      <w:ind w:firstLine="420" w:firstLineChars="200"/>
    </w:pPr>
    <w:rPr>
      <w:rFonts w:ascii="Calibri" w:hAnsi="Calibri"/>
    </w:rPr>
  </w:style>
  <w:style w:type="paragraph" w:customStyle="1" w:styleId="125">
    <w:name w:val="修订1"/>
    <w:hidden/>
    <w:semiHidden/>
    <w:qFormat/>
    <w:uiPriority w:val="99"/>
    <w:rPr>
      <w:rFonts w:cs="Times New Roman" w:asciiTheme="minorHAnsi" w:hAnsiTheme="minorHAnsi" w:eastAsiaTheme="minorEastAsia"/>
      <w:sz w:val="24"/>
      <w:szCs w:val="24"/>
      <w:lang w:val="en-US" w:eastAsia="zh-CN" w:bidi="ar-SA"/>
    </w:rPr>
  </w:style>
  <w:style w:type="paragraph" w:customStyle="1" w:styleId="126">
    <w:name w:val="样式 10 磅31114"/>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8">
    <w:name w:val="font11"/>
    <w:basedOn w:val="36"/>
    <w:qFormat/>
    <w:uiPriority w:val="0"/>
    <w:rPr>
      <w:rFonts w:hint="eastAsia" w:ascii="宋体" w:hAnsi="宋体" w:eastAsia="宋体" w:cs="宋体"/>
      <w:color w:val="auto"/>
      <w:sz w:val="21"/>
      <w:szCs w:val="21"/>
    </w:rPr>
  </w:style>
  <w:style w:type="character" w:customStyle="1" w:styleId="129">
    <w:name w:val="font21"/>
    <w:basedOn w:val="36"/>
    <w:qFormat/>
    <w:uiPriority w:val="0"/>
    <w:rPr>
      <w:rFonts w:ascii="Calibri" w:hAnsi="Calibri" w:cs="Calibri"/>
      <w:color w:val="auto"/>
      <w:sz w:val="21"/>
      <w:szCs w:val="21"/>
    </w:rPr>
  </w:style>
  <w:style w:type="character" w:customStyle="1" w:styleId="130">
    <w:name w:val="font31"/>
    <w:basedOn w:val="36"/>
    <w:qFormat/>
    <w:uiPriority w:val="0"/>
    <w:rPr>
      <w:rFonts w:hint="eastAsia" w:ascii="宋体" w:hAnsi="宋体" w:eastAsia="宋体" w:cs="宋体"/>
      <w:color w:val="auto"/>
      <w:sz w:val="24"/>
      <w:szCs w:val="24"/>
    </w:rPr>
  </w:style>
  <w:style w:type="paragraph" w:customStyle="1" w:styleId="131">
    <w:name w:val="p2"/>
    <w:basedOn w:val="1"/>
    <w:qFormat/>
    <w:uiPriority w:val="0"/>
    <w:rPr>
      <w:rFonts w:ascii="Helvetica Neue" w:hAnsi="Helvetica Neue" w:eastAsia="Helvetica Neue"/>
      <w:sz w:val="26"/>
      <w:szCs w:val="26"/>
    </w:rPr>
  </w:style>
  <w:style w:type="paragraph" w:customStyle="1" w:styleId="132">
    <w:name w:val="首行缩进正文"/>
    <w:basedOn w:val="1"/>
    <w:qFormat/>
    <w:uiPriority w:val="0"/>
    <w:pPr>
      <w:spacing w:line="360" w:lineRule="auto"/>
      <w:ind w:firstLine="480" w:firstLineChars="200"/>
    </w:pPr>
    <w:rPr>
      <w:rFonts w:eastAsia="仿宋"/>
      <w:color w:val="000000"/>
      <w:sz w:val="32"/>
    </w:rPr>
  </w:style>
  <w:style w:type="paragraph" w:customStyle="1" w:styleId="133">
    <w:name w:val="msonospacing"/>
    <w:basedOn w:val="1"/>
    <w:qFormat/>
    <w:uiPriority w:val="0"/>
    <w:pPr>
      <w:widowControl w:val="0"/>
      <w:spacing w:line="360" w:lineRule="auto"/>
    </w:pPr>
    <w:rPr>
      <w:rFonts w:ascii="Calibri" w:hAnsi="Calibri" w:eastAsia="宋体"/>
      <w:kern w:val="2"/>
      <w:szCs w:val="22"/>
    </w:rPr>
  </w:style>
  <w:style w:type="paragraph" w:customStyle="1" w:styleId="134">
    <w:name w:val="无间距1"/>
    <w:qFormat/>
    <w:uiPriority w:val="0"/>
    <w:pPr>
      <w:widowControl w:val="0"/>
      <w:jc w:val="both"/>
    </w:pPr>
    <w:rPr>
      <w:rFonts w:ascii="Calibri" w:hAnsi="Calibri" w:eastAsia="宋体" w:cs="Times New Roman"/>
      <w:kern w:val="2"/>
      <w:sz w:val="21"/>
      <w:szCs w:val="22"/>
      <w:lang w:val="en-US" w:eastAsia="zh-CN" w:bidi="ar-SA"/>
    </w:rPr>
  </w:style>
  <w:style w:type="table" w:customStyle="1" w:styleId="135">
    <w:name w:val="TableGrid"/>
    <w:qFormat/>
    <w:uiPriority w:val="0"/>
    <w:rPr>
      <w:rFonts w:ascii="等线" w:hAnsi="等线" w:eastAsia="等线"/>
    </w:rPr>
    <w:tblPr>
      <w:tblCellMar>
        <w:top w:w="0" w:type="dxa"/>
        <w:left w:w="0" w:type="dxa"/>
        <w:bottom w:w="0" w:type="dxa"/>
        <w:right w:w="0" w:type="dxa"/>
      </w:tblCellMar>
    </w:tblPr>
  </w:style>
  <w:style w:type="paragraph" w:customStyle="1" w:styleId="136">
    <w:name w:val="p1"/>
    <w:basedOn w:val="1"/>
    <w:qFormat/>
    <w:uiPriority w:val="0"/>
    <w:pPr>
      <w:jc w:val="both"/>
    </w:pPr>
    <w:rPr>
      <w:rFonts w:ascii="Helvetica Neue" w:hAnsi="Helvetica Neue" w:eastAsia="Helvetica Neue"/>
      <w:sz w:val="26"/>
      <w:szCs w:val="26"/>
    </w:rPr>
  </w:style>
  <w:style w:type="paragraph" w:customStyle="1" w:styleId="137">
    <w:name w:val="修订2"/>
    <w:hidden/>
    <w:unhideWhenUsed/>
    <w:qFormat/>
    <w:uiPriority w:val="99"/>
    <w:rPr>
      <w:rFonts w:cs="Times New Roman" w:asciiTheme="minorHAnsi" w:hAnsiTheme="minorHAnsi" w:eastAsiaTheme="minorEastAsia"/>
      <w:sz w:val="24"/>
      <w:szCs w:val="24"/>
      <w:lang w:val="en-US" w:eastAsia="zh-CN" w:bidi="ar-SA"/>
    </w:rPr>
  </w:style>
  <w:style w:type="paragraph" w:customStyle="1" w:styleId="138">
    <w:name w:val="修订3"/>
    <w:hidden/>
    <w:semiHidden/>
    <w:qFormat/>
    <w:uiPriority w:val="99"/>
    <w:rPr>
      <w:rFonts w:cs="Times New Roman" w:asciiTheme="minorHAnsi" w:hAnsiTheme="minorHAnsi" w:eastAsiaTheme="minorEastAsia"/>
      <w:sz w:val="24"/>
      <w:szCs w:val="24"/>
      <w:lang w:val="en-US" w:eastAsia="zh-CN" w:bidi="ar-SA"/>
    </w:rPr>
  </w:style>
  <w:style w:type="paragraph" w:customStyle="1" w:styleId="139">
    <w:name w:val="样式 10 磅"/>
    <w:qFormat/>
    <w:uiPriority w:val="0"/>
    <w:pPr>
      <w:widowControl w:val="0"/>
      <w:jc w:val="both"/>
    </w:pPr>
    <w:rPr>
      <w:rFonts w:ascii="宋体" w:hAnsi="宋体" w:eastAsia="Times New Roman" w:cs="Times New Roman"/>
      <w:kern w:val="2"/>
      <w:sz w:val="21"/>
      <w:szCs w:val="24"/>
      <w:lang w:val="en-US" w:eastAsia="zh-CN" w:bidi="ar-SA"/>
    </w:rPr>
  </w:style>
  <w:style w:type="character" w:customStyle="1" w:styleId="140">
    <w:name w:val="font41"/>
    <w:basedOn w:val="36"/>
    <w:qFormat/>
    <w:uiPriority w:val="0"/>
    <w:rPr>
      <w:rFonts w:hint="eastAsia" w:ascii="仿宋" w:hAnsi="仿宋" w:eastAsia="仿宋" w:cs="仿宋"/>
      <w:color w:val="FF0000"/>
      <w:sz w:val="24"/>
      <w:szCs w:val="24"/>
      <w:u w:val="none"/>
    </w:rPr>
  </w:style>
  <w:style w:type="paragraph" w:customStyle="1" w:styleId="141">
    <w:name w:val="样式 标题 4 + Times New Roman 行距: 单倍行距"/>
    <w:basedOn w:val="2"/>
    <w:qFormat/>
    <w:uiPriority w:val="0"/>
    <w:pPr>
      <w:tabs>
        <w:tab w:val="left" w:pos="204"/>
      </w:tabs>
      <w:spacing w:line="240" w:lineRule="auto"/>
    </w:pPr>
    <w:rPr>
      <w:rFonts w:ascii="Times New Roman" w:hAnsi="Times New Roman"/>
      <w:szCs w:val="20"/>
    </w:rPr>
  </w:style>
  <w:style w:type="paragraph" w:customStyle="1" w:styleId="142">
    <w:name w:val="表格(五号)"/>
    <w:basedOn w:val="1"/>
    <w:qFormat/>
    <w:uiPriority w:val="0"/>
    <w:pPr>
      <w:adjustRightInd w:val="0"/>
      <w:snapToGrid w:val="0"/>
      <w:ind w:left="11"/>
      <w:jc w:val="center"/>
    </w:pPr>
    <w:rPr>
      <w:rFonts w:ascii="Times New Roman" w:hAnsi="Times New Roman" w:eastAsia="宋体"/>
      <w:sz w:val="21"/>
      <w:szCs w:val="20"/>
    </w:rPr>
  </w:style>
  <w:style w:type="paragraph" w:customStyle="1" w:styleId="143">
    <w:name w:val="段"/>
    <w:qFormat/>
    <w:uiPriority w:val="0"/>
    <w:pPr>
      <w:autoSpaceDE w:val="0"/>
      <w:autoSpaceDN w:val="0"/>
      <w:spacing w:after="200" w:line="276" w:lineRule="auto"/>
      <w:ind w:firstLine="200" w:firstLineChars="200"/>
      <w:jc w:val="both"/>
    </w:pPr>
    <w:rPr>
      <w:rFonts w:ascii="宋体" w:hAnsi="Cambria"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180</Pages>
  <Words>7361</Words>
  <Characters>8531</Characters>
  <Lines>358</Lines>
  <Paragraphs>101</Paragraphs>
  <TotalTime>20</TotalTime>
  <ScaleCrop>false</ScaleCrop>
  <LinksUpToDate>false</LinksUpToDate>
  <CharactersWithSpaces>8606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2024-10-24T09:43:00Z</dcterms:created>
  <dc:creator>lenovo</dc:creator>
  <cp:lastModifiedBy>十五</cp:lastModifiedBy>
  <cp:lastPrinted>2023-10-19T09:03:00Z</cp:lastPrinted>
  <dcterms:modified xsi:type="dcterms:W3CDTF">2024-11-28T03:43:26Z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C5A81C418CF0448BBC4735EE65E62375_13</vt:lpwstr>
  </property>
  <property fmtid="{D5CDD505-2E9C-101B-9397-08002B2CF9AE}" pid="4" name="_2015_ms_pID_725343">
    <vt:lpwstr>(2)Ld/F/xCdOnIYEp6WmHyK1Tk5EgNHHSrY0yCH8gBXfunpjyx33zy5IVTpQUQQSyyePWHuinsv
pfZ3vStwGKpGecm04uUjsHGBQ7Y44tUSvdmDCJuVbUnqNtISLhONabXRmnbIWIMXPrUr0A69
33wMtmcrk4KkjZ8gnyfA0Q6Xrl75RF3VpI02ViaYcW8ZRZkVQMiaAwlhkVrvN1EQazi4jJNQ
roKx1AnANr4A+HsMRM</vt:lpwstr>
  </property>
  <property fmtid="{D5CDD505-2E9C-101B-9397-08002B2CF9AE}" pid="5" name="_2015_ms_pID_7253431">
    <vt:lpwstr>DsEsb+6d3I97sIiaJ5bjcmSLbk5kEzHzh1frQqnXB0Av+2Ta75mUAq
UiBL3suLV0zs6lwhHLH9247yCn8oIemrXnt/ItkIFX0MPMpuGINu8FoPRId60SLq3/VyaZXo
92nWrp6SrBhTvGAPOh4rf+K1sah3yR3be1lPf446ggQ+Le7WEGo0s9Q2Jf5ewUfIe4glChCr
1gWTI9AkWg8PsbAX</vt:lpwstr>
  </property>
</Properties>
</file>