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A70187">
      <w:pPr>
        <w:jc w:val="right"/>
        <w:outlineLvl w:val="0"/>
        <w:rPr>
          <w:rFonts w:ascii="宋体" w:hAnsi="宋体" w:eastAsia="宋体" w:cs="宋体"/>
          <w:b/>
          <w:color w:val="000000" w:themeColor="text1"/>
          <w:sz w:val="32"/>
          <w:szCs w:val="32"/>
          <w:highlight w:val="none"/>
          <w:bdr w:val="single" w:color="auto" w:sz="4" w:space="0"/>
          <w:shd w:val="pct10" w:color="auto" w:fill="FFFFFF"/>
          <w14:textFill>
            <w14:solidFill>
              <w14:schemeClr w14:val="tx1"/>
            </w14:solidFill>
          </w14:textFill>
        </w:rPr>
      </w:pPr>
      <w:bookmarkStart w:id="0" w:name="_Toc9587"/>
      <w:r>
        <w:rPr>
          <w:rFonts w:hint="eastAsia" w:ascii="宋体" w:hAnsi="宋体" w:eastAsia="宋体" w:cs="宋体"/>
          <w:b/>
          <w:color w:val="000000" w:themeColor="text1"/>
          <w:sz w:val="32"/>
          <w:szCs w:val="32"/>
          <w:highlight w:val="none"/>
          <w:bdr w:val="single" w:color="auto" w:sz="4" w:space="0"/>
          <w:shd w:val="pct10" w:color="auto" w:fill="FFFFFF"/>
          <w14:textFill>
            <w14:solidFill>
              <w14:schemeClr w14:val="tx1"/>
            </w14:solidFill>
          </w14:textFill>
        </w:rPr>
        <w:t>政府采购项目</w:t>
      </w:r>
      <w:bookmarkEnd w:id="0"/>
    </w:p>
    <w:p w14:paraId="42C4FF77">
      <w:pPr>
        <w:spacing w:line="560" w:lineRule="exact"/>
        <w:rPr>
          <w:rFonts w:ascii="宋体" w:hAnsi="宋体" w:eastAsia="宋体" w:cs="宋体"/>
          <w:b/>
          <w:bCs/>
          <w:color w:val="000000" w:themeColor="text1"/>
          <w:sz w:val="32"/>
          <w:szCs w:val="32"/>
          <w:highlight w:val="none"/>
          <w14:textFill>
            <w14:solidFill>
              <w14:schemeClr w14:val="tx1"/>
            </w14:solidFill>
          </w14:textFill>
        </w:rPr>
      </w:pPr>
    </w:p>
    <w:p w14:paraId="6C3D3927">
      <w:pPr>
        <w:bidi w:val="0"/>
        <w:rPr>
          <w:rFonts w:hint="eastAsia" w:ascii="宋体" w:hAnsi="宋体" w:eastAsia="宋体" w:cs="宋体"/>
          <w:b/>
          <w:bCs/>
          <w:sz w:val="32"/>
          <w:szCs w:val="32"/>
          <w:lang w:eastAsia="zh-CN"/>
        </w:rPr>
      </w:pPr>
      <w:r>
        <w:rPr>
          <w:rFonts w:hint="eastAsia" w:ascii="宋体" w:hAnsi="宋体" w:eastAsia="宋体" w:cs="宋体"/>
          <w:b/>
          <w:bCs/>
          <w:sz w:val="32"/>
          <w:szCs w:val="32"/>
        </w:rPr>
        <w:t>项目编号：</w:t>
      </w:r>
      <w:r>
        <w:rPr>
          <w:rFonts w:hint="eastAsia" w:ascii="宋体" w:hAnsi="宋体" w:eastAsia="宋体" w:cs="宋体"/>
          <w:b/>
          <w:bCs/>
          <w:sz w:val="32"/>
          <w:szCs w:val="32"/>
          <w:lang w:eastAsia="zh-CN"/>
        </w:rPr>
        <w:t>ZHPM-ZC-</w:t>
      </w:r>
      <w:r>
        <w:rPr>
          <w:rFonts w:hint="eastAsia" w:ascii="宋体" w:hAnsi="宋体" w:cs="宋体"/>
          <w:b/>
          <w:bCs/>
          <w:sz w:val="32"/>
          <w:szCs w:val="32"/>
          <w:lang w:eastAsia="zh-CN"/>
        </w:rPr>
        <w:t>24746</w:t>
      </w:r>
    </w:p>
    <w:p w14:paraId="2662BDA0">
      <w:pPr>
        <w:jc w:val="both"/>
        <w:rPr>
          <w:rFonts w:ascii="宋体" w:hAnsi="宋体" w:eastAsia="宋体" w:cs="宋体"/>
          <w:color w:val="000000" w:themeColor="text1"/>
          <w:sz w:val="56"/>
          <w:szCs w:val="56"/>
          <w:highlight w:val="none"/>
          <w14:textFill>
            <w14:solidFill>
              <w14:schemeClr w14:val="tx1"/>
            </w14:solidFill>
          </w14:textFill>
        </w:rPr>
      </w:pPr>
    </w:p>
    <w:p w14:paraId="76D5D3FC">
      <w:pPr>
        <w:bidi w:val="0"/>
        <w:ind w:left="0" w:leftChars="0" w:right="0" w:rightChars="0" w:firstLine="0" w:firstLineChars="0"/>
        <w:jc w:val="center"/>
        <w:rPr>
          <w:rFonts w:hint="eastAsia"/>
          <w:b/>
          <w:bCs/>
          <w:sz w:val="52"/>
          <w:szCs w:val="52"/>
          <w:lang w:eastAsia="zh-CN"/>
        </w:rPr>
      </w:pPr>
      <w:r>
        <w:rPr>
          <w:rFonts w:hint="eastAsia"/>
          <w:b/>
          <w:bCs/>
          <w:sz w:val="52"/>
          <w:szCs w:val="52"/>
        </w:rPr>
        <w:t>西安铁路职业技术学院</w:t>
      </w:r>
      <w:r>
        <w:rPr>
          <w:rFonts w:hint="eastAsia"/>
          <w:b/>
          <w:bCs/>
          <w:sz w:val="52"/>
          <w:szCs w:val="52"/>
          <w:lang w:eastAsia="zh-CN"/>
        </w:rPr>
        <w:t>教学及管理服务系统改造</w:t>
      </w:r>
    </w:p>
    <w:p w14:paraId="3242B632">
      <w:pPr>
        <w:pStyle w:val="25"/>
        <w:rPr>
          <w:rFonts w:hint="eastAsia"/>
          <w:lang w:eastAsia="zh-CN"/>
        </w:rPr>
      </w:pPr>
    </w:p>
    <w:p w14:paraId="6E21562F">
      <w:pPr>
        <w:bidi w:val="0"/>
        <w:spacing w:line="360" w:lineRule="auto"/>
        <w:ind w:left="0" w:leftChars="0" w:right="0" w:rightChars="0" w:firstLine="0" w:firstLineChars="0"/>
        <w:jc w:val="center"/>
        <w:rPr>
          <w:rFonts w:hint="eastAsia" w:ascii="宋体" w:hAnsi="宋体" w:eastAsia="宋体" w:cs="宋体"/>
          <w:b/>
          <w:bCs/>
          <w:sz w:val="52"/>
          <w:szCs w:val="52"/>
          <w:lang w:val="zh-CN" w:eastAsia="zh-CN"/>
        </w:rPr>
      </w:pPr>
      <w:r>
        <w:rPr>
          <w:rFonts w:hint="eastAsia" w:ascii="宋体" w:hAnsi="宋体" w:eastAsia="宋体" w:cs="宋体"/>
          <w:b/>
          <w:bCs/>
          <w:sz w:val="52"/>
          <w:szCs w:val="52"/>
          <w:lang w:val="en-US" w:eastAsia="zh-CN"/>
        </w:rPr>
        <w:t>招标</w:t>
      </w:r>
      <w:r>
        <w:rPr>
          <w:rFonts w:hint="eastAsia" w:ascii="宋体" w:hAnsi="宋体" w:eastAsia="宋体" w:cs="宋体"/>
          <w:b/>
          <w:bCs/>
          <w:sz w:val="52"/>
          <w:szCs w:val="52"/>
          <w:lang w:val="zh-CN" w:eastAsia="zh-CN"/>
        </w:rPr>
        <w:t>文件</w:t>
      </w:r>
    </w:p>
    <w:p w14:paraId="5EE1F0BB">
      <w:pPr>
        <w:tabs>
          <w:tab w:val="left" w:pos="5670"/>
        </w:tabs>
        <w:autoSpaceDE w:val="0"/>
        <w:autoSpaceDN w:val="0"/>
        <w:adjustRightInd w:val="0"/>
        <w:snapToGrid w:val="0"/>
        <w:spacing w:line="360" w:lineRule="auto"/>
        <w:jc w:val="center"/>
        <w:rPr>
          <w:rFonts w:hint="eastAsia" w:ascii="宋体" w:hAnsi="宋体" w:eastAsia="宋体" w:cs="宋体"/>
          <w:sz w:val="50"/>
          <w:szCs w:val="50"/>
        </w:rPr>
      </w:pPr>
    </w:p>
    <w:p w14:paraId="0D9FB217">
      <w:pPr>
        <w:tabs>
          <w:tab w:val="left" w:pos="5670"/>
        </w:tabs>
        <w:autoSpaceDE w:val="0"/>
        <w:autoSpaceDN w:val="0"/>
        <w:adjustRightInd w:val="0"/>
        <w:snapToGrid w:val="0"/>
        <w:spacing w:line="360" w:lineRule="auto"/>
        <w:jc w:val="center"/>
        <w:rPr>
          <w:rFonts w:hint="eastAsia" w:ascii="宋体" w:hAnsi="宋体" w:eastAsia="宋体" w:cs="宋体"/>
          <w:sz w:val="50"/>
          <w:szCs w:val="50"/>
        </w:rPr>
      </w:pPr>
      <w:r>
        <w:rPr>
          <w:rFonts w:hint="eastAsia" w:ascii="宋体" w:hAnsi="宋体" w:eastAsia="宋体" w:cs="宋体"/>
        </w:rPr>
        <w:drawing>
          <wp:inline distT="0" distB="0" distL="114300" distR="114300">
            <wp:extent cx="1581785" cy="1443355"/>
            <wp:effectExtent l="0" t="0" r="1841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stretch>
                      <a:fillRect/>
                    </a:stretch>
                  </pic:blipFill>
                  <pic:spPr>
                    <a:xfrm>
                      <a:off x="0" y="0"/>
                      <a:ext cx="1581785" cy="1443355"/>
                    </a:xfrm>
                    <a:prstGeom prst="rect">
                      <a:avLst/>
                    </a:prstGeom>
                    <a:noFill/>
                    <a:ln>
                      <a:noFill/>
                    </a:ln>
                  </pic:spPr>
                </pic:pic>
              </a:graphicData>
            </a:graphic>
          </wp:inline>
        </w:drawing>
      </w:r>
    </w:p>
    <w:p w14:paraId="4F886F50">
      <w:pPr>
        <w:bidi w:val="0"/>
        <w:spacing w:line="360" w:lineRule="auto"/>
        <w:rPr>
          <w:rFonts w:hint="eastAsia" w:ascii="宋体" w:hAnsi="宋体" w:eastAsia="宋体" w:cs="宋体"/>
        </w:rPr>
      </w:pPr>
    </w:p>
    <w:p w14:paraId="0C360E52">
      <w:pPr>
        <w:tabs>
          <w:tab w:val="left" w:pos="5670"/>
        </w:tabs>
        <w:autoSpaceDE w:val="0"/>
        <w:autoSpaceDN w:val="0"/>
        <w:adjustRightInd w:val="0"/>
        <w:spacing w:line="360" w:lineRule="auto"/>
        <w:ind w:left="0" w:leftChars="0" w:right="0" w:rightChars="0" w:firstLine="0" w:firstLineChars="0"/>
        <w:jc w:val="center"/>
        <w:rPr>
          <w:rFonts w:hint="eastAsia" w:ascii="宋体" w:hAnsi="宋体" w:eastAsia="宋体" w:cs="宋体"/>
          <w:b/>
          <w:bCs/>
          <w:sz w:val="32"/>
          <w:szCs w:val="32"/>
          <w:lang w:val="en-US" w:eastAsia="zh-CN"/>
        </w:rPr>
      </w:pPr>
      <w:r>
        <w:rPr>
          <w:rFonts w:hint="eastAsia" w:ascii="宋体" w:hAnsi="宋体" w:eastAsia="宋体" w:cs="宋体"/>
          <w:b/>
          <w:bCs/>
          <w:sz w:val="32"/>
          <w:szCs w:val="32"/>
        </w:rPr>
        <w:t>采购人：</w:t>
      </w:r>
      <w:r>
        <w:rPr>
          <w:rFonts w:hint="eastAsia" w:ascii="宋体" w:hAnsi="宋体" w:eastAsia="宋体" w:cs="宋体"/>
          <w:b/>
          <w:bCs/>
          <w:sz w:val="32"/>
          <w:szCs w:val="32"/>
          <w:lang w:val="en-US" w:eastAsia="zh-CN"/>
        </w:rPr>
        <w:t>西安铁路职业技术学院</w:t>
      </w:r>
    </w:p>
    <w:p w14:paraId="06E22BB3">
      <w:pPr>
        <w:tabs>
          <w:tab w:val="left" w:pos="5670"/>
        </w:tabs>
        <w:autoSpaceDE w:val="0"/>
        <w:autoSpaceDN w:val="0"/>
        <w:adjustRightInd w:val="0"/>
        <w:spacing w:line="360" w:lineRule="auto"/>
        <w:ind w:left="0" w:leftChars="0" w:right="0" w:rightChars="0" w:firstLine="0" w:firstLineChars="0"/>
        <w:jc w:val="center"/>
        <w:rPr>
          <w:rFonts w:hint="eastAsia" w:ascii="宋体" w:hAnsi="宋体" w:eastAsia="宋体" w:cs="宋体"/>
          <w:b/>
          <w:bCs/>
          <w:sz w:val="32"/>
          <w:szCs w:val="32"/>
        </w:rPr>
      </w:pPr>
      <w:r>
        <w:rPr>
          <w:rFonts w:hint="eastAsia" w:ascii="宋体" w:hAnsi="宋体" w:eastAsia="宋体" w:cs="宋体"/>
          <w:b/>
          <w:bCs/>
          <w:sz w:val="32"/>
          <w:szCs w:val="32"/>
          <w:lang w:val="en-US" w:eastAsia="zh-CN"/>
        </w:rPr>
        <w:t>采购</w:t>
      </w:r>
      <w:r>
        <w:rPr>
          <w:rFonts w:hint="eastAsia" w:ascii="宋体" w:hAnsi="宋体" w:eastAsia="宋体" w:cs="宋体"/>
          <w:b/>
          <w:bCs/>
          <w:sz w:val="32"/>
          <w:szCs w:val="32"/>
        </w:rPr>
        <w:t>代理机构：中昊项目管理有限公司</w:t>
      </w:r>
    </w:p>
    <w:p w14:paraId="49D95D10">
      <w:pPr>
        <w:tabs>
          <w:tab w:val="left" w:pos="5670"/>
        </w:tabs>
        <w:autoSpaceDE w:val="0"/>
        <w:autoSpaceDN w:val="0"/>
        <w:adjustRightInd w:val="0"/>
        <w:spacing w:line="360" w:lineRule="auto"/>
        <w:ind w:left="0" w:leftChars="0" w:right="0" w:rightChars="0" w:firstLine="0" w:firstLineChars="0"/>
        <w:jc w:val="center"/>
        <w:rPr>
          <w:rFonts w:hint="eastAsia" w:ascii="宋体" w:hAnsi="宋体" w:eastAsia="宋体" w:cs="宋体"/>
          <w:b/>
          <w:bCs/>
          <w:sz w:val="32"/>
          <w:szCs w:val="32"/>
          <w:lang w:val="zh-CN" w:eastAsia="zh-CN"/>
        </w:rPr>
      </w:pPr>
      <w:r>
        <w:rPr>
          <w:rFonts w:hint="eastAsia" w:ascii="宋体" w:hAnsi="宋体" w:eastAsia="宋体" w:cs="宋体"/>
          <w:b/>
          <w:bCs/>
          <w:sz w:val="32"/>
          <w:szCs w:val="32"/>
          <w:lang w:val="zh-CN" w:eastAsia="zh-CN"/>
        </w:rPr>
        <w:t>二〇二</w:t>
      </w:r>
      <w:r>
        <w:rPr>
          <w:rFonts w:hint="eastAsia" w:ascii="宋体" w:hAnsi="宋体" w:cs="宋体"/>
          <w:b/>
          <w:bCs/>
          <w:sz w:val="32"/>
          <w:szCs w:val="32"/>
          <w:lang w:val="en-US" w:eastAsia="zh-CN"/>
        </w:rPr>
        <w:t>四</w:t>
      </w:r>
      <w:r>
        <w:rPr>
          <w:rFonts w:hint="eastAsia" w:ascii="宋体" w:hAnsi="宋体" w:eastAsia="宋体" w:cs="宋体"/>
          <w:b/>
          <w:bCs/>
          <w:sz w:val="32"/>
          <w:szCs w:val="32"/>
          <w:lang w:val="zh-CN" w:eastAsia="zh-CN"/>
        </w:rPr>
        <w:t>年</w:t>
      </w:r>
      <w:r>
        <w:rPr>
          <w:rFonts w:hint="eastAsia" w:ascii="宋体" w:hAnsi="宋体" w:cs="宋体"/>
          <w:b/>
          <w:bCs/>
          <w:sz w:val="32"/>
          <w:szCs w:val="32"/>
          <w:lang w:val="en-US" w:eastAsia="zh-CN"/>
        </w:rPr>
        <w:t>十一</w:t>
      </w:r>
      <w:r>
        <w:rPr>
          <w:rFonts w:hint="eastAsia" w:ascii="宋体" w:hAnsi="宋体" w:eastAsia="宋体" w:cs="宋体"/>
          <w:b/>
          <w:bCs/>
          <w:sz w:val="32"/>
          <w:szCs w:val="32"/>
          <w:lang w:val="zh-CN" w:eastAsia="zh-CN"/>
        </w:rPr>
        <w:t>月</w:t>
      </w:r>
    </w:p>
    <w:p w14:paraId="0E49963B">
      <w:pPr>
        <w:rPr>
          <w:rFonts w:hint="eastAsia"/>
          <w:lang w:val="en-US" w:eastAsia="zh-CN"/>
        </w:rPr>
        <w:sectPr>
          <w:headerReference r:id="rId5" w:type="default"/>
          <w:pgSz w:w="11906" w:h="16838"/>
          <w:pgMar w:top="1440" w:right="1080" w:bottom="1440" w:left="1080" w:header="851" w:footer="992" w:gutter="0"/>
          <w:pgNumType w:fmt="decimal" w:start="1"/>
          <w:cols w:space="720" w:num="1"/>
          <w:docGrid w:type="lines" w:linePitch="312" w:charSpace="0"/>
        </w:sectPr>
      </w:pPr>
    </w:p>
    <w:sdt>
      <w:sdtPr>
        <w:rPr>
          <w:rFonts w:ascii="宋体" w:hAnsi="宋体" w:eastAsia="宋体" w:cs="Times New Roman"/>
          <w:b/>
          <w:bCs/>
          <w:sz w:val="32"/>
          <w:szCs w:val="32"/>
          <w:lang w:val="en-US" w:eastAsia="zh-CN" w:bidi="ar-SA"/>
        </w:rPr>
        <w:id w:val="147456727"/>
        <w15:color w:val="DBDBDB"/>
        <w:docPartObj>
          <w:docPartGallery w:val="Table of Contents"/>
          <w:docPartUnique/>
        </w:docPartObj>
      </w:sdtPr>
      <w:sdtEndPr>
        <w:rPr>
          <w:rFonts w:hint="eastAsia" w:ascii="宋体" w:hAnsi="宋体" w:eastAsia="宋体" w:cs="宋体"/>
          <w:b/>
          <w:bCs/>
          <w:color w:val="000000" w:themeColor="text1"/>
          <w:sz w:val="44"/>
          <w:szCs w:val="44"/>
          <w:highlight w:val="none"/>
          <w:lang w:val="en-US" w:eastAsia="zh-CN" w:bidi="ar-SA"/>
          <w14:textFill>
            <w14:solidFill>
              <w14:schemeClr w14:val="tx1"/>
            </w14:solidFill>
          </w14:textFill>
        </w:rPr>
      </w:sdtEndPr>
      <w:sdtContent>
        <w:p w14:paraId="6CD1A980">
          <w:pPr>
            <w:spacing w:before="0" w:beforeLines="0" w:after="0" w:afterLines="0" w:line="240" w:lineRule="auto"/>
            <w:ind w:left="0" w:leftChars="0" w:right="0" w:rightChars="0" w:firstLine="0" w:firstLineChars="0"/>
            <w:jc w:val="center"/>
            <w:rPr>
              <w:b/>
              <w:bCs/>
              <w:sz w:val="32"/>
              <w:szCs w:val="32"/>
            </w:rPr>
          </w:pPr>
          <w:r>
            <w:rPr>
              <w:rFonts w:ascii="宋体" w:hAnsi="宋体" w:eastAsia="宋体"/>
              <w:b/>
              <w:bCs/>
              <w:sz w:val="32"/>
              <w:szCs w:val="32"/>
            </w:rPr>
            <w:t>目录</w:t>
          </w:r>
        </w:p>
        <w:p w14:paraId="242C5B12">
          <w:pPr>
            <w:pStyle w:val="25"/>
            <w:tabs>
              <w:tab w:val="right" w:leader="dot" w:pos="9451"/>
            </w:tabs>
          </w:pPr>
          <w:r>
            <w:rPr>
              <w:rFonts w:hint="eastAsia" w:ascii="宋体" w:hAnsi="宋体" w:eastAsia="宋体" w:cs="宋体"/>
              <w:color w:val="000000" w:themeColor="text1"/>
              <w:highlight w:val="none"/>
              <w14:textFill>
                <w14:solidFill>
                  <w14:schemeClr w14:val="tx1"/>
                </w14:solidFill>
              </w14:textFill>
            </w:rPr>
            <w:fldChar w:fldCharType="begin"/>
          </w:r>
          <w:r>
            <w:rPr>
              <w:rFonts w:hint="eastAsia" w:ascii="宋体" w:hAnsi="宋体" w:eastAsia="宋体" w:cs="宋体"/>
              <w:color w:val="000000" w:themeColor="text1"/>
              <w:highlight w:val="none"/>
              <w14:textFill>
                <w14:solidFill>
                  <w14:schemeClr w14:val="tx1"/>
                </w14:solidFill>
              </w14:textFill>
            </w:rPr>
            <w:instrText xml:space="preserve">TOC \o "1-1" \h \u </w:instrText>
          </w:r>
          <w:r>
            <w:rPr>
              <w:rFonts w:hint="eastAsia" w:ascii="宋体" w:hAnsi="宋体" w:eastAsia="宋体" w:cs="宋体"/>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highlight w:val="none"/>
              <w14:textFill>
                <w14:solidFill>
                  <w14:schemeClr w14:val="tx1"/>
                </w14:solidFill>
              </w14:textFill>
            </w:rPr>
            <w:fldChar w:fldCharType="begin"/>
          </w:r>
          <w:r>
            <w:rPr>
              <w:rFonts w:hint="eastAsia" w:ascii="宋体" w:hAnsi="宋体" w:eastAsia="宋体" w:cs="宋体"/>
              <w:highlight w:val="none"/>
            </w:rPr>
            <w:instrText xml:space="preserve"> HYPERLINK \l _Toc11241 </w:instrText>
          </w:r>
          <w:r>
            <w:rPr>
              <w:rFonts w:hint="eastAsia" w:ascii="宋体" w:hAnsi="宋体" w:eastAsia="宋体" w:cs="宋体"/>
              <w:highlight w:val="none"/>
            </w:rPr>
            <w:fldChar w:fldCharType="separate"/>
          </w:r>
          <w:r>
            <w:rPr>
              <w:rFonts w:hint="eastAsia"/>
              <w:lang w:val="en-US" w:eastAsia="zh-CN"/>
            </w:rPr>
            <w:t>第一章  招标公告</w:t>
          </w:r>
          <w:r>
            <w:tab/>
          </w:r>
          <w:r>
            <w:fldChar w:fldCharType="begin"/>
          </w:r>
          <w:r>
            <w:instrText xml:space="preserve"> PAGEREF _Toc11241 \h </w:instrText>
          </w:r>
          <w:r>
            <w:fldChar w:fldCharType="separate"/>
          </w:r>
          <w:r>
            <w:t>1</w:t>
          </w:r>
          <w:r>
            <w:fldChar w:fldCharType="end"/>
          </w:r>
          <w:r>
            <w:rPr>
              <w:rFonts w:hint="eastAsia" w:ascii="宋体" w:hAnsi="宋体" w:eastAsia="宋体" w:cs="宋体"/>
              <w:color w:val="000000" w:themeColor="text1"/>
              <w:highlight w:val="none"/>
              <w14:textFill>
                <w14:solidFill>
                  <w14:schemeClr w14:val="tx1"/>
                </w14:solidFill>
              </w14:textFill>
            </w:rPr>
            <w:fldChar w:fldCharType="end"/>
          </w:r>
        </w:p>
        <w:p w14:paraId="0187CED7">
          <w:pPr>
            <w:pStyle w:val="25"/>
            <w:tabs>
              <w:tab w:val="right" w:leader="dot" w:pos="9451"/>
            </w:tabs>
          </w:pPr>
          <w:r>
            <w:rPr>
              <w:rFonts w:hint="eastAsia" w:ascii="宋体" w:hAnsi="宋体" w:eastAsia="宋体" w:cs="宋体"/>
              <w:color w:val="000000" w:themeColor="text1"/>
              <w:highlight w:val="none"/>
              <w14:textFill>
                <w14:solidFill>
                  <w14:schemeClr w14:val="tx1"/>
                </w14:solidFill>
              </w14:textFill>
            </w:rPr>
            <w:fldChar w:fldCharType="begin"/>
          </w:r>
          <w:r>
            <w:rPr>
              <w:rFonts w:hint="eastAsia" w:ascii="宋体" w:hAnsi="宋体" w:eastAsia="宋体" w:cs="宋体"/>
              <w:highlight w:val="none"/>
            </w:rPr>
            <w:instrText xml:space="preserve"> HYPERLINK \l _Toc2642 </w:instrText>
          </w:r>
          <w:r>
            <w:rPr>
              <w:rFonts w:hint="eastAsia" w:ascii="宋体" w:hAnsi="宋体" w:eastAsia="宋体" w:cs="宋体"/>
              <w:highlight w:val="none"/>
            </w:rPr>
            <w:fldChar w:fldCharType="separate"/>
          </w:r>
          <w:r>
            <w:rPr>
              <w:rFonts w:hint="eastAsia"/>
            </w:rPr>
            <w:t>第二章  供应商须知</w:t>
          </w:r>
          <w:r>
            <w:tab/>
          </w:r>
          <w:r>
            <w:fldChar w:fldCharType="begin"/>
          </w:r>
          <w:r>
            <w:instrText xml:space="preserve"> PAGEREF _Toc2642 \h </w:instrText>
          </w:r>
          <w:r>
            <w:fldChar w:fldCharType="separate"/>
          </w:r>
          <w:r>
            <w:t>6</w:t>
          </w:r>
          <w:r>
            <w:fldChar w:fldCharType="end"/>
          </w:r>
          <w:r>
            <w:rPr>
              <w:rFonts w:hint="eastAsia" w:ascii="宋体" w:hAnsi="宋体" w:eastAsia="宋体" w:cs="宋体"/>
              <w:color w:val="000000" w:themeColor="text1"/>
              <w:highlight w:val="none"/>
              <w14:textFill>
                <w14:solidFill>
                  <w14:schemeClr w14:val="tx1"/>
                </w14:solidFill>
              </w14:textFill>
            </w:rPr>
            <w:fldChar w:fldCharType="end"/>
          </w:r>
        </w:p>
        <w:p w14:paraId="11236A1E">
          <w:pPr>
            <w:pStyle w:val="25"/>
            <w:tabs>
              <w:tab w:val="right" w:leader="dot" w:pos="9451"/>
            </w:tabs>
          </w:pPr>
          <w:r>
            <w:rPr>
              <w:rFonts w:hint="eastAsia" w:ascii="宋体" w:hAnsi="宋体" w:eastAsia="宋体" w:cs="宋体"/>
              <w:color w:val="000000" w:themeColor="text1"/>
              <w:highlight w:val="none"/>
              <w14:textFill>
                <w14:solidFill>
                  <w14:schemeClr w14:val="tx1"/>
                </w14:solidFill>
              </w14:textFill>
            </w:rPr>
            <w:fldChar w:fldCharType="begin"/>
          </w:r>
          <w:r>
            <w:rPr>
              <w:rFonts w:hint="eastAsia" w:ascii="宋体" w:hAnsi="宋体" w:eastAsia="宋体" w:cs="宋体"/>
              <w:highlight w:val="none"/>
            </w:rPr>
            <w:instrText xml:space="preserve"> HYPERLINK \l _Toc13481 </w:instrText>
          </w:r>
          <w:r>
            <w:rPr>
              <w:rFonts w:hint="eastAsia" w:ascii="宋体" w:hAnsi="宋体" w:eastAsia="宋体" w:cs="宋体"/>
              <w:highlight w:val="none"/>
            </w:rPr>
            <w:fldChar w:fldCharType="separate"/>
          </w:r>
          <w:r>
            <w:rPr>
              <w:rFonts w:hint="eastAsia"/>
            </w:rPr>
            <w:t>第三章  招标内容及要求</w:t>
          </w:r>
          <w:r>
            <w:tab/>
          </w:r>
          <w:r>
            <w:fldChar w:fldCharType="begin"/>
          </w:r>
          <w:r>
            <w:instrText xml:space="preserve"> PAGEREF _Toc13481 \h </w:instrText>
          </w:r>
          <w:r>
            <w:fldChar w:fldCharType="separate"/>
          </w:r>
          <w:r>
            <w:t>39</w:t>
          </w:r>
          <w:r>
            <w:fldChar w:fldCharType="end"/>
          </w:r>
          <w:r>
            <w:rPr>
              <w:rFonts w:hint="eastAsia" w:ascii="宋体" w:hAnsi="宋体" w:eastAsia="宋体" w:cs="宋体"/>
              <w:color w:val="000000" w:themeColor="text1"/>
              <w:highlight w:val="none"/>
              <w14:textFill>
                <w14:solidFill>
                  <w14:schemeClr w14:val="tx1"/>
                </w14:solidFill>
              </w14:textFill>
            </w:rPr>
            <w:fldChar w:fldCharType="end"/>
          </w:r>
        </w:p>
        <w:p w14:paraId="6C4A29CC">
          <w:pPr>
            <w:pStyle w:val="25"/>
            <w:tabs>
              <w:tab w:val="right" w:leader="dot" w:pos="9451"/>
            </w:tabs>
          </w:pPr>
          <w:r>
            <w:rPr>
              <w:rFonts w:hint="eastAsia" w:ascii="宋体" w:hAnsi="宋体" w:eastAsia="宋体" w:cs="宋体"/>
              <w:color w:val="000000" w:themeColor="text1"/>
              <w:highlight w:val="none"/>
              <w14:textFill>
                <w14:solidFill>
                  <w14:schemeClr w14:val="tx1"/>
                </w14:solidFill>
              </w14:textFill>
            </w:rPr>
            <w:fldChar w:fldCharType="begin"/>
          </w:r>
          <w:r>
            <w:rPr>
              <w:rFonts w:hint="eastAsia" w:ascii="宋体" w:hAnsi="宋体" w:eastAsia="宋体" w:cs="宋体"/>
              <w:highlight w:val="none"/>
            </w:rPr>
            <w:instrText xml:space="preserve"> HYPERLINK \l _Toc21536 </w:instrText>
          </w:r>
          <w:r>
            <w:rPr>
              <w:rFonts w:hint="eastAsia" w:ascii="宋体" w:hAnsi="宋体" w:eastAsia="宋体" w:cs="宋体"/>
              <w:highlight w:val="none"/>
            </w:rPr>
            <w:fldChar w:fldCharType="separate"/>
          </w:r>
          <w:r>
            <w:rPr>
              <w:rFonts w:hint="eastAsia"/>
            </w:rPr>
            <w:t>第四章  合同文本</w:t>
          </w:r>
          <w:r>
            <w:tab/>
          </w:r>
          <w:r>
            <w:fldChar w:fldCharType="begin"/>
          </w:r>
          <w:r>
            <w:instrText xml:space="preserve"> PAGEREF _Toc21536 \h </w:instrText>
          </w:r>
          <w:r>
            <w:fldChar w:fldCharType="separate"/>
          </w:r>
          <w:r>
            <w:t>62</w:t>
          </w:r>
          <w:r>
            <w:fldChar w:fldCharType="end"/>
          </w:r>
          <w:r>
            <w:rPr>
              <w:rFonts w:hint="eastAsia" w:ascii="宋体" w:hAnsi="宋体" w:eastAsia="宋体" w:cs="宋体"/>
              <w:color w:val="000000" w:themeColor="text1"/>
              <w:highlight w:val="none"/>
              <w14:textFill>
                <w14:solidFill>
                  <w14:schemeClr w14:val="tx1"/>
                </w14:solidFill>
              </w14:textFill>
            </w:rPr>
            <w:fldChar w:fldCharType="end"/>
          </w:r>
        </w:p>
        <w:p w14:paraId="77A13EB2">
          <w:pPr>
            <w:pStyle w:val="25"/>
            <w:tabs>
              <w:tab w:val="right" w:leader="dot" w:pos="9451"/>
            </w:tabs>
          </w:pPr>
          <w:r>
            <w:rPr>
              <w:rFonts w:hint="eastAsia" w:ascii="宋体" w:hAnsi="宋体" w:eastAsia="宋体" w:cs="宋体"/>
              <w:color w:val="000000" w:themeColor="text1"/>
              <w:highlight w:val="none"/>
              <w14:textFill>
                <w14:solidFill>
                  <w14:schemeClr w14:val="tx1"/>
                </w14:solidFill>
              </w14:textFill>
            </w:rPr>
            <w:fldChar w:fldCharType="begin"/>
          </w:r>
          <w:r>
            <w:rPr>
              <w:rFonts w:hint="eastAsia" w:ascii="宋体" w:hAnsi="宋体" w:eastAsia="宋体" w:cs="宋体"/>
              <w:highlight w:val="none"/>
            </w:rPr>
            <w:instrText xml:space="preserve"> HYPERLINK \l _Toc3261 </w:instrText>
          </w:r>
          <w:r>
            <w:rPr>
              <w:rFonts w:hint="eastAsia" w:ascii="宋体" w:hAnsi="宋体" w:eastAsia="宋体" w:cs="宋体"/>
              <w:highlight w:val="none"/>
            </w:rPr>
            <w:fldChar w:fldCharType="separate"/>
          </w:r>
          <w:r>
            <w:rPr>
              <w:rFonts w:hint="eastAsia"/>
            </w:rPr>
            <w:t>第五章  投标文件构成及格式</w:t>
          </w:r>
          <w:r>
            <w:tab/>
          </w:r>
          <w:r>
            <w:fldChar w:fldCharType="begin"/>
          </w:r>
          <w:r>
            <w:instrText xml:space="preserve"> PAGEREF _Toc3261 \h </w:instrText>
          </w:r>
          <w:r>
            <w:fldChar w:fldCharType="separate"/>
          </w:r>
          <w:r>
            <w:t>98</w:t>
          </w:r>
          <w:r>
            <w:fldChar w:fldCharType="end"/>
          </w:r>
          <w:r>
            <w:rPr>
              <w:rFonts w:hint="eastAsia" w:ascii="宋体" w:hAnsi="宋体" w:eastAsia="宋体" w:cs="宋体"/>
              <w:color w:val="000000" w:themeColor="text1"/>
              <w:highlight w:val="none"/>
              <w14:textFill>
                <w14:solidFill>
                  <w14:schemeClr w14:val="tx1"/>
                </w14:solidFill>
              </w14:textFill>
            </w:rPr>
            <w:fldChar w:fldCharType="end"/>
          </w:r>
        </w:p>
        <w:p w14:paraId="4D1D9E2E">
          <w:pPr>
            <w:pStyle w:val="3"/>
            <w:outlineLvl w:val="9"/>
            <w:rPr>
              <w:rFonts w:hint="eastAsia" w:ascii="宋体" w:hAnsi="宋体" w:eastAsia="宋体" w:cs="宋体"/>
              <w:color w:val="000000" w:themeColor="text1"/>
              <w:highlight w:val="none"/>
              <w14:textFill>
                <w14:solidFill>
                  <w14:schemeClr w14:val="tx1"/>
                </w14:solidFill>
              </w14:textFill>
            </w:rPr>
            <w:sectPr>
              <w:headerReference r:id="rId6" w:type="default"/>
              <w:footerReference r:id="rId7" w:type="default"/>
              <w:pgSz w:w="11906" w:h="16838"/>
              <w:pgMar w:top="1418" w:right="1133" w:bottom="1418" w:left="755" w:header="907" w:footer="1021" w:gutter="567"/>
              <w:pgNumType w:fmt="decimal" w:start="1"/>
              <w:cols w:space="720" w:num="1"/>
              <w:docGrid w:linePitch="312" w:charSpace="0"/>
            </w:sectPr>
          </w:pPr>
          <w:r>
            <w:rPr>
              <w:rFonts w:hint="eastAsia" w:ascii="宋体" w:hAnsi="宋体" w:eastAsia="宋体" w:cs="宋体"/>
              <w:color w:val="000000" w:themeColor="text1"/>
              <w:highlight w:val="none"/>
              <w14:textFill>
                <w14:solidFill>
                  <w14:schemeClr w14:val="tx1"/>
                </w14:solidFill>
              </w14:textFill>
            </w:rPr>
            <w:fldChar w:fldCharType="end"/>
          </w:r>
        </w:p>
      </w:sdtContent>
    </w:sdt>
    <w:p w14:paraId="04F46F69">
      <w:pPr>
        <w:pStyle w:val="3"/>
        <w:bidi w:val="0"/>
        <w:rPr>
          <w:rFonts w:hint="eastAsia"/>
        </w:rPr>
      </w:pPr>
      <w:bookmarkStart w:id="1" w:name="_Toc11241"/>
      <w:r>
        <w:rPr>
          <w:rFonts w:hint="eastAsia"/>
          <w:lang w:val="en-US" w:eastAsia="zh-CN"/>
        </w:rPr>
        <w:t>第一章 招标公告</w:t>
      </w:r>
      <w:bookmarkEnd w:id="1"/>
    </w:p>
    <w:p w14:paraId="6BD0C0DE">
      <w:pPr>
        <w:pStyle w:val="8"/>
        <w:keepNext w:val="0"/>
        <w:keepLines w:val="0"/>
        <w:widowControl/>
        <w:numPr>
          <w:ilvl w:val="5"/>
          <w:numId w:val="0"/>
        </w:numPr>
        <w:suppressLineNumbers w:val="0"/>
        <w:pBdr>
          <w:top w:val="none" w:color="auto" w:sz="0" w:space="0"/>
          <w:left w:val="none" w:color="auto" w:sz="0" w:space="0"/>
          <w:bottom w:val="none" w:color="auto" w:sz="0" w:space="0"/>
          <w:right w:val="none" w:color="auto" w:sz="0" w:space="0"/>
        </w:pBdr>
        <w:wordWrap w:val="0"/>
        <w:spacing w:before="150" w:beforeAutospacing="0" w:after="150" w:afterAutospacing="0" w:line="360" w:lineRule="auto"/>
        <w:ind w:right="0" w:rightChars="0"/>
        <w:jc w:val="left"/>
        <w:rPr>
          <w:rFonts w:hint="eastAsia" w:ascii="宋体" w:hAnsi="宋体" w:eastAsia="宋体" w:cs="宋体"/>
          <w:b w:val="0"/>
          <w:bCs w:val="0"/>
          <w:color w:val="auto"/>
          <w:sz w:val="24"/>
          <w:szCs w:val="24"/>
        </w:rPr>
      </w:pPr>
      <w:r>
        <w:rPr>
          <w:rStyle w:val="38"/>
          <w:rFonts w:hint="eastAsia" w:ascii="宋体" w:hAnsi="宋体" w:eastAsia="宋体" w:cs="宋体"/>
          <w:b/>
          <w:bCs/>
          <w:i w:val="0"/>
          <w:iCs w:val="0"/>
          <w:caps w:val="0"/>
          <w:color w:val="auto"/>
          <w:spacing w:val="0"/>
          <w:sz w:val="24"/>
          <w:szCs w:val="24"/>
          <w:shd w:val="clear" w:fill="FFFFFF"/>
        </w:rPr>
        <w:t>项目概况</w:t>
      </w:r>
    </w:p>
    <w:p w14:paraId="144965DD">
      <w:pPr>
        <w:pStyle w:val="29"/>
        <w:keepNext w:val="0"/>
        <w:keepLines w:val="0"/>
        <w:widowControl/>
        <w:suppressLineNumbers w:val="0"/>
        <w:pBdr>
          <w:top w:val="none" w:color="auto" w:sz="0" w:space="0"/>
          <w:left w:val="none" w:color="auto" w:sz="0" w:space="0"/>
          <w:bottom w:val="none" w:color="auto" w:sz="0" w:space="0"/>
          <w:right w:val="none" w:color="auto" w:sz="0" w:space="0"/>
        </w:pBdr>
        <w:wordWrap w:val="0"/>
        <w:spacing w:before="150" w:beforeAutospacing="0" w:after="150" w:afterAutospacing="0" w:line="360" w:lineRule="auto"/>
        <w:ind w:left="0" w:right="0" w:firstLine="480"/>
        <w:jc w:val="both"/>
        <w:rPr>
          <w:rFonts w:hint="eastAsia" w:ascii="宋体" w:hAnsi="宋体" w:eastAsia="宋体" w:cs="宋体"/>
          <w:color w:val="auto"/>
          <w:sz w:val="24"/>
          <w:szCs w:val="24"/>
          <w:highlight w:val="none"/>
        </w:rPr>
      </w:pPr>
      <w:r>
        <w:rPr>
          <w:rFonts w:hint="eastAsia" w:cs="宋体"/>
          <w:i w:val="0"/>
          <w:iCs w:val="0"/>
          <w:caps w:val="0"/>
          <w:color w:val="auto"/>
          <w:spacing w:val="0"/>
          <w:sz w:val="24"/>
          <w:szCs w:val="24"/>
          <w:shd w:val="clear" w:fill="FFFFFF"/>
          <w:lang w:eastAsia="zh-CN"/>
        </w:rPr>
        <w:t>教学及管理服务系统改造</w:t>
      </w:r>
      <w:r>
        <w:rPr>
          <w:rFonts w:hint="eastAsia" w:ascii="宋体" w:hAnsi="宋体" w:eastAsia="宋体" w:cs="宋体"/>
          <w:i w:val="0"/>
          <w:iCs w:val="0"/>
          <w:caps w:val="0"/>
          <w:color w:val="auto"/>
          <w:spacing w:val="0"/>
          <w:sz w:val="24"/>
          <w:szCs w:val="24"/>
          <w:shd w:val="clear" w:fill="FFFFFF"/>
        </w:rPr>
        <w:t>的潜在投标人应在全国公共资源交易平台（陕西省·西安市）（以下简称西安市公共资源交易平台，官网地址：http://sxggzyjy.xa.gov.cn/）获取招标文件，</w:t>
      </w:r>
      <w:r>
        <w:rPr>
          <w:rFonts w:hint="eastAsia" w:ascii="宋体" w:hAnsi="宋体" w:eastAsia="宋体" w:cs="宋体"/>
          <w:i w:val="0"/>
          <w:iCs w:val="0"/>
          <w:caps w:val="0"/>
          <w:color w:val="auto"/>
          <w:spacing w:val="0"/>
          <w:sz w:val="24"/>
          <w:szCs w:val="24"/>
          <w:highlight w:val="none"/>
          <w:shd w:val="clear" w:fill="FFFFFF"/>
        </w:rPr>
        <w:t>并于202</w:t>
      </w:r>
      <w:r>
        <w:rPr>
          <w:rFonts w:hint="eastAsia" w:cs="宋体"/>
          <w:i w:val="0"/>
          <w:iCs w:val="0"/>
          <w:caps w:val="0"/>
          <w:color w:val="auto"/>
          <w:spacing w:val="0"/>
          <w:sz w:val="24"/>
          <w:szCs w:val="24"/>
          <w:highlight w:val="none"/>
          <w:shd w:val="clear" w:fill="FFFFFF"/>
          <w:lang w:val="en-US" w:eastAsia="zh-CN"/>
        </w:rPr>
        <w:t>4</w:t>
      </w:r>
      <w:r>
        <w:rPr>
          <w:rFonts w:hint="eastAsia" w:ascii="宋体" w:hAnsi="宋体" w:eastAsia="宋体" w:cs="宋体"/>
          <w:i w:val="0"/>
          <w:iCs w:val="0"/>
          <w:caps w:val="0"/>
          <w:color w:val="auto"/>
          <w:spacing w:val="0"/>
          <w:sz w:val="24"/>
          <w:szCs w:val="24"/>
          <w:highlight w:val="none"/>
          <w:shd w:val="clear" w:fill="FFFFFF"/>
        </w:rPr>
        <w:t>年</w:t>
      </w:r>
      <w:r>
        <w:rPr>
          <w:rFonts w:hint="eastAsia" w:cs="宋体"/>
          <w:i w:val="0"/>
          <w:iCs w:val="0"/>
          <w:caps w:val="0"/>
          <w:color w:val="auto"/>
          <w:spacing w:val="0"/>
          <w:sz w:val="24"/>
          <w:szCs w:val="24"/>
          <w:highlight w:val="none"/>
          <w:shd w:val="clear" w:fill="FFFFFF"/>
          <w:lang w:val="en-US" w:eastAsia="zh-CN"/>
        </w:rPr>
        <w:t>11</w:t>
      </w:r>
      <w:r>
        <w:rPr>
          <w:rFonts w:hint="eastAsia" w:ascii="宋体" w:hAnsi="宋体" w:eastAsia="宋体" w:cs="宋体"/>
          <w:i w:val="0"/>
          <w:iCs w:val="0"/>
          <w:caps w:val="0"/>
          <w:color w:val="auto"/>
          <w:spacing w:val="0"/>
          <w:sz w:val="24"/>
          <w:szCs w:val="24"/>
          <w:highlight w:val="none"/>
          <w:shd w:val="clear" w:fill="FFFFFF"/>
        </w:rPr>
        <w:t>月</w:t>
      </w:r>
      <w:r>
        <w:rPr>
          <w:rFonts w:hint="eastAsia" w:cs="宋体"/>
          <w:i w:val="0"/>
          <w:iCs w:val="0"/>
          <w:caps w:val="0"/>
          <w:color w:val="auto"/>
          <w:spacing w:val="0"/>
          <w:sz w:val="24"/>
          <w:szCs w:val="24"/>
          <w:highlight w:val="none"/>
          <w:shd w:val="clear" w:fill="FFFFFF"/>
          <w:lang w:val="en-US" w:eastAsia="zh-CN"/>
        </w:rPr>
        <w:t>27</w:t>
      </w:r>
      <w:r>
        <w:rPr>
          <w:rFonts w:hint="eastAsia" w:ascii="宋体" w:hAnsi="宋体" w:eastAsia="宋体" w:cs="宋体"/>
          <w:i w:val="0"/>
          <w:iCs w:val="0"/>
          <w:caps w:val="0"/>
          <w:color w:val="auto"/>
          <w:spacing w:val="0"/>
          <w:sz w:val="24"/>
          <w:szCs w:val="24"/>
          <w:highlight w:val="none"/>
          <w:shd w:val="clear" w:fill="FFFFFF"/>
        </w:rPr>
        <w:t>日 09时</w:t>
      </w:r>
      <w:r>
        <w:rPr>
          <w:rFonts w:hint="eastAsia" w:cs="宋体"/>
          <w:i w:val="0"/>
          <w:iCs w:val="0"/>
          <w:caps w:val="0"/>
          <w:color w:val="auto"/>
          <w:spacing w:val="0"/>
          <w:sz w:val="24"/>
          <w:szCs w:val="24"/>
          <w:highlight w:val="none"/>
          <w:shd w:val="clear" w:fill="FFFFFF"/>
          <w:lang w:val="en-US" w:eastAsia="zh-CN"/>
        </w:rPr>
        <w:t>3</w:t>
      </w:r>
      <w:r>
        <w:rPr>
          <w:rFonts w:hint="eastAsia" w:ascii="宋体" w:hAnsi="宋体" w:eastAsia="宋体" w:cs="宋体"/>
          <w:i w:val="0"/>
          <w:iCs w:val="0"/>
          <w:caps w:val="0"/>
          <w:color w:val="auto"/>
          <w:spacing w:val="0"/>
          <w:sz w:val="24"/>
          <w:szCs w:val="24"/>
          <w:highlight w:val="none"/>
          <w:shd w:val="clear" w:fill="FFFFFF"/>
        </w:rPr>
        <w:t>0分（北京时间）前递交投标文件。</w:t>
      </w:r>
    </w:p>
    <w:p w14:paraId="34ECCA13">
      <w:pPr>
        <w:pStyle w:val="6"/>
        <w:keepNext w:val="0"/>
        <w:keepLines w:val="0"/>
        <w:widowControl/>
        <w:numPr>
          <w:ilvl w:val="3"/>
          <w:numId w:val="0"/>
        </w:numPr>
        <w:suppressLineNumbers w:val="0"/>
        <w:pBdr>
          <w:top w:val="none" w:color="auto" w:sz="0" w:space="0"/>
          <w:left w:val="none" w:color="auto" w:sz="0" w:space="0"/>
          <w:bottom w:val="none" w:color="auto" w:sz="0" w:space="0"/>
          <w:right w:val="none" w:color="auto" w:sz="0" w:space="0"/>
        </w:pBdr>
        <w:wordWrap w:val="0"/>
        <w:spacing w:before="150" w:beforeAutospacing="0" w:after="0" w:afterAutospacing="0" w:line="360" w:lineRule="auto"/>
        <w:ind w:right="0" w:rightChars="0"/>
        <w:jc w:val="left"/>
        <w:rPr>
          <w:rFonts w:hint="eastAsia" w:ascii="宋体" w:hAnsi="宋体" w:eastAsia="宋体" w:cs="宋体"/>
          <w:b w:val="0"/>
          <w:bCs w:val="0"/>
          <w:color w:val="auto"/>
          <w:sz w:val="24"/>
          <w:szCs w:val="24"/>
        </w:rPr>
      </w:pPr>
      <w:r>
        <w:rPr>
          <w:rStyle w:val="38"/>
          <w:rFonts w:hint="eastAsia" w:ascii="宋体" w:hAnsi="宋体" w:eastAsia="宋体" w:cs="宋体"/>
          <w:b/>
          <w:bCs/>
          <w:i w:val="0"/>
          <w:iCs w:val="0"/>
          <w:caps w:val="0"/>
          <w:color w:val="auto"/>
          <w:spacing w:val="0"/>
          <w:sz w:val="24"/>
          <w:szCs w:val="24"/>
          <w:shd w:val="clear" w:fill="FFFFFF"/>
        </w:rPr>
        <w:t>一、项目基本情况</w:t>
      </w:r>
    </w:p>
    <w:p w14:paraId="2B72503A">
      <w:pPr>
        <w:pStyle w:val="2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jc w:val="both"/>
        <w:rPr>
          <w:rFonts w:hint="eastAsia" w:ascii="宋体" w:hAnsi="宋体" w:eastAsia="宋体" w:cs="宋体"/>
          <w:color w:val="auto"/>
          <w:sz w:val="24"/>
          <w:szCs w:val="24"/>
          <w:lang w:eastAsia="zh-CN"/>
        </w:rPr>
      </w:pPr>
      <w:r>
        <w:rPr>
          <w:rFonts w:hint="eastAsia" w:ascii="宋体" w:hAnsi="宋体" w:eastAsia="宋体" w:cs="宋体"/>
          <w:i w:val="0"/>
          <w:iCs w:val="0"/>
          <w:caps w:val="0"/>
          <w:color w:val="auto"/>
          <w:spacing w:val="0"/>
          <w:sz w:val="24"/>
          <w:szCs w:val="24"/>
          <w:shd w:val="clear" w:fill="FFFFFF"/>
        </w:rPr>
        <w:t>项目编号：</w:t>
      </w:r>
      <w:r>
        <w:rPr>
          <w:rFonts w:hint="eastAsia" w:eastAsia="宋体" w:cs="宋体"/>
          <w:i w:val="0"/>
          <w:iCs w:val="0"/>
          <w:caps w:val="0"/>
          <w:color w:val="auto"/>
          <w:spacing w:val="0"/>
          <w:sz w:val="24"/>
          <w:szCs w:val="24"/>
          <w:shd w:val="clear" w:fill="FFFFFF"/>
          <w:lang w:eastAsia="zh-CN"/>
        </w:rPr>
        <w:t>ZHPM-ZC-</w:t>
      </w:r>
      <w:r>
        <w:rPr>
          <w:rFonts w:hint="eastAsia" w:cs="宋体"/>
          <w:i w:val="0"/>
          <w:iCs w:val="0"/>
          <w:caps w:val="0"/>
          <w:color w:val="auto"/>
          <w:spacing w:val="0"/>
          <w:sz w:val="24"/>
          <w:szCs w:val="24"/>
          <w:shd w:val="clear" w:fill="FFFFFF"/>
          <w:lang w:eastAsia="zh-CN"/>
        </w:rPr>
        <w:t>24746</w:t>
      </w:r>
    </w:p>
    <w:p w14:paraId="7BCFCC1F">
      <w:pPr>
        <w:pStyle w:val="2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jc w:val="both"/>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项目名称：</w:t>
      </w:r>
      <w:r>
        <w:rPr>
          <w:rFonts w:hint="eastAsia" w:cs="宋体"/>
          <w:i w:val="0"/>
          <w:iCs w:val="0"/>
          <w:caps w:val="0"/>
          <w:color w:val="auto"/>
          <w:spacing w:val="0"/>
          <w:sz w:val="24"/>
          <w:szCs w:val="24"/>
          <w:shd w:val="clear" w:fill="FFFFFF"/>
          <w:lang w:eastAsia="zh-CN"/>
        </w:rPr>
        <w:t>教学及管理服务系统改造</w:t>
      </w:r>
    </w:p>
    <w:p w14:paraId="77469617">
      <w:pPr>
        <w:pStyle w:val="2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jc w:val="both"/>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采购方式：公开招标</w:t>
      </w:r>
    </w:p>
    <w:p w14:paraId="406353B6">
      <w:pPr>
        <w:pStyle w:val="2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jc w:val="both"/>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预算金额：</w:t>
      </w:r>
      <w:r>
        <w:rPr>
          <w:rFonts w:hint="eastAsia" w:eastAsia="宋体" w:cs="宋体"/>
          <w:i w:val="0"/>
          <w:iCs w:val="0"/>
          <w:caps w:val="0"/>
          <w:color w:val="auto"/>
          <w:spacing w:val="0"/>
          <w:sz w:val="24"/>
          <w:szCs w:val="24"/>
          <w:shd w:val="clear" w:fill="FFFFFF"/>
          <w:lang w:val="en-US" w:eastAsia="zh-CN"/>
        </w:rPr>
        <w:t>3</w:t>
      </w:r>
      <w:r>
        <w:rPr>
          <w:rFonts w:hint="eastAsia" w:cs="宋体"/>
          <w:i w:val="0"/>
          <w:iCs w:val="0"/>
          <w:caps w:val="0"/>
          <w:color w:val="auto"/>
          <w:spacing w:val="0"/>
          <w:sz w:val="24"/>
          <w:szCs w:val="24"/>
          <w:shd w:val="clear" w:fill="FFFFFF"/>
          <w:lang w:val="en-US" w:eastAsia="zh-CN"/>
        </w:rPr>
        <w:t>47</w:t>
      </w:r>
      <w:r>
        <w:rPr>
          <w:rFonts w:hint="eastAsia" w:ascii="宋体" w:hAnsi="宋体" w:eastAsia="宋体" w:cs="宋体"/>
          <w:i w:val="0"/>
          <w:iCs w:val="0"/>
          <w:caps w:val="0"/>
          <w:color w:val="auto"/>
          <w:spacing w:val="0"/>
          <w:sz w:val="24"/>
          <w:szCs w:val="24"/>
          <w:shd w:val="clear" w:fill="FFFFFF"/>
        </w:rPr>
        <w:t>0,000.00元</w:t>
      </w:r>
    </w:p>
    <w:p w14:paraId="5EF5BE1F">
      <w:pPr>
        <w:pStyle w:val="2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jc w:val="both"/>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采购需求：</w:t>
      </w:r>
    </w:p>
    <w:p w14:paraId="3B2DABDE">
      <w:pPr>
        <w:pStyle w:val="2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jc w:val="both"/>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合同包1(</w:t>
      </w:r>
      <w:r>
        <w:rPr>
          <w:rFonts w:hint="eastAsia" w:cs="宋体"/>
          <w:i w:val="0"/>
          <w:iCs w:val="0"/>
          <w:caps w:val="0"/>
          <w:color w:val="auto"/>
          <w:spacing w:val="0"/>
          <w:sz w:val="24"/>
          <w:szCs w:val="24"/>
          <w:shd w:val="clear" w:fill="FFFFFF"/>
          <w:lang w:eastAsia="zh-CN"/>
        </w:rPr>
        <w:t>教学及管理服务系统改造</w:t>
      </w:r>
      <w:r>
        <w:rPr>
          <w:rFonts w:hint="eastAsia" w:ascii="宋体" w:hAnsi="宋体" w:eastAsia="宋体" w:cs="宋体"/>
          <w:i w:val="0"/>
          <w:iCs w:val="0"/>
          <w:caps w:val="0"/>
          <w:color w:val="auto"/>
          <w:spacing w:val="0"/>
          <w:sz w:val="24"/>
          <w:szCs w:val="24"/>
          <w:shd w:val="clear" w:fill="FFFFFF"/>
        </w:rPr>
        <w:t>):</w:t>
      </w:r>
    </w:p>
    <w:p w14:paraId="19761902">
      <w:pPr>
        <w:pStyle w:val="2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630"/>
        <w:jc w:val="both"/>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合同包预算金额：</w:t>
      </w:r>
      <w:r>
        <w:rPr>
          <w:rFonts w:hint="eastAsia" w:eastAsia="宋体" w:cs="宋体"/>
          <w:i w:val="0"/>
          <w:iCs w:val="0"/>
          <w:caps w:val="0"/>
          <w:color w:val="auto"/>
          <w:spacing w:val="0"/>
          <w:sz w:val="24"/>
          <w:szCs w:val="24"/>
          <w:shd w:val="clear" w:fill="FFFFFF"/>
          <w:lang w:val="en-US" w:eastAsia="zh-CN"/>
        </w:rPr>
        <w:t>3</w:t>
      </w:r>
      <w:r>
        <w:rPr>
          <w:rFonts w:hint="eastAsia" w:cs="宋体"/>
          <w:i w:val="0"/>
          <w:iCs w:val="0"/>
          <w:caps w:val="0"/>
          <w:color w:val="auto"/>
          <w:spacing w:val="0"/>
          <w:sz w:val="24"/>
          <w:szCs w:val="24"/>
          <w:shd w:val="clear" w:fill="FFFFFF"/>
          <w:lang w:val="en-US" w:eastAsia="zh-CN"/>
        </w:rPr>
        <w:t>47</w:t>
      </w:r>
      <w:r>
        <w:rPr>
          <w:rFonts w:hint="eastAsia" w:ascii="宋体" w:hAnsi="宋体" w:eastAsia="宋体" w:cs="宋体"/>
          <w:i w:val="0"/>
          <w:iCs w:val="0"/>
          <w:caps w:val="0"/>
          <w:color w:val="auto"/>
          <w:spacing w:val="0"/>
          <w:sz w:val="24"/>
          <w:szCs w:val="24"/>
          <w:shd w:val="clear" w:fill="FFFFFF"/>
        </w:rPr>
        <w:t>0,000.00元</w:t>
      </w:r>
    </w:p>
    <w:p w14:paraId="2D0A1AE9">
      <w:pPr>
        <w:pStyle w:val="2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630"/>
        <w:jc w:val="both"/>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合同包最高限价：</w:t>
      </w:r>
      <w:r>
        <w:rPr>
          <w:rFonts w:hint="eastAsia" w:eastAsia="宋体" w:cs="宋体"/>
          <w:i w:val="0"/>
          <w:iCs w:val="0"/>
          <w:caps w:val="0"/>
          <w:color w:val="auto"/>
          <w:spacing w:val="0"/>
          <w:sz w:val="24"/>
          <w:szCs w:val="24"/>
          <w:shd w:val="clear" w:fill="FFFFFF"/>
          <w:lang w:val="en-US" w:eastAsia="zh-CN"/>
        </w:rPr>
        <w:t>3</w:t>
      </w:r>
      <w:r>
        <w:rPr>
          <w:rFonts w:hint="eastAsia" w:cs="宋体"/>
          <w:i w:val="0"/>
          <w:iCs w:val="0"/>
          <w:caps w:val="0"/>
          <w:color w:val="auto"/>
          <w:spacing w:val="0"/>
          <w:sz w:val="24"/>
          <w:szCs w:val="24"/>
          <w:shd w:val="clear" w:fill="FFFFFF"/>
          <w:lang w:val="en-US" w:eastAsia="zh-CN"/>
        </w:rPr>
        <w:t>47</w:t>
      </w:r>
      <w:r>
        <w:rPr>
          <w:rFonts w:hint="eastAsia" w:ascii="宋体" w:hAnsi="宋体" w:eastAsia="宋体" w:cs="宋体"/>
          <w:i w:val="0"/>
          <w:iCs w:val="0"/>
          <w:caps w:val="0"/>
          <w:color w:val="auto"/>
          <w:spacing w:val="0"/>
          <w:sz w:val="24"/>
          <w:szCs w:val="24"/>
          <w:shd w:val="clear" w:fill="FFFFFF"/>
        </w:rPr>
        <w:t>0,000.00元</w:t>
      </w:r>
    </w:p>
    <w:tbl>
      <w:tblPr>
        <w:tblStyle w:val="35"/>
        <w:tblW w:w="4997"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594"/>
        <w:gridCol w:w="1761"/>
        <w:gridCol w:w="2028"/>
        <w:gridCol w:w="722"/>
        <w:gridCol w:w="1040"/>
        <w:gridCol w:w="1627"/>
        <w:gridCol w:w="1628"/>
      </w:tblGrid>
      <w:tr w14:paraId="53B89DD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28" w:hRule="atLeast"/>
          <w:tblHeader/>
        </w:trPr>
        <w:tc>
          <w:tcPr>
            <w:tcW w:w="318"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0B03DF1E">
            <w:pPr>
              <w:keepNext w:val="0"/>
              <w:keepLines w:val="0"/>
              <w:widowControl/>
              <w:suppressLineNumbers w:val="0"/>
              <w:wordWrap w:val="0"/>
              <w:spacing w:before="0" w:beforeAutospacing="0" w:after="0" w:afterAutospacing="0" w:line="360" w:lineRule="auto"/>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val="en-US" w:eastAsia="zh-CN" w:bidi="ar"/>
              </w:rPr>
              <w:t>品目号</w:t>
            </w:r>
          </w:p>
        </w:tc>
        <w:tc>
          <w:tcPr>
            <w:tcW w:w="938"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47DE4492">
            <w:pPr>
              <w:keepNext w:val="0"/>
              <w:keepLines w:val="0"/>
              <w:widowControl/>
              <w:suppressLineNumbers w:val="0"/>
              <w:wordWrap w:val="0"/>
              <w:spacing w:before="0" w:beforeAutospacing="0" w:after="0" w:afterAutospacing="0" w:line="360" w:lineRule="auto"/>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val="en-US" w:eastAsia="zh-CN" w:bidi="ar"/>
              </w:rPr>
              <w:t>品目名称</w:t>
            </w:r>
          </w:p>
        </w:tc>
        <w:tc>
          <w:tcPr>
            <w:tcW w:w="1080"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5ACA8C61">
            <w:pPr>
              <w:keepNext w:val="0"/>
              <w:keepLines w:val="0"/>
              <w:widowControl/>
              <w:suppressLineNumbers w:val="0"/>
              <w:wordWrap w:val="0"/>
              <w:spacing w:before="0" w:beforeAutospacing="0" w:after="0" w:afterAutospacing="0" w:line="360" w:lineRule="auto"/>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val="en-US" w:eastAsia="zh-CN" w:bidi="ar"/>
              </w:rPr>
              <w:t>采购标的</w:t>
            </w:r>
          </w:p>
        </w:tc>
        <w:tc>
          <w:tcPr>
            <w:tcW w:w="372"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3C79EBBF">
            <w:pPr>
              <w:keepNext w:val="0"/>
              <w:keepLines w:val="0"/>
              <w:widowControl/>
              <w:suppressLineNumbers w:val="0"/>
              <w:wordWrap w:val="0"/>
              <w:spacing w:before="0" w:beforeAutospacing="0" w:after="0" w:afterAutospacing="0" w:line="360" w:lineRule="auto"/>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val="en-US" w:eastAsia="zh-CN" w:bidi="ar"/>
              </w:rPr>
              <w:t>数量（单位）</w:t>
            </w:r>
          </w:p>
        </w:tc>
        <w:tc>
          <w:tcPr>
            <w:tcW w:w="555"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2D7D764C">
            <w:pPr>
              <w:keepNext w:val="0"/>
              <w:keepLines w:val="0"/>
              <w:widowControl/>
              <w:suppressLineNumbers w:val="0"/>
              <w:wordWrap w:val="0"/>
              <w:spacing w:before="0" w:beforeAutospacing="0" w:after="0" w:afterAutospacing="0" w:line="360" w:lineRule="auto"/>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val="en-US" w:eastAsia="zh-CN" w:bidi="ar"/>
              </w:rPr>
              <w:t>技术规格、参数及要求</w:t>
            </w:r>
          </w:p>
        </w:tc>
        <w:tc>
          <w:tcPr>
            <w:tcW w:w="86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18AC7B3">
            <w:pPr>
              <w:keepNext w:val="0"/>
              <w:keepLines w:val="0"/>
              <w:widowControl/>
              <w:suppressLineNumbers w:val="0"/>
              <w:wordWrap w:val="0"/>
              <w:spacing w:before="0" w:beforeAutospacing="0" w:after="0" w:afterAutospacing="0" w:line="360" w:lineRule="auto"/>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val="en-US" w:eastAsia="zh-CN" w:bidi="ar"/>
              </w:rPr>
              <w:t>品目预算(元)</w:t>
            </w:r>
          </w:p>
        </w:tc>
        <w:tc>
          <w:tcPr>
            <w:tcW w:w="86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5C385A3A">
            <w:pPr>
              <w:keepNext w:val="0"/>
              <w:keepLines w:val="0"/>
              <w:widowControl/>
              <w:suppressLineNumbers w:val="0"/>
              <w:wordWrap w:val="0"/>
              <w:spacing w:before="0" w:beforeAutospacing="0" w:after="0" w:afterAutospacing="0" w:line="360" w:lineRule="auto"/>
              <w:ind w:left="0" w:right="0"/>
              <w:jc w:val="center"/>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lang w:val="en-US" w:eastAsia="zh-CN" w:bidi="ar"/>
              </w:rPr>
              <w:t>最高限价(元)</w:t>
            </w:r>
          </w:p>
        </w:tc>
      </w:tr>
      <w:tr w14:paraId="5D7BBAA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80" w:hRule="atLeast"/>
        </w:trPr>
        <w:tc>
          <w:tcPr>
            <w:tcW w:w="318"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4C68D409">
            <w:pPr>
              <w:keepNext w:val="0"/>
              <w:keepLines w:val="0"/>
              <w:widowControl/>
              <w:suppressLineNumbers w:val="0"/>
              <w:wordWrap w:val="0"/>
              <w:spacing w:before="0" w:beforeAutospacing="0" w:after="0" w:afterAutospacing="0" w:line="360" w:lineRule="auto"/>
              <w:ind w:left="0" w:right="0"/>
              <w:jc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1-1</w:t>
            </w:r>
          </w:p>
        </w:tc>
        <w:tc>
          <w:tcPr>
            <w:tcW w:w="938"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47734625">
            <w:pPr>
              <w:keepNext w:val="0"/>
              <w:keepLines w:val="0"/>
              <w:widowControl/>
              <w:suppressLineNumbers w:val="0"/>
              <w:wordWrap w:val="0"/>
              <w:spacing w:before="0" w:beforeAutospacing="0" w:after="0" w:afterAutospacing="0" w:line="360" w:lineRule="auto"/>
              <w:ind w:left="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应用软件</w:t>
            </w:r>
          </w:p>
        </w:tc>
        <w:tc>
          <w:tcPr>
            <w:tcW w:w="1080"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21E35B6">
            <w:pPr>
              <w:keepNext w:val="0"/>
              <w:keepLines w:val="0"/>
              <w:widowControl/>
              <w:suppressLineNumbers w:val="0"/>
              <w:wordWrap w:val="0"/>
              <w:spacing w:before="0" w:beforeAutospacing="0" w:after="0" w:afterAutospacing="0" w:line="360" w:lineRule="auto"/>
              <w:ind w:left="0" w:right="0"/>
              <w:jc w:val="center"/>
              <w:rPr>
                <w:rFonts w:hint="eastAsia" w:ascii="宋体" w:hAnsi="宋体" w:eastAsia="宋体" w:cs="宋体"/>
                <w:color w:val="auto"/>
                <w:sz w:val="24"/>
                <w:szCs w:val="24"/>
                <w:lang w:eastAsia="zh-CN"/>
              </w:rPr>
            </w:pPr>
            <w:r>
              <w:rPr>
                <w:rFonts w:hint="eastAsia" w:ascii="宋体" w:hAnsi="宋体" w:cs="宋体"/>
                <w:color w:val="auto"/>
                <w:sz w:val="24"/>
                <w:szCs w:val="24"/>
                <w:lang w:eastAsia="zh-CN"/>
              </w:rPr>
              <w:t>教学及管理服务系统改造</w:t>
            </w:r>
          </w:p>
        </w:tc>
        <w:tc>
          <w:tcPr>
            <w:tcW w:w="372"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7D1927E0">
            <w:pPr>
              <w:keepNext w:val="0"/>
              <w:keepLines w:val="0"/>
              <w:widowControl/>
              <w:suppressLineNumbers w:val="0"/>
              <w:wordWrap w:val="0"/>
              <w:spacing w:before="0" w:beforeAutospacing="0" w:after="0" w:afterAutospacing="0" w:line="360" w:lineRule="auto"/>
              <w:ind w:left="0" w:right="0"/>
              <w:jc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1(项)</w:t>
            </w:r>
          </w:p>
        </w:tc>
        <w:tc>
          <w:tcPr>
            <w:tcW w:w="555"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0E252F0D">
            <w:pPr>
              <w:keepNext w:val="0"/>
              <w:keepLines w:val="0"/>
              <w:widowControl/>
              <w:suppressLineNumbers w:val="0"/>
              <w:wordWrap w:val="0"/>
              <w:spacing w:before="0" w:beforeAutospacing="0" w:after="0" w:afterAutospacing="0" w:line="360" w:lineRule="auto"/>
              <w:ind w:left="0" w:right="0"/>
              <w:jc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详见采购文件</w:t>
            </w:r>
          </w:p>
        </w:tc>
        <w:tc>
          <w:tcPr>
            <w:tcW w:w="86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3E020F8A">
            <w:pPr>
              <w:keepNext w:val="0"/>
              <w:keepLines w:val="0"/>
              <w:widowControl/>
              <w:suppressLineNumbers w:val="0"/>
              <w:wordWrap/>
              <w:spacing w:before="0" w:beforeAutospacing="0" w:after="0" w:afterAutospacing="0" w:line="360" w:lineRule="auto"/>
              <w:ind w:left="0" w:right="0"/>
              <w:jc w:val="righ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cs="宋体"/>
                <w:color w:val="auto"/>
                <w:sz w:val="24"/>
                <w:szCs w:val="24"/>
                <w:lang w:val="en-US" w:eastAsia="zh-CN"/>
              </w:rPr>
              <w:t>47</w:t>
            </w:r>
            <w:r>
              <w:rPr>
                <w:rFonts w:hint="eastAsia" w:ascii="宋体" w:hAnsi="宋体" w:eastAsia="宋体" w:cs="宋体"/>
                <w:color w:val="auto"/>
                <w:sz w:val="24"/>
                <w:szCs w:val="24"/>
              </w:rPr>
              <w:t>0,000.00</w:t>
            </w:r>
          </w:p>
        </w:tc>
        <w:tc>
          <w:tcPr>
            <w:tcW w:w="86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2AE0C95D">
            <w:pPr>
              <w:keepNext w:val="0"/>
              <w:keepLines w:val="0"/>
              <w:widowControl/>
              <w:suppressLineNumbers w:val="0"/>
              <w:wordWrap/>
              <w:spacing w:before="0" w:beforeAutospacing="0" w:after="0" w:afterAutospacing="0" w:line="360" w:lineRule="auto"/>
              <w:ind w:left="0" w:right="0"/>
              <w:jc w:val="righ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cs="宋体"/>
                <w:color w:val="auto"/>
                <w:sz w:val="24"/>
                <w:szCs w:val="24"/>
                <w:lang w:val="en-US" w:eastAsia="zh-CN"/>
              </w:rPr>
              <w:t>47</w:t>
            </w:r>
            <w:r>
              <w:rPr>
                <w:rFonts w:hint="eastAsia" w:ascii="宋体" w:hAnsi="宋体" w:eastAsia="宋体" w:cs="宋体"/>
                <w:color w:val="auto"/>
                <w:sz w:val="24"/>
                <w:szCs w:val="24"/>
              </w:rPr>
              <w:t>0,000.00</w:t>
            </w:r>
          </w:p>
        </w:tc>
      </w:tr>
    </w:tbl>
    <w:p w14:paraId="202E7749">
      <w:pPr>
        <w:pStyle w:val="2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630"/>
        <w:jc w:val="both"/>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本合同包不接受联合体投标</w:t>
      </w:r>
    </w:p>
    <w:p w14:paraId="2791F28B">
      <w:pPr>
        <w:pStyle w:val="2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630"/>
        <w:jc w:val="both"/>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合同履行期限：合同签订后30个日历日</w:t>
      </w:r>
    </w:p>
    <w:p w14:paraId="01DC08E1">
      <w:pPr>
        <w:pStyle w:val="6"/>
        <w:keepNext w:val="0"/>
        <w:keepLines w:val="0"/>
        <w:widowControl/>
        <w:numPr>
          <w:ilvl w:val="3"/>
          <w:numId w:val="0"/>
        </w:numPr>
        <w:suppressLineNumbers w:val="0"/>
        <w:pBdr>
          <w:top w:val="none" w:color="auto" w:sz="0" w:space="0"/>
          <w:left w:val="none" w:color="auto" w:sz="0" w:space="0"/>
          <w:bottom w:val="none" w:color="auto" w:sz="0" w:space="0"/>
          <w:right w:val="none" w:color="auto" w:sz="0" w:space="0"/>
        </w:pBdr>
        <w:wordWrap w:val="0"/>
        <w:spacing w:before="150" w:beforeAutospacing="0" w:after="0" w:afterAutospacing="0" w:line="360" w:lineRule="auto"/>
        <w:ind w:right="0" w:rightChars="0"/>
        <w:jc w:val="left"/>
        <w:rPr>
          <w:rFonts w:hint="eastAsia" w:ascii="宋体" w:hAnsi="宋体" w:eastAsia="宋体" w:cs="宋体"/>
          <w:b w:val="0"/>
          <w:bCs w:val="0"/>
          <w:color w:val="auto"/>
          <w:sz w:val="24"/>
          <w:szCs w:val="24"/>
        </w:rPr>
      </w:pPr>
      <w:r>
        <w:rPr>
          <w:rStyle w:val="38"/>
          <w:rFonts w:hint="eastAsia" w:ascii="宋体" w:hAnsi="宋体" w:eastAsia="宋体" w:cs="宋体"/>
          <w:b/>
          <w:bCs/>
          <w:i w:val="0"/>
          <w:iCs w:val="0"/>
          <w:caps w:val="0"/>
          <w:color w:val="auto"/>
          <w:spacing w:val="0"/>
          <w:sz w:val="24"/>
          <w:szCs w:val="24"/>
          <w:shd w:val="clear" w:fill="FFFFFF"/>
        </w:rPr>
        <w:t>二、申请人的资格要求：</w:t>
      </w:r>
    </w:p>
    <w:p w14:paraId="32882448">
      <w:pPr>
        <w:pStyle w:val="2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jc w:val="both"/>
        <w:rPr>
          <w:rFonts w:hint="eastAsia" w:ascii="宋体" w:hAnsi="宋体" w:eastAsia="宋体" w:cs="宋体"/>
          <w:color w:val="auto"/>
          <w:sz w:val="24"/>
          <w:szCs w:val="24"/>
          <w:lang w:eastAsia="zh-CN"/>
        </w:rPr>
      </w:pPr>
      <w:r>
        <w:rPr>
          <w:rFonts w:hint="eastAsia" w:ascii="宋体" w:hAnsi="宋体" w:eastAsia="宋体" w:cs="宋体"/>
          <w:i w:val="0"/>
          <w:iCs w:val="0"/>
          <w:caps w:val="0"/>
          <w:color w:val="auto"/>
          <w:spacing w:val="0"/>
          <w:sz w:val="24"/>
          <w:szCs w:val="24"/>
          <w:shd w:val="clear" w:fill="FFFFFF"/>
        </w:rPr>
        <w:t>1.满足《中华人民共和国政府采购法》第二十二条规定</w:t>
      </w:r>
      <w:r>
        <w:rPr>
          <w:rFonts w:hint="eastAsia" w:eastAsia="宋体" w:cs="宋体"/>
          <w:i w:val="0"/>
          <w:iCs w:val="0"/>
          <w:caps w:val="0"/>
          <w:color w:val="auto"/>
          <w:spacing w:val="0"/>
          <w:sz w:val="24"/>
          <w:szCs w:val="24"/>
          <w:shd w:val="clear" w:fill="FFFFFF"/>
          <w:lang w:eastAsia="zh-CN"/>
        </w:rPr>
        <w:t>：</w:t>
      </w:r>
    </w:p>
    <w:p w14:paraId="460281AD">
      <w:pPr>
        <w:pStyle w:val="2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jc w:val="both"/>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2.落实政府采购政策需满足的资格要求：</w:t>
      </w:r>
    </w:p>
    <w:p w14:paraId="3E300A64">
      <w:pPr>
        <w:pStyle w:val="2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jc w:val="both"/>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(1)《政府采购促进中小企业发展管理办法》(财库【2020】46号)；</w:t>
      </w:r>
    </w:p>
    <w:p w14:paraId="03E4CD32">
      <w:pPr>
        <w:pStyle w:val="2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jc w:val="both"/>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(2)《财政部司法部关于政府采购支持监狱企业发展有关问题的通知》(财库【2014】68号)；</w:t>
      </w:r>
    </w:p>
    <w:p w14:paraId="7108C508">
      <w:pPr>
        <w:pStyle w:val="2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jc w:val="both"/>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(3)《三部门联合发布关于促进残疾人就业政府采购政策的通知》(财库【2017】141号)；</w:t>
      </w:r>
    </w:p>
    <w:p w14:paraId="7F4319E4">
      <w:pPr>
        <w:pStyle w:val="2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jc w:val="both"/>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(4)财政部、国家发展改革委《关于印发〈节能产品政府采购实施意见〉的通知》(财库【2004】185号)；</w:t>
      </w:r>
    </w:p>
    <w:p w14:paraId="458A6AA9">
      <w:pPr>
        <w:pStyle w:val="2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jc w:val="both"/>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(5)财政部、国家环保总局联合印发《关于环境标志产品政府采购实施的意见》(财库【2006】90号)；</w:t>
      </w:r>
    </w:p>
    <w:p w14:paraId="5C663AA6">
      <w:pPr>
        <w:pStyle w:val="2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jc w:val="both"/>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(6)《国务院办公厅关于建立政府强制采购节能产品制度的通知》(国发办【2007】51号)；</w:t>
      </w:r>
    </w:p>
    <w:p w14:paraId="1D234FD1">
      <w:pPr>
        <w:pStyle w:val="2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jc w:val="both"/>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(7)《财政部发展改革委生态环境部市场监管总局关于调整优化节能产品、环境标志产品政府采购执行机制的通知》(财库【2019】9号)；</w:t>
      </w:r>
    </w:p>
    <w:p w14:paraId="54D3EB5A">
      <w:pPr>
        <w:pStyle w:val="2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jc w:val="both"/>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(8)《关于印发节能产品政府采购品目清单的通知》(财库【2019】19号)；</w:t>
      </w:r>
    </w:p>
    <w:p w14:paraId="16555856">
      <w:pPr>
        <w:pStyle w:val="2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jc w:val="both"/>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(9)关于印发环境标志产品政府采购品目清单的通知(财库【2019】18号)；</w:t>
      </w:r>
    </w:p>
    <w:p w14:paraId="734BBA9A">
      <w:pPr>
        <w:pStyle w:val="2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jc w:val="both"/>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(10)《财政部、农业农村部、国家乡村振兴局关于运用政府采购政策支持乡村产业振兴的通知》(财库〔2021〕19号)；</w:t>
      </w:r>
    </w:p>
    <w:p w14:paraId="7D31D050">
      <w:pPr>
        <w:pStyle w:val="2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jc w:val="both"/>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(11)《陕西省中小企业政府采购信用融资办法》(陕财办采〔2018〕23号)；</w:t>
      </w:r>
    </w:p>
    <w:p w14:paraId="1A559B89">
      <w:pPr>
        <w:pStyle w:val="2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jc w:val="both"/>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(12)《财政部关于进一步加大政府采购支持中小企业力度的通知》（财库〔2022〕19号）</w:t>
      </w:r>
    </w:p>
    <w:p w14:paraId="4D45219A">
      <w:pPr>
        <w:pStyle w:val="2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jc w:val="both"/>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(13) 《陕西省财政厅关于加快推进我省中小企业政府采购信用融资工作的通知》（陕财办采〔2020〕15号）；</w:t>
      </w:r>
    </w:p>
    <w:p w14:paraId="330318B9">
      <w:pPr>
        <w:pStyle w:val="2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jc w:val="both"/>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(14) 本项目非专门面向中小企业采购。</w:t>
      </w:r>
    </w:p>
    <w:p w14:paraId="0C0C079F">
      <w:pPr>
        <w:pStyle w:val="2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jc w:val="both"/>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3.本项目的特定资格要求：</w:t>
      </w:r>
    </w:p>
    <w:p w14:paraId="4AC6779C">
      <w:pPr>
        <w:pStyle w:val="2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jc w:val="both"/>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合同包1(</w:t>
      </w:r>
      <w:r>
        <w:rPr>
          <w:rFonts w:hint="eastAsia" w:cs="宋体"/>
          <w:i w:val="0"/>
          <w:iCs w:val="0"/>
          <w:caps w:val="0"/>
          <w:color w:val="auto"/>
          <w:spacing w:val="0"/>
          <w:sz w:val="24"/>
          <w:szCs w:val="24"/>
          <w:shd w:val="clear" w:fill="FFFFFF"/>
          <w:lang w:eastAsia="zh-CN"/>
        </w:rPr>
        <w:t>教学及管理服务系统改造</w:t>
      </w:r>
      <w:r>
        <w:rPr>
          <w:rFonts w:hint="eastAsia" w:ascii="宋体" w:hAnsi="宋体" w:eastAsia="宋体" w:cs="宋体"/>
          <w:i w:val="0"/>
          <w:iCs w:val="0"/>
          <w:caps w:val="0"/>
          <w:color w:val="auto"/>
          <w:spacing w:val="0"/>
          <w:sz w:val="24"/>
          <w:szCs w:val="24"/>
          <w:shd w:val="clear" w:fill="FFFFFF"/>
        </w:rPr>
        <w:t>)特定资格要求如下:</w:t>
      </w:r>
    </w:p>
    <w:p w14:paraId="11D7BB9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1、具有独立承担民事责任能力的法人、其他组织或自然人并出具合法有效的营业执照或事业单位法人证书等国家规定的相关证明，自然人参与的提供其身份证明；</w:t>
      </w:r>
    </w:p>
    <w:p w14:paraId="65C221D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2、</w:t>
      </w:r>
      <w:r>
        <w:rPr>
          <w:rFonts w:hint="eastAsia" w:ascii="宋体" w:hAnsi="宋体" w:eastAsia="宋体" w:cs="宋体"/>
          <w:i w:val="0"/>
          <w:iCs w:val="0"/>
          <w:caps w:val="0"/>
          <w:color w:val="auto"/>
          <w:spacing w:val="0"/>
          <w:sz w:val="24"/>
          <w:szCs w:val="24"/>
          <w:shd w:val="clear" w:fill="FFFFFF"/>
          <w:lang w:val="en-US" w:eastAsia="zh-CN"/>
        </w:rPr>
        <w:t>法定代表人直接参加投标的，需提供法定代表人身份证明（含法定代表人身份证复印件），法定代表人委托代理人参加投标的，需提供法定代表人授权委托书（含法定代表人及代理人身份证复印件）</w:t>
      </w:r>
      <w:r>
        <w:rPr>
          <w:rFonts w:hint="eastAsia" w:ascii="宋体" w:hAnsi="宋体" w:eastAsia="宋体" w:cs="宋体"/>
          <w:color w:val="000000"/>
          <w:kern w:val="0"/>
          <w:shd w:val="clear" w:color="auto" w:fill="FFFFFF"/>
          <w:lang w:bidi="ar"/>
        </w:rPr>
        <w:t>；</w:t>
      </w:r>
    </w:p>
    <w:p w14:paraId="6E2F5D6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3、供应商应提供202</w:t>
      </w:r>
      <w:r>
        <w:rPr>
          <w:rFonts w:hint="eastAsia" w:cs="宋体"/>
          <w:i w:val="0"/>
          <w:iCs w:val="0"/>
          <w:caps w:val="0"/>
          <w:color w:val="auto"/>
          <w:spacing w:val="0"/>
          <w:sz w:val="24"/>
          <w:szCs w:val="24"/>
          <w:shd w:val="clear" w:fill="FFFFFF"/>
          <w:lang w:val="en-US" w:eastAsia="zh-CN"/>
        </w:rPr>
        <w:t>3</w:t>
      </w:r>
      <w:r>
        <w:rPr>
          <w:rFonts w:hint="eastAsia" w:ascii="宋体" w:hAnsi="宋体" w:eastAsia="宋体" w:cs="宋体"/>
          <w:i w:val="0"/>
          <w:iCs w:val="0"/>
          <w:caps w:val="0"/>
          <w:color w:val="auto"/>
          <w:spacing w:val="0"/>
          <w:sz w:val="24"/>
          <w:szCs w:val="24"/>
          <w:shd w:val="clear" w:fill="FFFFFF"/>
        </w:rPr>
        <w:t>年</w:t>
      </w:r>
      <w:r>
        <w:rPr>
          <w:rFonts w:hint="eastAsia" w:cs="宋体"/>
          <w:i w:val="0"/>
          <w:iCs w:val="0"/>
          <w:caps w:val="0"/>
          <w:color w:val="auto"/>
          <w:spacing w:val="0"/>
          <w:sz w:val="24"/>
          <w:szCs w:val="24"/>
          <w:shd w:val="clear" w:fill="FFFFFF"/>
          <w:lang w:val="en-US" w:eastAsia="zh-CN"/>
        </w:rPr>
        <w:t>度</w:t>
      </w:r>
      <w:r>
        <w:rPr>
          <w:rFonts w:hint="eastAsia" w:ascii="宋体" w:hAnsi="宋体" w:eastAsia="宋体" w:cs="宋体"/>
          <w:i w:val="0"/>
          <w:iCs w:val="0"/>
          <w:caps w:val="0"/>
          <w:color w:val="auto"/>
          <w:spacing w:val="0"/>
          <w:sz w:val="24"/>
          <w:szCs w:val="24"/>
          <w:shd w:val="clear" w:fill="FFFFFF"/>
        </w:rPr>
        <w:t>的财务审计报告（成立时间至提交投标文件截止时间不足一年的可提供成立后任意时段的资产负债表）或其基本存款账户开户银行出具的资信证明及基本存款账户开户许可证（或基本账户存款信息）；</w:t>
      </w:r>
    </w:p>
    <w:p w14:paraId="5E38318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4、</w:t>
      </w:r>
      <w:r>
        <w:rPr>
          <w:rFonts w:hint="eastAsia" w:cs="宋体"/>
          <w:i w:val="0"/>
          <w:iCs w:val="0"/>
          <w:caps w:val="0"/>
          <w:color w:val="auto"/>
          <w:spacing w:val="0"/>
          <w:sz w:val="24"/>
          <w:szCs w:val="24"/>
          <w:shd w:val="clear" w:fill="FFFFFF"/>
          <w:lang w:eastAsia="zh-CN"/>
        </w:rPr>
        <w:t>供应商应提供具有履行合同所必需的设备和专业技术能力的说明</w:t>
      </w:r>
      <w:r>
        <w:rPr>
          <w:rFonts w:hint="eastAsia" w:ascii="宋体" w:hAnsi="宋体" w:eastAsia="宋体" w:cs="宋体"/>
          <w:i w:val="0"/>
          <w:iCs w:val="0"/>
          <w:caps w:val="0"/>
          <w:color w:val="auto"/>
          <w:spacing w:val="0"/>
          <w:sz w:val="24"/>
          <w:szCs w:val="24"/>
          <w:shd w:val="clear" w:fill="FFFFFF"/>
        </w:rPr>
        <w:t>；</w:t>
      </w:r>
    </w:p>
    <w:p w14:paraId="4E2E819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5、供应商应提供202</w:t>
      </w:r>
      <w:r>
        <w:rPr>
          <w:rFonts w:hint="eastAsia" w:cs="宋体"/>
          <w:i w:val="0"/>
          <w:iCs w:val="0"/>
          <w:caps w:val="0"/>
          <w:color w:val="auto"/>
          <w:spacing w:val="0"/>
          <w:sz w:val="24"/>
          <w:szCs w:val="24"/>
          <w:shd w:val="clear" w:fill="FFFFFF"/>
          <w:lang w:val="en-US" w:eastAsia="zh-CN"/>
        </w:rPr>
        <w:t>4</w:t>
      </w:r>
      <w:r>
        <w:rPr>
          <w:rFonts w:hint="eastAsia" w:ascii="宋体" w:hAnsi="宋体" w:eastAsia="宋体" w:cs="宋体"/>
          <w:i w:val="0"/>
          <w:iCs w:val="0"/>
          <w:caps w:val="0"/>
          <w:color w:val="auto"/>
          <w:spacing w:val="0"/>
          <w:sz w:val="24"/>
          <w:szCs w:val="24"/>
          <w:shd w:val="clear" w:fill="FFFFFF"/>
        </w:rPr>
        <w:t>年至今任意一月的纳税凭据或完税证明，依法免税的应提供相关证明材料；</w:t>
      </w:r>
    </w:p>
    <w:p w14:paraId="1F50CD8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6、供应商应提供202</w:t>
      </w:r>
      <w:r>
        <w:rPr>
          <w:rFonts w:hint="eastAsia" w:cs="宋体"/>
          <w:i w:val="0"/>
          <w:iCs w:val="0"/>
          <w:caps w:val="0"/>
          <w:color w:val="auto"/>
          <w:spacing w:val="0"/>
          <w:sz w:val="24"/>
          <w:szCs w:val="24"/>
          <w:shd w:val="clear" w:fill="FFFFFF"/>
          <w:lang w:val="en-US" w:eastAsia="zh-CN"/>
        </w:rPr>
        <w:t>4</w:t>
      </w:r>
      <w:r>
        <w:rPr>
          <w:rFonts w:hint="eastAsia" w:ascii="宋体" w:hAnsi="宋体" w:eastAsia="宋体" w:cs="宋体"/>
          <w:i w:val="0"/>
          <w:iCs w:val="0"/>
          <w:caps w:val="0"/>
          <w:color w:val="auto"/>
          <w:spacing w:val="0"/>
          <w:sz w:val="24"/>
          <w:szCs w:val="24"/>
          <w:shd w:val="clear" w:fill="FFFFFF"/>
        </w:rPr>
        <w:t>年至今任意一月的社会保障资金缴存单据或社保机构开具的社会保险参保缴费情况证明，依法不需要缴纳社会保障资金的应提供相关证明材料；</w:t>
      </w:r>
    </w:p>
    <w:p w14:paraId="48D5EFC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7、供应商应提供参加本次政府采购活动前3年内在经营活动中没有重大违法违纪，以及未被列入失信被执行人、</w:t>
      </w:r>
      <w:r>
        <w:rPr>
          <w:rFonts w:hint="eastAsia" w:eastAsia="宋体" w:cs="宋体"/>
          <w:i w:val="0"/>
          <w:iCs w:val="0"/>
          <w:caps w:val="0"/>
          <w:color w:val="auto"/>
          <w:spacing w:val="0"/>
          <w:sz w:val="24"/>
          <w:szCs w:val="24"/>
          <w:shd w:val="clear" w:fill="FFFFFF"/>
          <w:lang w:eastAsia="zh-CN"/>
        </w:rPr>
        <w:t>重大税收违法失信主体</w:t>
      </w:r>
      <w:r>
        <w:rPr>
          <w:rFonts w:hint="eastAsia" w:ascii="宋体" w:hAnsi="宋体" w:eastAsia="宋体" w:cs="宋体"/>
          <w:i w:val="0"/>
          <w:iCs w:val="0"/>
          <w:caps w:val="0"/>
          <w:color w:val="auto"/>
          <w:spacing w:val="0"/>
          <w:sz w:val="24"/>
          <w:szCs w:val="24"/>
          <w:shd w:val="clear" w:fill="FFFFFF"/>
        </w:rPr>
        <w:t>、政府采购严重违法失信行为记录名单的书面声明；</w:t>
      </w:r>
    </w:p>
    <w:p w14:paraId="3C581B7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cs="宋体"/>
          <w:i w:val="0"/>
          <w:iCs w:val="0"/>
          <w:caps w:val="0"/>
          <w:color w:val="auto"/>
          <w:spacing w:val="0"/>
          <w:sz w:val="24"/>
          <w:szCs w:val="24"/>
          <w:shd w:val="clear" w:fill="FFFFFF"/>
          <w:lang w:val="en-US" w:eastAsia="zh-CN"/>
        </w:rPr>
        <w:t>8、（1）单位负责人为同一人或者存在直接控股、管理关系的不同投标人，不得参加本次采购活动；（2）为本项目提供整体设计、规范编制或者项目管理、监理、检测等服务的投标人，不得再参加该采购项目的其他采购活动</w:t>
      </w:r>
      <w:r>
        <w:rPr>
          <w:rFonts w:hint="eastAsia" w:ascii="宋体" w:hAnsi="宋体" w:cs="宋体"/>
          <w:b w:val="0"/>
          <w:bCs w:val="0"/>
          <w:sz w:val="24"/>
          <w:szCs w:val="24"/>
          <w:highlight w:val="none"/>
          <w:lang w:val="en-US" w:eastAsia="zh-CN"/>
        </w:rPr>
        <w:t>。</w:t>
      </w:r>
    </w:p>
    <w:p w14:paraId="3F029904">
      <w:pPr>
        <w:pStyle w:val="6"/>
        <w:keepNext w:val="0"/>
        <w:keepLines w:val="0"/>
        <w:widowControl/>
        <w:numPr>
          <w:ilvl w:val="3"/>
          <w:numId w:val="0"/>
        </w:numPr>
        <w:suppressLineNumbers w:val="0"/>
        <w:pBdr>
          <w:top w:val="none" w:color="auto" w:sz="0" w:space="0"/>
          <w:left w:val="none" w:color="auto" w:sz="0" w:space="0"/>
          <w:bottom w:val="none" w:color="auto" w:sz="0" w:space="0"/>
          <w:right w:val="none" w:color="auto" w:sz="0" w:space="0"/>
        </w:pBdr>
        <w:wordWrap w:val="0"/>
        <w:spacing w:before="150" w:beforeAutospacing="0" w:after="0" w:afterAutospacing="0" w:line="360" w:lineRule="auto"/>
        <w:ind w:right="0" w:rightChars="0"/>
        <w:jc w:val="left"/>
        <w:rPr>
          <w:rFonts w:hint="eastAsia" w:ascii="宋体" w:hAnsi="宋体" w:eastAsia="宋体" w:cs="宋体"/>
          <w:b w:val="0"/>
          <w:bCs w:val="0"/>
          <w:color w:val="auto"/>
          <w:sz w:val="24"/>
          <w:szCs w:val="24"/>
          <w:highlight w:val="none"/>
        </w:rPr>
      </w:pPr>
      <w:r>
        <w:rPr>
          <w:rStyle w:val="38"/>
          <w:rFonts w:hint="eastAsia" w:ascii="宋体" w:hAnsi="宋体" w:eastAsia="宋体" w:cs="宋体"/>
          <w:b/>
          <w:bCs/>
          <w:i w:val="0"/>
          <w:iCs w:val="0"/>
          <w:caps w:val="0"/>
          <w:color w:val="auto"/>
          <w:spacing w:val="0"/>
          <w:sz w:val="24"/>
          <w:szCs w:val="24"/>
          <w:shd w:val="clear" w:fill="FFFFFF"/>
        </w:rPr>
        <w:t>三、获取招标文件</w:t>
      </w:r>
    </w:p>
    <w:p w14:paraId="52411F05">
      <w:pPr>
        <w:pStyle w:val="2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jc w:val="both"/>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highlight w:val="none"/>
          <w:shd w:val="clear" w:fill="FFFFFF"/>
        </w:rPr>
        <w:t>时间： 202</w:t>
      </w:r>
      <w:r>
        <w:rPr>
          <w:rFonts w:hint="eastAsia" w:cs="宋体"/>
          <w:i w:val="0"/>
          <w:iCs w:val="0"/>
          <w:caps w:val="0"/>
          <w:color w:val="auto"/>
          <w:spacing w:val="0"/>
          <w:sz w:val="24"/>
          <w:szCs w:val="24"/>
          <w:highlight w:val="none"/>
          <w:shd w:val="clear" w:fill="FFFFFF"/>
          <w:lang w:val="en-US" w:eastAsia="zh-CN"/>
        </w:rPr>
        <w:t>4</w:t>
      </w:r>
      <w:r>
        <w:rPr>
          <w:rFonts w:hint="eastAsia" w:ascii="宋体" w:hAnsi="宋体" w:eastAsia="宋体" w:cs="宋体"/>
          <w:i w:val="0"/>
          <w:iCs w:val="0"/>
          <w:caps w:val="0"/>
          <w:color w:val="auto"/>
          <w:spacing w:val="0"/>
          <w:sz w:val="24"/>
          <w:szCs w:val="24"/>
          <w:highlight w:val="none"/>
          <w:shd w:val="clear" w:fill="FFFFFF"/>
        </w:rPr>
        <w:t>年</w:t>
      </w:r>
      <w:r>
        <w:rPr>
          <w:rFonts w:hint="eastAsia" w:cs="宋体"/>
          <w:i w:val="0"/>
          <w:iCs w:val="0"/>
          <w:caps w:val="0"/>
          <w:color w:val="auto"/>
          <w:spacing w:val="0"/>
          <w:sz w:val="24"/>
          <w:szCs w:val="24"/>
          <w:highlight w:val="none"/>
          <w:shd w:val="clear" w:fill="FFFFFF"/>
          <w:lang w:val="en-US" w:eastAsia="zh-CN"/>
        </w:rPr>
        <w:t>11</w:t>
      </w:r>
      <w:r>
        <w:rPr>
          <w:rFonts w:hint="eastAsia" w:ascii="宋体" w:hAnsi="宋体" w:eastAsia="宋体" w:cs="宋体"/>
          <w:i w:val="0"/>
          <w:iCs w:val="0"/>
          <w:caps w:val="0"/>
          <w:color w:val="auto"/>
          <w:spacing w:val="0"/>
          <w:sz w:val="24"/>
          <w:szCs w:val="24"/>
          <w:highlight w:val="none"/>
          <w:shd w:val="clear" w:fill="FFFFFF"/>
        </w:rPr>
        <w:t>月</w:t>
      </w:r>
      <w:r>
        <w:rPr>
          <w:rFonts w:hint="eastAsia" w:cs="宋体"/>
          <w:i w:val="0"/>
          <w:iCs w:val="0"/>
          <w:caps w:val="0"/>
          <w:color w:val="auto"/>
          <w:spacing w:val="0"/>
          <w:sz w:val="24"/>
          <w:szCs w:val="24"/>
          <w:highlight w:val="none"/>
          <w:shd w:val="clear" w:fill="FFFFFF"/>
          <w:lang w:val="en-US" w:eastAsia="zh-CN"/>
        </w:rPr>
        <w:t>07</w:t>
      </w:r>
      <w:r>
        <w:rPr>
          <w:rFonts w:hint="eastAsia" w:ascii="宋体" w:hAnsi="宋体" w:eastAsia="宋体" w:cs="宋体"/>
          <w:i w:val="0"/>
          <w:iCs w:val="0"/>
          <w:caps w:val="0"/>
          <w:color w:val="auto"/>
          <w:spacing w:val="0"/>
          <w:sz w:val="24"/>
          <w:szCs w:val="24"/>
          <w:highlight w:val="none"/>
          <w:shd w:val="clear" w:fill="FFFFFF"/>
        </w:rPr>
        <w:t>日 至 202</w:t>
      </w:r>
      <w:r>
        <w:rPr>
          <w:rFonts w:hint="eastAsia" w:cs="宋体"/>
          <w:i w:val="0"/>
          <w:iCs w:val="0"/>
          <w:caps w:val="0"/>
          <w:color w:val="auto"/>
          <w:spacing w:val="0"/>
          <w:sz w:val="24"/>
          <w:szCs w:val="24"/>
          <w:highlight w:val="none"/>
          <w:shd w:val="clear" w:fill="FFFFFF"/>
          <w:lang w:val="en-US" w:eastAsia="zh-CN"/>
        </w:rPr>
        <w:t>4</w:t>
      </w:r>
      <w:r>
        <w:rPr>
          <w:rFonts w:hint="eastAsia" w:ascii="宋体" w:hAnsi="宋体" w:eastAsia="宋体" w:cs="宋体"/>
          <w:i w:val="0"/>
          <w:iCs w:val="0"/>
          <w:caps w:val="0"/>
          <w:color w:val="auto"/>
          <w:spacing w:val="0"/>
          <w:sz w:val="24"/>
          <w:szCs w:val="24"/>
          <w:highlight w:val="none"/>
          <w:shd w:val="clear" w:fill="FFFFFF"/>
        </w:rPr>
        <w:t>年</w:t>
      </w:r>
      <w:r>
        <w:rPr>
          <w:rFonts w:hint="eastAsia" w:cs="宋体"/>
          <w:i w:val="0"/>
          <w:iCs w:val="0"/>
          <w:caps w:val="0"/>
          <w:color w:val="auto"/>
          <w:spacing w:val="0"/>
          <w:sz w:val="24"/>
          <w:szCs w:val="24"/>
          <w:highlight w:val="none"/>
          <w:shd w:val="clear" w:fill="FFFFFF"/>
          <w:lang w:val="en-US" w:eastAsia="zh-CN"/>
        </w:rPr>
        <w:t>11</w:t>
      </w:r>
      <w:r>
        <w:rPr>
          <w:rFonts w:hint="eastAsia" w:ascii="宋体" w:hAnsi="宋体" w:eastAsia="宋体" w:cs="宋体"/>
          <w:i w:val="0"/>
          <w:iCs w:val="0"/>
          <w:caps w:val="0"/>
          <w:color w:val="auto"/>
          <w:spacing w:val="0"/>
          <w:sz w:val="24"/>
          <w:szCs w:val="24"/>
          <w:highlight w:val="none"/>
          <w:shd w:val="clear" w:fill="FFFFFF"/>
        </w:rPr>
        <w:t>月1</w:t>
      </w:r>
      <w:r>
        <w:rPr>
          <w:rFonts w:hint="eastAsia" w:cs="宋体"/>
          <w:i w:val="0"/>
          <w:iCs w:val="0"/>
          <w:caps w:val="0"/>
          <w:color w:val="auto"/>
          <w:spacing w:val="0"/>
          <w:sz w:val="24"/>
          <w:szCs w:val="24"/>
          <w:highlight w:val="none"/>
          <w:shd w:val="clear" w:fill="FFFFFF"/>
          <w:lang w:val="en-US" w:eastAsia="zh-CN"/>
        </w:rPr>
        <w:t>3</w:t>
      </w:r>
      <w:r>
        <w:rPr>
          <w:rFonts w:hint="eastAsia" w:ascii="宋体" w:hAnsi="宋体" w:eastAsia="宋体" w:cs="宋体"/>
          <w:i w:val="0"/>
          <w:iCs w:val="0"/>
          <w:caps w:val="0"/>
          <w:color w:val="auto"/>
          <w:spacing w:val="0"/>
          <w:sz w:val="24"/>
          <w:szCs w:val="24"/>
          <w:highlight w:val="none"/>
          <w:shd w:val="clear" w:fill="FFFFFF"/>
        </w:rPr>
        <w:t>日 ，每天</w:t>
      </w:r>
      <w:r>
        <w:rPr>
          <w:rFonts w:hint="eastAsia" w:ascii="宋体" w:hAnsi="宋体" w:eastAsia="宋体" w:cs="宋体"/>
          <w:i w:val="0"/>
          <w:iCs w:val="0"/>
          <w:caps w:val="0"/>
          <w:color w:val="auto"/>
          <w:spacing w:val="0"/>
          <w:sz w:val="24"/>
          <w:szCs w:val="24"/>
          <w:shd w:val="clear" w:fill="FFFFFF"/>
        </w:rPr>
        <w:t>上午 00:00:00 至 12:00:00 ，下午 12:00:00 至 23:59:59 （北京时间）</w:t>
      </w:r>
    </w:p>
    <w:p w14:paraId="6D23742B">
      <w:pPr>
        <w:pStyle w:val="2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jc w:val="both"/>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途径：全国公共资源交易平台（陕西省·西安市）（以下简称西安市公共资源交易平台，官网地址：http://sxggzyjy.xa.gov.cn/）</w:t>
      </w:r>
    </w:p>
    <w:p w14:paraId="1A2C3662">
      <w:pPr>
        <w:pStyle w:val="2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jc w:val="both"/>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方式：在线获取</w:t>
      </w:r>
    </w:p>
    <w:p w14:paraId="4C8EDB8D">
      <w:pPr>
        <w:pStyle w:val="2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jc w:val="both"/>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售价： 0元</w:t>
      </w:r>
    </w:p>
    <w:p w14:paraId="4683889A">
      <w:pPr>
        <w:pStyle w:val="6"/>
        <w:keepNext w:val="0"/>
        <w:keepLines w:val="0"/>
        <w:widowControl/>
        <w:numPr>
          <w:ilvl w:val="3"/>
          <w:numId w:val="0"/>
        </w:numPr>
        <w:suppressLineNumbers w:val="0"/>
        <w:pBdr>
          <w:top w:val="none" w:color="auto" w:sz="0" w:space="0"/>
          <w:left w:val="none" w:color="auto" w:sz="0" w:space="0"/>
          <w:bottom w:val="none" w:color="auto" w:sz="0" w:space="0"/>
          <w:right w:val="none" w:color="auto" w:sz="0" w:space="0"/>
        </w:pBdr>
        <w:wordWrap w:val="0"/>
        <w:spacing w:before="150" w:beforeAutospacing="0" w:after="0" w:afterAutospacing="0" w:line="360" w:lineRule="auto"/>
        <w:ind w:right="0" w:rightChars="0"/>
        <w:jc w:val="left"/>
        <w:rPr>
          <w:rFonts w:hint="eastAsia" w:ascii="宋体" w:hAnsi="宋体" w:eastAsia="宋体" w:cs="宋体"/>
          <w:b w:val="0"/>
          <w:bCs w:val="0"/>
          <w:color w:val="auto"/>
          <w:sz w:val="24"/>
          <w:szCs w:val="24"/>
        </w:rPr>
      </w:pPr>
      <w:r>
        <w:rPr>
          <w:rStyle w:val="38"/>
          <w:rFonts w:hint="eastAsia" w:ascii="宋体" w:hAnsi="宋体" w:eastAsia="宋体" w:cs="宋体"/>
          <w:b/>
          <w:bCs/>
          <w:i w:val="0"/>
          <w:iCs w:val="0"/>
          <w:caps w:val="0"/>
          <w:color w:val="auto"/>
          <w:spacing w:val="0"/>
          <w:sz w:val="24"/>
          <w:szCs w:val="24"/>
          <w:shd w:val="clear" w:fill="FFFFFF"/>
        </w:rPr>
        <w:t>四、提交投标文件截止时间、开标时间和地点</w:t>
      </w:r>
    </w:p>
    <w:p w14:paraId="198F04F3">
      <w:pPr>
        <w:pStyle w:val="2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jc w:val="both"/>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shd w:val="clear" w:fill="FFFFFF"/>
        </w:rPr>
        <w:t>时间： 202</w:t>
      </w:r>
      <w:r>
        <w:rPr>
          <w:rFonts w:hint="eastAsia" w:cs="宋体"/>
          <w:i w:val="0"/>
          <w:iCs w:val="0"/>
          <w:caps w:val="0"/>
          <w:color w:val="auto"/>
          <w:spacing w:val="0"/>
          <w:sz w:val="24"/>
          <w:szCs w:val="24"/>
          <w:highlight w:val="none"/>
          <w:shd w:val="clear" w:fill="FFFFFF"/>
          <w:lang w:val="en-US" w:eastAsia="zh-CN"/>
        </w:rPr>
        <w:t>4</w:t>
      </w:r>
      <w:r>
        <w:rPr>
          <w:rFonts w:hint="eastAsia" w:ascii="宋体" w:hAnsi="宋体" w:eastAsia="宋体" w:cs="宋体"/>
          <w:i w:val="0"/>
          <w:iCs w:val="0"/>
          <w:caps w:val="0"/>
          <w:color w:val="auto"/>
          <w:spacing w:val="0"/>
          <w:sz w:val="24"/>
          <w:szCs w:val="24"/>
          <w:highlight w:val="none"/>
          <w:shd w:val="clear" w:fill="FFFFFF"/>
        </w:rPr>
        <w:t>年</w:t>
      </w:r>
      <w:r>
        <w:rPr>
          <w:rFonts w:hint="eastAsia" w:cs="宋体"/>
          <w:i w:val="0"/>
          <w:iCs w:val="0"/>
          <w:caps w:val="0"/>
          <w:color w:val="auto"/>
          <w:spacing w:val="0"/>
          <w:sz w:val="24"/>
          <w:szCs w:val="24"/>
          <w:highlight w:val="none"/>
          <w:shd w:val="clear" w:fill="FFFFFF"/>
          <w:lang w:val="en-US" w:eastAsia="zh-CN"/>
        </w:rPr>
        <w:t>11</w:t>
      </w:r>
      <w:r>
        <w:rPr>
          <w:rFonts w:hint="eastAsia" w:ascii="宋体" w:hAnsi="宋体" w:eastAsia="宋体" w:cs="宋体"/>
          <w:i w:val="0"/>
          <w:iCs w:val="0"/>
          <w:caps w:val="0"/>
          <w:color w:val="auto"/>
          <w:spacing w:val="0"/>
          <w:sz w:val="24"/>
          <w:szCs w:val="24"/>
          <w:highlight w:val="none"/>
          <w:shd w:val="clear" w:fill="FFFFFF"/>
        </w:rPr>
        <w:t>月</w:t>
      </w:r>
      <w:r>
        <w:rPr>
          <w:rFonts w:hint="eastAsia" w:cs="宋体"/>
          <w:i w:val="0"/>
          <w:iCs w:val="0"/>
          <w:caps w:val="0"/>
          <w:color w:val="auto"/>
          <w:spacing w:val="0"/>
          <w:sz w:val="24"/>
          <w:szCs w:val="24"/>
          <w:highlight w:val="none"/>
          <w:shd w:val="clear" w:fill="FFFFFF"/>
          <w:lang w:val="en-US" w:eastAsia="zh-CN"/>
        </w:rPr>
        <w:t>27</w:t>
      </w:r>
      <w:r>
        <w:rPr>
          <w:rFonts w:hint="eastAsia" w:ascii="宋体" w:hAnsi="宋体" w:eastAsia="宋体" w:cs="宋体"/>
          <w:i w:val="0"/>
          <w:iCs w:val="0"/>
          <w:caps w:val="0"/>
          <w:color w:val="auto"/>
          <w:spacing w:val="0"/>
          <w:sz w:val="24"/>
          <w:szCs w:val="24"/>
          <w:highlight w:val="none"/>
          <w:shd w:val="clear" w:fill="FFFFFF"/>
        </w:rPr>
        <w:t>日 09时</w:t>
      </w:r>
      <w:r>
        <w:rPr>
          <w:rFonts w:hint="eastAsia" w:cs="宋体"/>
          <w:i w:val="0"/>
          <w:iCs w:val="0"/>
          <w:caps w:val="0"/>
          <w:color w:val="auto"/>
          <w:spacing w:val="0"/>
          <w:sz w:val="24"/>
          <w:szCs w:val="24"/>
          <w:highlight w:val="none"/>
          <w:shd w:val="clear" w:fill="FFFFFF"/>
          <w:lang w:val="en-US" w:eastAsia="zh-CN"/>
        </w:rPr>
        <w:t>3</w:t>
      </w:r>
      <w:r>
        <w:rPr>
          <w:rFonts w:hint="eastAsia" w:ascii="宋体" w:hAnsi="宋体" w:eastAsia="宋体" w:cs="宋体"/>
          <w:i w:val="0"/>
          <w:iCs w:val="0"/>
          <w:caps w:val="0"/>
          <w:color w:val="auto"/>
          <w:spacing w:val="0"/>
          <w:sz w:val="24"/>
          <w:szCs w:val="24"/>
          <w:highlight w:val="none"/>
          <w:shd w:val="clear" w:fill="FFFFFF"/>
        </w:rPr>
        <w:t>0分00秒 （北京时间）</w:t>
      </w:r>
    </w:p>
    <w:p w14:paraId="23B73055">
      <w:pPr>
        <w:pStyle w:val="2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jc w:val="both"/>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caps w:val="0"/>
          <w:color w:val="auto"/>
          <w:spacing w:val="0"/>
          <w:sz w:val="24"/>
          <w:szCs w:val="24"/>
          <w:highlight w:val="none"/>
          <w:shd w:val="clear" w:fill="FFFFFF"/>
        </w:rPr>
        <w:t>提交投标文件地点：全国公共资源交易平台（陕西省•西安市）网站〖首页〉电子交易平台〉陕西政府采购交易系统〉企业端〗，在线提交。</w:t>
      </w:r>
    </w:p>
    <w:p w14:paraId="1C4AB7BB">
      <w:pPr>
        <w:pStyle w:val="2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jc w:val="both"/>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caps w:val="0"/>
          <w:color w:val="auto"/>
          <w:spacing w:val="0"/>
          <w:sz w:val="24"/>
          <w:szCs w:val="24"/>
          <w:highlight w:val="none"/>
          <w:shd w:val="clear" w:fill="FFFFFF"/>
        </w:rPr>
        <w:t>开标地点：全国公共资源交易平台（陕西省•西安市）网站〖首页〉电子交易平台〉陕西政府采购交易系统〉企业端〗，不见面开标大厅。</w:t>
      </w:r>
    </w:p>
    <w:p w14:paraId="47BEA227">
      <w:pPr>
        <w:pStyle w:val="6"/>
        <w:keepNext w:val="0"/>
        <w:keepLines w:val="0"/>
        <w:widowControl/>
        <w:numPr>
          <w:ilvl w:val="3"/>
          <w:numId w:val="0"/>
        </w:numPr>
        <w:suppressLineNumbers w:val="0"/>
        <w:pBdr>
          <w:top w:val="none" w:color="auto" w:sz="0" w:space="0"/>
          <w:left w:val="none" w:color="auto" w:sz="0" w:space="0"/>
          <w:bottom w:val="none" w:color="auto" w:sz="0" w:space="0"/>
          <w:right w:val="none" w:color="auto" w:sz="0" w:space="0"/>
        </w:pBdr>
        <w:wordWrap w:val="0"/>
        <w:spacing w:before="150" w:beforeAutospacing="0" w:after="0" w:afterAutospacing="0" w:line="360" w:lineRule="auto"/>
        <w:ind w:right="0" w:rightChars="0"/>
        <w:jc w:val="left"/>
        <w:rPr>
          <w:rFonts w:hint="eastAsia" w:ascii="宋体" w:hAnsi="宋体" w:eastAsia="宋体" w:cs="宋体"/>
          <w:b w:val="0"/>
          <w:bCs w:val="0"/>
          <w:color w:val="auto"/>
          <w:sz w:val="24"/>
          <w:szCs w:val="24"/>
        </w:rPr>
      </w:pPr>
      <w:r>
        <w:rPr>
          <w:rStyle w:val="38"/>
          <w:rFonts w:hint="eastAsia" w:ascii="宋体" w:hAnsi="宋体" w:eastAsia="宋体" w:cs="宋体"/>
          <w:b/>
          <w:bCs/>
          <w:i w:val="0"/>
          <w:iCs w:val="0"/>
          <w:caps w:val="0"/>
          <w:color w:val="auto"/>
          <w:spacing w:val="0"/>
          <w:sz w:val="24"/>
          <w:szCs w:val="24"/>
          <w:shd w:val="clear" w:fill="FFFFFF"/>
        </w:rPr>
        <w:t>五、公告期限</w:t>
      </w:r>
      <w:bookmarkStart w:id="391" w:name="_GoBack"/>
      <w:bookmarkEnd w:id="391"/>
    </w:p>
    <w:p w14:paraId="5B42B846">
      <w:pPr>
        <w:pStyle w:val="2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jc w:val="both"/>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自本公告发布之日起5个工作日。</w:t>
      </w:r>
    </w:p>
    <w:p w14:paraId="38F06E55">
      <w:pPr>
        <w:pStyle w:val="6"/>
        <w:keepNext w:val="0"/>
        <w:keepLines w:val="0"/>
        <w:widowControl/>
        <w:numPr>
          <w:ilvl w:val="3"/>
          <w:numId w:val="0"/>
        </w:numPr>
        <w:suppressLineNumbers w:val="0"/>
        <w:pBdr>
          <w:top w:val="none" w:color="auto" w:sz="0" w:space="0"/>
          <w:left w:val="none" w:color="auto" w:sz="0" w:space="0"/>
          <w:bottom w:val="none" w:color="auto" w:sz="0" w:space="0"/>
          <w:right w:val="none" w:color="auto" w:sz="0" w:space="0"/>
        </w:pBdr>
        <w:wordWrap w:val="0"/>
        <w:spacing w:before="150" w:beforeAutospacing="0" w:after="0" w:afterAutospacing="0" w:line="360" w:lineRule="auto"/>
        <w:ind w:right="0" w:rightChars="0"/>
        <w:jc w:val="left"/>
        <w:rPr>
          <w:rFonts w:hint="eastAsia" w:ascii="宋体" w:hAnsi="宋体" w:eastAsia="宋体" w:cs="宋体"/>
          <w:b w:val="0"/>
          <w:bCs w:val="0"/>
          <w:color w:val="auto"/>
          <w:sz w:val="24"/>
          <w:szCs w:val="24"/>
        </w:rPr>
      </w:pPr>
      <w:r>
        <w:rPr>
          <w:rStyle w:val="38"/>
          <w:rFonts w:hint="eastAsia" w:ascii="宋体" w:hAnsi="宋体" w:eastAsia="宋体" w:cs="宋体"/>
          <w:b/>
          <w:bCs/>
          <w:i w:val="0"/>
          <w:iCs w:val="0"/>
          <w:caps w:val="0"/>
          <w:color w:val="auto"/>
          <w:spacing w:val="0"/>
          <w:sz w:val="24"/>
          <w:szCs w:val="24"/>
          <w:shd w:val="clear" w:fill="FFFFFF"/>
        </w:rPr>
        <w:t>六、其他补充事宜</w:t>
      </w:r>
    </w:p>
    <w:p w14:paraId="4A92B033">
      <w:pPr>
        <w:pStyle w:val="2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jc w:val="both"/>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文件获取方式：（1）打开【全国公共资源交易平台（陕西省·西安市）】网站（简称西安市公共资源交易平台，官网地址：http://sxggzyjy.xa.gov.cn/），从〖首页·〉电子交易平台·〉陕西政府采购交易系统·〉企业端〗登录后，首先在〖招标公告/出让公告〗模块中预览全部可供参与的项目，然后选择有意向的项目点击〖我要投标〗，成功后切换到〖我的项目〗模块，依次点选〖项目流程·〉项目管理·〉交易文件下载〗免费获取本项目电子招标文件（*.SXSZF）。（2）供应商于文件发售时间内登录全国公共资源交易平台（陕西省·西安市）系统 （http://sxggzyjy.xa.gov.cn/），选择本项目点击“我要投标”，参与投标活动。</w:t>
      </w:r>
    </w:p>
    <w:p w14:paraId="77A43C54">
      <w:pPr>
        <w:pStyle w:val="2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jc w:val="both"/>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提示事项：（1）本项目为电子化政府采购项目，供应商初次使用电子交易平台时,请先阅读 【全国公共资源交易平台(陕西省·西安市)】 (http://sxggzyjy.xa.gov.cn/)网站〖首页〉服务指南〉下载专区中的《西安市市级单位电子化政府采购项目投标指南》,并按要求完成诚信入库登记、CA认证及企业信息绑定。(2)办理CA认证:电子交易平台现已接入陕西CA、深圳CA、西部CA、北京CA四家数字证书公司,各供应商在交易过程中登录系统、加密/解密投标文件、文件签章等均可使用上述四家CA公司签发的数字证书。办理须知及所需资料详见:http://www.sxggzyjy.cn/fwzn/004003/20220701/6972feo2-f996-4928-951e-545dab02e53c.htm1(3)请供应商务必及时下载项目招标文件并做好各份,否则会影响投标文件编制及后续投标活动。 (4)按照陕西省财政厅《关于政府采购供应商注册登记有关事项的通知》中的要求,供应商应通过陕西省政府采购网(http:〃www.ccgp shaanxi.gov.cn/)注册登记,加入陕西省政府采购供应商库 。 （5）制作电子投标文件（*.SXSTF）需要使用专用制作工具。软件下载及操作说明详见西安市公共资源交易平台〖首页·〉服务指南·〉下载专区〗中的《政府采购项目投标文件制作软件及操作手册》。（6）提交投标文件截止时间前，供应商应随时留意【陕西省政府采购网】、【全国公共资源交易平台（陕西省·西安市）】上可能发布的变更公告。若变更公告中明确注明本项目提供有变更文件的，供应商应登录企业端后，从〖项目流程·〉项目管理·〉答疑文件下载〗获取更新后的电子招标文件（*.SXSCF），使用旧版电子招标文件制作的电子投标文件（*.SXSTF），系统将拒绝接收。（7）其他事项见本项目招标文件。</w:t>
      </w:r>
    </w:p>
    <w:p w14:paraId="583810F3">
      <w:pPr>
        <w:pStyle w:val="6"/>
        <w:keepNext w:val="0"/>
        <w:keepLines w:val="0"/>
        <w:widowControl/>
        <w:numPr>
          <w:ilvl w:val="3"/>
          <w:numId w:val="0"/>
        </w:numPr>
        <w:suppressLineNumbers w:val="0"/>
        <w:pBdr>
          <w:top w:val="none" w:color="auto" w:sz="0" w:space="0"/>
          <w:left w:val="none" w:color="auto" w:sz="0" w:space="0"/>
          <w:bottom w:val="none" w:color="auto" w:sz="0" w:space="0"/>
          <w:right w:val="none" w:color="auto" w:sz="0" w:space="0"/>
        </w:pBdr>
        <w:wordWrap w:val="0"/>
        <w:spacing w:before="150" w:beforeAutospacing="0" w:after="0" w:afterAutospacing="0" w:line="360" w:lineRule="auto"/>
        <w:ind w:right="0" w:rightChars="0"/>
        <w:jc w:val="left"/>
        <w:rPr>
          <w:rFonts w:hint="eastAsia" w:ascii="宋体" w:hAnsi="宋体" w:eastAsia="宋体" w:cs="宋体"/>
          <w:b w:val="0"/>
          <w:bCs w:val="0"/>
          <w:color w:val="auto"/>
          <w:sz w:val="24"/>
          <w:szCs w:val="24"/>
        </w:rPr>
      </w:pPr>
      <w:r>
        <w:rPr>
          <w:rStyle w:val="38"/>
          <w:rFonts w:hint="eastAsia" w:ascii="宋体" w:hAnsi="宋体" w:eastAsia="宋体" w:cs="宋体"/>
          <w:b/>
          <w:bCs/>
          <w:i w:val="0"/>
          <w:iCs w:val="0"/>
          <w:caps w:val="0"/>
          <w:color w:val="auto"/>
          <w:spacing w:val="0"/>
          <w:sz w:val="24"/>
          <w:szCs w:val="24"/>
          <w:shd w:val="clear" w:fill="FFFFFF"/>
        </w:rPr>
        <w:t>七、对本次招标提出询问，请按以下方式联系。</w:t>
      </w:r>
    </w:p>
    <w:p w14:paraId="146E9B0B">
      <w:pPr>
        <w:pStyle w:val="8"/>
        <w:keepNext w:val="0"/>
        <w:keepLines w:val="0"/>
        <w:widowControl/>
        <w:numPr>
          <w:ilvl w:val="5"/>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right="0" w:rightChars="0"/>
        <w:jc w:val="left"/>
        <w:rPr>
          <w:rFonts w:hint="eastAsia" w:ascii="宋体" w:hAnsi="宋体" w:eastAsia="宋体" w:cs="宋体"/>
          <w:b w:val="0"/>
          <w:bCs w:val="0"/>
          <w:color w:val="auto"/>
          <w:sz w:val="24"/>
          <w:szCs w:val="24"/>
        </w:rPr>
      </w:pPr>
      <w:r>
        <w:rPr>
          <w:rFonts w:hint="eastAsia" w:ascii="宋体" w:hAnsi="宋体" w:eastAsia="宋体" w:cs="宋体"/>
          <w:b w:val="0"/>
          <w:bCs w:val="0"/>
          <w:i w:val="0"/>
          <w:iCs w:val="0"/>
          <w:caps w:val="0"/>
          <w:color w:val="auto"/>
          <w:spacing w:val="0"/>
          <w:sz w:val="24"/>
          <w:szCs w:val="24"/>
          <w:shd w:val="clear" w:fill="FFFFFF"/>
          <w:lang w:val="en-US" w:eastAsia="zh-CN"/>
        </w:rPr>
        <w:t>1.</w:t>
      </w:r>
      <w:r>
        <w:rPr>
          <w:rFonts w:hint="eastAsia" w:ascii="宋体" w:hAnsi="宋体" w:eastAsia="宋体" w:cs="宋体"/>
          <w:b w:val="0"/>
          <w:bCs w:val="0"/>
          <w:i w:val="0"/>
          <w:iCs w:val="0"/>
          <w:caps w:val="0"/>
          <w:color w:val="auto"/>
          <w:spacing w:val="0"/>
          <w:sz w:val="24"/>
          <w:szCs w:val="24"/>
          <w:shd w:val="clear" w:fill="FFFFFF"/>
        </w:rPr>
        <w:t>采购人信息</w:t>
      </w:r>
    </w:p>
    <w:p w14:paraId="1E1B7DAF">
      <w:pPr>
        <w:pStyle w:val="2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jc w:val="both"/>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名称：西安铁路职业技术学院</w:t>
      </w:r>
    </w:p>
    <w:p w14:paraId="19525C42">
      <w:pPr>
        <w:pStyle w:val="2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jc w:val="both"/>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地址：西安市国际港务区港务大道396号</w:t>
      </w:r>
    </w:p>
    <w:p w14:paraId="056ED91A">
      <w:pPr>
        <w:pStyle w:val="29"/>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80"/>
        <w:jc w:val="both"/>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shd w:val="clear" w:fill="FFFFFF"/>
        </w:rPr>
        <w:t>联系方式：029-8</w:t>
      </w:r>
      <w:r>
        <w:rPr>
          <w:rFonts w:hint="eastAsia" w:ascii="宋体" w:hAnsi="宋体" w:eastAsia="宋体" w:cs="宋体"/>
          <w:i w:val="0"/>
          <w:iCs w:val="0"/>
          <w:caps w:val="0"/>
          <w:color w:val="auto"/>
          <w:spacing w:val="0"/>
          <w:sz w:val="24"/>
          <w:szCs w:val="24"/>
          <w:shd w:val="clear" w:fill="FFFFFF"/>
          <w:lang w:val="en-US" w:eastAsia="zh-CN"/>
        </w:rPr>
        <w:t>8092167</w:t>
      </w:r>
    </w:p>
    <w:p w14:paraId="3B49E009">
      <w:pPr>
        <w:pStyle w:val="8"/>
        <w:keepNext w:val="0"/>
        <w:keepLines w:val="0"/>
        <w:widowControl/>
        <w:numPr>
          <w:ilvl w:val="5"/>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right="0" w:rightChars="0"/>
        <w:jc w:val="left"/>
        <w:rPr>
          <w:rFonts w:hint="eastAsia" w:ascii="宋体" w:hAnsi="宋体" w:eastAsia="宋体" w:cs="宋体"/>
          <w:b w:val="0"/>
          <w:bCs w:val="0"/>
          <w:color w:val="auto"/>
          <w:sz w:val="24"/>
          <w:szCs w:val="24"/>
        </w:rPr>
      </w:pPr>
      <w:r>
        <w:rPr>
          <w:rFonts w:hint="eastAsia" w:ascii="宋体" w:hAnsi="宋体" w:eastAsia="宋体" w:cs="宋体"/>
          <w:b w:val="0"/>
          <w:bCs w:val="0"/>
          <w:i w:val="0"/>
          <w:iCs w:val="0"/>
          <w:caps w:val="0"/>
          <w:color w:val="auto"/>
          <w:spacing w:val="0"/>
          <w:sz w:val="24"/>
          <w:szCs w:val="24"/>
          <w:shd w:val="clear" w:fill="FFFFFF"/>
          <w:lang w:val="en-US" w:eastAsia="zh-CN"/>
        </w:rPr>
        <w:t>2.</w:t>
      </w:r>
      <w:r>
        <w:rPr>
          <w:rFonts w:hint="eastAsia" w:ascii="宋体" w:hAnsi="宋体" w:eastAsia="宋体" w:cs="宋体"/>
          <w:b w:val="0"/>
          <w:bCs w:val="0"/>
          <w:i w:val="0"/>
          <w:iCs w:val="0"/>
          <w:caps w:val="0"/>
          <w:color w:val="auto"/>
          <w:spacing w:val="0"/>
          <w:sz w:val="24"/>
          <w:szCs w:val="24"/>
          <w:shd w:val="clear" w:fill="FFFFFF"/>
        </w:rPr>
        <w:t>采购代理机构信息</w:t>
      </w:r>
    </w:p>
    <w:p w14:paraId="7A76BF8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Autospacing="0" w:line="360" w:lineRule="auto"/>
        <w:ind w:left="0" w:right="0" w:rightChars="0" w:firstLine="960" w:firstLineChars="400"/>
        <w:jc w:val="both"/>
        <w:textAlignment w:val="baseline"/>
        <w:rPr>
          <w:rFonts w:hint="eastAsia" w:ascii="宋体" w:hAnsi="宋体" w:eastAsia="宋体" w:cs="宋体"/>
          <w:i w:val="0"/>
          <w:iCs w:val="0"/>
          <w:caps w:val="0"/>
          <w:color w:val="000000"/>
          <w:spacing w:val="0"/>
          <w:kern w:val="0"/>
          <w:sz w:val="24"/>
          <w:szCs w:val="24"/>
          <w:shd w:val="clear" w:color="auto" w:fill="FFFFFF"/>
          <w:vertAlign w:val="baseline"/>
          <w:lang w:val="en-US" w:eastAsia="zh-CN" w:bidi="ar"/>
        </w:rPr>
      </w:pPr>
      <w:r>
        <w:rPr>
          <w:rFonts w:hint="eastAsia" w:ascii="宋体" w:hAnsi="宋体" w:eastAsia="宋体" w:cs="宋体"/>
          <w:i w:val="0"/>
          <w:iCs w:val="0"/>
          <w:caps w:val="0"/>
          <w:color w:val="000000"/>
          <w:spacing w:val="0"/>
          <w:kern w:val="0"/>
          <w:sz w:val="24"/>
          <w:szCs w:val="24"/>
          <w:shd w:val="clear" w:color="auto" w:fill="FFFFFF"/>
          <w:vertAlign w:val="baseline"/>
          <w:lang w:val="en-US" w:eastAsia="zh-CN" w:bidi="ar"/>
        </w:rPr>
        <w:t>名称：中昊项目管理有限公司</w:t>
      </w:r>
    </w:p>
    <w:p w14:paraId="387A99B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Autospacing="0" w:line="360" w:lineRule="auto"/>
        <w:ind w:left="0" w:right="0" w:rightChars="0" w:firstLine="960" w:firstLineChars="400"/>
        <w:jc w:val="both"/>
        <w:textAlignment w:val="baseline"/>
        <w:rPr>
          <w:rFonts w:hint="eastAsia" w:ascii="宋体" w:hAnsi="宋体" w:eastAsia="宋体" w:cs="宋体"/>
          <w:i w:val="0"/>
          <w:iCs w:val="0"/>
          <w:caps w:val="0"/>
          <w:color w:val="000000"/>
          <w:spacing w:val="0"/>
          <w:kern w:val="0"/>
          <w:sz w:val="24"/>
          <w:szCs w:val="24"/>
          <w:shd w:val="clear" w:color="auto" w:fill="FFFFFF"/>
          <w:vertAlign w:val="baseline"/>
          <w:lang w:val="en-US" w:eastAsia="zh-CN" w:bidi="ar"/>
        </w:rPr>
      </w:pPr>
      <w:r>
        <w:rPr>
          <w:rFonts w:hint="eastAsia" w:ascii="宋体" w:hAnsi="宋体" w:eastAsia="宋体" w:cs="宋体"/>
          <w:i w:val="0"/>
          <w:iCs w:val="0"/>
          <w:caps w:val="0"/>
          <w:color w:val="000000"/>
          <w:spacing w:val="0"/>
          <w:kern w:val="0"/>
          <w:sz w:val="24"/>
          <w:szCs w:val="24"/>
          <w:shd w:val="clear" w:color="auto" w:fill="FFFFFF"/>
          <w:vertAlign w:val="baseline"/>
          <w:lang w:val="en-US" w:eastAsia="zh-CN" w:bidi="ar"/>
        </w:rPr>
        <w:t>地址：西安市高新区丈八街办团结南路35号高新新天地2号楼24层</w:t>
      </w:r>
    </w:p>
    <w:p w14:paraId="3D5BAA2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Autospacing="0" w:line="360" w:lineRule="auto"/>
        <w:ind w:left="0" w:right="0" w:rightChars="0" w:firstLine="960" w:firstLineChars="400"/>
        <w:jc w:val="both"/>
        <w:textAlignment w:val="baseline"/>
        <w:rPr>
          <w:rFonts w:hint="eastAsia" w:ascii="宋体" w:hAnsi="宋体" w:eastAsia="宋体" w:cs="宋体"/>
          <w:i w:val="0"/>
          <w:iCs w:val="0"/>
          <w:caps w:val="0"/>
          <w:color w:val="000000"/>
          <w:spacing w:val="0"/>
          <w:kern w:val="0"/>
          <w:sz w:val="24"/>
          <w:szCs w:val="24"/>
          <w:shd w:val="clear" w:color="auto" w:fill="FFFFFF"/>
          <w:vertAlign w:val="baseline"/>
          <w:lang w:val="en-US" w:eastAsia="zh-CN" w:bidi="ar"/>
        </w:rPr>
      </w:pPr>
      <w:r>
        <w:rPr>
          <w:rFonts w:hint="eastAsia" w:ascii="宋体" w:hAnsi="宋体" w:eastAsia="宋体" w:cs="宋体"/>
          <w:i w:val="0"/>
          <w:iCs w:val="0"/>
          <w:caps w:val="0"/>
          <w:color w:val="000000"/>
          <w:spacing w:val="0"/>
          <w:kern w:val="0"/>
          <w:sz w:val="24"/>
          <w:szCs w:val="24"/>
          <w:shd w:val="clear" w:color="auto" w:fill="FFFFFF"/>
          <w:vertAlign w:val="baseline"/>
          <w:lang w:val="en-US" w:eastAsia="zh-CN" w:bidi="ar"/>
        </w:rPr>
        <w:t>联系方式：029-87309596</w:t>
      </w:r>
    </w:p>
    <w:p w14:paraId="668E820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3.项目联系方式</w:t>
      </w:r>
    </w:p>
    <w:p w14:paraId="3D9BA6F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Autospacing="0" w:line="360" w:lineRule="auto"/>
        <w:ind w:left="0" w:right="0" w:rightChars="0" w:firstLine="960" w:firstLineChars="400"/>
        <w:jc w:val="both"/>
        <w:textAlignment w:val="baseline"/>
        <w:rPr>
          <w:rFonts w:hint="eastAsia" w:ascii="宋体" w:hAnsi="宋体" w:eastAsia="宋体" w:cs="宋体"/>
          <w:i w:val="0"/>
          <w:iCs w:val="0"/>
          <w:caps w:val="0"/>
          <w:color w:val="000000"/>
          <w:spacing w:val="0"/>
          <w:kern w:val="0"/>
          <w:sz w:val="24"/>
          <w:szCs w:val="24"/>
          <w:shd w:val="clear" w:color="auto" w:fill="FFFFFF"/>
          <w:vertAlign w:val="baseline"/>
          <w:lang w:val="en-US" w:eastAsia="zh-CN" w:bidi="ar"/>
        </w:rPr>
      </w:pPr>
      <w:r>
        <w:rPr>
          <w:rFonts w:hint="eastAsia" w:ascii="宋体" w:hAnsi="宋体" w:eastAsia="宋体" w:cs="宋体"/>
          <w:i w:val="0"/>
          <w:iCs w:val="0"/>
          <w:caps w:val="0"/>
          <w:color w:val="000000"/>
          <w:spacing w:val="0"/>
          <w:kern w:val="0"/>
          <w:sz w:val="24"/>
          <w:szCs w:val="24"/>
          <w:shd w:val="clear" w:color="auto" w:fill="FFFFFF"/>
          <w:vertAlign w:val="baseline"/>
          <w:lang w:val="en-US" w:eastAsia="zh-CN" w:bidi="ar"/>
        </w:rPr>
        <w:t>项目联系人：李工</w:t>
      </w:r>
    </w:p>
    <w:p w14:paraId="0DE4C3C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Autospacing="0" w:line="360" w:lineRule="auto"/>
        <w:ind w:left="0" w:right="0" w:rightChars="0" w:firstLine="960" w:firstLineChars="400"/>
        <w:jc w:val="both"/>
        <w:textAlignment w:val="baseline"/>
        <w:rPr>
          <w:rFonts w:hint="eastAsia" w:ascii="宋体" w:hAnsi="宋体" w:eastAsia="宋体" w:cs="宋体"/>
          <w:b w:val="0"/>
          <w:bCs w:val="0"/>
          <w:i w:val="0"/>
          <w:iCs w:val="0"/>
          <w:caps w:val="0"/>
          <w:color w:val="000000"/>
          <w:spacing w:val="0"/>
          <w:kern w:val="2"/>
          <w:sz w:val="24"/>
          <w:szCs w:val="24"/>
          <w:shd w:val="clear" w:color="auto" w:fill="FFFFFF"/>
          <w:vertAlign w:val="baseline"/>
          <w:lang w:val="en-US" w:eastAsia="zh-CN" w:bidi="ar-SA"/>
        </w:rPr>
      </w:pPr>
      <w:r>
        <w:rPr>
          <w:rFonts w:hint="eastAsia" w:ascii="宋体" w:hAnsi="宋体" w:eastAsia="宋体" w:cs="宋体"/>
          <w:i w:val="0"/>
          <w:iCs w:val="0"/>
          <w:caps w:val="0"/>
          <w:color w:val="000000"/>
          <w:spacing w:val="0"/>
          <w:kern w:val="0"/>
          <w:sz w:val="24"/>
          <w:szCs w:val="24"/>
          <w:shd w:val="clear" w:color="auto" w:fill="FFFFFF"/>
          <w:vertAlign w:val="baseline"/>
          <w:lang w:val="en-US" w:eastAsia="zh-CN" w:bidi="ar"/>
        </w:rPr>
        <w:t>电话：029-8730959</w:t>
      </w:r>
      <w:r>
        <w:rPr>
          <w:rFonts w:hint="eastAsia" w:ascii="宋体" w:hAnsi="宋体" w:eastAsia="宋体" w:cs="宋体"/>
          <w:b w:val="0"/>
          <w:bCs w:val="0"/>
          <w:i w:val="0"/>
          <w:iCs w:val="0"/>
          <w:caps w:val="0"/>
          <w:color w:val="000000"/>
          <w:spacing w:val="0"/>
          <w:kern w:val="2"/>
          <w:sz w:val="24"/>
          <w:szCs w:val="24"/>
          <w:shd w:val="clear" w:color="auto" w:fill="FFFFFF"/>
          <w:vertAlign w:val="baseline"/>
          <w:lang w:val="en-US" w:eastAsia="zh-CN" w:bidi="ar-SA"/>
        </w:rPr>
        <w:t>6</w:t>
      </w:r>
    </w:p>
    <w:p w14:paraId="2E6EF7DF">
      <w:pPr>
        <w:spacing w:line="560" w:lineRule="exact"/>
        <w:ind w:firstLine="480" w:firstLineChars="200"/>
        <w:jc w:val="right"/>
        <w:rPr>
          <w:rFonts w:hint="eastAsia" w:ascii="宋体" w:hAnsi="宋体" w:eastAsia="宋体" w:cs="宋体"/>
          <w:color w:val="000000" w:themeColor="text1"/>
          <w:sz w:val="28"/>
          <w:szCs w:val="28"/>
          <w:highlight w:val="none"/>
          <w:lang w:eastAsia="zh-CN"/>
          <w14:textFill>
            <w14:solidFill>
              <w14:schemeClr w14:val="tx1"/>
            </w14:solidFill>
          </w14:textFill>
        </w:rPr>
      </w:pPr>
      <w:r>
        <w:rPr>
          <w:rFonts w:hint="eastAsia" w:ascii="宋体" w:hAnsi="宋体" w:eastAsia="宋体" w:cs="宋体"/>
          <w:i w:val="0"/>
          <w:iCs w:val="0"/>
          <w:caps w:val="0"/>
          <w:color w:val="auto"/>
          <w:spacing w:val="0"/>
          <w:sz w:val="24"/>
          <w:szCs w:val="24"/>
          <w:shd w:val="clear" w:fill="FFFFFF"/>
          <w:lang w:eastAsia="zh-CN"/>
        </w:rPr>
        <w:t>中昊项目管理有限公司</w:t>
      </w:r>
    </w:p>
    <w:p w14:paraId="59F3F3E3">
      <w:pPr>
        <w:spacing w:line="560" w:lineRule="exact"/>
        <w:ind w:firstLine="640" w:firstLineChars="200"/>
        <w:jc w:val="both"/>
        <w:rPr>
          <w:rFonts w:ascii="宋体" w:hAnsi="宋体" w:eastAsia="宋体" w:cs="宋体"/>
          <w:color w:val="000000" w:themeColor="text1"/>
          <w:sz w:val="32"/>
          <w:szCs w:val="32"/>
          <w:highlight w:val="none"/>
          <w14:textFill>
            <w14:solidFill>
              <w14:schemeClr w14:val="tx1"/>
            </w14:solidFill>
          </w14:textFill>
        </w:rPr>
      </w:pPr>
      <w:bookmarkStart w:id="2" w:name="_Toc533363262"/>
      <w:bookmarkStart w:id="3" w:name="_Toc498349068"/>
      <w:bookmarkStart w:id="4" w:name="_Toc97563329"/>
      <w:bookmarkStart w:id="5" w:name="_Toc100219613"/>
      <w:bookmarkStart w:id="6" w:name="_Toc534656409"/>
      <w:bookmarkStart w:id="7" w:name="_Toc445407251"/>
      <w:bookmarkStart w:id="8" w:name="_Toc533363235"/>
      <w:bookmarkStart w:id="9" w:name="_Toc534656414"/>
      <w:r>
        <w:rPr>
          <w:rFonts w:hint="eastAsia" w:ascii="宋体" w:hAnsi="宋体" w:eastAsia="宋体" w:cs="宋体"/>
          <w:color w:val="000000" w:themeColor="text1"/>
          <w:sz w:val="32"/>
          <w:szCs w:val="32"/>
          <w:highlight w:val="none"/>
          <w14:textFill>
            <w14:solidFill>
              <w14:schemeClr w14:val="tx1"/>
            </w14:solidFill>
          </w14:textFill>
        </w:rPr>
        <w:br w:type="page"/>
      </w:r>
    </w:p>
    <w:p w14:paraId="5B349509">
      <w:pPr>
        <w:pStyle w:val="3"/>
        <w:bidi w:val="0"/>
      </w:pPr>
      <w:bookmarkStart w:id="10" w:name="_Toc29757"/>
      <w:bookmarkStart w:id="11" w:name="_Toc2642"/>
      <w:r>
        <w:rPr>
          <w:rFonts w:hint="eastAsia"/>
        </w:rPr>
        <w:t>第二章  供应商须知</w:t>
      </w:r>
      <w:bookmarkEnd w:id="2"/>
      <w:bookmarkEnd w:id="3"/>
      <w:bookmarkEnd w:id="4"/>
      <w:bookmarkEnd w:id="5"/>
      <w:bookmarkEnd w:id="6"/>
      <w:bookmarkEnd w:id="7"/>
      <w:bookmarkEnd w:id="8"/>
      <w:bookmarkEnd w:id="9"/>
      <w:bookmarkEnd w:id="10"/>
      <w:bookmarkEnd w:id="11"/>
    </w:p>
    <w:p w14:paraId="741AB5F2">
      <w:pPr>
        <w:pStyle w:val="4"/>
        <w:bidi w:val="0"/>
      </w:pPr>
      <w:bookmarkStart w:id="12" w:name="_Toc30178"/>
      <w:bookmarkStart w:id="13" w:name="_Toc22770"/>
      <w:r>
        <w:rPr>
          <w:rFonts w:hint="eastAsia"/>
        </w:rPr>
        <w:t>〖前附表〗</w:t>
      </w:r>
      <w:bookmarkEnd w:id="12"/>
      <w:bookmarkEnd w:id="13"/>
    </w:p>
    <w:tbl>
      <w:tblPr>
        <w:tblStyle w:val="36"/>
        <w:tblW w:w="8870"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978"/>
        <w:gridCol w:w="2994"/>
        <w:gridCol w:w="4898"/>
      </w:tblGrid>
      <w:tr w14:paraId="4BBB6D5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tcBorders>
              <w:top w:val="single" w:color="auto" w:sz="12" w:space="0"/>
              <w:bottom w:val="single" w:color="auto" w:sz="2" w:space="0"/>
            </w:tcBorders>
            <w:shd w:val="clear" w:color="auto" w:fill="F1F1F1" w:themeFill="background1" w:themeFillShade="F2"/>
            <w:vAlign w:val="center"/>
          </w:tcPr>
          <w:p w14:paraId="63310991">
            <w:pPr>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序号</w:t>
            </w:r>
          </w:p>
        </w:tc>
        <w:tc>
          <w:tcPr>
            <w:tcW w:w="2994" w:type="dxa"/>
            <w:tcBorders>
              <w:top w:val="single" w:color="auto" w:sz="12" w:space="0"/>
              <w:bottom w:val="single" w:color="auto" w:sz="2" w:space="0"/>
            </w:tcBorders>
            <w:shd w:val="clear" w:color="auto" w:fill="F1F1F1" w:themeFill="background1" w:themeFillShade="F2"/>
            <w:vAlign w:val="center"/>
          </w:tcPr>
          <w:p w14:paraId="1686EF8F">
            <w:pPr>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内容</w:t>
            </w:r>
          </w:p>
        </w:tc>
        <w:tc>
          <w:tcPr>
            <w:tcW w:w="4898" w:type="dxa"/>
            <w:tcBorders>
              <w:top w:val="single" w:color="auto" w:sz="12" w:space="0"/>
              <w:bottom w:val="single" w:color="auto" w:sz="2" w:space="0"/>
            </w:tcBorders>
            <w:shd w:val="clear" w:color="auto" w:fill="F1F1F1" w:themeFill="background1" w:themeFillShade="F2"/>
            <w:vAlign w:val="center"/>
          </w:tcPr>
          <w:p w14:paraId="13B4BC2B">
            <w:pPr>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说明和要求</w:t>
            </w:r>
          </w:p>
        </w:tc>
      </w:tr>
      <w:tr w14:paraId="010C3CD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tcBorders>
              <w:top w:val="single" w:color="auto" w:sz="2" w:space="0"/>
            </w:tcBorders>
            <w:shd w:val="clear" w:color="auto" w:fill="auto"/>
            <w:vAlign w:val="center"/>
          </w:tcPr>
          <w:p w14:paraId="7B72FA1A">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p>
        </w:tc>
        <w:tc>
          <w:tcPr>
            <w:tcW w:w="2994" w:type="dxa"/>
            <w:tcBorders>
              <w:top w:val="single" w:color="auto" w:sz="2" w:space="0"/>
            </w:tcBorders>
            <w:shd w:val="clear" w:color="auto" w:fill="auto"/>
            <w:vAlign w:val="center"/>
          </w:tcPr>
          <w:p w14:paraId="4EFEEC1C">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项目名称</w:t>
            </w:r>
          </w:p>
        </w:tc>
        <w:tc>
          <w:tcPr>
            <w:tcW w:w="4898" w:type="dxa"/>
            <w:tcBorders>
              <w:top w:val="single" w:color="auto" w:sz="2" w:space="0"/>
            </w:tcBorders>
            <w:shd w:val="clear" w:color="auto" w:fill="auto"/>
            <w:vAlign w:val="center"/>
          </w:tcPr>
          <w:p w14:paraId="5615033E">
            <w:pPr>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西安铁路职业技术学院</w:t>
            </w:r>
            <w:r>
              <w:rPr>
                <w:rFonts w:hint="eastAsia" w:ascii="宋体" w:hAnsi="宋体" w:cs="宋体"/>
                <w:color w:val="000000" w:themeColor="text1"/>
                <w:sz w:val="24"/>
                <w:szCs w:val="24"/>
                <w:highlight w:val="none"/>
                <w:lang w:eastAsia="zh-CN"/>
                <w14:textFill>
                  <w14:solidFill>
                    <w14:schemeClr w14:val="tx1"/>
                  </w14:solidFill>
                </w14:textFill>
              </w:rPr>
              <w:t>教学及管理服务系统改造</w:t>
            </w:r>
          </w:p>
        </w:tc>
      </w:tr>
      <w:tr w14:paraId="6440A3D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638DF53A">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p>
        </w:tc>
        <w:tc>
          <w:tcPr>
            <w:tcW w:w="2994" w:type="dxa"/>
            <w:shd w:val="clear" w:color="auto" w:fill="auto"/>
            <w:vAlign w:val="center"/>
          </w:tcPr>
          <w:p w14:paraId="3C24170D">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项目编号</w:t>
            </w:r>
          </w:p>
        </w:tc>
        <w:tc>
          <w:tcPr>
            <w:tcW w:w="4898" w:type="dxa"/>
            <w:shd w:val="clear" w:color="auto" w:fill="auto"/>
            <w:vAlign w:val="center"/>
          </w:tcPr>
          <w:p w14:paraId="70400DFA">
            <w:pPr>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ZHPM-ZC-</w:t>
            </w:r>
            <w:r>
              <w:rPr>
                <w:rFonts w:hint="eastAsia" w:ascii="宋体" w:hAnsi="宋体" w:cs="宋体"/>
                <w:color w:val="000000" w:themeColor="text1"/>
                <w:sz w:val="24"/>
                <w:szCs w:val="24"/>
                <w:highlight w:val="none"/>
                <w:lang w:eastAsia="zh-CN"/>
                <w14:textFill>
                  <w14:solidFill>
                    <w14:schemeClr w14:val="tx1"/>
                  </w14:solidFill>
                </w14:textFill>
              </w:rPr>
              <w:t>24746</w:t>
            </w:r>
          </w:p>
        </w:tc>
      </w:tr>
      <w:tr w14:paraId="59E17D6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5D9A157D">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w:t>
            </w:r>
          </w:p>
        </w:tc>
        <w:tc>
          <w:tcPr>
            <w:tcW w:w="2994" w:type="dxa"/>
            <w:shd w:val="clear" w:color="auto" w:fill="auto"/>
            <w:vAlign w:val="center"/>
          </w:tcPr>
          <w:p w14:paraId="4B71999F">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预算执行书编号</w:t>
            </w:r>
          </w:p>
        </w:tc>
        <w:tc>
          <w:tcPr>
            <w:tcW w:w="4898" w:type="dxa"/>
            <w:shd w:val="clear" w:color="auto" w:fill="auto"/>
            <w:vAlign w:val="center"/>
          </w:tcPr>
          <w:p w14:paraId="6255D5AF">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ZCBN-西安市-20</w:t>
            </w:r>
            <w:r>
              <w:rPr>
                <w:rFonts w:hint="eastAsia" w:ascii="宋体" w:hAnsi="宋体" w:eastAsia="宋体" w:cs="宋体"/>
                <w:color w:val="auto"/>
                <w:sz w:val="24"/>
                <w:szCs w:val="24"/>
                <w:highlight w:val="none"/>
              </w:rPr>
              <w:t>2</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-0</w:t>
            </w:r>
            <w:r>
              <w:rPr>
                <w:rFonts w:hint="eastAsia" w:ascii="宋体" w:hAnsi="宋体" w:cs="宋体"/>
                <w:color w:val="auto"/>
                <w:sz w:val="24"/>
                <w:szCs w:val="24"/>
                <w:highlight w:val="none"/>
                <w:lang w:val="en-US" w:eastAsia="zh-CN"/>
              </w:rPr>
              <w:t>5000</w:t>
            </w:r>
            <w:r>
              <w:rPr>
                <w:rFonts w:hint="eastAsia" w:ascii="宋体" w:hAnsi="宋体" w:eastAsia="宋体" w:cs="宋体"/>
                <w:color w:val="auto"/>
                <w:sz w:val="24"/>
                <w:szCs w:val="24"/>
                <w:highlight w:val="none"/>
              </w:rPr>
              <w:t xml:space="preserve"> </w:t>
            </w:r>
          </w:p>
        </w:tc>
      </w:tr>
      <w:tr w14:paraId="0328614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49BEF61D">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w:t>
            </w:r>
          </w:p>
        </w:tc>
        <w:tc>
          <w:tcPr>
            <w:tcW w:w="2994" w:type="dxa"/>
            <w:shd w:val="clear" w:color="auto" w:fill="auto"/>
            <w:vAlign w:val="center"/>
          </w:tcPr>
          <w:p w14:paraId="565AD3B7">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是否预留份额</w:t>
            </w:r>
          </w:p>
          <w:p w14:paraId="585910FF">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专门面向中小企业采购</w:t>
            </w:r>
          </w:p>
        </w:tc>
        <w:tc>
          <w:tcPr>
            <w:tcW w:w="4898" w:type="dxa"/>
            <w:shd w:val="clear" w:color="auto" w:fill="auto"/>
            <w:vAlign w:val="center"/>
          </w:tcPr>
          <w:p w14:paraId="04FC5D18">
            <w:pPr>
              <w:jc w:val="center"/>
              <w:rPr>
                <w:rFonts w:hint="eastAsia" w:ascii="宋体" w:hAnsi="宋体" w:eastAsia="宋体" w:cs="宋体"/>
                <w:color w:val="000000" w:themeColor="text1"/>
                <w:sz w:val="24"/>
                <w:szCs w:val="24"/>
                <w:highlight w:val="none"/>
                <w14:textFill>
                  <w14:solidFill>
                    <w14:schemeClr w14:val="tx1"/>
                  </w14:solidFill>
                </w14:textFill>
              </w:rPr>
            </w:pPr>
            <w:sdt>
              <w:sdtPr>
                <w:rPr>
                  <w:rFonts w:hint="eastAsia" w:ascii="宋体" w:hAnsi="宋体" w:eastAsia="宋体" w:cs="宋体"/>
                  <w:color w:val="000000" w:themeColor="text1"/>
                  <w:sz w:val="24"/>
                  <w:szCs w:val="24"/>
                  <w:highlight w:val="none"/>
                  <w14:textFill>
                    <w14:solidFill>
                      <w14:schemeClr w14:val="tx1"/>
                    </w14:solidFill>
                  </w14:textFill>
                </w:rPr>
                <w:id w:val="2139916130"/>
              </w:sdtPr>
              <w:sdtEndPr>
                <w:rPr>
                  <w:rFonts w:hint="eastAsia" w:ascii="宋体" w:hAnsi="宋体" w:eastAsia="宋体" w:cs="宋体"/>
                  <w:color w:val="000000" w:themeColor="text1"/>
                  <w:sz w:val="24"/>
                  <w:szCs w:val="24"/>
                  <w:highlight w:val="none"/>
                  <w14:textFill>
                    <w14:solidFill>
                      <w14:schemeClr w14:val="tx1"/>
                    </w14:solidFill>
                  </w14:textFill>
                </w:rPr>
              </w:sdtEndPr>
              <w:sdtContent>
                <w:r>
                  <w:rPr>
                    <w:rFonts w:hint="eastAsia" w:ascii="宋体" w:hAnsi="宋体" w:eastAsia="宋体" w:cs="宋体"/>
                    <w:color w:val="000000" w:themeColor="text1"/>
                    <w:sz w:val="24"/>
                    <w:szCs w:val="24"/>
                    <w:highlight w:val="none"/>
                    <w14:textFill>
                      <w14:solidFill>
                        <w14:schemeClr w14:val="tx1"/>
                      </w14:solidFill>
                    </w14:textFill>
                  </w:rPr>
                  <w:t>☐</w:t>
                </w:r>
              </w:sdtContent>
            </w:sdt>
            <w:r>
              <w:rPr>
                <w:rFonts w:hint="eastAsia" w:ascii="宋体" w:hAnsi="宋体" w:eastAsia="宋体" w:cs="宋体"/>
                <w:color w:val="000000" w:themeColor="text1"/>
                <w:sz w:val="24"/>
                <w:szCs w:val="24"/>
                <w:highlight w:val="none"/>
                <w14:textFill>
                  <w14:solidFill>
                    <w14:schemeClr w14:val="tx1"/>
                  </w14:solidFill>
                </w14:textFill>
              </w:rPr>
              <w:t xml:space="preserve">是  </w:t>
            </w:r>
            <w:sdt>
              <w:sdtPr>
                <w:rPr>
                  <w:rFonts w:hint="eastAsia" w:ascii="宋体" w:hAnsi="宋体" w:eastAsia="宋体" w:cs="宋体"/>
                  <w:color w:val="000000" w:themeColor="text1"/>
                  <w:sz w:val="24"/>
                  <w:szCs w:val="24"/>
                  <w:highlight w:val="none"/>
                  <w14:textFill>
                    <w14:solidFill>
                      <w14:schemeClr w14:val="tx1"/>
                    </w14:solidFill>
                  </w14:textFill>
                </w:rPr>
                <w:id w:val="-2072024220"/>
              </w:sdtPr>
              <w:sdtEndPr>
                <w:rPr>
                  <w:rFonts w:hint="eastAsia" w:ascii="宋体" w:hAnsi="宋体" w:eastAsia="宋体" w:cs="宋体"/>
                  <w:color w:val="000000" w:themeColor="text1"/>
                  <w:sz w:val="24"/>
                  <w:szCs w:val="24"/>
                  <w:highlight w:val="none"/>
                  <w14:textFill>
                    <w14:solidFill>
                      <w14:schemeClr w14:val="tx1"/>
                    </w14:solidFill>
                  </w14:textFill>
                </w:rPr>
              </w:sdtEndPr>
              <w:sdtContent>
                <w:r>
                  <w:rPr>
                    <w:rFonts w:hint="eastAsia" w:ascii="宋体" w:hAnsi="宋体" w:eastAsia="宋体" w:cs="宋体"/>
                    <w:color w:val="000000" w:themeColor="text1"/>
                    <w:sz w:val="24"/>
                    <w:szCs w:val="24"/>
                    <w:highlight w:val="none"/>
                    <w14:textFill>
                      <w14:solidFill>
                        <w14:schemeClr w14:val="tx1"/>
                      </w14:solidFill>
                    </w14:textFill>
                  </w:rPr>
                  <w:t>☑</w:t>
                </w:r>
              </w:sdtContent>
            </w:sdt>
            <w:r>
              <w:rPr>
                <w:rFonts w:hint="eastAsia" w:ascii="宋体" w:hAnsi="宋体" w:eastAsia="宋体" w:cs="宋体"/>
                <w:color w:val="000000" w:themeColor="text1"/>
                <w:sz w:val="24"/>
                <w:szCs w:val="24"/>
                <w:highlight w:val="none"/>
                <w14:textFill>
                  <w14:solidFill>
                    <w14:schemeClr w14:val="tx1"/>
                  </w14:solidFill>
                </w14:textFill>
              </w:rPr>
              <w:t>否</w:t>
            </w:r>
          </w:p>
        </w:tc>
      </w:tr>
      <w:tr w14:paraId="7F58DAB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00" w:hRule="atLeast"/>
          <w:jc w:val="center"/>
        </w:trPr>
        <w:tc>
          <w:tcPr>
            <w:tcW w:w="978" w:type="dxa"/>
            <w:vMerge w:val="restart"/>
            <w:shd w:val="clear" w:color="auto" w:fill="auto"/>
            <w:vAlign w:val="center"/>
          </w:tcPr>
          <w:p w14:paraId="30BB3603">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w:t>
            </w:r>
          </w:p>
        </w:tc>
        <w:tc>
          <w:tcPr>
            <w:tcW w:w="2994" w:type="dxa"/>
            <w:shd w:val="clear" w:color="auto" w:fill="auto"/>
            <w:vAlign w:val="center"/>
          </w:tcPr>
          <w:p w14:paraId="196410EA">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预算金额</w:t>
            </w:r>
          </w:p>
        </w:tc>
        <w:tc>
          <w:tcPr>
            <w:tcW w:w="4898" w:type="dxa"/>
            <w:shd w:val="clear" w:color="auto" w:fill="auto"/>
            <w:vAlign w:val="center"/>
          </w:tcPr>
          <w:p w14:paraId="03966A02">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cs="宋体"/>
                <w:color w:val="000000" w:themeColor="text1"/>
                <w:sz w:val="24"/>
                <w:szCs w:val="24"/>
                <w:highlight w:val="none"/>
                <w:lang w:val="en-US" w:eastAsia="zh-CN"/>
                <w14:textFill>
                  <w14:solidFill>
                    <w14:schemeClr w14:val="tx1"/>
                  </w14:solidFill>
                </w14:textFill>
              </w:rPr>
              <w:t>47</w:t>
            </w:r>
            <w:r>
              <w:rPr>
                <w:rFonts w:hint="eastAsia" w:ascii="宋体" w:hAnsi="宋体" w:eastAsia="宋体" w:cs="宋体"/>
                <w:color w:val="000000" w:themeColor="text1"/>
                <w:sz w:val="24"/>
                <w:szCs w:val="24"/>
                <w:highlight w:val="none"/>
                <w:lang w:val="en-US" w:eastAsia="zh-CN"/>
                <w14:textFill>
                  <w14:solidFill>
                    <w14:schemeClr w14:val="tx1"/>
                  </w14:solidFill>
                </w14:textFill>
              </w:rPr>
              <w:t>0,000.00</w:t>
            </w:r>
            <w:r>
              <w:rPr>
                <w:rFonts w:hint="eastAsia" w:ascii="宋体" w:hAnsi="宋体" w:eastAsia="宋体" w:cs="宋体"/>
                <w:color w:val="000000" w:themeColor="text1"/>
                <w:sz w:val="24"/>
                <w:szCs w:val="24"/>
                <w:highlight w:val="none"/>
                <w14:textFill>
                  <w14:solidFill>
                    <w14:schemeClr w14:val="tx1"/>
                  </w14:solidFill>
                </w14:textFill>
              </w:rPr>
              <w:t>元</w:t>
            </w:r>
          </w:p>
        </w:tc>
      </w:tr>
      <w:tr w14:paraId="6093AB9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vMerge w:val="continue"/>
            <w:shd w:val="clear" w:color="auto" w:fill="auto"/>
            <w:vAlign w:val="center"/>
          </w:tcPr>
          <w:p w14:paraId="675B990E">
            <w:pPr>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2994" w:type="dxa"/>
            <w:shd w:val="clear" w:color="auto" w:fill="auto"/>
            <w:vAlign w:val="center"/>
          </w:tcPr>
          <w:p w14:paraId="3A42B7CE">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最高限价</w:t>
            </w:r>
          </w:p>
        </w:tc>
        <w:tc>
          <w:tcPr>
            <w:tcW w:w="4898" w:type="dxa"/>
            <w:shd w:val="clear" w:color="auto" w:fill="auto"/>
            <w:vAlign w:val="center"/>
          </w:tcPr>
          <w:p w14:paraId="58E09A8B">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cs="宋体"/>
                <w:color w:val="000000" w:themeColor="text1"/>
                <w:sz w:val="24"/>
                <w:szCs w:val="24"/>
                <w:highlight w:val="none"/>
                <w:lang w:val="en-US" w:eastAsia="zh-CN"/>
                <w14:textFill>
                  <w14:solidFill>
                    <w14:schemeClr w14:val="tx1"/>
                  </w14:solidFill>
                </w14:textFill>
              </w:rPr>
              <w:t>47</w:t>
            </w:r>
            <w:r>
              <w:rPr>
                <w:rFonts w:hint="eastAsia" w:ascii="宋体" w:hAnsi="宋体" w:eastAsia="宋体" w:cs="宋体"/>
                <w:color w:val="000000" w:themeColor="text1"/>
                <w:sz w:val="24"/>
                <w:szCs w:val="24"/>
                <w:highlight w:val="none"/>
                <w:lang w:val="en-US" w:eastAsia="zh-CN"/>
                <w14:textFill>
                  <w14:solidFill>
                    <w14:schemeClr w14:val="tx1"/>
                  </w14:solidFill>
                </w14:textFill>
              </w:rPr>
              <w:t>0,000.00</w:t>
            </w:r>
            <w:r>
              <w:rPr>
                <w:rFonts w:hint="eastAsia" w:ascii="宋体" w:hAnsi="宋体" w:eastAsia="宋体" w:cs="宋体"/>
                <w:color w:val="000000" w:themeColor="text1"/>
                <w:sz w:val="24"/>
                <w:szCs w:val="24"/>
                <w:highlight w:val="none"/>
                <w14:textFill>
                  <w14:solidFill>
                    <w14:schemeClr w14:val="tx1"/>
                  </w14:solidFill>
                </w14:textFill>
              </w:rPr>
              <w:t>元</w:t>
            </w:r>
          </w:p>
        </w:tc>
      </w:tr>
      <w:tr w14:paraId="172FD5D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6C7D3B55">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w:t>
            </w:r>
          </w:p>
        </w:tc>
        <w:tc>
          <w:tcPr>
            <w:tcW w:w="2994" w:type="dxa"/>
            <w:shd w:val="clear" w:color="auto" w:fill="auto"/>
            <w:vAlign w:val="center"/>
          </w:tcPr>
          <w:p w14:paraId="0FB647E8">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是否接受联合体</w:t>
            </w:r>
          </w:p>
        </w:tc>
        <w:tc>
          <w:tcPr>
            <w:tcW w:w="4898" w:type="dxa"/>
            <w:shd w:val="clear" w:color="auto" w:fill="auto"/>
            <w:vAlign w:val="center"/>
          </w:tcPr>
          <w:p w14:paraId="2E7F7619">
            <w:pPr>
              <w:jc w:val="center"/>
              <w:rPr>
                <w:rFonts w:hint="eastAsia" w:ascii="宋体" w:hAnsi="宋体" w:eastAsia="宋体" w:cs="宋体"/>
                <w:color w:val="000000" w:themeColor="text1"/>
                <w:sz w:val="24"/>
                <w:szCs w:val="24"/>
                <w:highlight w:val="none"/>
                <w14:textFill>
                  <w14:solidFill>
                    <w14:schemeClr w14:val="tx1"/>
                  </w14:solidFill>
                </w14:textFill>
              </w:rPr>
            </w:pPr>
            <w:sdt>
              <w:sdtPr>
                <w:rPr>
                  <w:rFonts w:hint="eastAsia" w:ascii="宋体" w:hAnsi="宋体" w:eastAsia="宋体" w:cs="宋体"/>
                  <w:color w:val="000000" w:themeColor="text1"/>
                  <w:sz w:val="24"/>
                  <w:szCs w:val="24"/>
                  <w:highlight w:val="none"/>
                  <w14:textFill>
                    <w14:solidFill>
                      <w14:schemeClr w14:val="tx1"/>
                    </w14:solidFill>
                  </w14:textFill>
                </w:rPr>
                <w:id w:val="148570254"/>
              </w:sdtPr>
              <w:sdtEndPr>
                <w:rPr>
                  <w:rFonts w:hint="eastAsia" w:ascii="宋体" w:hAnsi="宋体" w:eastAsia="宋体" w:cs="宋体"/>
                  <w:color w:val="000000" w:themeColor="text1"/>
                  <w:sz w:val="24"/>
                  <w:szCs w:val="24"/>
                  <w:highlight w:val="none"/>
                  <w14:textFill>
                    <w14:solidFill>
                      <w14:schemeClr w14:val="tx1"/>
                    </w14:solidFill>
                  </w14:textFill>
                </w:rPr>
              </w:sdtEndPr>
              <w:sdtContent>
                <w:r>
                  <w:rPr>
                    <w:rFonts w:hint="eastAsia" w:ascii="宋体" w:hAnsi="宋体" w:eastAsia="宋体" w:cs="宋体"/>
                    <w:color w:val="000000" w:themeColor="text1"/>
                    <w:sz w:val="24"/>
                    <w:szCs w:val="24"/>
                    <w:highlight w:val="none"/>
                    <w14:textFill>
                      <w14:solidFill>
                        <w14:schemeClr w14:val="tx1"/>
                      </w14:solidFill>
                    </w14:textFill>
                  </w:rPr>
                  <w:t>☐</w:t>
                </w:r>
              </w:sdtContent>
            </w:sdt>
            <w:r>
              <w:rPr>
                <w:rFonts w:hint="eastAsia" w:ascii="宋体" w:hAnsi="宋体" w:eastAsia="宋体" w:cs="宋体"/>
                <w:color w:val="000000" w:themeColor="text1"/>
                <w:sz w:val="24"/>
                <w:szCs w:val="24"/>
                <w:highlight w:val="none"/>
                <w14:textFill>
                  <w14:solidFill>
                    <w14:schemeClr w14:val="tx1"/>
                  </w14:solidFill>
                </w14:textFill>
              </w:rPr>
              <w:t xml:space="preserve">是  </w:t>
            </w:r>
            <w:sdt>
              <w:sdtPr>
                <w:rPr>
                  <w:rFonts w:hint="eastAsia" w:ascii="宋体" w:hAnsi="宋体" w:eastAsia="宋体" w:cs="宋体"/>
                  <w:color w:val="000000" w:themeColor="text1"/>
                  <w:sz w:val="24"/>
                  <w:szCs w:val="24"/>
                  <w:highlight w:val="none"/>
                  <w14:textFill>
                    <w14:solidFill>
                      <w14:schemeClr w14:val="tx1"/>
                    </w14:solidFill>
                  </w14:textFill>
                </w:rPr>
                <w:id w:val="-1689594843"/>
              </w:sdtPr>
              <w:sdtEndPr>
                <w:rPr>
                  <w:rFonts w:hint="eastAsia" w:ascii="宋体" w:hAnsi="宋体" w:eastAsia="宋体" w:cs="宋体"/>
                  <w:color w:val="000000" w:themeColor="text1"/>
                  <w:sz w:val="24"/>
                  <w:szCs w:val="24"/>
                  <w:highlight w:val="none"/>
                  <w14:textFill>
                    <w14:solidFill>
                      <w14:schemeClr w14:val="tx1"/>
                    </w14:solidFill>
                  </w14:textFill>
                </w:rPr>
              </w:sdtEndPr>
              <w:sdtContent>
                <w:r>
                  <w:rPr>
                    <w:rFonts w:hint="eastAsia" w:ascii="宋体" w:hAnsi="宋体" w:eastAsia="宋体" w:cs="宋体"/>
                    <w:color w:val="000000" w:themeColor="text1"/>
                    <w:sz w:val="24"/>
                    <w:szCs w:val="24"/>
                    <w:highlight w:val="none"/>
                    <w14:textFill>
                      <w14:solidFill>
                        <w14:schemeClr w14:val="tx1"/>
                      </w14:solidFill>
                    </w14:textFill>
                  </w:rPr>
                  <w:t>☑</w:t>
                </w:r>
              </w:sdtContent>
            </w:sdt>
            <w:r>
              <w:rPr>
                <w:rFonts w:hint="eastAsia" w:ascii="宋体" w:hAnsi="宋体" w:eastAsia="宋体" w:cs="宋体"/>
                <w:color w:val="000000" w:themeColor="text1"/>
                <w:sz w:val="24"/>
                <w:szCs w:val="24"/>
                <w:highlight w:val="none"/>
                <w14:textFill>
                  <w14:solidFill>
                    <w14:schemeClr w14:val="tx1"/>
                  </w14:solidFill>
                </w14:textFill>
              </w:rPr>
              <w:t>否</w:t>
            </w:r>
          </w:p>
        </w:tc>
      </w:tr>
      <w:tr w14:paraId="627E391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57E74F90">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w:t>
            </w:r>
          </w:p>
        </w:tc>
        <w:tc>
          <w:tcPr>
            <w:tcW w:w="2994" w:type="dxa"/>
            <w:shd w:val="clear" w:color="auto" w:fill="auto"/>
            <w:vAlign w:val="center"/>
          </w:tcPr>
          <w:p w14:paraId="4CE2A664">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是否允许进口产品</w:t>
            </w:r>
          </w:p>
        </w:tc>
        <w:tc>
          <w:tcPr>
            <w:tcW w:w="4898" w:type="dxa"/>
            <w:shd w:val="clear" w:color="auto" w:fill="auto"/>
            <w:vAlign w:val="center"/>
          </w:tcPr>
          <w:p w14:paraId="227C7695">
            <w:pPr>
              <w:jc w:val="center"/>
              <w:rPr>
                <w:rFonts w:hint="eastAsia" w:ascii="宋体" w:hAnsi="宋体" w:eastAsia="宋体" w:cs="宋体"/>
                <w:color w:val="000000" w:themeColor="text1"/>
                <w:sz w:val="24"/>
                <w:szCs w:val="24"/>
                <w:highlight w:val="none"/>
                <w14:textFill>
                  <w14:solidFill>
                    <w14:schemeClr w14:val="tx1"/>
                  </w14:solidFill>
                </w14:textFill>
              </w:rPr>
            </w:pPr>
            <w:sdt>
              <w:sdtPr>
                <w:rPr>
                  <w:rFonts w:hint="eastAsia" w:ascii="宋体" w:hAnsi="宋体" w:eastAsia="宋体" w:cs="宋体"/>
                  <w:color w:val="000000" w:themeColor="text1"/>
                  <w:sz w:val="24"/>
                  <w:szCs w:val="24"/>
                  <w:highlight w:val="none"/>
                  <w14:textFill>
                    <w14:solidFill>
                      <w14:schemeClr w14:val="tx1"/>
                    </w14:solidFill>
                  </w14:textFill>
                </w:rPr>
                <w:id w:val="124048724"/>
              </w:sdtPr>
              <w:sdtEndPr>
                <w:rPr>
                  <w:rFonts w:hint="eastAsia" w:ascii="宋体" w:hAnsi="宋体" w:eastAsia="宋体" w:cs="宋体"/>
                  <w:color w:val="000000" w:themeColor="text1"/>
                  <w:sz w:val="24"/>
                  <w:szCs w:val="24"/>
                  <w:highlight w:val="none"/>
                  <w14:textFill>
                    <w14:solidFill>
                      <w14:schemeClr w14:val="tx1"/>
                    </w14:solidFill>
                  </w14:textFill>
                </w:rPr>
              </w:sdtEndPr>
              <w:sdtContent>
                <w:sdt>
                  <w:sdtPr>
                    <w:rPr>
                      <w:rFonts w:hint="eastAsia" w:ascii="宋体" w:hAnsi="宋体" w:eastAsia="宋体" w:cs="宋体"/>
                      <w:color w:val="000000" w:themeColor="text1"/>
                      <w:sz w:val="24"/>
                      <w:szCs w:val="24"/>
                      <w:highlight w:val="none"/>
                      <w14:textFill>
                        <w14:solidFill>
                          <w14:schemeClr w14:val="tx1"/>
                        </w14:solidFill>
                      </w14:textFill>
                    </w:rPr>
                    <w:id w:val="147463905"/>
                  </w:sdtPr>
                  <w:sdtEndPr>
                    <w:rPr>
                      <w:rFonts w:hint="eastAsia" w:ascii="宋体" w:hAnsi="宋体" w:eastAsia="宋体" w:cs="宋体"/>
                      <w:color w:val="000000" w:themeColor="text1"/>
                      <w:sz w:val="24"/>
                      <w:szCs w:val="24"/>
                      <w:highlight w:val="none"/>
                      <w14:textFill>
                        <w14:solidFill>
                          <w14:schemeClr w14:val="tx1"/>
                        </w14:solidFill>
                      </w14:textFill>
                    </w:rPr>
                  </w:sdtEndPr>
                  <w:sdtContent>
                    <w:r>
                      <w:rPr>
                        <w:rFonts w:hint="eastAsia" w:ascii="宋体" w:hAnsi="宋体" w:eastAsia="宋体" w:cs="宋体"/>
                        <w:color w:val="000000" w:themeColor="text1"/>
                        <w:sz w:val="24"/>
                        <w:szCs w:val="24"/>
                        <w:highlight w:val="none"/>
                        <w:lang w:eastAsia="zh-CN"/>
                        <w14:textFill>
                          <w14:solidFill>
                            <w14:schemeClr w14:val="tx1"/>
                          </w14:solidFill>
                        </w14:textFill>
                      </w:rPr>
                      <w:sym w:font="Wingdings 2" w:char="00A3"/>
                    </w:r>
                  </w:sdtContent>
                </w:sdt>
              </w:sdtContent>
            </w:sdt>
            <w:r>
              <w:rPr>
                <w:rFonts w:hint="eastAsia" w:ascii="宋体" w:hAnsi="宋体" w:eastAsia="宋体" w:cs="宋体"/>
                <w:color w:val="000000" w:themeColor="text1"/>
                <w:sz w:val="24"/>
                <w:szCs w:val="24"/>
                <w:highlight w:val="none"/>
                <w14:textFill>
                  <w14:solidFill>
                    <w14:schemeClr w14:val="tx1"/>
                  </w14:solidFill>
                </w14:textFill>
              </w:rPr>
              <w:t xml:space="preserve">是  </w:t>
            </w:r>
            <w:sdt>
              <w:sdtPr>
                <w:rPr>
                  <w:rFonts w:hint="eastAsia" w:ascii="宋体" w:hAnsi="宋体" w:eastAsia="宋体" w:cs="宋体"/>
                  <w:color w:val="000000" w:themeColor="text1"/>
                  <w:sz w:val="24"/>
                  <w:szCs w:val="24"/>
                  <w:highlight w:val="none"/>
                  <w14:textFill>
                    <w14:solidFill>
                      <w14:schemeClr w14:val="tx1"/>
                    </w14:solidFill>
                  </w14:textFill>
                </w:rPr>
                <w:id w:val="1526827503"/>
              </w:sdtPr>
              <w:sdtEndPr>
                <w:rPr>
                  <w:rFonts w:hint="eastAsia" w:ascii="宋体" w:hAnsi="宋体" w:eastAsia="宋体" w:cs="宋体"/>
                  <w:color w:val="000000" w:themeColor="text1"/>
                  <w:sz w:val="24"/>
                  <w:szCs w:val="24"/>
                  <w:highlight w:val="none"/>
                  <w14:textFill>
                    <w14:solidFill>
                      <w14:schemeClr w14:val="tx1"/>
                    </w14:solidFill>
                  </w14:textFill>
                </w:rPr>
              </w:sdtEndPr>
              <w:sdtContent>
                <w:r>
                  <w:rPr>
                    <w:rFonts w:hint="eastAsia" w:ascii="宋体" w:hAnsi="宋体" w:eastAsia="宋体" w:cs="宋体"/>
                    <w:color w:val="000000" w:themeColor="text1"/>
                    <w:sz w:val="24"/>
                    <w:szCs w:val="24"/>
                    <w:highlight w:val="none"/>
                    <w:lang w:eastAsia="zh-CN"/>
                    <w14:textFill>
                      <w14:solidFill>
                        <w14:schemeClr w14:val="tx1"/>
                      </w14:solidFill>
                    </w14:textFill>
                  </w:rPr>
                  <w:sym w:font="Wingdings 2" w:char="0052"/>
                </w:r>
              </w:sdtContent>
            </w:sdt>
            <w:r>
              <w:rPr>
                <w:rFonts w:hint="eastAsia" w:ascii="宋体" w:hAnsi="宋体" w:eastAsia="宋体" w:cs="宋体"/>
                <w:color w:val="000000" w:themeColor="text1"/>
                <w:sz w:val="24"/>
                <w:szCs w:val="24"/>
                <w:highlight w:val="none"/>
                <w14:textFill>
                  <w14:solidFill>
                    <w14:schemeClr w14:val="tx1"/>
                  </w14:solidFill>
                </w14:textFill>
              </w:rPr>
              <w:t>否</w:t>
            </w:r>
          </w:p>
        </w:tc>
      </w:tr>
      <w:tr w14:paraId="6FF8F48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6656A7A0">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w:t>
            </w:r>
          </w:p>
        </w:tc>
        <w:tc>
          <w:tcPr>
            <w:tcW w:w="2994" w:type="dxa"/>
            <w:shd w:val="clear" w:color="auto" w:fill="auto"/>
            <w:vAlign w:val="center"/>
          </w:tcPr>
          <w:p w14:paraId="0132F44D">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投标保证金</w:t>
            </w:r>
          </w:p>
        </w:tc>
        <w:tc>
          <w:tcPr>
            <w:tcW w:w="4898" w:type="dxa"/>
            <w:shd w:val="clear" w:color="auto" w:fill="auto"/>
            <w:vAlign w:val="center"/>
          </w:tcPr>
          <w:p w14:paraId="17BF0431">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免交</w:t>
            </w:r>
          </w:p>
        </w:tc>
      </w:tr>
      <w:tr w14:paraId="0C7D8D6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442BD0E2">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9</w:t>
            </w:r>
          </w:p>
        </w:tc>
        <w:tc>
          <w:tcPr>
            <w:tcW w:w="2994" w:type="dxa"/>
            <w:shd w:val="clear" w:color="auto" w:fill="auto"/>
            <w:vAlign w:val="center"/>
          </w:tcPr>
          <w:p w14:paraId="39F07EAA">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履约保证金</w:t>
            </w:r>
          </w:p>
        </w:tc>
        <w:tc>
          <w:tcPr>
            <w:tcW w:w="4898" w:type="dxa"/>
            <w:shd w:val="clear" w:color="auto" w:fill="auto"/>
            <w:vAlign w:val="center"/>
          </w:tcPr>
          <w:p w14:paraId="0ECB30A3">
            <w:pP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供应商应在领取成交通知书后5个工作日内将履约保证金交至采购方账户，其数额为合同金额的5%，供应商可通过支票、本票、汇票、网上银行支付等非现金形式交纳。项目验收合格后，30日内向供应商无息退还。</w:t>
            </w:r>
          </w:p>
          <w:p w14:paraId="2C517188">
            <w:pP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注：履约保证金转账信息</w:t>
            </w:r>
          </w:p>
          <w:p w14:paraId="229269CA">
            <w:pP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名称：西安铁路职业技术学院</w:t>
            </w:r>
          </w:p>
          <w:p w14:paraId="337A1601">
            <w:pP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纳税人识别号：12610100437202545W</w:t>
            </w:r>
          </w:p>
          <w:p w14:paraId="741F5B4B">
            <w:pP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地址、电话：西安国际港务区港务大道396号 029-</w:t>
            </w:r>
            <w:r>
              <w:rPr>
                <w:rFonts w:hint="eastAsia" w:ascii="宋体" w:hAnsi="宋体" w:eastAsia="宋体" w:cs="宋体"/>
                <w:color w:val="000000" w:themeColor="text1"/>
                <w:sz w:val="24"/>
                <w:szCs w:val="24"/>
                <w:highlight w:val="none"/>
                <w:lang w:val="en-US" w:eastAsia="zh-CN"/>
                <w14:textFill>
                  <w14:solidFill>
                    <w14:schemeClr w14:val="tx1"/>
                  </w14:solidFill>
                </w14:textFill>
              </w:rPr>
              <w:t>88092203</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5CBB27F7">
            <w:pP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开户行及账号：建行西安经济技术开发区支行    </w:t>
            </w:r>
          </w:p>
          <w:p w14:paraId="085B1BC3">
            <w:pP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61001930041052515973</w:t>
            </w:r>
          </w:p>
        </w:tc>
      </w:tr>
      <w:tr w14:paraId="171F729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1A0B3D1A">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10</w:t>
            </w:r>
          </w:p>
        </w:tc>
        <w:tc>
          <w:tcPr>
            <w:tcW w:w="2994" w:type="dxa"/>
            <w:shd w:val="clear" w:color="auto" w:fill="auto"/>
            <w:vAlign w:val="center"/>
          </w:tcPr>
          <w:p w14:paraId="3B083BF9">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纸质版投标文件份数</w:t>
            </w:r>
          </w:p>
        </w:tc>
        <w:tc>
          <w:tcPr>
            <w:tcW w:w="4898" w:type="dxa"/>
            <w:shd w:val="clear" w:color="auto" w:fill="auto"/>
            <w:vAlign w:val="center"/>
          </w:tcPr>
          <w:p w14:paraId="51A0FD26">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投标供应商无需提供；</w:t>
            </w:r>
          </w:p>
          <w:p w14:paraId="3A0C24FF">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中标供应商在领取中标通知书时提供一正两副。</w:t>
            </w:r>
          </w:p>
        </w:tc>
      </w:tr>
      <w:tr w14:paraId="68212E9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588E6F59">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w:t>
            </w:r>
          </w:p>
        </w:tc>
        <w:tc>
          <w:tcPr>
            <w:tcW w:w="2994" w:type="dxa"/>
            <w:shd w:val="clear" w:color="auto" w:fill="auto"/>
            <w:vAlign w:val="center"/>
          </w:tcPr>
          <w:p w14:paraId="56CDB794">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现场踏勘和集中答疑</w:t>
            </w:r>
          </w:p>
        </w:tc>
        <w:tc>
          <w:tcPr>
            <w:tcW w:w="4898" w:type="dxa"/>
            <w:shd w:val="clear" w:color="auto" w:fill="auto"/>
            <w:vAlign w:val="center"/>
          </w:tcPr>
          <w:p w14:paraId="396C039B">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无</w:t>
            </w:r>
          </w:p>
        </w:tc>
      </w:tr>
      <w:tr w14:paraId="6D62EB5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122C6393">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w:t>
            </w:r>
          </w:p>
        </w:tc>
        <w:tc>
          <w:tcPr>
            <w:tcW w:w="2994" w:type="dxa"/>
            <w:shd w:val="clear" w:color="auto" w:fill="auto"/>
            <w:vAlign w:val="center"/>
          </w:tcPr>
          <w:p w14:paraId="1F33735C">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政府采购信息发布媒体</w:t>
            </w:r>
          </w:p>
          <w:p w14:paraId="327044D3">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（采购公告、采购结果公告、变更公告）</w:t>
            </w:r>
          </w:p>
        </w:tc>
        <w:tc>
          <w:tcPr>
            <w:tcW w:w="4898" w:type="dxa"/>
            <w:shd w:val="clear" w:color="auto" w:fill="auto"/>
            <w:vAlign w:val="center"/>
          </w:tcPr>
          <w:p w14:paraId="5D5E9660">
            <w:pP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1．陕西省政府采购网：仅提供项目公告，官网地址：http://ccgp-shaanxi.gov.cn/。</w:t>
            </w:r>
          </w:p>
          <w:p w14:paraId="65247E16">
            <w:pP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2．全国公共资源交易平台（陕西省·西安市）：即西安市公共资源交易平台，提供项目公告和采购文件下载。官网地址：http://sxggzyjy.xa.gov.cn/</w:t>
            </w:r>
          </w:p>
        </w:tc>
      </w:tr>
      <w:tr w14:paraId="293E6B7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39D29FB1">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w:t>
            </w:r>
          </w:p>
        </w:tc>
        <w:tc>
          <w:tcPr>
            <w:tcW w:w="2994" w:type="dxa"/>
            <w:shd w:val="clear" w:color="auto" w:fill="auto"/>
            <w:vAlign w:val="center"/>
          </w:tcPr>
          <w:p w14:paraId="4E94060F">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询问和质疑</w:t>
            </w:r>
          </w:p>
        </w:tc>
        <w:tc>
          <w:tcPr>
            <w:tcW w:w="4898" w:type="dxa"/>
            <w:shd w:val="clear" w:color="auto" w:fill="auto"/>
            <w:vAlign w:val="center"/>
          </w:tcPr>
          <w:p w14:paraId="76F6F358">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见</w:t>
            </w:r>
            <w:r>
              <w:rPr>
                <w:rFonts w:hint="eastAsia" w:ascii="宋体" w:hAnsi="宋体" w:eastAsia="宋体" w:cs="宋体"/>
                <w:color w:val="000000" w:themeColor="text1"/>
                <w:sz w:val="24"/>
                <w:szCs w:val="24"/>
                <w:highlight w:val="none"/>
                <w:lang w:val="en-US" w:eastAsia="zh-CN"/>
                <w14:textFill>
                  <w14:solidFill>
                    <w14:schemeClr w14:val="tx1"/>
                  </w14:solidFill>
                </w14:textFill>
              </w:rPr>
              <w:t>招标公告</w:t>
            </w:r>
            <w:r>
              <w:rPr>
                <w:rFonts w:hint="eastAsia" w:ascii="宋体" w:hAnsi="宋体" w:eastAsia="宋体" w:cs="宋体"/>
                <w:color w:val="000000" w:themeColor="text1"/>
                <w:sz w:val="24"/>
                <w:szCs w:val="24"/>
                <w:highlight w:val="none"/>
                <w14:textFill>
                  <w14:solidFill>
                    <w14:schemeClr w14:val="tx1"/>
                  </w14:solidFill>
                </w14:textFill>
              </w:rPr>
              <w:t>中的“联系方式”</w:t>
            </w:r>
          </w:p>
        </w:tc>
      </w:tr>
      <w:tr w14:paraId="5DC78D5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0DEBF171">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14</w:t>
            </w:r>
          </w:p>
        </w:tc>
        <w:tc>
          <w:tcPr>
            <w:tcW w:w="2994" w:type="dxa"/>
            <w:shd w:val="clear" w:color="auto" w:fill="auto"/>
            <w:vAlign w:val="center"/>
          </w:tcPr>
          <w:p w14:paraId="395A6AA1">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投诉受理</w:t>
            </w:r>
          </w:p>
        </w:tc>
        <w:tc>
          <w:tcPr>
            <w:tcW w:w="4898" w:type="dxa"/>
            <w:shd w:val="clear" w:color="auto" w:fill="auto"/>
            <w:vAlign w:val="center"/>
          </w:tcPr>
          <w:p w14:paraId="54517AF5">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1．受理单位：西安市财政局政府采购管理处</w:t>
            </w:r>
          </w:p>
          <w:p w14:paraId="429BD22D">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2．联系电话：029-89821846</w:t>
            </w:r>
          </w:p>
          <w:p w14:paraId="3F7395CB">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3．地址：西安市未央区西北国金中心A座18层</w:t>
            </w:r>
          </w:p>
        </w:tc>
      </w:tr>
      <w:tr w14:paraId="26742B0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7AA7BE0F">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15</w:t>
            </w:r>
          </w:p>
        </w:tc>
        <w:tc>
          <w:tcPr>
            <w:tcW w:w="2994" w:type="dxa"/>
            <w:shd w:val="clear" w:color="auto" w:fill="auto"/>
            <w:vAlign w:val="center"/>
          </w:tcPr>
          <w:p w14:paraId="0C39DF19">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信用信息查询截至时点</w:t>
            </w:r>
          </w:p>
        </w:tc>
        <w:tc>
          <w:tcPr>
            <w:tcW w:w="4898" w:type="dxa"/>
            <w:shd w:val="clear" w:color="auto" w:fill="auto"/>
            <w:vAlign w:val="center"/>
          </w:tcPr>
          <w:p w14:paraId="28B074D9">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投标文件递交截止之日</w:t>
            </w:r>
          </w:p>
        </w:tc>
      </w:tr>
      <w:tr w14:paraId="4DED3F8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54A55301">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16</w:t>
            </w:r>
          </w:p>
        </w:tc>
        <w:tc>
          <w:tcPr>
            <w:tcW w:w="2994" w:type="dxa"/>
            <w:shd w:val="clear" w:color="auto" w:fill="auto"/>
            <w:vAlign w:val="center"/>
          </w:tcPr>
          <w:p w14:paraId="3B41D4AB">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开标形式</w:t>
            </w:r>
          </w:p>
        </w:tc>
        <w:tc>
          <w:tcPr>
            <w:tcW w:w="4898" w:type="dxa"/>
            <w:shd w:val="clear" w:color="auto" w:fill="auto"/>
            <w:vAlign w:val="center"/>
          </w:tcPr>
          <w:p w14:paraId="022AA0B4">
            <w:pPr>
              <w:jc w:val="both"/>
              <w:rPr>
                <w:rFonts w:hint="eastAsia" w:ascii="宋体" w:hAnsi="宋体" w:eastAsia="宋体" w:cs="宋体"/>
                <w:color w:val="000000" w:themeColor="text1"/>
                <w:sz w:val="24"/>
                <w:szCs w:val="24"/>
                <w:highlight w:val="none"/>
                <w14:textFill>
                  <w14:solidFill>
                    <w14:schemeClr w14:val="tx1"/>
                  </w14:solidFill>
                </w14:textFill>
              </w:rPr>
            </w:pPr>
            <w:sdt>
              <w:sdtPr>
                <w:rPr>
                  <w:rFonts w:hint="eastAsia" w:ascii="宋体" w:hAnsi="宋体" w:eastAsia="宋体" w:cs="宋体"/>
                  <w:color w:val="000000" w:themeColor="text1"/>
                  <w:sz w:val="24"/>
                  <w:szCs w:val="24"/>
                  <w:highlight w:val="none"/>
                  <w14:textFill>
                    <w14:solidFill>
                      <w14:schemeClr w14:val="tx1"/>
                    </w14:solidFill>
                  </w14:textFill>
                </w:rPr>
                <w:id w:val="1077786224"/>
              </w:sdtPr>
              <w:sdtEndPr>
                <w:rPr>
                  <w:rFonts w:hint="eastAsia" w:ascii="宋体" w:hAnsi="宋体" w:eastAsia="宋体" w:cs="宋体"/>
                  <w:color w:val="000000" w:themeColor="text1"/>
                  <w:sz w:val="24"/>
                  <w:szCs w:val="24"/>
                  <w:highlight w:val="none"/>
                  <w14:textFill>
                    <w14:solidFill>
                      <w14:schemeClr w14:val="tx1"/>
                    </w14:solidFill>
                  </w14:textFill>
                </w:rPr>
              </w:sdtEndPr>
              <w:sdtContent>
                <w:r>
                  <w:rPr>
                    <w:rFonts w:hint="eastAsia" w:ascii="宋体" w:hAnsi="宋体" w:eastAsia="宋体" w:cs="宋体"/>
                    <w:color w:val="000000" w:themeColor="text1"/>
                    <w:sz w:val="24"/>
                    <w:szCs w:val="24"/>
                    <w:highlight w:val="none"/>
                    <w14:textFill>
                      <w14:solidFill>
                        <w14:schemeClr w14:val="tx1"/>
                      </w14:solidFill>
                    </w14:textFill>
                  </w:rPr>
                  <w:t>☑</w:t>
                </w:r>
              </w:sdtContent>
            </w:sdt>
            <w:r>
              <w:rPr>
                <w:rFonts w:hint="eastAsia" w:ascii="宋体" w:hAnsi="宋体" w:eastAsia="宋体" w:cs="宋体"/>
                <w:color w:val="000000" w:themeColor="text1"/>
                <w:sz w:val="24"/>
                <w:szCs w:val="24"/>
                <w:highlight w:val="none"/>
                <w14:textFill>
                  <w14:solidFill>
                    <w14:schemeClr w14:val="tx1"/>
                  </w14:solidFill>
                </w14:textFill>
              </w:rPr>
              <w:t xml:space="preserve">不见面开标  </w:t>
            </w:r>
            <w:sdt>
              <w:sdtPr>
                <w:rPr>
                  <w:rFonts w:hint="eastAsia" w:ascii="宋体" w:hAnsi="宋体" w:eastAsia="宋体" w:cs="宋体"/>
                  <w:color w:val="000000" w:themeColor="text1"/>
                  <w:sz w:val="24"/>
                  <w:szCs w:val="24"/>
                  <w:highlight w:val="none"/>
                  <w14:textFill>
                    <w14:solidFill>
                      <w14:schemeClr w14:val="tx1"/>
                    </w14:solidFill>
                  </w14:textFill>
                </w:rPr>
                <w:id w:val="1553575034"/>
              </w:sdtPr>
              <w:sdtEndPr>
                <w:rPr>
                  <w:rFonts w:hint="eastAsia" w:ascii="宋体" w:hAnsi="宋体" w:eastAsia="宋体" w:cs="宋体"/>
                  <w:color w:val="000000" w:themeColor="text1"/>
                  <w:sz w:val="24"/>
                  <w:szCs w:val="24"/>
                  <w:highlight w:val="none"/>
                  <w14:textFill>
                    <w14:solidFill>
                      <w14:schemeClr w14:val="tx1"/>
                    </w14:solidFill>
                  </w14:textFill>
                </w:rPr>
              </w:sdtEndPr>
              <w:sdtContent>
                <w:r>
                  <w:rPr>
                    <w:rFonts w:hint="eastAsia" w:ascii="宋体" w:hAnsi="宋体" w:eastAsia="宋体" w:cs="宋体"/>
                    <w:color w:val="000000" w:themeColor="text1"/>
                    <w:sz w:val="24"/>
                    <w:szCs w:val="24"/>
                    <w:highlight w:val="none"/>
                    <w14:textFill>
                      <w14:solidFill>
                        <w14:schemeClr w14:val="tx1"/>
                      </w14:solidFill>
                    </w14:textFill>
                  </w:rPr>
                  <w:t>☐</w:t>
                </w:r>
              </w:sdtContent>
            </w:sdt>
            <w:r>
              <w:rPr>
                <w:rFonts w:hint="eastAsia" w:ascii="宋体" w:hAnsi="宋体" w:eastAsia="宋体" w:cs="宋体"/>
                <w:color w:val="000000" w:themeColor="text1"/>
                <w:sz w:val="24"/>
                <w:szCs w:val="24"/>
                <w:highlight w:val="none"/>
                <w14:textFill>
                  <w14:solidFill>
                    <w14:schemeClr w14:val="tx1"/>
                  </w14:solidFill>
                </w14:textFill>
              </w:rPr>
              <w:t>见面开标</w:t>
            </w:r>
          </w:p>
          <w:p w14:paraId="29CB5DAF">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详见本章“开标程序”有关内容。</w:t>
            </w:r>
          </w:p>
        </w:tc>
      </w:tr>
      <w:tr w14:paraId="172BAEA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1C4AD60F">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17</w:t>
            </w:r>
          </w:p>
        </w:tc>
        <w:tc>
          <w:tcPr>
            <w:tcW w:w="2994" w:type="dxa"/>
            <w:shd w:val="clear" w:color="auto" w:fill="auto"/>
            <w:vAlign w:val="center"/>
          </w:tcPr>
          <w:p w14:paraId="0181EC5B">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是否允许递交多个备选投标方案</w:t>
            </w:r>
          </w:p>
        </w:tc>
        <w:tc>
          <w:tcPr>
            <w:tcW w:w="4898" w:type="dxa"/>
            <w:shd w:val="clear" w:color="auto" w:fill="auto"/>
            <w:vAlign w:val="center"/>
          </w:tcPr>
          <w:p w14:paraId="1878F14D">
            <w:pPr>
              <w:jc w:val="both"/>
              <w:rPr>
                <w:rFonts w:hint="eastAsia" w:ascii="宋体" w:hAnsi="宋体" w:eastAsia="宋体" w:cs="宋体"/>
                <w:color w:val="000000" w:themeColor="text1"/>
                <w:sz w:val="24"/>
                <w:szCs w:val="24"/>
                <w:highlight w:val="none"/>
                <w14:textFill>
                  <w14:solidFill>
                    <w14:schemeClr w14:val="tx1"/>
                  </w14:solidFill>
                </w14:textFill>
              </w:rPr>
            </w:pPr>
            <w:sdt>
              <w:sdtPr>
                <w:rPr>
                  <w:rFonts w:hint="eastAsia" w:ascii="宋体" w:hAnsi="宋体" w:eastAsia="宋体" w:cs="宋体"/>
                  <w:color w:val="000000" w:themeColor="text1"/>
                  <w:sz w:val="24"/>
                  <w:szCs w:val="24"/>
                  <w:highlight w:val="none"/>
                  <w14:textFill>
                    <w14:solidFill>
                      <w14:schemeClr w14:val="tx1"/>
                    </w14:solidFill>
                  </w14:textFill>
                </w:rPr>
                <w:id w:val="1608857843"/>
              </w:sdtPr>
              <w:sdtEndPr>
                <w:rPr>
                  <w:rFonts w:hint="eastAsia" w:ascii="宋体" w:hAnsi="宋体" w:eastAsia="宋体" w:cs="宋体"/>
                  <w:color w:val="000000" w:themeColor="text1"/>
                  <w:sz w:val="24"/>
                  <w:szCs w:val="24"/>
                  <w:highlight w:val="none"/>
                  <w14:textFill>
                    <w14:solidFill>
                      <w14:schemeClr w14:val="tx1"/>
                    </w14:solidFill>
                  </w14:textFill>
                </w:rPr>
              </w:sdtEndPr>
              <w:sdtContent>
                <w:r>
                  <w:rPr>
                    <w:rFonts w:hint="eastAsia" w:ascii="宋体" w:hAnsi="宋体" w:eastAsia="宋体" w:cs="宋体"/>
                    <w:color w:val="000000" w:themeColor="text1"/>
                    <w:sz w:val="24"/>
                    <w:szCs w:val="24"/>
                    <w:highlight w:val="none"/>
                    <w14:textFill>
                      <w14:solidFill>
                        <w14:schemeClr w14:val="tx1"/>
                      </w14:solidFill>
                    </w14:textFill>
                  </w:rPr>
                  <w:t>☐</w:t>
                </w:r>
              </w:sdtContent>
            </w:sdt>
            <w:r>
              <w:rPr>
                <w:rFonts w:hint="eastAsia" w:ascii="宋体" w:hAnsi="宋体" w:eastAsia="宋体" w:cs="宋体"/>
                <w:color w:val="000000" w:themeColor="text1"/>
                <w:sz w:val="24"/>
                <w:szCs w:val="24"/>
                <w:highlight w:val="none"/>
                <w14:textFill>
                  <w14:solidFill>
                    <w14:schemeClr w14:val="tx1"/>
                  </w14:solidFill>
                </w14:textFill>
              </w:rPr>
              <w:t xml:space="preserve">是  </w:t>
            </w:r>
            <w:sdt>
              <w:sdtPr>
                <w:rPr>
                  <w:rFonts w:hint="eastAsia" w:ascii="宋体" w:hAnsi="宋体" w:eastAsia="宋体" w:cs="宋体"/>
                  <w:color w:val="000000" w:themeColor="text1"/>
                  <w:sz w:val="24"/>
                  <w:szCs w:val="24"/>
                  <w:highlight w:val="none"/>
                  <w14:textFill>
                    <w14:solidFill>
                      <w14:schemeClr w14:val="tx1"/>
                    </w14:solidFill>
                  </w14:textFill>
                </w:rPr>
                <w:id w:val="618331253"/>
              </w:sdtPr>
              <w:sdtEndPr>
                <w:rPr>
                  <w:rFonts w:hint="eastAsia" w:ascii="宋体" w:hAnsi="宋体" w:eastAsia="宋体" w:cs="宋体"/>
                  <w:color w:val="000000" w:themeColor="text1"/>
                  <w:sz w:val="24"/>
                  <w:szCs w:val="24"/>
                  <w:highlight w:val="none"/>
                  <w14:textFill>
                    <w14:solidFill>
                      <w14:schemeClr w14:val="tx1"/>
                    </w14:solidFill>
                  </w14:textFill>
                </w:rPr>
              </w:sdtEndPr>
              <w:sdtContent>
                <w:r>
                  <w:rPr>
                    <w:rFonts w:hint="eastAsia" w:ascii="宋体" w:hAnsi="宋体" w:eastAsia="宋体" w:cs="宋体"/>
                    <w:color w:val="000000" w:themeColor="text1"/>
                    <w:sz w:val="24"/>
                    <w:szCs w:val="24"/>
                    <w:highlight w:val="none"/>
                    <w14:textFill>
                      <w14:solidFill>
                        <w14:schemeClr w14:val="tx1"/>
                      </w14:solidFill>
                    </w14:textFill>
                  </w:rPr>
                  <w:t>☑</w:t>
                </w:r>
              </w:sdtContent>
            </w:sdt>
            <w:r>
              <w:rPr>
                <w:rFonts w:hint="eastAsia" w:ascii="宋体" w:hAnsi="宋体" w:eastAsia="宋体" w:cs="宋体"/>
                <w:color w:val="000000" w:themeColor="text1"/>
                <w:sz w:val="24"/>
                <w:szCs w:val="24"/>
                <w:highlight w:val="none"/>
                <w14:textFill>
                  <w14:solidFill>
                    <w14:schemeClr w14:val="tx1"/>
                  </w14:solidFill>
                </w14:textFill>
              </w:rPr>
              <w:t>否</w:t>
            </w:r>
          </w:p>
        </w:tc>
      </w:tr>
      <w:tr w14:paraId="3682C99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7855DC5F">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18</w:t>
            </w:r>
          </w:p>
        </w:tc>
        <w:tc>
          <w:tcPr>
            <w:tcW w:w="2994" w:type="dxa"/>
            <w:shd w:val="clear" w:color="auto" w:fill="auto"/>
            <w:vAlign w:val="center"/>
          </w:tcPr>
          <w:p w14:paraId="76ED3D6D">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中标通知书</w:t>
            </w:r>
          </w:p>
        </w:tc>
        <w:tc>
          <w:tcPr>
            <w:tcW w:w="4898" w:type="dxa"/>
            <w:shd w:val="clear" w:color="auto" w:fill="auto"/>
            <w:vAlign w:val="center"/>
          </w:tcPr>
          <w:p w14:paraId="6E9CD457">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在公告中标（成交）结果的同时，代理机构在线向中标（成交）供应商发出中标（成交）通知书，中标供应商可登录【全国公共资源交易平台（陕西省•西安市）】网站〖首页〉电子交易平台〉企业端〗后，在〖我的项目/项目流程〗模块中点击下载“中标（成交）通知书”。</w:t>
            </w:r>
          </w:p>
        </w:tc>
      </w:tr>
      <w:tr w14:paraId="2B8798C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37FF9963">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w:t>
            </w:r>
          </w:p>
        </w:tc>
        <w:tc>
          <w:tcPr>
            <w:tcW w:w="2994" w:type="dxa"/>
            <w:shd w:val="clear" w:color="auto" w:fill="auto"/>
            <w:vAlign w:val="center"/>
          </w:tcPr>
          <w:p w14:paraId="129E7944">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西安市公共资源交易中心电子化政府采购系统技术支持（软件开发商）</w:t>
            </w:r>
          </w:p>
        </w:tc>
        <w:tc>
          <w:tcPr>
            <w:tcW w:w="4898" w:type="dxa"/>
            <w:shd w:val="clear" w:color="auto" w:fill="auto"/>
            <w:vAlign w:val="center"/>
          </w:tcPr>
          <w:p w14:paraId="6DFE64E9">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国泰新点软件股份有限公司</w:t>
            </w:r>
          </w:p>
          <w:p w14:paraId="0926DC09">
            <w:pP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1．技术支持热线：400-998-0000/400-928-0095</w:t>
            </w:r>
          </w:p>
          <w:p w14:paraId="35004957">
            <w:pP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2．驻场技术人员：029-86510166/86510167转80310</w:t>
            </w:r>
          </w:p>
        </w:tc>
      </w:tr>
      <w:tr w14:paraId="403E5F3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11874182">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20</w:t>
            </w:r>
          </w:p>
        </w:tc>
        <w:tc>
          <w:tcPr>
            <w:tcW w:w="2994" w:type="dxa"/>
            <w:shd w:val="clear" w:color="auto" w:fill="auto"/>
            <w:vAlign w:val="center"/>
          </w:tcPr>
          <w:p w14:paraId="2C261975">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CA业务网点</w:t>
            </w:r>
          </w:p>
        </w:tc>
        <w:tc>
          <w:tcPr>
            <w:tcW w:w="4898" w:type="dxa"/>
            <w:shd w:val="clear" w:color="auto" w:fill="auto"/>
            <w:vAlign w:val="center"/>
          </w:tcPr>
          <w:p w14:paraId="773B5EDC">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陕西省数字证书认证中心股份有限公司</w:t>
            </w:r>
          </w:p>
          <w:p w14:paraId="34954327">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网点1：西安市高新三路信息港大厦1楼客服中心</w:t>
            </w:r>
          </w:p>
          <w:p w14:paraId="6FD40942">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客服电话：4006-369-888</w:t>
            </w:r>
          </w:p>
          <w:p w14:paraId="60045D74">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网点2：西安市长安北路14号省体育公寓B座一楼</w:t>
            </w:r>
          </w:p>
          <w:p w14:paraId="352185D3">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咨询电话：029-88661241</w:t>
            </w:r>
          </w:p>
          <w:p w14:paraId="12637222">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网点3：西安市文景北路16号白桦林国际B座2楼11#窗口</w:t>
            </w:r>
          </w:p>
          <w:p w14:paraId="50F00949">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咨询电话：029-86510073转80211</w:t>
            </w:r>
          </w:p>
        </w:tc>
      </w:tr>
      <w:tr w14:paraId="06CCA99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1E9C5057">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21</w:t>
            </w:r>
          </w:p>
        </w:tc>
        <w:tc>
          <w:tcPr>
            <w:tcW w:w="2994" w:type="dxa"/>
            <w:shd w:val="clear" w:color="auto" w:fill="auto"/>
            <w:vAlign w:val="center"/>
          </w:tcPr>
          <w:p w14:paraId="28CD7912">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本项目所属行业</w:t>
            </w:r>
          </w:p>
        </w:tc>
        <w:tc>
          <w:tcPr>
            <w:tcW w:w="4898" w:type="dxa"/>
            <w:shd w:val="clear" w:color="auto" w:fill="auto"/>
            <w:vAlign w:val="center"/>
          </w:tcPr>
          <w:p w14:paraId="6C2D69B0">
            <w:pPr>
              <w:jc w:val="both"/>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工业</w:t>
            </w:r>
          </w:p>
        </w:tc>
      </w:tr>
      <w:tr w14:paraId="70914D4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787FC4F2">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22</w:t>
            </w:r>
          </w:p>
        </w:tc>
        <w:tc>
          <w:tcPr>
            <w:tcW w:w="2994" w:type="dxa"/>
            <w:shd w:val="clear" w:color="auto" w:fill="auto"/>
            <w:vAlign w:val="center"/>
          </w:tcPr>
          <w:p w14:paraId="24572899">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弃标须知</w:t>
            </w:r>
          </w:p>
        </w:tc>
        <w:tc>
          <w:tcPr>
            <w:tcW w:w="4898" w:type="dxa"/>
            <w:shd w:val="clear" w:color="auto" w:fill="auto"/>
            <w:vAlign w:val="center"/>
          </w:tcPr>
          <w:p w14:paraId="40DC4965">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根据市财函【2021】431号文第16条规定：供应商登记免费领取采购文件的，如不参与项目投标，应在递交投标（或相应）文件截止时间前一日以书面形式告知采购代理机构。否则，采购代理机构可以向财政部门反应情况并提供佐证。供应商一年内累计出现三次该情形，将被监管部门记录为失信行为。</w:t>
            </w:r>
          </w:p>
        </w:tc>
      </w:tr>
      <w:tr w14:paraId="773AD2D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0" w:hRule="atLeast"/>
          <w:jc w:val="center"/>
        </w:trPr>
        <w:tc>
          <w:tcPr>
            <w:tcW w:w="978" w:type="dxa"/>
            <w:shd w:val="clear" w:color="auto" w:fill="auto"/>
            <w:vAlign w:val="center"/>
          </w:tcPr>
          <w:p w14:paraId="3FD2D14A">
            <w:pPr>
              <w:ind w:firstLine="240" w:firstLineChars="10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p>
        </w:tc>
        <w:tc>
          <w:tcPr>
            <w:tcW w:w="2994" w:type="dxa"/>
            <w:shd w:val="clear" w:color="auto" w:fill="auto"/>
            <w:vAlign w:val="center"/>
          </w:tcPr>
          <w:p w14:paraId="0B5C7896">
            <w:pPr>
              <w:ind w:firstLine="480" w:firstLineChars="20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代理服务费</w:t>
            </w:r>
          </w:p>
        </w:tc>
        <w:tc>
          <w:tcPr>
            <w:tcW w:w="4898" w:type="dxa"/>
            <w:shd w:val="clear" w:color="auto" w:fill="auto"/>
            <w:vAlign w:val="center"/>
          </w:tcPr>
          <w:p w14:paraId="49AA7177">
            <w:pPr>
              <w:spacing w:line="360" w:lineRule="auto"/>
              <w:ind w:firstLine="480" w:firstLineChars="20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代理服务费参照国家计委关于印发《招标代理服务收费管理暂行办法的通知》（计价格[2002]1980 号）的规定下浮</w:t>
            </w:r>
            <w:r>
              <w:rPr>
                <w:rFonts w:hint="eastAsia" w:ascii="宋体" w:hAnsi="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0</w:t>
            </w:r>
            <w:r>
              <w:rPr>
                <w:rFonts w:hint="eastAsia" w:ascii="宋体" w:hAnsi="宋体" w:eastAsia="宋体" w:cs="宋体"/>
                <w:color w:val="000000" w:themeColor="text1"/>
                <w:sz w:val="24"/>
                <w:szCs w:val="24"/>
                <w:highlight w:val="none"/>
                <w14:textFill>
                  <w14:solidFill>
                    <w14:schemeClr w14:val="tx1"/>
                  </w14:solidFill>
                </w14:textFill>
              </w:rPr>
              <w:t>%收取。由中标人在领取中标通知书时向代理机构缴纳代理服务费，代理服务费金额详见结果公告</w:t>
            </w:r>
            <w:r>
              <w:rPr>
                <w:rFonts w:hint="eastAsia" w:ascii="宋体" w:hAnsi="宋体" w:cs="宋体"/>
                <w:color w:val="000000" w:themeColor="text1"/>
                <w:sz w:val="24"/>
                <w:szCs w:val="24"/>
                <w:highlight w:val="none"/>
                <w:lang w:eastAsia="zh-CN"/>
                <w14:textFill>
                  <w14:solidFill>
                    <w14:schemeClr w14:val="tx1"/>
                  </w14:solidFill>
                </w14:textFill>
              </w:rPr>
              <w:t>。</w:t>
            </w:r>
          </w:p>
          <w:p w14:paraId="4125E2FA">
            <w:pPr>
              <w:spacing w:line="360" w:lineRule="auto"/>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代理服务收费标准及金额：</w:t>
            </w:r>
          </w:p>
          <w:p w14:paraId="79D350B7">
            <w:pPr>
              <w:spacing w:line="360" w:lineRule="auto"/>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代理服务费账户信息：</w:t>
            </w:r>
          </w:p>
          <w:p w14:paraId="4DB2AE9D">
            <w:pPr>
              <w:spacing w:line="360" w:lineRule="auto"/>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户名：</w:t>
            </w:r>
            <w:r>
              <w:rPr>
                <w:rFonts w:hint="eastAsia" w:ascii="宋体" w:hAnsi="宋体" w:eastAsia="宋体" w:cs="宋体"/>
                <w:color w:val="000000" w:themeColor="text1"/>
                <w:sz w:val="24"/>
                <w:szCs w:val="24"/>
                <w:highlight w:val="none"/>
                <w:lang w:eastAsia="zh-CN"/>
                <w14:textFill>
                  <w14:solidFill>
                    <w14:schemeClr w14:val="tx1"/>
                  </w14:solidFill>
                </w14:textFill>
              </w:rPr>
              <w:t>中昊项目管理有限公司</w:t>
            </w:r>
          </w:p>
          <w:p w14:paraId="312BD0F7">
            <w:pPr>
              <w:spacing w:line="360" w:lineRule="auto"/>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开户行名称：中国民生银行股份有限公司西安枫林绿洲支行</w:t>
            </w:r>
          </w:p>
          <w:p w14:paraId="0A547A69">
            <w:pPr>
              <w:spacing w:line="360" w:lineRule="auto"/>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账号：160927203</w:t>
            </w:r>
          </w:p>
        </w:tc>
      </w:tr>
      <w:tr w14:paraId="0736D5B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102" w:hRule="atLeast"/>
          <w:jc w:val="center"/>
        </w:trPr>
        <w:tc>
          <w:tcPr>
            <w:tcW w:w="978" w:type="dxa"/>
            <w:shd w:val="clear" w:color="auto" w:fill="auto"/>
            <w:vAlign w:val="center"/>
          </w:tcPr>
          <w:p w14:paraId="62C41307">
            <w:pPr>
              <w:ind w:firstLine="240" w:firstLineChars="100"/>
              <w:jc w:val="both"/>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24</w:t>
            </w:r>
          </w:p>
        </w:tc>
        <w:tc>
          <w:tcPr>
            <w:tcW w:w="2994" w:type="dxa"/>
            <w:shd w:val="clear" w:color="auto" w:fill="auto"/>
            <w:vAlign w:val="center"/>
          </w:tcPr>
          <w:p w14:paraId="0A7C8AF8">
            <w:pPr>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核心产品</w:t>
            </w:r>
          </w:p>
        </w:tc>
        <w:tc>
          <w:tcPr>
            <w:tcW w:w="4898" w:type="dxa"/>
            <w:shd w:val="clear" w:color="auto" w:fill="auto"/>
            <w:vAlign w:val="center"/>
          </w:tcPr>
          <w:p w14:paraId="2CC79EBD">
            <w:pPr>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本项目核心产品为：</w:t>
            </w:r>
            <w:r>
              <w:rPr>
                <w:rFonts w:hint="eastAsia" w:ascii="宋体" w:hAnsi="宋体" w:eastAsia="宋体" w:cs="宋体"/>
                <w:color w:val="auto"/>
                <w:kern w:val="0"/>
                <w:sz w:val="22"/>
              </w:rPr>
              <w:t>智能球形摄像机（云台摄像机）</w:t>
            </w:r>
          </w:p>
        </w:tc>
      </w:tr>
      <w:tr w14:paraId="69AAC60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102" w:hRule="atLeast"/>
          <w:jc w:val="center"/>
        </w:trPr>
        <w:tc>
          <w:tcPr>
            <w:tcW w:w="978" w:type="dxa"/>
            <w:shd w:val="clear" w:color="auto" w:fill="auto"/>
            <w:vAlign w:val="center"/>
          </w:tcPr>
          <w:p w14:paraId="2ADFB310">
            <w:pPr>
              <w:ind w:firstLine="240" w:firstLineChars="100"/>
              <w:jc w:val="both"/>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25</w:t>
            </w:r>
          </w:p>
        </w:tc>
        <w:tc>
          <w:tcPr>
            <w:tcW w:w="2994" w:type="dxa"/>
            <w:shd w:val="clear" w:color="auto" w:fill="auto"/>
            <w:vAlign w:val="center"/>
          </w:tcPr>
          <w:p w14:paraId="0C3976A3">
            <w:pPr>
              <w:ind w:firstLine="480" w:firstLineChars="20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（演示）腾讯会议</w:t>
            </w:r>
          </w:p>
        </w:tc>
        <w:tc>
          <w:tcPr>
            <w:tcW w:w="4898" w:type="dxa"/>
            <w:shd w:val="clear" w:color="auto" w:fill="auto"/>
            <w:vAlign w:val="center"/>
          </w:tcPr>
          <w:p w14:paraId="51E28D58">
            <w:pPr>
              <w:widowControl/>
              <w:numPr>
                <w:ilvl w:val="0"/>
                <w:numId w:val="2"/>
              </w:numPr>
              <w:topLinePunct/>
              <w:spacing w:line="400" w:lineRule="exact"/>
              <w:jc w:val="left"/>
              <w:rPr>
                <w:rFonts w:hint="eastAsia"/>
                <w:sz w:val="24"/>
              </w:rPr>
            </w:pPr>
            <w:r>
              <w:rPr>
                <w:rFonts w:hint="eastAsia"/>
                <w:sz w:val="24"/>
              </w:rPr>
              <w:t>请各</w:t>
            </w:r>
            <w:r>
              <w:rPr>
                <w:rFonts w:hint="eastAsia"/>
                <w:sz w:val="24"/>
                <w:lang w:val="en-US" w:eastAsia="zh-CN"/>
              </w:rPr>
              <w:t>供应商</w:t>
            </w:r>
            <w:r>
              <w:rPr>
                <w:rFonts w:hint="eastAsia"/>
                <w:sz w:val="24"/>
              </w:rPr>
              <w:t>自行下载“腾讯会议”软件，并实名注册。</w:t>
            </w:r>
            <w:r>
              <w:rPr>
                <w:rFonts w:hint="eastAsia"/>
                <w:sz w:val="24"/>
                <w:lang w:val="en-US" w:eastAsia="zh-CN"/>
              </w:rPr>
              <w:t>开标现场</w:t>
            </w:r>
            <w:r>
              <w:rPr>
                <w:rFonts w:hint="eastAsia"/>
                <w:sz w:val="24"/>
              </w:rPr>
              <w:t>由招标代理机构创建会议室。各</w:t>
            </w:r>
            <w:r>
              <w:rPr>
                <w:rFonts w:hint="eastAsia"/>
                <w:sz w:val="24"/>
                <w:lang w:val="en-US" w:eastAsia="zh-CN"/>
              </w:rPr>
              <w:t>供应商</w:t>
            </w:r>
            <w:r>
              <w:rPr>
                <w:rFonts w:hint="eastAsia"/>
                <w:sz w:val="24"/>
              </w:rPr>
              <w:t>代表进入直播间测试网络条件，并将昵称改为单位名称＋姓名；</w:t>
            </w:r>
          </w:p>
          <w:p w14:paraId="29839C28">
            <w:pPr>
              <w:numPr>
                <w:ilvl w:val="0"/>
                <w:numId w:val="2"/>
              </w:numPr>
              <w:spacing w:line="360" w:lineRule="auto"/>
              <w:ind w:left="0" w:leftChars="0" w:firstLine="0" w:firstLineChars="0"/>
              <w:jc w:val="both"/>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评标现场代理机构组织各供应商在腾讯会议中逐个展示自己的演示材料。</w:t>
            </w:r>
          </w:p>
          <w:p w14:paraId="6423CFE9">
            <w:pPr>
              <w:pStyle w:val="17"/>
              <w:numPr>
                <w:ilvl w:val="0"/>
                <w:numId w:val="0"/>
              </w:numPr>
              <w:spacing w:line="360" w:lineRule="auto"/>
              <w:rPr>
                <w:rFonts w:hint="default" w:eastAsia="宋体" w:cs="Times New Roman" w:asciiTheme="minorAscii" w:hAnsiTheme="minorAscii"/>
                <w:b/>
                <w:bCs/>
                <w:color w:val="auto"/>
                <w:sz w:val="24"/>
                <w:szCs w:val="24"/>
                <w:lang w:val="en-US" w:eastAsia="zh-CN" w:bidi="ar-SA"/>
              </w:rPr>
            </w:pPr>
            <w:r>
              <w:rPr>
                <w:rFonts w:hint="eastAsia" w:eastAsia="宋体" w:cs="Times New Roman" w:asciiTheme="minorAscii" w:hAnsiTheme="minorAscii"/>
                <w:b/>
                <w:bCs/>
                <w:color w:val="auto"/>
                <w:sz w:val="24"/>
                <w:szCs w:val="24"/>
                <w:lang w:val="en-US" w:eastAsia="zh-CN" w:bidi="ar-SA"/>
              </w:rPr>
              <w:t>备注：</w:t>
            </w:r>
            <w:r>
              <w:rPr>
                <w:rFonts w:hint="eastAsia" w:cs="Times New Roman"/>
                <w:b/>
                <w:bCs/>
                <w:color w:val="auto"/>
                <w:sz w:val="24"/>
                <w:szCs w:val="24"/>
                <w:lang w:val="en-US" w:eastAsia="zh-CN" w:bidi="ar-SA"/>
              </w:rPr>
              <w:t>每个</w:t>
            </w:r>
            <w:r>
              <w:rPr>
                <w:rFonts w:hint="eastAsia" w:eastAsia="宋体" w:cs="Times New Roman" w:asciiTheme="minorAscii" w:hAnsiTheme="minorAscii"/>
                <w:b/>
                <w:bCs/>
                <w:color w:val="auto"/>
                <w:sz w:val="24"/>
                <w:szCs w:val="24"/>
                <w:lang w:val="en-US" w:eastAsia="zh-CN" w:bidi="ar-SA"/>
              </w:rPr>
              <w:t>供应商演示时间不得超过15分钟</w:t>
            </w:r>
            <w:r>
              <w:rPr>
                <w:rFonts w:hint="eastAsia" w:cs="Times New Roman"/>
                <w:b/>
                <w:bCs/>
                <w:color w:val="auto"/>
                <w:sz w:val="24"/>
                <w:szCs w:val="24"/>
                <w:lang w:val="en-US" w:eastAsia="zh-CN" w:bidi="ar-SA"/>
              </w:rPr>
              <w:t>，</w:t>
            </w:r>
          </w:p>
          <w:p w14:paraId="3354AAA8">
            <w:pPr>
              <w:rPr>
                <w:rFonts w:hint="default"/>
                <w:lang w:val="en-US" w:eastAsia="zh-CN"/>
              </w:rPr>
            </w:pPr>
            <w:r>
              <w:rPr>
                <w:rFonts w:hint="eastAsia"/>
                <w:b/>
                <w:bCs/>
                <w:color w:val="auto"/>
                <w:lang w:val="en-US" w:eastAsia="zh-CN"/>
              </w:rPr>
              <w:t>供应商未在腾讯会议签到视为放弃演示环节，由于供应商的网络等问题演示不了结果自负。</w:t>
            </w:r>
          </w:p>
        </w:tc>
      </w:tr>
    </w:tbl>
    <w:p w14:paraId="2B02C03E">
      <w:pPr>
        <w:spacing w:line="560" w:lineRule="exact"/>
        <w:ind w:firstLine="560" w:firstLineChars="200"/>
        <w:jc w:val="both"/>
        <w:rPr>
          <w:rFonts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br w:type="page"/>
      </w:r>
    </w:p>
    <w:p w14:paraId="2944CB8F">
      <w:pPr>
        <w:pStyle w:val="4"/>
        <w:bidi w:val="0"/>
        <w:rPr>
          <w:rFonts w:hint="eastAsia"/>
        </w:rPr>
      </w:pPr>
      <w:bookmarkStart w:id="14" w:name="_Toc6200"/>
      <w:r>
        <w:rPr>
          <w:rFonts w:hint="eastAsia"/>
        </w:rPr>
        <w:t>一、有关定义</w:t>
      </w:r>
      <w:bookmarkEnd w:id="14"/>
    </w:p>
    <w:p w14:paraId="6FAB5498">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1．采购人：依法进行政府采购的西安市市级机关、事业单位或团体组织。</w:t>
      </w:r>
    </w:p>
    <w:p w14:paraId="7E450B1A">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2．供应商：指向采购人提供货物、工程或者服务的法人、其他组织或者自然人。</w:t>
      </w:r>
    </w:p>
    <w:p w14:paraId="488D37C2">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3．同级政府采购监管部门：西安市财政局政府采购管理处。</w:t>
      </w:r>
    </w:p>
    <w:p w14:paraId="79EB48AF">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4．西安市公共资源交易平台：即【全国公共资源交易平台（陕西省·西安市）】的简称，官网地址</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"http://sxggzyjy.xa.gov.cn/" </w:instrText>
      </w:r>
      <w:r>
        <w:rPr>
          <w:rFonts w:hint="eastAsia" w:ascii="宋体" w:hAnsi="宋体" w:eastAsia="宋体" w:cs="宋体"/>
          <w:sz w:val="24"/>
          <w:szCs w:val="24"/>
          <w:highlight w:val="none"/>
        </w:rPr>
        <w:fldChar w:fldCharType="separate"/>
      </w:r>
      <w:r>
        <w:rPr>
          <w:rStyle w:val="42"/>
          <w:rFonts w:hint="eastAsia" w:ascii="宋体" w:hAnsi="宋体" w:eastAsia="宋体" w:cs="宋体"/>
          <w:color w:val="000000" w:themeColor="text1"/>
          <w:sz w:val="24"/>
          <w:szCs w:val="24"/>
          <w:highlight w:val="none"/>
          <w:u w:val="none"/>
          <w14:textFill>
            <w14:solidFill>
              <w14:schemeClr w14:val="tx1"/>
            </w14:solidFill>
          </w14:textFill>
        </w:rPr>
        <w:t>http://sxggzyjy.xa.gov.cn/</w:t>
      </w:r>
      <w:r>
        <w:rPr>
          <w:rStyle w:val="42"/>
          <w:rFonts w:hint="eastAsia" w:ascii="宋体" w:hAnsi="宋体" w:eastAsia="宋体" w:cs="宋体"/>
          <w:color w:val="000000" w:themeColor="text1"/>
          <w:sz w:val="24"/>
          <w:szCs w:val="24"/>
          <w:highlight w:val="none"/>
          <w:u w:val="none"/>
          <w14:textFill>
            <w14:solidFill>
              <w14:schemeClr w14:val="tx1"/>
            </w14:solidFill>
          </w14:textFill>
        </w:rPr>
        <w:fldChar w:fldCharType="end"/>
      </w:r>
      <w:r>
        <w:rPr>
          <w:rFonts w:hint="eastAsia" w:ascii="宋体" w:hAnsi="宋体" w:eastAsia="宋体" w:cs="宋体"/>
          <w:color w:val="000000" w:themeColor="text1"/>
          <w:sz w:val="24"/>
          <w:szCs w:val="24"/>
          <w:highlight w:val="none"/>
          <w14:textFill>
            <w14:solidFill>
              <w14:schemeClr w14:val="tx1"/>
            </w14:solidFill>
          </w14:textFill>
        </w:rPr>
        <w:t>。</w:t>
      </w:r>
    </w:p>
    <w:p w14:paraId="75CAC6A2">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5．企业端：指西安市公共资源交易平台〖首页·〉电子交易平台·〉陕西政府采购交易系统·〉企业端〗，快捷登录网址</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"http://www.sxggzyjy.cn:9002/TPBidder/memberLogin" </w:instrText>
      </w:r>
      <w:r>
        <w:rPr>
          <w:rFonts w:hint="eastAsia" w:ascii="宋体" w:hAnsi="宋体" w:eastAsia="宋体" w:cs="宋体"/>
          <w:sz w:val="24"/>
          <w:szCs w:val="24"/>
          <w:highlight w:val="none"/>
        </w:rPr>
        <w:fldChar w:fldCharType="separate"/>
      </w:r>
      <w:r>
        <w:rPr>
          <w:rStyle w:val="42"/>
          <w:rFonts w:hint="eastAsia" w:ascii="宋体" w:hAnsi="宋体" w:eastAsia="宋体" w:cs="宋体"/>
          <w:color w:val="000000" w:themeColor="text1"/>
          <w:sz w:val="24"/>
          <w:szCs w:val="24"/>
          <w:highlight w:val="none"/>
          <w:u w:val="none"/>
          <w14:textFill>
            <w14:solidFill>
              <w14:schemeClr w14:val="tx1"/>
            </w14:solidFill>
          </w14:textFill>
        </w:rPr>
        <w:t>http://www.sxggzyjy.cn:9002/TPBidder/memberLogin</w:t>
      </w:r>
      <w:r>
        <w:rPr>
          <w:rStyle w:val="42"/>
          <w:rFonts w:hint="eastAsia" w:ascii="宋体" w:hAnsi="宋体" w:eastAsia="宋体" w:cs="宋体"/>
          <w:color w:val="000000" w:themeColor="text1"/>
          <w:sz w:val="24"/>
          <w:szCs w:val="24"/>
          <w:highlight w:val="none"/>
          <w:u w:val="none"/>
          <w14:textFill>
            <w14:solidFill>
              <w14:schemeClr w14:val="tx1"/>
            </w14:solidFill>
          </w14:textFill>
        </w:rPr>
        <w:fldChar w:fldCharType="end"/>
      </w:r>
      <w:r>
        <w:rPr>
          <w:rFonts w:hint="eastAsia" w:ascii="宋体" w:hAnsi="宋体" w:eastAsia="宋体" w:cs="宋体"/>
          <w:color w:val="000000" w:themeColor="text1"/>
          <w:sz w:val="24"/>
          <w:szCs w:val="24"/>
          <w:highlight w:val="none"/>
          <w14:textFill>
            <w14:solidFill>
              <w14:schemeClr w14:val="tx1"/>
            </w14:solidFill>
          </w14:textFill>
        </w:rPr>
        <w:t>。</w:t>
      </w:r>
    </w:p>
    <w:p w14:paraId="0B9B770A">
      <w:pPr>
        <w:pStyle w:val="4"/>
        <w:bidi w:val="0"/>
        <w:rPr>
          <w:rFonts w:hint="eastAsia"/>
        </w:rPr>
      </w:pPr>
      <w:bookmarkStart w:id="15" w:name="_Toc23322"/>
      <w:r>
        <w:rPr>
          <w:rFonts w:hint="eastAsia"/>
        </w:rPr>
        <w:t>二、供应商注意事项</w:t>
      </w:r>
      <w:bookmarkEnd w:id="15"/>
    </w:p>
    <w:p w14:paraId="7DE16F67">
      <w:pPr>
        <w:pStyle w:val="108"/>
        <w:spacing w:before="120" w:after="120"/>
        <w:ind w:firstLine="562"/>
        <w:outlineLvl w:val="3"/>
        <w:rPr>
          <w:rFonts w:hint="eastAsia" w:ascii="宋体" w:hAnsi="宋体" w:eastAsia="宋体" w:cs="宋体"/>
          <w:color w:val="000000" w:themeColor="text1"/>
          <w:sz w:val="24"/>
          <w:szCs w:val="24"/>
          <w:highlight w:val="none"/>
          <w14:textFill>
            <w14:solidFill>
              <w14:schemeClr w14:val="tx1"/>
            </w14:solidFill>
          </w14:textFill>
        </w:rPr>
      </w:pPr>
      <w:bookmarkStart w:id="16" w:name="_Toc14756"/>
      <w:bookmarkStart w:id="17" w:name="_Toc30137"/>
      <w:bookmarkStart w:id="18" w:name="_Toc8868"/>
      <w:bookmarkStart w:id="19" w:name="_Toc20407"/>
      <w:r>
        <w:rPr>
          <w:rFonts w:hint="eastAsia" w:ascii="宋体" w:hAnsi="宋体" w:eastAsia="宋体" w:cs="宋体"/>
          <w:color w:val="000000" w:themeColor="text1"/>
          <w:sz w:val="24"/>
          <w:szCs w:val="24"/>
          <w:highlight w:val="none"/>
          <w14:textFill>
            <w14:solidFill>
              <w14:schemeClr w14:val="tx1"/>
            </w14:solidFill>
          </w14:textFill>
        </w:rPr>
        <w:t>（一）供应商投标流程</w:t>
      </w:r>
      <w:bookmarkEnd w:id="16"/>
      <w:bookmarkEnd w:id="17"/>
      <w:bookmarkEnd w:id="18"/>
      <w:bookmarkEnd w:id="19"/>
    </w:p>
    <w:p w14:paraId="49487DBD">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使用电子交易系统的采购项目（即线上项目），将同时提供WORD\PDF格式（仅用于预览）和SXSZF格式（用于制作电子投标文件）两个版本，文件内容一致。</w:t>
      </w:r>
    </w:p>
    <w:p w14:paraId="4BD4F0B0">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1．预览采购文件：打开西安市公共资源交易平台〖首页·〉交易大厅·〉政府采购〗栏目，下载和阅读本项目采购文件的预览版本（WORD\PDF格式）。</w:t>
      </w:r>
    </w:p>
    <w:p w14:paraId="79123859">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2．办理注册登记（针对初次使用电子交易系统的用户）：</w:t>
      </w:r>
    </w:p>
    <w:p w14:paraId="43726729">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（1）办理诚信入库注册：在决定参加本项目采购活动后，供应商应先在西安市公共资源交易平台上完成“诚信入库登记”。</w:t>
      </w:r>
    </w:p>
    <w:p w14:paraId="14BFFD2A">
      <w:pPr>
        <w:keepNext w:val="0"/>
        <w:keepLines w:val="0"/>
        <w:pageBreakBefore w:val="0"/>
        <w:widowControl w:val="0"/>
        <w:kinsoku/>
        <w:wordWrap w:val="0"/>
        <w:overflowPunct/>
        <w:topLinePunct/>
        <w:autoSpaceDE/>
        <w:autoSpaceDN/>
        <w:bidi w:val="0"/>
        <w:adjustRightInd/>
        <w:snapToGrid/>
        <w:spacing w:line="560" w:lineRule="exact"/>
        <w:ind w:firstLine="480" w:firstLineChars="200"/>
        <w:jc w:val="both"/>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办理数字认证（CA锁）：办理数字认证（CA锁）：电子交易平台现已接入陕西CA、深圳CA、西部CA、北京CA四家数字证书公司，各供应商在交易过程中登录系统、加密/解密投标文件、文件签章等均可使用上述四家CA公司签发的数字证书。办理须知及所需资料详见：http://www.sxggzyjy.cn/fwzn/004003/20220701/6972fe02-f996-4928-951e-545dab02e53c.html</w:t>
      </w:r>
    </w:p>
    <w:p w14:paraId="51F0AA97">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（3）绑定和激活CA：将数字证书与诚信库中的供应商账户进行绑定。</w:t>
      </w:r>
    </w:p>
    <w:p w14:paraId="5570122B">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下载电子招标文件：供应商应登录西安市公共资源交易平台〖首页·〉电子交易平台·〉陕西政府采购交易系统·〉企业端〗，在〖招标公告/出让公告〗模块中预览全部可供参与的项目，然后选择有意向的项目点击〖我要投标〗，成功后切换到〖我的项目〗模块，依次点选〖项目流程·〉项目管理·〉交易文件下载〗免费获取本项目电子招标文件（*.SXSZF）。请务必在采购文件获取期限内及时下载电子招标文件并做好备份，逾期无法再下载！</w:t>
      </w:r>
    </w:p>
    <w:p w14:paraId="4E01ED50">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4．制作电子投标文件：需要使用专用制作软件“新点投标文件制作软件（陕西公共资源）”进行编制，编制完成后使用CA锁对电子投标文件进行签章、加密。详见本章中的“投标文件”相关内容。</w:t>
      </w:r>
    </w:p>
    <w:p w14:paraId="4817CB19">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5．提交电子投标文件：在提交投标文件截止时间前及时提交加密后电子投标文件，逾期提交的，系统将会拒收。</w:t>
      </w:r>
    </w:p>
    <w:p w14:paraId="037CB2AC">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在线参加开标大会：开标当日，供应商法定代表人或其授权代表需提前登录“不见面开标”系统，收到主持人“开始解密”指令后，使用CA锁（必须与加密文件时的CA锁为同一把锁）在线对电子投标文件进行解密。采用“不见面开标”系统后，供应商无需到达开标现场，即可在线参与整个开标过程。相关技术问题，请咨询软件开发商。</w:t>
      </w:r>
    </w:p>
    <w:p w14:paraId="2B1D6F72">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7．等待专家评审：评审期间，可能需要对评审专家提出的问题进行澄清或答复。在主持人宣布评审结束前，供应商请勿擅自离席，否则由此造成的不利后果，由供应商自行承担。</w:t>
      </w:r>
    </w:p>
    <w:p w14:paraId="7B6219ED">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8．中标供应商注册：按照陕西省政府采购监管部门的要求，采购代理机构在发布中标公告前，应由中标供应商在陕西省政府采购网上完成注册。</w:t>
      </w:r>
    </w:p>
    <w:p w14:paraId="07F3E749">
      <w:pPr>
        <w:pStyle w:val="108"/>
        <w:spacing w:before="120" w:after="120"/>
        <w:ind w:firstLine="562"/>
        <w:outlineLvl w:val="3"/>
        <w:rPr>
          <w:rFonts w:hint="eastAsia" w:ascii="宋体" w:hAnsi="宋体" w:eastAsia="宋体" w:cs="宋体"/>
          <w:color w:val="000000" w:themeColor="text1"/>
          <w:sz w:val="24"/>
          <w:szCs w:val="24"/>
          <w:highlight w:val="none"/>
          <w14:textFill>
            <w14:solidFill>
              <w14:schemeClr w14:val="tx1"/>
            </w14:solidFill>
          </w14:textFill>
        </w:rPr>
      </w:pPr>
      <w:bookmarkStart w:id="20" w:name="_Toc6459"/>
      <w:bookmarkStart w:id="21" w:name="_Toc2759"/>
      <w:bookmarkStart w:id="22" w:name="_Toc24461"/>
      <w:bookmarkStart w:id="23" w:name="_Toc5831"/>
      <w:r>
        <w:rPr>
          <w:rFonts w:hint="eastAsia" w:ascii="宋体" w:hAnsi="宋体" w:eastAsia="宋体" w:cs="宋体"/>
          <w:color w:val="000000" w:themeColor="text1"/>
          <w:sz w:val="24"/>
          <w:szCs w:val="24"/>
          <w:highlight w:val="none"/>
          <w14:textFill>
            <w14:solidFill>
              <w14:schemeClr w14:val="tx1"/>
            </w14:solidFill>
          </w14:textFill>
        </w:rPr>
        <w:t>（二）关于询问、质疑和投诉</w:t>
      </w:r>
      <w:bookmarkEnd w:id="20"/>
      <w:bookmarkEnd w:id="21"/>
      <w:bookmarkEnd w:id="22"/>
      <w:bookmarkEnd w:id="23"/>
    </w:p>
    <w:p w14:paraId="7A913688">
      <w:pPr>
        <w:pStyle w:val="107"/>
        <w:outlineLvl w:val="9"/>
        <w:rPr>
          <w:rFonts w:hint="eastAsia" w:ascii="宋体" w:hAnsi="宋体" w:eastAsia="宋体" w:cs="宋体"/>
          <w:color w:val="000000" w:themeColor="text1"/>
          <w:sz w:val="24"/>
          <w:szCs w:val="24"/>
          <w:highlight w:val="none"/>
          <w14:textFill>
            <w14:solidFill>
              <w14:schemeClr w14:val="tx1"/>
            </w14:solidFill>
          </w14:textFill>
        </w:rPr>
      </w:pPr>
      <w:bookmarkStart w:id="24" w:name="_Toc4510"/>
      <w:bookmarkStart w:id="25" w:name="_Toc15516"/>
      <w:bookmarkStart w:id="26" w:name="_Toc15623"/>
      <w:r>
        <w:rPr>
          <w:rFonts w:hint="eastAsia" w:ascii="宋体" w:hAnsi="宋体" w:eastAsia="宋体" w:cs="宋体"/>
          <w:color w:val="000000" w:themeColor="text1"/>
          <w:sz w:val="24"/>
          <w:szCs w:val="24"/>
          <w:highlight w:val="none"/>
          <w14:textFill>
            <w14:solidFill>
              <w14:schemeClr w14:val="tx1"/>
            </w14:solidFill>
          </w14:textFill>
        </w:rPr>
        <w:t>1．询问</w:t>
      </w:r>
      <w:bookmarkEnd w:id="24"/>
      <w:bookmarkEnd w:id="25"/>
      <w:bookmarkEnd w:id="26"/>
    </w:p>
    <w:p w14:paraId="67E0DA23">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供应商对政府采购活动事项有疑问的，可以向采购人或采购代理机构提出询问。采购人或采购代理机构将在3个工作日内对供应商依法提出的询问作出答复。</w:t>
      </w:r>
    </w:p>
    <w:p w14:paraId="163F08A2">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根据采购人和采购代理机构签订的《政府采购委托代理协议》，针对采购需求（包括采购内容、技术或服务要求、商务要求、合同条款、供应商资格条件、评审要素及分值一览表）的询问请向采购人提出。</w:t>
      </w:r>
    </w:p>
    <w:p w14:paraId="66269AD7">
      <w:pPr>
        <w:pStyle w:val="107"/>
        <w:outlineLvl w:val="9"/>
        <w:rPr>
          <w:rFonts w:hint="eastAsia" w:ascii="宋体" w:hAnsi="宋体" w:eastAsia="宋体" w:cs="宋体"/>
          <w:color w:val="000000" w:themeColor="text1"/>
          <w:sz w:val="24"/>
          <w:szCs w:val="24"/>
          <w:highlight w:val="none"/>
          <w14:textFill>
            <w14:solidFill>
              <w14:schemeClr w14:val="tx1"/>
            </w14:solidFill>
          </w14:textFill>
        </w:rPr>
      </w:pPr>
      <w:bookmarkStart w:id="27" w:name="_Toc11611"/>
      <w:bookmarkStart w:id="28" w:name="_Toc11622"/>
      <w:bookmarkStart w:id="29" w:name="_Toc31375"/>
      <w:r>
        <w:rPr>
          <w:rFonts w:hint="eastAsia" w:ascii="宋体" w:hAnsi="宋体" w:eastAsia="宋体" w:cs="宋体"/>
          <w:color w:val="000000" w:themeColor="text1"/>
          <w:sz w:val="24"/>
          <w:szCs w:val="24"/>
          <w:highlight w:val="none"/>
          <w14:textFill>
            <w14:solidFill>
              <w14:schemeClr w14:val="tx1"/>
            </w14:solidFill>
          </w14:textFill>
        </w:rPr>
        <w:t>2．质疑</w:t>
      </w:r>
      <w:bookmarkEnd w:id="27"/>
      <w:bookmarkEnd w:id="28"/>
      <w:bookmarkEnd w:id="29"/>
    </w:p>
    <w:p w14:paraId="342C7D22">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（1）供应商认为采购文件、采购过程、成交结果使自己的权益受到损害的，可以在知道或应知其权益受到损害之日起7个工作日内以书面形式向采购人、采购代理机构提出。</w:t>
      </w:r>
    </w:p>
    <w:p w14:paraId="7105D643">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（2）质疑方式：</w:t>
      </w:r>
    </w:p>
    <w:p w14:paraId="609A13B9">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① 在线质疑：</w:t>
      </w:r>
    </w:p>
    <w:p w14:paraId="520DF45C">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登录西安市公共资源交易平台〖首页·〉电子交易平台·〉企业端〗，在〖我的项目〗中点击“项目流程·〉提出质疑”，填写表单并提交质疑。</w:t>
      </w:r>
    </w:p>
    <w:p w14:paraId="3A7BA601">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② 书面质疑：</w:t>
      </w:r>
    </w:p>
    <w:p w14:paraId="671FCB73">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书面质疑函应按照财政部国库司制定的《政府采购供应商质疑函范本》（见下方链接）进行填写，签字、盖章后提交至采购人、采购代理机构。</w:t>
      </w:r>
    </w:p>
    <w:p w14:paraId="0E0B688A">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质疑函范本地址：</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"http://download.ccgp.gov.cn/2018/zhiyihanfanben.zip" </w:instrText>
      </w:r>
      <w:r>
        <w:rPr>
          <w:rFonts w:hint="eastAsia" w:ascii="宋体" w:hAnsi="宋体" w:eastAsia="宋体" w:cs="宋体"/>
          <w:sz w:val="24"/>
          <w:szCs w:val="24"/>
          <w:highlight w:val="none"/>
        </w:rPr>
        <w:fldChar w:fldCharType="separate"/>
      </w:r>
      <w:r>
        <w:rPr>
          <w:rStyle w:val="42"/>
          <w:rFonts w:hint="eastAsia" w:ascii="宋体" w:hAnsi="宋体" w:eastAsia="宋体" w:cs="宋体"/>
          <w:color w:val="000000" w:themeColor="text1"/>
          <w:sz w:val="24"/>
          <w:szCs w:val="24"/>
          <w:highlight w:val="none"/>
          <w:u w:val="none"/>
          <w14:textFill>
            <w14:solidFill>
              <w14:schemeClr w14:val="tx1"/>
            </w14:solidFill>
          </w14:textFill>
        </w:rPr>
        <w:t>http://download.ccgp.gov.cn/2018/zhiyihanfanben.zip</w:t>
      </w:r>
      <w:r>
        <w:rPr>
          <w:rStyle w:val="42"/>
          <w:rFonts w:hint="eastAsia" w:ascii="宋体" w:hAnsi="宋体" w:eastAsia="宋体" w:cs="宋体"/>
          <w:color w:val="000000" w:themeColor="text1"/>
          <w:sz w:val="24"/>
          <w:szCs w:val="24"/>
          <w:highlight w:val="none"/>
          <w:u w:val="none"/>
          <w14:textFill>
            <w14:solidFill>
              <w14:schemeClr w14:val="tx1"/>
            </w14:solidFill>
          </w14:textFill>
        </w:rPr>
        <w:fldChar w:fldCharType="end"/>
      </w:r>
    </w:p>
    <w:p w14:paraId="609AF268">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供应商为自然人的，应当由本人签字。供应商为法人或者其他组织的，应当由法定代表人、主要负责人，或者其授权代表签字或者盖章，并加盖单位公章，公章不得以合同章或其他印章代替。供应商委托代理人提出质疑的，应当同时提交供应商签署的授权委托书。</w:t>
      </w:r>
    </w:p>
    <w:p w14:paraId="3F647485">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（4）在法定质疑期内，针对同一采购程序环节的质疑应当一次性提出。采购人、采购代理机构将在收到书面质疑后7个工作日内做出答复，并以书面形式通知质疑人和其他有关供应商。</w:t>
      </w:r>
    </w:p>
    <w:p w14:paraId="1705D8E8">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（5）有下列情形之一的，属于无效质疑：</w:t>
      </w:r>
    </w:p>
    <w:p w14:paraId="10A166B4">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① 对采购文件提出质疑的质疑人不是依法获取采购文件的潜在供应商。对采购过程、中标结果提出质疑的质疑人不是参与本次政府采购项目的供应商。</w:t>
      </w:r>
    </w:p>
    <w:p w14:paraId="1F74BE62">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② 超过法定期限或未以书面形式提出的。</w:t>
      </w:r>
    </w:p>
    <w:p w14:paraId="15510FAA">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③ 缺乏必要的证明材料，或捏造事实、提供虚假材料，或以非法手段取得证明材料的。</w:t>
      </w:r>
    </w:p>
    <w:p w14:paraId="720757F1">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④ 质疑函没有合法有效的签字、盖章或委托授权书的（代理人提出质疑和投诉，应当提交供应商签署的授权委托书）。</w:t>
      </w:r>
    </w:p>
    <w:p w14:paraId="35BBD5EC">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⑤ 针对同一采购程序环节又提出其他质疑事项的，或质疑答复后就同一事项再次提出质疑的。</w:t>
      </w:r>
    </w:p>
    <w:p w14:paraId="37736877">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⑥ 不符合法律、法规、规章和政府采购监管机构规定的其他条件的。</w:t>
      </w:r>
    </w:p>
    <w:p w14:paraId="75BECE65">
      <w:pPr>
        <w:pStyle w:val="107"/>
        <w:outlineLvl w:val="9"/>
        <w:rPr>
          <w:rFonts w:hint="eastAsia" w:ascii="宋体" w:hAnsi="宋体" w:eastAsia="宋体" w:cs="宋体"/>
          <w:color w:val="000000" w:themeColor="text1"/>
          <w:sz w:val="24"/>
          <w:szCs w:val="24"/>
          <w:highlight w:val="none"/>
          <w14:textFill>
            <w14:solidFill>
              <w14:schemeClr w14:val="tx1"/>
            </w14:solidFill>
          </w14:textFill>
        </w:rPr>
      </w:pPr>
      <w:bookmarkStart w:id="30" w:name="_Toc20429"/>
      <w:bookmarkStart w:id="31" w:name="_Toc19223"/>
      <w:bookmarkStart w:id="32" w:name="_Toc29985"/>
      <w:r>
        <w:rPr>
          <w:rFonts w:hint="eastAsia" w:ascii="宋体" w:hAnsi="宋体" w:eastAsia="宋体" w:cs="宋体"/>
          <w:color w:val="000000" w:themeColor="text1"/>
          <w:sz w:val="24"/>
          <w:szCs w:val="24"/>
          <w:highlight w:val="none"/>
          <w14:textFill>
            <w14:solidFill>
              <w14:schemeClr w14:val="tx1"/>
            </w14:solidFill>
          </w14:textFill>
        </w:rPr>
        <w:t>3．投诉</w:t>
      </w:r>
      <w:bookmarkEnd w:id="30"/>
      <w:bookmarkEnd w:id="31"/>
      <w:bookmarkEnd w:id="32"/>
    </w:p>
    <w:p w14:paraId="4C5423D1">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质疑供应商对采购人、采购代理机构的答复不满意，或者采购人、采购代理机构未在规定的时间内做出答复的，可以在答复期满后15个工作日内按照《政府采购质疑和投诉办法》（财政部94号令）相关规定向西安市财政局政府采购管理处提出投诉。</w:t>
      </w:r>
    </w:p>
    <w:p w14:paraId="67CF2690">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（2）供应商投诉的事项不得超出已质疑事项的范围。供应商提出投诉时，应当提交投诉书和必要的证明材料，并按财政部《投诉书范本》给定的格式进行填写。</w:t>
      </w:r>
    </w:p>
    <w:p w14:paraId="299430AC">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投诉书范本地址：</w:t>
      </w:r>
    </w:p>
    <w:p w14:paraId="1134595D">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"http://download.ccgp.gov.cn/2018/tousushufanben.zip" </w:instrText>
      </w:r>
      <w:r>
        <w:rPr>
          <w:rFonts w:hint="eastAsia" w:ascii="宋体" w:hAnsi="宋体" w:eastAsia="宋体" w:cs="宋体"/>
          <w:sz w:val="24"/>
          <w:szCs w:val="24"/>
          <w:highlight w:val="none"/>
        </w:rPr>
        <w:fldChar w:fldCharType="separate"/>
      </w:r>
      <w:r>
        <w:rPr>
          <w:rStyle w:val="42"/>
          <w:rFonts w:hint="eastAsia" w:ascii="宋体" w:hAnsi="宋体" w:eastAsia="宋体" w:cs="宋体"/>
          <w:color w:val="000000" w:themeColor="text1"/>
          <w:sz w:val="24"/>
          <w:szCs w:val="24"/>
          <w:highlight w:val="none"/>
          <w14:textFill>
            <w14:solidFill>
              <w14:schemeClr w14:val="tx1"/>
            </w14:solidFill>
          </w14:textFill>
        </w:rPr>
        <w:t>http://download.ccgp.gov.cn/2018/tousushufanben.zip</w:t>
      </w:r>
      <w:r>
        <w:rPr>
          <w:rStyle w:val="42"/>
          <w:rFonts w:hint="eastAsia" w:ascii="宋体" w:hAnsi="宋体" w:eastAsia="宋体" w:cs="宋体"/>
          <w:color w:val="000000" w:themeColor="text1"/>
          <w:sz w:val="24"/>
          <w:szCs w:val="24"/>
          <w:highlight w:val="none"/>
          <w14:textFill>
            <w14:solidFill>
              <w14:schemeClr w14:val="tx1"/>
            </w14:solidFill>
          </w14:textFill>
        </w:rPr>
        <w:fldChar w:fldCharType="end"/>
      </w:r>
    </w:p>
    <w:p w14:paraId="7D4E0955">
      <w:pPr>
        <w:pStyle w:val="107"/>
        <w:outlineLvl w:val="9"/>
        <w:rPr>
          <w:rFonts w:hint="eastAsia" w:ascii="宋体" w:hAnsi="宋体" w:eastAsia="宋体" w:cs="宋体"/>
          <w:color w:val="000000" w:themeColor="text1"/>
          <w:sz w:val="24"/>
          <w:szCs w:val="24"/>
          <w:highlight w:val="none"/>
          <w14:textFill>
            <w14:solidFill>
              <w14:schemeClr w14:val="tx1"/>
            </w14:solidFill>
          </w14:textFill>
        </w:rPr>
      </w:pPr>
      <w:bookmarkStart w:id="33" w:name="_Toc4027"/>
      <w:bookmarkStart w:id="34" w:name="_Toc7447"/>
      <w:bookmarkStart w:id="35" w:name="_Toc18052"/>
      <w:r>
        <w:rPr>
          <w:rFonts w:hint="eastAsia" w:ascii="宋体" w:hAnsi="宋体" w:eastAsia="宋体" w:cs="宋体"/>
          <w:color w:val="000000" w:themeColor="text1"/>
          <w:sz w:val="24"/>
          <w:szCs w:val="24"/>
          <w:highlight w:val="none"/>
          <w14:textFill>
            <w14:solidFill>
              <w14:schemeClr w14:val="tx1"/>
            </w14:solidFill>
          </w14:textFill>
        </w:rPr>
        <w:t>4．恶意质疑、投诉的法律后果</w:t>
      </w:r>
      <w:bookmarkEnd w:id="33"/>
      <w:bookmarkEnd w:id="34"/>
      <w:bookmarkEnd w:id="35"/>
    </w:p>
    <w:p w14:paraId="78A09A05">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（1）对捏造事实、提供虚假材料进行质疑、投诉的行为予以严肃处理：</w:t>
      </w:r>
    </w:p>
    <w:p w14:paraId="099FAF9E">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政府采购质疑和投诉办法》（财政部94号令）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w:t>
      </w:r>
    </w:p>
    <w:p w14:paraId="0DC8CEE9">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（2）对捏造事实诬告陷害他人、诽谤他人的法律适用：</w:t>
      </w:r>
    </w:p>
    <w:p w14:paraId="19413C3E">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《中华人民共和国刑法》第243条【诬告陷害罪】捏造事实诬告陷害他人，意图使他人受刑事追究，情节严重的，处三年以下有期徒刑、拘役或者管制。造成严重后果的，处三年以上十年以下有期徒刑。</w:t>
      </w:r>
    </w:p>
    <w:p w14:paraId="7EADD616">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《中华人民共和国刑法》第246条【侮辱罪、诽谤罪】以暴力或者其他方法公然侮辱他人或者捏造事实诽谤他人，情节严重的，处三年以下有期徒刑、拘役、管制或者剥夺政治权利。</w:t>
      </w:r>
    </w:p>
    <w:p w14:paraId="03E0D503">
      <w:pPr>
        <w:pStyle w:val="108"/>
        <w:spacing w:before="120" w:after="120"/>
        <w:ind w:firstLine="562"/>
        <w:outlineLvl w:val="3"/>
        <w:rPr>
          <w:rFonts w:hint="eastAsia" w:ascii="宋体" w:hAnsi="宋体" w:eastAsia="宋体" w:cs="宋体"/>
          <w:color w:val="000000" w:themeColor="text1"/>
          <w:sz w:val="24"/>
          <w:szCs w:val="24"/>
          <w:highlight w:val="none"/>
          <w14:textFill>
            <w14:solidFill>
              <w14:schemeClr w14:val="tx1"/>
            </w14:solidFill>
          </w14:textFill>
        </w:rPr>
      </w:pPr>
      <w:bookmarkStart w:id="36" w:name="_Toc21499"/>
      <w:bookmarkStart w:id="37" w:name="_Toc27472"/>
      <w:bookmarkStart w:id="38" w:name="_Toc30104"/>
      <w:bookmarkStart w:id="39" w:name="_Toc136"/>
      <w:r>
        <w:rPr>
          <w:rFonts w:hint="eastAsia" w:ascii="宋体" w:hAnsi="宋体" w:eastAsia="宋体" w:cs="宋体"/>
          <w:color w:val="000000" w:themeColor="text1"/>
          <w:sz w:val="24"/>
          <w:szCs w:val="24"/>
          <w:highlight w:val="none"/>
          <w14:textFill>
            <w14:solidFill>
              <w14:schemeClr w14:val="tx1"/>
            </w14:solidFill>
          </w14:textFill>
        </w:rPr>
        <w:t>（三）关于保证金</w:t>
      </w:r>
      <w:bookmarkEnd w:id="36"/>
      <w:bookmarkEnd w:id="37"/>
      <w:bookmarkEnd w:id="38"/>
      <w:bookmarkEnd w:id="39"/>
    </w:p>
    <w:p w14:paraId="20104CD0">
      <w:pPr>
        <w:pStyle w:val="107"/>
        <w:outlineLvl w:val="9"/>
        <w:rPr>
          <w:rFonts w:hint="eastAsia" w:ascii="宋体" w:hAnsi="宋体" w:eastAsia="宋体" w:cs="宋体"/>
          <w:color w:val="000000" w:themeColor="text1"/>
          <w:sz w:val="24"/>
          <w:szCs w:val="24"/>
          <w:highlight w:val="none"/>
          <w14:textFill>
            <w14:solidFill>
              <w14:schemeClr w14:val="tx1"/>
            </w14:solidFill>
          </w14:textFill>
        </w:rPr>
      </w:pPr>
      <w:bookmarkStart w:id="40" w:name="_Toc9131"/>
      <w:bookmarkStart w:id="41" w:name="_Toc6123"/>
      <w:bookmarkStart w:id="42" w:name="_Toc16559"/>
      <w:r>
        <w:rPr>
          <w:rFonts w:hint="eastAsia" w:ascii="宋体" w:hAnsi="宋体" w:eastAsia="宋体" w:cs="宋体"/>
          <w:color w:val="000000" w:themeColor="text1"/>
          <w:sz w:val="24"/>
          <w:szCs w:val="24"/>
          <w:highlight w:val="none"/>
          <w14:textFill>
            <w14:solidFill>
              <w14:schemeClr w14:val="tx1"/>
            </w14:solidFill>
          </w14:textFill>
        </w:rPr>
        <w:t>1．西安市政府采购信用担保及信用融资政策</w:t>
      </w:r>
      <w:bookmarkEnd w:id="40"/>
      <w:bookmarkEnd w:id="41"/>
      <w:bookmarkEnd w:id="42"/>
    </w:p>
    <w:p w14:paraId="64141963">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为发挥政府采购促进中小企业发展的政策功能，西安市财政局制定了《西安市政府采购信用担保及信用融资工作实施方案（试行）》（市财发〔2014〕167号，以下简称《实施方案》），为参与西安市市级政府采购项目的供应商提供政府采购信用担保和融资服务。供应商在交纳投标保证金、履约保证金时可自愿选择通过担保函的形式交纳，供应商违约，开具担保函单位承担连带责任。</w:t>
      </w:r>
    </w:p>
    <w:p w14:paraId="2F3901A1">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为发挥政府采购促进中小企业发展的政策功能，进一步做好政府采购信用担保及信用融资相关工作，2015年西安市财政局先后发布了《关于贯彻落实〈西安市政府采购信用担保及信用融资工作实施方案（试行）〉有关事宜的通知》和《关于进一步做好政府采购信用担保及信用融资工作有关事宜的通知》。2017年西安市财政局对合作机构名单进行了调整，详见《2017年西安市政府采购信用担保及信用融资合作机构联系名单》（以下简称合作机构名单）。</w:t>
      </w:r>
    </w:p>
    <w:p w14:paraId="43A1C331">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《实施方案》链接地址：</w:t>
      </w:r>
    </w:p>
    <w:p w14:paraId="7ECDD9AB">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"http://xaczj.xa.gov.cn/zfcg/cgfg/5db90552fd850863a9e4594d.html" </w:instrText>
      </w:r>
      <w:r>
        <w:rPr>
          <w:rFonts w:hint="eastAsia" w:ascii="宋体" w:hAnsi="宋体" w:eastAsia="宋体" w:cs="宋体"/>
          <w:sz w:val="24"/>
          <w:szCs w:val="24"/>
          <w:highlight w:val="none"/>
        </w:rPr>
        <w:fldChar w:fldCharType="separate"/>
      </w:r>
      <w:r>
        <w:rPr>
          <w:rStyle w:val="42"/>
          <w:rFonts w:hint="eastAsia" w:ascii="宋体" w:hAnsi="宋体" w:eastAsia="宋体" w:cs="宋体"/>
          <w:color w:val="000000" w:themeColor="text1"/>
          <w:sz w:val="24"/>
          <w:szCs w:val="24"/>
          <w:highlight w:val="none"/>
          <w:u w:val="none"/>
          <w14:textFill>
            <w14:solidFill>
              <w14:schemeClr w14:val="tx1"/>
            </w14:solidFill>
          </w14:textFill>
        </w:rPr>
        <w:t>http://xaczj.xa.gov.cn/zfcg/cgfg/5db90552fd850863a9e4594d.html</w:t>
      </w:r>
      <w:r>
        <w:rPr>
          <w:rStyle w:val="42"/>
          <w:rFonts w:hint="eastAsia" w:ascii="宋体" w:hAnsi="宋体" w:eastAsia="宋体" w:cs="宋体"/>
          <w:color w:val="000000" w:themeColor="text1"/>
          <w:sz w:val="24"/>
          <w:szCs w:val="24"/>
          <w:highlight w:val="none"/>
          <w:u w:val="none"/>
          <w14:textFill>
            <w14:solidFill>
              <w14:schemeClr w14:val="tx1"/>
            </w14:solidFill>
          </w14:textFill>
        </w:rPr>
        <w:fldChar w:fldCharType="end"/>
      </w:r>
    </w:p>
    <w:p w14:paraId="3A9B1AFC">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《合作机构名单》链接地址：</w:t>
      </w:r>
    </w:p>
    <w:p w14:paraId="0AE687AE">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"http://xaczj.xa.gov.cn/zfcg/cgfg/5db9054565cbd804f69e97e0.html" </w:instrText>
      </w:r>
      <w:r>
        <w:rPr>
          <w:rFonts w:hint="eastAsia" w:ascii="宋体" w:hAnsi="宋体" w:eastAsia="宋体" w:cs="宋体"/>
          <w:sz w:val="24"/>
          <w:szCs w:val="24"/>
          <w:highlight w:val="none"/>
        </w:rPr>
        <w:fldChar w:fldCharType="separate"/>
      </w:r>
      <w:r>
        <w:rPr>
          <w:rStyle w:val="42"/>
          <w:rFonts w:hint="eastAsia" w:ascii="宋体" w:hAnsi="宋体" w:eastAsia="宋体" w:cs="宋体"/>
          <w:color w:val="000000" w:themeColor="text1"/>
          <w:sz w:val="24"/>
          <w:szCs w:val="24"/>
          <w:highlight w:val="none"/>
          <w:u w:val="none"/>
          <w14:textFill>
            <w14:solidFill>
              <w14:schemeClr w14:val="tx1"/>
            </w14:solidFill>
          </w14:textFill>
        </w:rPr>
        <w:t>http://xaczj.xa.gov.cn/zfcg/cgfg/5db9054565cbd804f69e97e0.html</w:t>
      </w:r>
      <w:r>
        <w:rPr>
          <w:rStyle w:val="42"/>
          <w:rFonts w:hint="eastAsia" w:ascii="宋体" w:hAnsi="宋体" w:eastAsia="宋体" w:cs="宋体"/>
          <w:color w:val="000000" w:themeColor="text1"/>
          <w:sz w:val="24"/>
          <w:szCs w:val="24"/>
          <w:highlight w:val="none"/>
          <w:u w:val="none"/>
          <w14:textFill>
            <w14:solidFill>
              <w14:schemeClr w14:val="tx1"/>
            </w14:solidFill>
          </w14:textFill>
        </w:rPr>
        <w:fldChar w:fldCharType="end"/>
      </w:r>
    </w:p>
    <w:p w14:paraId="24DA4F6A">
      <w:pPr>
        <w:pStyle w:val="107"/>
        <w:outlineLvl w:val="9"/>
        <w:rPr>
          <w:rFonts w:hint="eastAsia" w:ascii="宋体" w:hAnsi="宋体" w:eastAsia="宋体" w:cs="宋体"/>
          <w:color w:val="000000" w:themeColor="text1"/>
          <w:sz w:val="24"/>
          <w:szCs w:val="24"/>
          <w:highlight w:val="none"/>
          <w14:textFill>
            <w14:solidFill>
              <w14:schemeClr w14:val="tx1"/>
            </w14:solidFill>
          </w14:textFill>
        </w:rPr>
      </w:pPr>
      <w:bookmarkStart w:id="43" w:name="_Toc629"/>
      <w:bookmarkStart w:id="44" w:name="_Toc20565"/>
      <w:bookmarkStart w:id="45" w:name="_Toc911"/>
      <w:r>
        <w:rPr>
          <w:rFonts w:hint="eastAsia" w:ascii="宋体" w:hAnsi="宋体" w:eastAsia="宋体" w:cs="宋体"/>
          <w:color w:val="000000" w:themeColor="text1"/>
          <w:sz w:val="24"/>
          <w:szCs w:val="24"/>
          <w:highlight w:val="none"/>
          <w14:textFill>
            <w14:solidFill>
              <w14:schemeClr w14:val="tx1"/>
            </w14:solidFill>
          </w14:textFill>
        </w:rPr>
        <w:t>2．投标保证金</w:t>
      </w:r>
      <w:bookmarkEnd w:id="43"/>
      <w:bookmarkEnd w:id="44"/>
      <w:bookmarkEnd w:id="45"/>
    </w:p>
    <w:p w14:paraId="56386607">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按照西安市财政局《关于促进政府采购公平竞争优化营商环境的通知》第三条规定，供应商参与西安市政府采购活动时，免交投标保证金。</w:t>
      </w:r>
    </w:p>
    <w:p w14:paraId="56D0C179">
      <w:pPr>
        <w:pStyle w:val="107"/>
        <w:outlineLvl w:val="9"/>
        <w:rPr>
          <w:rFonts w:hint="eastAsia" w:ascii="宋体" w:hAnsi="宋体" w:eastAsia="宋体" w:cs="宋体"/>
          <w:color w:val="000000" w:themeColor="text1"/>
          <w:sz w:val="24"/>
          <w:szCs w:val="24"/>
          <w:highlight w:val="none"/>
          <w14:textFill>
            <w14:solidFill>
              <w14:schemeClr w14:val="tx1"/>
            </w14:solidFill>
          </w14:textFill>
        </w:rPr>
      </w:pPr>
      <w:bookmarkStart w:id="46" w:name="_Toc15288"/>
      <w:bookmarkStart w:id="47" w:name="_Toc25849"/>
      <w:bookmarkStart w:id="48" w:name="_Toc22998"/>
      <w:r>
        <w:rPr>
          <w:rFonts w:hint="eastAsia" w:ascii="宋体" w:hAnsi="宋体" w:eastAsia="宋体" w:cs="宋体"/>
          <w:color w:val="000000" w:themeColor="text1"/>
          <w:sz w:val="24"/>
          <w:szCs w:val="24"/>
          <w:highlight w:val="none"/>
          <w14:textFill>
            <w14:solidFill>
              <w14:schemeClr w14:val="tx1"/>
            </w14:solidFill>
          </w14:textFill>
        </w:rPr>
        <w:t>3．履约保证金</w:t>
      </w:r>
      <w:bookmarkEnd w:id="46"/>
      <w:bookmarkEnd w:id="47"/>
      <w:bookmarkEnd w:id="48"/>
    </w:p>
    <w:p w14:paraId="0045F2AD">
      <w:pPr>
        <w:spacing w:line="560" w:lineRule="exact"/>
        <w:ind w:firstLine="480" w:firstLineChars="200"/>
        <w:jc w:val="both"/>
        <w:rPr>
          <w:rFonts w:hint="eastAsia" w:ascii="宋体" w:hAnsi="宋体" w:eastAsia="宋体" w:cs="宋体"/>
          <w:color w:val="000000" w:themeColor="text1"/>
          <w:sz w:val="24"/>
          <w:szCs w:val="24"/>
          <w:highlight w:val="none"/>
          <w:lang w:val="en-US" w:eastAsia="zh-CN"/>
          <w14:textFill>
            <w14:solidFill>
              <w14:schemeClr w14:val="tx1"/>
            </w14:solidFill>
          </w14:textFill>
        </w:rPr>
      </w:pPr>
      <w:bookmarkStart w:id="49" w:name="_Toc1911"/>
      <w:bookmarkStart w:id="50" w:name="_Toc12900"/>
      <w:bookmarkStart w:id="51" w:name="_Toc25938"/>
      <w:bookmarkStart w:id="52" w:name="_Toc13221"/>
      <w:r>
        <w:rPr>
          <w:rFonts w:hint="eastAsia" w:ascii="宋体" w:hAnsi="宋体" w:eastAsia="宋体" w:cs="宋体"/>
          <w:color w:val="000000" w:themeColor="text1"/>
          <w:sz w:val="24"/>
          <w:szCs w:val="24"/>
          <w:highlight w:val="none"/>
          <w:lang w:val="en-US" w:eastAsia="zh-CN"/>
          <w14:textFill>
            <w14:solidFill>
              <w14:schemeClr w14:val="tx1"/>
            </w14:solidFill>
          </w14:textFill>
        </w:rPr>
        <w:t>供应商应在领取成交通知书后5个工作日内将履约保证金交至采购方账户，其数额为合同金额的5%，供应商可通过支票、本票、汇票、网上银行支付等非现金形式交纳。项目验收合格后，30日内向供应商无息退还。</w:t>
      </w:r>
    </w:p>
    <w:p w14:paraId="78F5C1BC">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注：履约保证金转账信息</w:t>
      </w:r>
    </w:p>
    <w:p w14:paraId="1DE54182">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名称：西安铁路职业技术学院</w:t>
      </w:r>
    </w:p>
    <w:p w14:paraId="752CF431">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纳税人识别号：12610100437202545W</w:t>
      </w:r>
    </w:p>
    <w:p w14:paraId="77C03381">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地址、电话：西安国际港务区港务大道396号  029-88092</w:t>
      </w:r>
      <w:r>
        <w:rPr>
          <w:rFonts w:hint="eastAsia" w:ascii="宋体" w:hAnsi="宋体" w:eastAsia="宋体" w:cs="宋体"/>
          <w:color w:val="000000" w:themeColor="text1"/>
          <w:sz w:val="24"/>
          <w:szCs w:val="24"/>
          <w:highlight w:val="none"/>
          <w:lang w:val="en-US" w:eastAsia="zh-CN"/>
          <w14:textFill>
            <w14:solidFill>
              <w14:schemeClr w14:val="tx1"/>
            </w14:solidFill>
          </w14:textFill>
        </w:rPr>
        <w:t>203</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23CA5C2E">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开户行及账号：建行西安经济技术开发区支行61001930041052515973</w:t>
      </w:r>
    </w:p>
    <w:p w14:paraId="22A2D3EF">
      <w:pPr>
        <w:spacing w:line="560" w:lineRule="exact"/>
        <w:ind w:firstLine="482" w:firstLineChars="200"/>
        <w:jc w:val="both"/>
        <w:rPr>
          <w:rFonts w:hint="eastAsia" w:ascii="宋体" w:hAnsi="宋体" w:eastAsia="宋体" w:cs="宋体"/>
          <w:b/>
          <w:bCs/>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（四）关于联合体</w:t>
      </w:r>
      <w:bookmarkEnd w:id="49"/>
      <w:bookmarkEnd w:id="50"/>
      <w:bookmarkEnd w:id="51"/>
      <w:bookmarkEnd w:id="52"/>
    </w:p>
    <w:p w14:paraId="2E45DDDF">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招标公告</w:t>
      </w:r>
      <w:r>
        <w:rPr>
          <w:rFonts w:hint="eastAsia" w:ascii="宋体" w:hAnsi="宋体" w:eastAsia="宋体" w:cs="宋体"/>
          <w:color w:val="000000" w:themeColor="text1"/>
          <w:sz w:val="24"/>
          <w:szCs w:val="24"/>
          <w:highlight w:val="none"/>
          <w14:textFill>
            <w14:solidFill>
              <w14:schemeClr w14:val="tx1"/>
            </w14:solidFill>
          </w14:textFill>
        </w:rPr>
        <w:t>中载明“接受联合体”时，两个以上供应商可以组成一个联合体，以一个供应商的身份参与投标。</w:t>
      </w:r>
      <w:r>
        <w:rPr>
          <w:rFonts w:hint="eastAsia" w:ascii="宋体" w:hAnsi="宋体" w:eastAsia="宋体" w:cs="宋体"/>
          <w:color w:val="000000" w:themeColor="text1"/>
          <w:sz w:val="24"/>
          <w:szCs w:val="24"/>
          <w:highlight w:val="none"/>
          <w:lang w:val="en-US" w:eastAsia="zh-CN"/>
          <w14:textFill>
            <w14:solidFill>
              <w14:schemeClr w14:val="tx1"/>
            </w14:solidFill>
          </w14:textFill>
        </w:rPr>
        <w:t>招标公告</w:t>
      </w:r>
      <w:r>
        <w:rPr>
          <w:rFonts w:hint="eastAsia" w:ascii="宋体" w:hAnsi="宋体" w:eastAsia="宋体" w:cs="宋体"/>
          <w:color w:val="000000" w:themeColor="text1"/>
          <w:sz w:val="24"/>
          <w:szCs w:val="24"/>
          <w:highlight w:val="none"/>
          <w14:textFill>
            <w14:solidFill>
              <w14:schemeClr w14:val="tx1"/>
            </w14:solidFill>
          </w14:textFill>
        </w:rPr>
        <w:t>未明确载明“不接受联合体”时，视同接受联合体。采购项目接受联合体时，组成联合体的大中型企业和其他自然人、法人或者其他组织，与小型、微型企业之间不得存在投资关系的。</w:t>
      </w:r>
    </w:p>
    <w:p w14:paraId="2A0ED4FE">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联合体各方之间应当签订《联合体协议书》，明确约定联合体各方承担的工作和相应的责任。联合体协议签订后，联合体各方不得再单独参加或者与其他供应商另外组成联合体参加同一合同项下的政府采购活动。</w:t>
      </w:r>
    </w:p>
    <w:p w14:paraId="74526B2D">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．供应商以联合体形式参加政府采购活动时，遵循以下规则：</w:t>
      </w:r>
    </w:p>
    <w:p w14:paraId="395189F0">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① 联合体各方均应当具备</w:t>
      </w:r>
      <w:r>
        <w:rPr>
          <w:rFonts w:hint="eastAsia" w:ascii="宋体" w:hAnsi="宋体" w:eastAsia="宋体" w:cs="宋体"/>
          <w:color w:val="000000" w:themeColor="text1"/>
          <w:sz w:val="24"/>
          <w:szCs w:val="24"/>
          <w:highlight w:val="none"/>
          <w:lang w:val="en-US" w:eastAsia="zh-CN"/>
          <w14:textFill>
            <w14:solidFill>
              <w14:schemeClr w14:val="tx1"/>
            </w14:solidFill>
          </w14:textFill>
        </w:rPr>
        <w:t>招标公告</w:t>
      </w:r>
      <w:r>
        <w:rPr>
          <w:rFonts w:hint="eastAsia" w:ascii="宋体" w:hAnsi="宋体" w:eastAsia="宋体" w:cs="宋体"/>
          <w:color w:val="000000" w:themeColor="text1"/>
          <w:sz w:val="24"/>
          <w:szCs w:val="24"/>
          <w:highlight w:val="none"/>
          <w14:textFill>
            <w14:solidFill>
              <w14:schemeClr w14:val="tx1"/>
            </w14:solidFill>
          </w14:textFill>
        </w:rPr>
        <w:t>中基本资格要求。《法定代表人委托授权书》由联合体牵头人的法定代表人（法人单位）或负责人（非法人单位）代表联合体各方进行签字、盖章，并对联合体各方负责。</w:t>
      </w:r>
    </w:p>
    <w:p w14:paraId="3AEEBA3D">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② 采购人根据采购项目的特殊要求规定供应商特定条件的，联合体各方中至少应当有一方符合采购人规定的特定条件。联合体中有同类资质的供应商按照联合体分工承担相同工作的，应当按照资质等级较低的供应商确定资质等级。</w:t>
      </w:r>
    </w:p>
    <w:p w14:paraId="232D62B0">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③ 采用资格前审的项目，联合体应当在提交资格前审申请文件前组成。资格前审后联合体不得增减、更换成员。</w:t>
      </w:r>
    </w:p>
    <w:p w14:paraId="42BD9ED2">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④ 资格审查阶段，采购人将对所有联合体成员进行信用记录查询，联合体成员存在不良信用记录的，视同联合体存在不良信用记录。</w:t>
      </w:r>
    </w:p>
    <w:p w14:paraId="62C125BC">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⑤ 招标文件要求供应商交纳保证金的，可以由联合体中的一方或者多方共同交纳保证金，其交纳的保证金对联合体各方均具有约束力。</w:t>
      </w:r>
    </w:p>
    <w:p w14:paraId="1C6B90AD">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⑥ 招标文件要求供应商提供履约人员和设备情况的，联合体各方均应提供，以说明其作为独立供应商所具有的能有效执行合同的能力和资源。</w:t>
      </w:r>
    </w:p>
    <w:p w14:paraId="7874E0FB">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⑦ 招标文件要求供应商提供同类或类似项目业绩的，联合体各方符合招标文件要求的同类或类似业绩可以累计，但联合体一方或多方共同参与的同一业绩不重复计算。</w:t>
      </w:r>
    </w:p>
    <w:p w14:paraId="5C50E538">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⑧ 投标文件中需要供应商盖章之处，联合体牵头人加盖公章即可。除联合体协议必须由各方共同签署外，投标文件中要求由法定代表人签字、盖章之处，由联合体牵头人的法定代表人（法人单位）或负责人（非法人单位）代表联合体各方进行签字、盖章，并对联合体各方负责。</w:t>
      </w:r>
    </w:p>
    <w:p w14:paraId="58D0ACD7">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⑨ 对采购项目提出投诉时，应当由组成联合体的所有供应商共同提出。</w:t>
      </w:r>
    </w:p>
    <w:p w14:paraId="7AE400DC">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（5）联合体出现下列情形之一的，联合体投标无效：</w:t>
      </w:r>
    </w:p>
    <w:p w14:paraId="75094CE0">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① 没有提交有效的联合体协议的。</w:t>
      </w:r>
    </w:p>
    <w:p w14:paraId="07221B17">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② 组成联合体的大中型企业和其他自然人、法人或者其他组织，与小型、微型企业之间存在投资关系的。</w:t>
      </w:r>
    </w:p>
    <w:p w14:paraId="3FAAA9F1">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③ 联合体协议签订后，联合体成员单独参加或者与其他供应商另外组成联合体参加同一合同项下的政府采购活动的。</w:t>
      </w:r>
    </w:p>
    <w:p w14:paraId="3F3C3B41">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④ 资格前审后联合体增减、更换成员的。</w:t>
      </w:r>
    </w:p>
    <w:p w14:paraId="48A617AF">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⑤ 联合体成员因存在不良信用记录，被拒绝其参与政府采购活动的。</w:t>
      </w:r>
    </w:p>
    <w:p w14:paraId="08BABB89">
      <w:pPr>
        <w:pStyle w:val="108"/>
        <w:spacing w:before="120" w:after="120"/>
        <w:ind w:firstLine="562"/>
        <w:outlineLvl w:val="3"/>
        <w:rPr>
          <w:rFonts w:hint="eastAsia" w:ascii="宋体" w:hAnsi="宋体" w:eastAsia="宋体" w:cs="宋体"/>
          <w:color w:val="000000" w:themeColor="text1"/>
          <w:sz w:val="24"/>
          <w:szCs w:val="24"/>
          <w:highlight w:val="none"/>
          <w14:textFill>
            <w14:solidFill>
              <w14:schemeClr w14:val="tx1"/>
            </w14:solidFill>
          </w14:textFill>
        </w:rPr>
      </w:pPr>
      <w:bookmarkStart w:id="53" w:name="_Toc5209"/>
      <w:bookmarkStart w:id="54" w:name="_Toc11831"/>
      <w:bookmarkStart w:id="55" w:name="_Toc29747"/>
      <w:bookmarkStart w:id="56" w:name="_Toc3859"/>
      <w:r>
        <w:rPr>
          <w:rFonts w:hint="eastAsia" w:ascii="宋体" w:hAnsi="宋体" w:eastAsia="宋体" w:cs="宋体"/>
          <w:color w:val="000000" w:themeColor="text1"/>
          <w:sz w:val="24"/>
          <w:szCs w:val="24"/>
          <w:highlight w:val="none"/>
          <w14:textFill>
            <w14:solidFill>
              <w14:schemeClr w14:val="tx1"/>
            </w14:solidFill>
          </w14:textFill>
        </w:rPr>
        <w:t>（五）关于进口产品</w:t>
      </w:r>
      <w:bookmarkEnd w:id="53"/>
      <w:bookmarkEnd w:id="54"/>
      <w:bookmarkEnd w:id="55"/>
      <w:bookmarkEnd w:id="56"/>
    </w:p>
    <w:p w14:paraId="7A77633C">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根据《政府采购进口产品管理办法》（财库〔2007〕119号）规定，政府采购应当采购本国产品，确需采购进口产品的，应当在采购活动开始前向财政部门提出申请并获得财政部门审核同意后，依法开展政府采购活动。采购人采购进口产品时，优先采购向我国企业转让技术、与我国企业签订消化吸收再创新方案的供应商的进口产品。</w:t>
      </w:r>
    </w:p>
    <w:p w14:paraId="30DDF640">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2．根据《关于政府采购进口产品管理有关问题的通知》（财办库〔2008〕248号）有关规定，财政部门审核同意购买进口产品的，</w:t>
      </w:r>
      <w:r>
        <w:rPr>
          <w:rFonts w:hint="eastAsia" w:ascii="宋体" w:hAnsi="宋体" w:eastAsia="宋体" w:cs="宋体"/>
          <w:color w:val="000000" w:themeColor="text1"/>
          <w:sz w:val="24"/>
          <w:szCs w:val="24"/>
          <w:highlight w:val="none"/>
          <w:lang w:val="en-US" w:eastAsia="zh-CN"/>
          <w14:textFill>
            <w14:solidFill>
              <w14:schemeClr w14:val="tx1"/>
            </w14:solidFill>
          </w14:textFill>
        </w:rPr>
        <w:t>招标公告</w:t>
      </w:r>
      <w:r>
        <w:rPr>
          <w:rFonts w:hint="eastAsia" w:ascii="宋体" w:hAnsi="宋体" w:eastAsia="宋体" w:cs="宋体"/>
          <w:color w:val="000000" w:themeColor="text1"/>
          <w:sz w:val="24"/>
          <w:szCs w:val="24"/>
          <w:highlight w:val="none"/>
          <w14:textFill>
            <w14:solidFill>
              <w14:schemeClr w14:val="tx1"/>
            </w14:solidFill>
          </w14:textFill>
        </w:rPr>
        <w:t>将明确载明“允许进口产品参与”，此时满足招标文件要求的国产产品仍然可以参与竞争。否则，视为拒绝进口产品参与，供应商以进口产品参与投标时，将作无效投标处理。</w:t>
      </w:r>
    </w:p>
    <w:p w14:paraId="774A27FC">
      <w:pPr>
        <w:pStyle w:val="108"/>
        <w:spacing w:before="120" w:after="120"/>
        <w:ind w:firstLine="562"/>
        <w:outlineLvl w:val="3"/>
        <w:rPr>
          <w:rFonts w:hint="eastAsia" w:ascii="宋体" w:hAnsi="宋体" w:eastAsia="宋体" w:cs="宋体"/>
          <w:color w:val="000000" w:themeColor="text1"/>
          <w:sz w:val="24"/>
          <w:szCs w:val="24"/>
          <w:highlight w:val="none"/>
          <w14:textFill>
            <w14:solidFill>
              <w14:schemeClr w14:val="tx1"/>
            </w14:solidFill>
          </w14:textFill>
        </w:rPr>
      </w:pPr>
      <w:bookmarkStart w:id="57" w:name="_Toc15417"/>
      <w:bookmarkStart w:id="58" w:name="_Toc22855"/>
      <w:bookmarkStart w:id="59" w:name="_Toc4734"/>
      <w:bookmarkStart w:id="60" w:name="_Toc1509"/>
      <w:r>
        <w:rPr>
          <w:rFonts w:hint="eastAsia" w:ascii="宋体" w:hAnsi="宋体" w:eastAsia="宋体" w:cs="宋体"/>
          <w:color w:val="000000" w:themeColor="text1"/>
          <w:sz w:val="24"/>
          <w:szCs w:val="24"/>
          <w:highlight w:val="none"/>
          <w14:textFill>
            <w14:solidFill>
              <w14:schemeClr w14:val="tx1"/>
            </w14:solidFill>
          </w14:textFill>
        </w:rPr>
        <w:t>（六）关于政府采购政策</w:t>
      </w:r>
      <w:bookmarkEnd w:id="57"/>
      <w:bookmarkEnd w:id="58"/>
      <w:bookmarkEnd w:id="59"/>
      <w:bookmarkEnd w:id="60"/>
    </w:p>
    <w:p w14:paraId="28032337">
      <w:pPr>
        <w:pStyle w:val="107"/>
        <w:outlineLvl w:val="9"/>
        <w:rPr>
          <w:rFonts w:hint="eastAsia" w:ascii="宋体" w:hAnsi="宋体" w:eastAsia="宋体" w:cs="宋体"/>
          <w:color w:val="000000" w:themeColor="text1"/>
          <w:sz w:val="24"/>
          <w:szCs w:val="24"/>
          <w:highlight w:val="none"/>
          <w14:textFill>
            <w14:solidFill>
              <w14:schemeClr w14:val="tx1"/>
            </w14:solidFill>
          </w14:textFill>
        </w:rPr>
      </w:pPr>
      <w:bookmarkStart w:id="61" w:name="_Toc21485"/>
      <w:bookmarkStart w:id="62" w:name="_Toc10187"/>
      <w:bookmarkStart w:id="63" w:name="_Toc6126"/>
      <w:r>
        <w:rPr>
          <w:rFonts w:hint="eastAsia" w:ascii="宋体" w:hAnsi="宋体" w:eastAsia="宋体" w:cs="宋体"/>
          <w:color w:val="000000" w:themeColor="text1"/>
          <w:sz w:val="24"/>
          <w:szCs w:val="24"/>
          <w:highlight w:val="none"/>
          <w14:textFill>
            <w14:solidFill>
              <w14:schemeClr w14:val="tx1"/>
            </w14:solidFill>
          </w14:textFill>
        </w:rPr>
        <w:t>1．对中小企业、监狱企业、残疾人福利性单位的优惠政策</w:t>
      </w:r>
      <w:bookmarkEnd w:id="61"/>
      <w:bookmarkEnd w:id="62"/>
      <w:bookmarkEnd w:id="63"/>
    </w:p>
    <w:p w14:paraId="1E192CFC">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（1）根据《政府采购促进中小企业发展管理办法》（财库〔2020〕46号）</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财政部关于进一步加大政府采购支持中小企业力度的通知</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（财库［2022］19 号）的有关规定，提供小微企业制造的货物、承建的工程或者承接的服务（不包括使用大型、中型企业商号或者注册商标的货物）参与政府采购活动时对小型和微型企业产品的报价给予</w:t>
      </w:r>
      <w:r>
        <w:rPr>
          <w:rFonts w:hint="eastAsia" w:ascii="宋体" w:hAnsi="宋体" w:eastAsia="宋体" w:cs="宋体"/>
          <w:color w:val="000000" w:themeColor="text1"/>
          <w:sz w:val="24"/>
          <w:szCs w:val="24"/>
          <w:highlight w:val="none"/>
          <w:lang w:val="en-US" w:eastAsia="zh-CN"/>
          <w14:textFill>
            <w14:solidFill>
              <w14:schemeClr w14:val="tx1"/>
            </w14:solidFill>
          </w14:textFill>
        </w:rPr>
        <w:t>10</w:t>
      </w:r>
      <w:r>
        <w:rPr>
          <w:rFonts w:hint="eastAsia" w:ascii="宋体" w:hAnsi="宋体" w:eastAsia="宋体" w:cs="宋体"/>
          <w:color w:val="000000" w:themeColor="text1"/>
          <w:sz w:val="24"/>
          <w:szCs w:val="24"/>
          <w:highlight w:val="none"/>
          <w14:textFill>
            <w14:solidFill>
              <w14:schemeClr w14:val="tx1"/>
            </w14:solidFill>
          </w14:textFill>
        </w:rPr>
        <w:t>%（工程项目3%）的扣除，用扣除后的价格参加评审。同时，依据该办法第四条第二款规定在货物采购项目中，供应商提供的货物既有中小企业制造货物，也有大型企业制造货物的，不享受中小企业扶持政策。</w:t>
      </w:r>
    </w:p>
    <w:p w14:paraId="77F4BA44">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（2）根据财政部、司法部联合下发的《关于政府采购支持监狱企业发展有关问题的通知》（财库〔2014〕68号）的规定，监狱企业视同小型、微型企业。</w:t>
      </w:r>
    </w:p>
    <w:p w14:paraId="66BD3AF2">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根据财政部、民政部、中国残疾人联合会下发的《关于促进残疾人就业政府采购政策的通知》（财库〔2017〕141号）的规定，残疾人福利性单位提供本单位制造的货物、承建的工程或者承接的服务（以下简称产品），或者提供其他残疾人福利性单位制造的货物（不包括使用非残疾人福利性单位注册商标的货物）参与政府采购活动时，视同小型、微型企业，享受预留份额、评审中价格扣除等促进中小企业发展的政府采购政策。残疾人福利性单位属于小型、微型企业的，不重复享受政策。</w:t>
      </w:r>
    </w:p>
    <w:p w14:paraId="45C6B38E">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参加政府采购活动的中小企业、监狱企业、残疾人福利性单位应根据企业性质分别提供《中小企业声明函》\《监狱企业证明函》\《残疾人福利性单位声明函》。其中，《监狱企业证明函》应由省级以上监狱管理局、戒毒管理局（含新疆生产建设兵团）出具。未提供上述声明函\证明函的，不能享受招标文件规定的价格扣除，但不影响投标文件的有效性。</w:t>
      </w:r>
    </w:p>
    <w:p w14:paraId="11641579">
      <w:pPr>
        <w:pStyle w:val="107"/>
        <w:outlineLvl w:val="9"/>
        <w:rPr>
          <w:rFonts w:hint="eastAsia" w:ascii="宋体" w:hAnsi="宋体" w:eastAsia="宋体" w:cs="宋体"/>
          <w:color w:val="000000" w:themeColor="text1"/>
          <w:sz w:val="24"/>
          <w:szCs w:val="24"/>
          <w:highlight w:val="none"/>
          <w14:textFill>
            <w14:solidFill>
              <w14:schemeClr w14:val="tx1"/>
            </w14:solidFill>
          </w14:textFill>
        </w:rPr>
      </w:pPr>
      <w:bookmarkStart w:id="64" w:name="_Toc2556"/>
      <w:bookmarkStart w:id="65" w:name="_Toc8987"/>
      <w:bookmarkStart w:id="66" w:name="_Toc5394"/>
      <w:r>
        <w:rPr>
          <w:rFonts w:hint="eastAsia" w:ascii="宋体" w:hAnsi="宋体" w:eastAsia="宋体" w:cs="宋体"/>
          <w:color w:val="000000" w:themeColor="text1"/>
          <w:sz w:val="24"/>
          <w:szCs w:val="24"/>
          <w:highlight w:val="none"/>
          <w14:textFill>
            <w14:solidFill>
              <w14:schemeClr w14:val="tx1"/>
            </w14:solidFill>
          </w14:textFill>
        </w:rPr>
        <w:t>2．节能、环保产品采购政策</w:t>
      </w:r>
      <w:bookmarkEnd w:id="64"/>
      <w:bookmarkEnd w:id="65"/>
      <w:bookmarkEnd w:id="66"/>
    </w:p>
    <w:p w14:paraId="4CCFEE34">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根据财政部、发展改革委、生态环境部、市场监管总局《关于调整优化节能产品、环境标志产品政府采购执行机制的通知》（财库〔2019〕9号）规定“对政府采购节能产品、环境标志产品实施品目清单管理”。采购人拟采购的产品属于品目清单范围的，依据国家确定的认证机构出具的、处于有效期之内的节能产品、环境标志产品认证证书，对获得证书的产品实施政府优先采购或强制采购。</w:t>
      </w:r>
    </w:p>
    <w:p w14:paraId="1CB61055">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14:paraId="2D094D80">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（3）《节能产品政府采购品目清单》见财政部、发展改革委《关于印发节能产品政府采购品目清单的通知》（财库〔2019〕19号）附件。</w:t>
      </w:r>
    </w:p>
    <w:p w14:paraId="355EC381">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（4）《环境标志产品政府采购品目清单》见财政部、生态环境部《关于印发环境标志产品政府采购品目清单的通知》（财库〔2019〕18号）附件。</w:t>
      </w:r>
    </w:p>
    <w:p w14:paraId="183FAB63">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（5）“国家确定的认证机构”名单见市场监管总局《关于发布参与实施政府采购节能产品、环境标志产品认证机构名录的公告》（2019年第16号）。</w:t>
      </w:r>
    </w:p>
    <w:p w14:paraId="17634D44">
      <w:pPr>
        <w:pStyle w:val="107"/>
        <w:outlineLvl w:val="9"/>
        <w:rPr>
          <w:rFonts w:hint="eastAsia" w:ascii="宋体" w:hAnsi="宋体" w:eastAsia="宋体" w:cs="宋体"/>
          <w:color w:val="000000" w:themeColor="text1"/>
          <w:sz w:val="24"/>
          <w:szCs w:val="24"/>
          <w:highlight w:val="none"/>
          <w14:textFill>
            <w14:solidFill>
              <w14:schemeClr w14:val="tx1"/>
            </w14:solidFill>
          </w14:textFill>
        </w:rPr>
      </w:pPr>
      <w:bookmarkStart w:id="67" w:name="_Toc15090"/>
      <w:bookmarkStart w:id="68" w:name="_Toc26083"/>
      <w:bookmarkStart w:id="69" w:name="_Toc18572"/>
      <w:r>
        <w:rPr>
          <w:rFonts w:hint="eastAsia" w:ascii="宋体" w:hAnsi="宋体" w:eastAsia="宋体" w:cs="宋体"/>
          <w:color w:val="000000" w:themeColor="text1"/>
          <w:sz w:val="24"/>
          <w:szCs w:val="24"/>
          <w:highlight w:val="none"/>
          <w14:textFill>
            <w14:solidFill>
              <w14:schemeClr w14:val="tx1"/>
            </w14:solidFill>
          </w14:textFill>
        </w:rPr>
        <w:t>3．陕西省中小企业政府采购信用融资办法</w:t>
      </w:r>
      <w:bookmarkEnd w:id="67"/>
      <w:bookmarkEnd w:id="68"/>
      <w:bookmarkEnd w:id="69"/>
    </w:p>
    <w:p w14:paraId="7AD77103">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为进一步贯彻落实国务院和陕西省关于支持中小企业发展的政策措施，发挥政府采购政策导向作用，充分利用信息化技术，通过搭建信息对称、相互对接的平台，有效缓解中小企业融资难、融资贵问题。陕西省财政厅结合陕西省政府采购信息化建设实际，制定了《陕西省中小企业政府采购信用融资办法》（陕财办采〔2018〕23号，简称融资办法）。</w:t>
      </w:r>
    </w:p>
    <w:p w14:paraId="50CADD70">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链接地址：</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"http://www.ccgp-shaanxi.gov.cn/zcdservice/zcd/shanxi/article/zcdt/1390497710741917696" </w:instrText>
      </w:r>
      <w:r>
        <w:rPr>
          <w:rFonts w:hint="eastAsia" w:ascii="宋体" w:hAnsi="宋体" w:eastAsia="宋体" w:cs="宋体"/>
          <w:sz w:val="24"/>
          <w:szCs w:val="24"/>
          <w:highlight w:val="none"/>
        </w:rPr>
        <w:fldChar w:fldCharType="separate"/>
      </w:r>
      <w:r>
        <w:rPr>
          <w:rStyle w:val="42"/>
          <w:rFonts w:hint="eastAsia" w:ascii="宋体" w:hAnsi="宋体" w:eastAsia="宋体" w:cs="宋体"/>
          <w:color w:val="000000" w:themeColor="text1"/>
          <w:sz w:val="24"/>
          <w:szCs w:val="24"/>
          <w:highlight w:val="none"/>
          <w:u w:val="none"/>
          <w14:textFill>
            <w14:solidFill>
              <w14:schemeClr w14:val="tx1"/>
            </w14:solidFill>
          </w14:textFill>
        </w:rPr>
        <w:t>http://www.ccgp-shaanxi.gov.cn/zcdservice/zcd/shanxi/article/zcdt/1390497710741917696</w:t>
      </w:r>
      <w:r>
        <w:rPr>
          <w:rStyle w:val="42"/>
          <w:rFonts w:hint="eastAsia" w:ascii="宋体" w:hAnsi="宋体" w:eastAsia="宋体" w:cs="宋体"/>
          <w:color w:val="000000" w:themeColor="text1"/>
          <w:sz w:val="24"/>
          <w:szCs w:val="24"/>
          <w:highlight w:val="none"/>
          <w:u w:val="none"/>
          <w14:textFill>
            <w14:solidFill>
              <w14:schemeClr w14:val="tx1"/>
            </w14:solidFill>
          </w14:textFill>
        </w:rPr>
        <w:fldChar w:fldCharType="end"/>
      </w:r>
    </w:p>
    <w:p w14:paraId="56194031">
      <w:pPr>
        <w:pStyle w:val="108"/>
        <w:spacing w:before="120" w:after="120"/>
        <w:ind w:firstLine="562"/>
        <w:outlineLvl w:val="3"/>
        <w:rPr>
          <w:rFonts w:hint="eastAsia" w:ascii="宋体" w:hAnsi="宋体" w:eastAsia="宋体" w:cs="宋体"/>
          <w:color w:val="000000" w:themeColor="text1"/>
          <w:sz w:val="24"/>
          <w:szCs w:val="24"/>
          <w:highlight w:val="none"/>
          <w14:textFill>
            <w14:solidFill>
              <w14:schemeClr w14:val="tx1"/>
            </w14:solidFill>
          </w14:textFill>
        </w:rPr>
      </w:pPr>
      <w:bookmarkStart w:id="70" w:name="_Toc3783"/>
      <w:bookmarkStart w:id="71" w:name="_Toc23131"/>
      <w:bookmarkStart w:id="72" w:name="_Toc21474"/>
      <w:bookmarkStart w:id="73" w:name="_Toc903"/>
      <w:r>
        <w:rPr>
          <w:rFonts w:hint="eastAsia" w:ascii="宋体" w:hAnsi="宋体" w:eastAsia="宋体" w:cs="宋体"/>
          <w:color w:val="000000" w:themeColor="text1"/>
          <w:sz w:val="24"/>
          <w:szCs w:val="24"/>
          <w:highlight w:val="none"/>
          <w14:textFill>
            <w14:solidFill>
              <w14:schemeClr w14:val="tx1"/>
            </w14:solidFill>
          </w14:textFill>
        </w:rPr>
        <w:t>（七）关于现场踏勘和集中答疑</w:t>
      </w:r>
      <w:bookmarkEnd w:id="70"/>
      <w:bookmarkEnd w:id="71"/>
      <w:bookmarkEnd w:id="72"/>
      <w:bookmarkEnd w:id="73"/>
    </w:p>
    <w:p w14:paraId="6DFDA0CE">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采购人可以根据项目实际情况决定是否组织现场踏勘\标前集中答疑。</w:t>
      </w:r>
      <w:r>
        <w:rPr>
          <w:rFonts w:hint="eastAsia" w:ascii="宋体" w:hAnsi="宋体" w:eastAsia="宋体" w:cs="宋体"/>
          <w:color w:val="000000" w:themeColor="text1"/>
          <w:sz w:val="24"/>
          <w:szCs w:val="24"/>
          <w:highlight w:val="none"/>
          <w:lang w:val="en-US" w:eastAsia="zh-CN"/>
          <w14:textFill>
            <w14:solidFill>
              <w14:schemeClr w14:val="tx1"/>
            </w14:solidFill>
          </w14:textFill>
        </w:rPr>
        <w:t>招标公告</w:t>
      </w:r>
      <w:r>
        <w:rPr>
          <w:rFonts w:hint="eastAsia" w:ascii="宋体" w:hAnsi="宋体" w:eastAsia="宋体" w:cs="宋体"/>
          <w:color w:val="000000" w:themeColor="text1"/>
          <w:sz w:val="24"/>
          <w:szCs w:val="24"/>
          <w:highlight w:val="none"/>
          <w14:textFill>
            <w14:solidFill>
              <w14:schemeClr w14:val="tx1"/>
            </w14:solidFill>
          </w14:textFill>
        </w:rPr>
        <w:t>中明确载明安排上述活动的，各供应商应派出技术、预算等相关人员，在招标文件约定的时间、地点参加现场踏勘\标前集中答疑。</w:t>
      </w:r>
    </w:p>
    <w:p w14:paraId="26CBF55E">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代表可在采购人指引下就采购内容相关数据进行实地测量，需要采购人或采购代理机构解答的问题可以以口头或书面形式做出。口头问题，口头答复。书面问题，将由采购人和采购代理机构整理后，在“政府采购信息发布媒体”上发布《答疑纪要》。答疑纪要是招标文件的组成部分，与招标文件中表述不一致的内容，以答疑纪要为准。</w:t>
      </w:r>
    </w:p>
    <w:p w14:paraId="493EC40B">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凡未参加现场踏勘和集中答疑的供应商，由此带来的不利后果由该供应商自行承担。</w:t>
      </w:r>
    </w:p>
    <w:p w14:paraId="558FF305">
      <w:pPr>
        <w:pStyle w:val="108"/>
        <w:spacing w:before="120" w:after="120"/>
        <w:ind w:firstLine="562"/>
        <w:outlineLvl w:val="3"/>
        <w:rPr>
          <w:rFonts w:hint="eastAsia" w:ascii="宋体" w:hAnsi="宋体" w:eastAsia="宋体" w:cs="宋体"/>
          <w:color w:val="000000" w:themeColor="text1"/>
          <w:sz w:val="24"/>
          <w:szCs w:val="24"/>
          <w:highlight w:val="none"/>
          <w14:textFill>
            <w14:solidFill>
              <w14:schemeClr w14:val="tx1"/>
            </w14:solidFill>
          </w14:textFill>
        </w:rPr>
      </w:pPr>
      <w:bookmarkStart w:id="74" w:name="_Toc11850"/>
      <w:bookmarkStart w:id="75" w:name="_Toc21460"/>
      <w:bookmarkStart w:id="76" w:name="_Toc11425"/>
      <w:bookmarkStart w:id="77" w:name="_Toc22889"/>
      <w:r>
        <w:rPr>
          <w:rFonts w:hint="eastAsia" w:ascii="宋体" w:hAnsi="宋体" w:eastAsia="宋体" w:cs="宋体"/>
          <w:color w:val="000000" w:themeColor="text1"/>
          <w:sz w:val="24"/>
          <w:szCs w:val="24"/>
          <w:highlight w:val="none"/>
          <w14:textFill>
            <w14:solidFill>
              <w14:schemeClr w14:val="tx1"/>
            </w14:solidFill>
          </w14:textFill>
        </w:rPr>
        <w:t>（八）关于同一品牌产品的处理</w:t>
      </w:r>
      <w:bookmarkEnd w:id="74"/>
      <w:bookmarkEnd w:id="75"/>
      <w:bookmarkEnd w:id="76"/>
      <w:bookmarkEnd w:id="77"/>
    </w:p>
    <w:p w14:paraId="0A3838D7">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根据《政府采购货物和服务招标投标管理办法》相关规定，单一产品采购项目提供相同品牌产品或非单一产品采购项目多家供应商提供的核心产品品牌相同的且通过资格审查、符合性审查的不同供应商参加同一合同项下投标的，按一家供应商计算，评审后得分最高的同品牌供应商获得中标候选人推荐资格。评审得分相同的，由采购人或者采购人委托评标委员会按照报价得分最高的方式确定一个供应商获得中标候选人推荐资格。</w:t>
      </w:r>
    </w:p>
    <w:p w14:paraId="145BA9A5">
      <w:pPr>
        <w:pStyle w:val="108"/>
        <w:spacing w:before="120" w:after="120"/>
        <w:ind w:firstLine="562"/>
        <w:outlineLvl w:val="3"/>
        <w:rPr>
          <w:rFonts w:hint="eastAsia" w:ascii="宋体" w:hAnsi="宋体" w:eastAsia="宋体" w:cs="宋体"/>
          <w:color w:val="000000" w:themeColor="text1"/>
          <w:sz w:val="24"/>
          <w:szCs w:val="24"/>
          <w:highlight w:val="none"/>
          <w14:textFill>
            <w14:solidFill>
              <w14:schemeClr w14:val="tx1"/>
            </w14:solidFill>
          </w14:textFill>
        </w:rPr>
      </w:pPr>
      <w:bookmarkStart w:id="78" w:name="_Toc21312"/>
      <w:bookmarkStart w:id="79" w:name="_Toc5554"/>
      <w:bookmarkStart w:id="80" w:name="_Toc30039"/>
      <w:bookmarkStart w:id="81" w:name="_Toc4702"/>
      <w:r>
        <w:rPr>
          <w:rFonts w:hint="eastAsia" w:ascii="宋体" w:hAnsi="宋体" w:eastAsia="宋体" w:cs="宋体"/>
          <w:color w:val="000000" w:themeColor="text1"/>
          <w:sz w:val="24"/>
          <w:szCs w:val="24"/>
          <w:highlight w:val="none"/>
          <w14:textFill>
            <w14:solidFill>
              <w14:schemeClr w14:val="tx1"/>
            </w14:solidFill>
          </w14:textFill>
        </w:rPr>
        <w:t>（九）关于知识产权和保密事项</w:t>
      </w:r>
      <w:bookmarkEnd w:id="78"/>
      <w:bookmarkEnd w:id="79"/>
      <w:bookmarkEnd w:id="80"/>
      <w:bookmarkEnd w:id="81"/>
    </w:p>
    <w:p w14:paraId="51F034F0">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1．所有涉及知识产权的产品及设计，供应商必须确保委托人、采购人拥有其合法的、不受限制的无偿使用权，并免受任何侵权诉讼或索偿。否则，由此产生的一切经济损失和法律责任由供应商承担。</w:t>
      </w:r>
    </w:p>
    <w:p w14:paraId="4D22D5CB">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2．由采购人向供应商提供的用户需求书、图纸、样品、模型、模件和所有资料，供应商获得后，应对其保密。除非采购人同意，供应商不得向第三方透露或将其用于本次投 标以外的任何用途。开标后，若采购人有要求，供应商人须归还采购人认为需保密的文件和资料，并销毁所有相应的备份文件及资料。</w:t>
      </w:r>
    </w:p>
    <w:p w14:paraId="68E01357">
      <w:pPr>
        <w:pStyle w:val="108"/>
        <w:spacing w:before="120" w:after="120"/>
        <w:ind w:firstLine="562"/>
        <w:outlineLvl w:val="3"/>
        <w:rPr>
          <w:rFonts w:hint="eastAsia" w:ascii="宋体" w:hAnsi="宋体" w:eastAsia="宋体" w:cs="宋体"/>
          <w:color w:val="000000" w:themeColor="text1"/>
          <w:sz w:val="24"/>
          <w:szCs w:val="24"/>
          <w:highlight w:val="none"/>
          <w14:textFill>
            <w14:solidFill>
              <w14:schemeClr w14:val="tx1"/>
            </w14:solidFill>
          </w14:textFill>
        </w:rPr>
      </w:pPr>
      <w:bookmarkStart w:id="82" w:name="_Toc873"/>
      <w:bookmarkStart w:id="83" w:name="_Toc31993"/>
      <w:bookmarkStart w:id="84" w:name="_Toc27768"/>
      <w:bookmarkStart w:id="85" w:name="_Toc2960"/>
      <w:r>
        <w:rPr>
          <w:rFonts w:hint="eastAsia" w:ascii="宋体" w:hAnsi="宋体" w:eastAsia="宋体" w:cs="宋体"/>
          <w:color w:val="000000" w:themeColor="text1"/>
          <w:sz w:val="24"/>
          <w:szCs w:val="24"/>
          <w:highlight w:val="none"/>
          <w14:textFill>
            <w14:solidFill>
              <w14:schemeClr w14:val="tx1"/>
            </w14:solidFill>
          </w14:textFill>
        </w:rPr>
        <w:t>（十）关于信用记录的查询和使用</w:t>
      </w:r>
      <w:bookmarkEnd w:id="82"/>
      <w:bookmarkEnd w:id="83"/>
      <w:bookmarkEnd w:id="84"/>
      <w:bookmarkEnd w:id="85"/>
    </w:p>
    <w:p w14:paraId="1219297E">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1．根据财政部《关于在政府采购活动中查询及使用信用记录有关问题的通知》（财库〔2016〕125号）第二条有关要求，采购人将在资格审查阶段通过【信用中国】（</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"https://www.creditchina.gov.cn" </w:instrText>
      </w:r>
      <w:r>
        <w:rPr>
          <w:rFonts w:hint="eastAsia" w:ascii="宋体" w:hAnsi="宋体" w:eastAsia="宋体" w:cs="宋体"/>
          <w:sz w:val="24"/>
          <w:szCs w:val="24"/>
          <w:highlight w:val="none"/>
        </w:rPr>
        <w:fldChar w:fldCharType="separate"/>
      </w:r>
      <w:r>
        <w:rPr>
          <w:rStyle w:val="42"/>
          <w:rFonts w:hint="eastAsia" w:ascii="宋体" w:hAnsi="宋体" w:eastAsia="宋体" w:cs="宋体"/>
          <w:color w:val="000000" w:themeColor="text1"/>
          <w:sz w:val="24"/>
          <w:szCs w:val="24"/>
          <w:highlight w:val="none"/>
          <w:u w:val="none"/>
          <w14:textFill>
            <w14:solidFill>
              <w14:schemeClr w14:val="tx1"/>
            </w14:solidFill>
          </w14:textFill>
        </w:rPr>
        <w:t>https://www.creditchina.gov.cn</w:t>
      </w:r>
      <w:r>
        <w:rPr>
          <w:rStyle w:val="42"/>
          <w:rFonts w:hint="eastAsia" w:ascii="宋体" w:hAnsi="宋体" w:eastAsia="宋体" w:cs="宋体"/>
          <w:color w:val="000000" w:themeColor="text1"/>
          <w:sz w:val="24"/>
          <w:szCs w:val="24"/>
          <w:highlight w:val="none"/>
          <w:u w:val="none"/>
          <w14:textFill>
            <w14:solidFill>
              <w14:schemeClr w14:val="tx1"/>
            </w14:solidFill>
          </w14:textFill>
        </w:rPr>
        <w:fldChar w:fldCharType="end"/>
      </w:r>
      <w:r>
        <w:rPr>
          <w:rFonts w:hint="eastAsia" w:ascii="宋体" w:hAnsi="宋体" w:eastAsia="宋体" w:cs="宋体"/>
          <w:color w:val="000000" w:themeColor="text1"/>
          <w:sz w:val="24"/>
          <w:szCs w:val="24"/>
          <w:highlight w:val="none"/>
          <w14:textFill>
            <w14:solidFill>
              <w14:schemeClr w14:val="tx1"/>
            </w14:solidFill>
          </w14:textFill>
        </w:rPr>
        <w:t>/）和【中国政府采购网】（</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"http://www.ccgp.gov.cn/" </w:instrText>
      </w:r>
      <w:r>
        <w:rPr>
          <w:rFonts w:hint="eastAsia" w:ascii="宋体" w:hAnsi="宋体" w:eastAsia="宋体" w:cs="宋体"/>
          <w:sz w:val="24"/>
          <w:szCs w:val="24"/>
          <w:highlight w:val="none"/>
        </w:rPr>
        <w:fldChar w:fldCharType="separate"/>
      </w:r>
      <w:r>
        <w:rPr>
          <w:rStyle w:val="42"/>
          <w:rFonts w:hint="eastAsia" w:ascii="宋体" w:hAnsi="宋体" w:eastAsia="宋体" w:cs="宋体"/>
          <w:color w:val="000000" w:themeColor="text1"/>
          <w:sz w:val="24"/>
          <w:szCs w:val="24"/>
          <w:highlight w:val="none"/>
          <w:u w:val="none"/>
          <w14:textFill>
            <w14:solidFill>
              <w14:schemeClr w14:val="tx1"/>
            </w14:solidFill>
          </w14:textFill>
        </w:rPr>
        <w:t>http://www.ccgp.gov.cn/）</w:t>
      </w:r>
      <w:r>
        <w:rPr>
          <w:rStyle w:val="42"/>
          <w:rFonts w:hint="eastAsia" w:ascii="宋体" w:hAnsi="宋体" w:eastAsia="宋体" w:cs="宋体"/>
          <w:color w:val="000000" w:themeColor="text1"/>
          <w:sz w:val="24"/>
          <w:szCs w:val="24"/>
          <w:highlight w:val="none"/>
          <w:u w:val="none"/>
          <w14:textFill>
            <w14:solidFill>
              <w14:schemeClr w14:val="tx1"/>
            </w14:solidFill>
          </w14:textFill>
        </w:rPr>
        <w:fldChar w:fldCharType="end"/>
      </w:r>
      <w:r>
        <w:rPr>
          <w:rFonts w:hint="eastAsia" w:ascii="宋体" w:hAnsi="宋体" w:eastAsia="宋体" w:cs="宋体"/>
          <w:color w:val="000000" w:themeColor="text1"/>
          <w:sz w:val="24"/>
          <w:szCs w:val="24"/>
          <w:highlight w:val="none"/>
          <w14:textFill>
            <w14:solidFill>
              <w14:schemeClr w14:val="tx1"/>
            </w14:solidFill>
          </w14:textFill>
        </w:rPr>
        <w:t>对供应商的信用情况进行甄别。</w:t>
      </w:r>
    </w:p>
    <w:p w14:paraId="362CC9CD">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2．对列入失信被执行人、</w:t>
      </w:r>
      <w:r>
        <w:rPr>
          <w:rFonts w:hint="eastAsia" w:ascii="宋体" w:hAnsi="宋体" w:eastAsia="宋体" w:cs="宋体"/>
          <w:color w:val="000000" w:themeColor="text1"/>
          <w:sz w:val="24"/>
          <w:szCs w:val="24"/>
          <w:highlight w:val="none"/>
          <w:lang w:eastAsia="zh-CN"/>
          <w14:textFill>
            <w14:solidFill>
              <w14:schemeClr w14:val="tx1"/>
            </w14:solidFill>
          </w14:textFill>
        </w:rPr>
        <w:t>重大税收违法失信主体</w:t>
      </w:r>
      <w:r>
        <w:rPr>
          <w:rFonts w:hint="eastAsia" w:ascii="宋体" w:hAnsi="宋体" w:eastAsia="宋体" w:cs="宋体"/>
          <w:color w:val="000000" w:themeColor="text1"/>
          <w:sz w:val="24"/>
          <w:szCs w:val="24"/>
          <w:highlight w:val="none"/>
          <w14:textFill>
            <w14:solidFill>
              <w14:schemeClr w14:val="tx1"/>
            </w14:solidFill>
          </w14:textFill>
        </w:rPr>
        <w:t>、政府采购严重违法失信行为记录名单及其他不符合《中华人民共和国政府采购法》第二十二条规定条件的供应商，将拒绝其参与政府采购活动。</w:t>
      </w:r>
    </w:p>
    <w:p w14:paraId="5F93F874">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3．供应商在参加政府采购活动前3年内因违法经营被禁止在一定期限内参加政府采购活动，期限届满的，可以参加政府采购活动的，但供应商应提供相关证明材料。</w:t>
      </w:r>
    </w:p>
    <w:p w14:paraId="6D523219">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4．信用记录查询结果打印后，将与其他采购文件一并保存。</w:t>
      </w:r>
    </w:p>
    <w:p w14:paraId="48AE2345">
      <w:pPr>
        <w:pStyle w:val="108"/>
        <w:spacing w:before="120" w:after="120"/>
        <w:ind w:firstLine="562"/>
        <w:outlineLvl w:val="3"/>
        <w:rPr>
          <w:rFonts w:hint="eastAsia" w:ascii="宋体" w:hAnsi="宋体" w:eastAsia="宋体" w:cs="宋体"/>
          <w:color w:val="000000" w:themeColor="text1"/>
          <w:sz w:val="24"/>
          <w:szCs w:val="24"/>
          <w:highlight w:val="none"/>
          <w14:textFill>
            <w14:solidFill>
              <w14:schemeClr w14:val="tx1"/>
            </w14:solidFill>
          </w14:textFill>
        </w:rPr>
      </w:pPr>
      <w:bookmarkStart w:id="86" w:name="_Toc31802"/>
      <w:bookmarkStart w:id="87" w:name="_Toc20950"/>
      <w:bookmarkStart w:id="88" w:name="_Toc13558"/>
      <w:bookmarkStart w:id="89" w:name="_Toc7336"/>
      <w:r>
        <w:rPr>
          <w:rFonts w:hint="eastAsia" w:ascii="宋体" w:hAnsi="宋体" w:eastAsia="宋体" w:cs="宋体"/>
          <w:color w:val="000000" w:themeColor="text1"/>
          <w:sz w:val="24"/>
          <w:szCs w:val="24"/>
          <w:highlight w:val="none"/>
          <w14:textFill>
            <w14:solidFill>
              <w14:schemeClr w14:val="tx1"/>
            </w14:solidFill>
          </w14:textFill>
        </w:rPr>
        <w:t>（十一）其他重要事项</w:t>
      </w:r>
      <w:bookmarkEnd w:id="86"/>
      <w:bookmarkEnd w:id="87"/>
      <w:bookmarkEnd w:id="88"/>
      <w:bookmarkEnd w:id="89"/>
    </w:p>
    <w:p w14:paraId="5E540155">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1．招标文件内所附网络链接仅供参考，不保证其长期有效性。</w:t>
      </w:r>
    </w:p>
    <w:p w14:paraId="3E894317">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2．供应商的投标费用自理。</w:t>
      </w:r>
    </w:p>
    <w:p w14:paraId="2C28B511">
      <w:pP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br w:type="page"/>
      </w:r>
    </w:p>
    <w:p w14:paraId="1CDB0E3C">
      <w:pPr>
        <w:pStyle w:val="5"/>
        <w:bidi w:val="0"/>
        <w:jc w:val="center"/>
        <w:rPr>
          <w:rFonts w:hint="eastAsia" w:ascii="宋体" w:hAnsi="宋体" w:eastAsia="宋体" w:cs="宋体"/>
          <w:b/>
          <w:bCs/>
          <w:sz w:val="28"/>
          <w:szCs w:val="28"/>
        </w:rPr>
      </w:pPr>
      <w:bookmarkStart w:id="90" w:name="_Toc25094"/>
      <w:r>
        <w:rPr>
          <w:rFonts w:hint="eastAsia" w:ascii="宋体" w:hAnsi="宋体" w:eastAsia="宋体" w:cs="宋体"/>
          <w:b/>
          <w:bCs/>
          <w:sz w:val="28"/>
          <w:szCs w:val="28"/>
        </w:rPr>
        <w:t>三、招标文件</w:t>
      </w:r>
      <w:bookmarkEnd w:id="90"/>
    </w:p>
    <w:p w14:paraId="175B40AE">
      <w:pPr>
        <w:pStyle w:val="108"/>
        <w:spacing w:before="120" w:after="120"/>
        <w:ind w:firstLine="562"/>
        <w:outlineLvl w:val="3"/>
        <w:rPr>
          <w:rFonts w:hint="eastAsia" w:ascii="宋体" w:hAnsi="宋体" w:eastAsia="宋体" w:cs="宋体"/>
          <w:color w:val="000000" w:themeColor="text1"/>
          <w:sz w:val="24"/>
          <w:szCs w:val="24"/>
          <w:highlight w:val="none"/>
          <w14:textFill>
            <w14:solidFill>
              <w14:schemeClr w14:val="tx1"/>
            </w14:solidFill>
          </w14:textFill>
        </w:rPr>
      </w:pPr>
      <w:bookmarkStart w:id="91" w:name="_Toc22177"/>
      <w:bookmarkStart w:id="92" w:name="_Toc17994"/>
      <w:bookmarkStart w:id="93" w:name="_Toc13951"/>
      <w:bookmarkStart w:id="94" w:name="_Toc25768"/>
      <w:r>
        <w:rPr>
          <w:rFonts w:hint="eastAsia" w:ascii="宋体" w:hAnsi="宋体" w:eastAsia="宋体" w:cs="宋体"/>
          <w:color w:val="000000" w:themeColor="text1"/>
          <w:sz w:val="24"/>
          <w:szCs w:val="24"/>
          <w:highlight w:val="none"/>
          <w14:textFill>
            <w14:solidFill>
              <w14:schemeClr w14:val="tx1"/>
            </w14:solidFill>
          </w14:textFill>
        </w:rPr>
        <w:t>（一）招标文件的解释权</w:t>
      </w:r>
      <w:bookmarkEnd w:id="91"/>
      <w:bookmarkEnd w:id="92"/>
      <w:bookmarkEnd w:id="93"/>
      <w:bookmarkEnd w:id="94"/>
    </w:p>
    <w:p w14:paraId="76ADC087">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本项目招标文件的解释权归采购代理机构，评标委员会成员应根据政府采购法律法规和招标文件所载明的评审方法、标准进行评审。</w:t>
      </w:r>
    </w:p>
    <w:p w14:paraId="16C53B4C">
      <w:pPr>
        <w:pStyle w:val="108"/>
        <w:spacing w:before="120" w:after="120"/>
        <w:ind w:firstLine="562"/>
        <w:outlineLvl w:val="3"/>
        <w:rPr>
          <w:rFonts w:hint="eastAsia" w:ascii="宋体" w:hAnsi="宋体" w:eastAsia="宋体" w:cs="宋体"/>
          <w:color w:val="000000" w:themeColor="text1"/>
          <w:sz w:val="24"/>
          <w:szCs w:val="24"/>
          <w:highlight w:val="none"/>
          <w14:textFill>
            <w14:solidFill>
              <w14:schemeClr w14:val="tx1"/>
            </w14:solidFill>
          </w14:textFill>
        </w:rPr>
      </w:pPr>
      <w:bookmarkStart w:id="95" w:name="_Toc932"/>
      <w:bookmarkStart w:id="96" w:name="_Toc31173"/>
      <w:bookmarkStart w:id="97" w:name="_Toc27003"/>
      <w:bookmarkStart w:id="98" w:name="_Toc29738"/>
      <w:r>
        <w:rPr>
          <w:rFonts w:hint="eastAsia" w:ascii="宋体" w:hAnsi="宋体" w:eastAsia="宋体" w:cs="宋体"/>
          <w:color w:val="000000" w:themeColor="text1"/>
          <w:sz w:val="24"/>
          <w:szCs w:val="24"/>
          <w:highlight w:val="none"/>
          <w14:textFill>
            <w14:solidFill>
              <w14:schemeClr w14:val="tx1"/>
            </w14:solidFill>
          </w14:textFill>
        </w:rPr>
        <w:t>（二）招标文件主要内容</w:t>
      </w:r>
      <w:bookmarkEnd w:id="95"/>
      <w:bookmarkEnd w:id="96"/>
      <w:bookmarkEnd w:id="97"/>
      <w:bookmarkEnd w:id="98"/>
    </w:p>
    <w:p w14:paraId="7996AC9B">
      <w:pPr>
        <w:spacing w:line="560" w:lineRule="exact"/>
        <w:ind w:firstLine="480" w:firstLineChars="20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第</w:t>
      </w:r>
      <w:r>
        <w:rPr>
          <w:rFonts w:hint="eastAsia" w:ascii="宋体" w:hAnsi="宋体" w:eastAsia="宋体" w:cs="宋体"/>
          <w:color w:val="000000" w:themeColor="text1"/>
          <w:sz w:val="24"/>
          <w:szCs w:val="24"/>
          <w:highlight w:val="none"/>
          <w:lang w:val="en-US" w:eastAsia="zh-CN"/>
          <w14:textFill>
            <w14:solidFill>
              <w14:schemeClr w14:val="tx1"/>
            </w14:solidFill>
          </w14:textFill>
        </w:rPr>
        <w:t>一</w:t>
      </w:r>
      <w:r>
        <w:rPr>
          <w:rFonts w:hint="eastAsia" w:ascii="宋体" w:hAnsi="宋体" w:eastAsia="宋体" w:cs="宋体"/>
          <w:color w:val="000000" w:themeColor="text1"/>
          <w:sz w:val="24"/>
          <w:szCs w:val="24"/>
          <w:highlight w:val="none"/>
          <w14:textFill>
            <w14:solidFill>
              <w14:schemeClr w14:val="tx1"/>
            </w14:solidFill>
          </w14:textFill>
        </w:rPr>
        <w:t xml:space="preserve">章  </w:t>
      </w:r>
      <w:r>
        <w:rPr>
          <w:rFonts w:hint="eastAsia" w:ascii="宋体" w:hAnsi="宋体" w:eastAsia="宋体" w:cs="宋体"/>
          <w:color w:val="000000" w:themeColor="text1"/>
          <w:sz w:val="24"/>
          <w:szCs w:val="24"/>
          <w:highlight w:val="none"/>
          <w:lang w:val="en-US" w:eastAsia="zh-CN"/>
          <w14:textFill>
            <w14:solidFill>
              <w14:schemeClr w14:val="tx1"/>
            </w14:solidFill>
          </w14:textFill>
        </w:rPr>
        <w:t>招标公告</w:t>
      </w:r>
    </w:p>
    <w:p w14:paraId="23122B89">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第</w:t>
      </w:r>
      <w:r>
        <w:rPr>
          <w:rFonts w:hint="eastAsia" w:ascii="宋体" w:hAnsi="宋体" w:eastAsia="宋体" w:cs="宋体"/>
          <w:color w:val="000000" w:themeColor="text1"/>
          <w:sz w:val="24"/>
          <w:szCs w:val="24"/>
          <w:highlight w:val="none"/>
          <w:lang w:val="en-US" w:eastAsia="zh-CN"/>
          <w14:textFill>
            <w14:solidFill>
              <w14:schemeClr w14:val="tx1"/>
            </w14:solidFill>
          </w14:textFill>
        </w:rPr>
        <w:t>二</w:t>
      </w:r>
      <w:r>
        <w:rPr>
          <w:rFonts w:hint="eastAsia" w:ascii="宋体" w:hAnsi="宋体" w:eastAsia="宋体" w:cs="宋体"/>
          <w:color w:val="000000" w:themeColor="text1"/>
          <w:sz w:val="24"/>
          <w:szCs w:val="24"/>
          <w:highlight w:val="none"/>
          <w14:textFill>
            <w14:solidFill>
              <w14:schemeClr w14:val="tx1"/>
            </w14:solidFill>
          </w14:textFill>
        </w:rPr>
        <w:t>章  供应商须知</w:t>
      </w:r>
    </w:p>
    <w:p w14:paraId="2E67D539">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第</w:t>
      </w:r>
      <w:r>
        <w:rPr>
          <w:rFonts w:hint="eastAsia" w:ascii="宋体" w:hAnsi="宋体" w:eastAsia="宋体" w:cs="宋体"/>
          <w:color w:val="000000" w:themeColor="text1"/>
          <w:sz w:val="24"/>
          <w:szCs w:val="24"/>
          <w:highlight w:val="none"/>
          <w:lang w:eastAsia="zh-CN"/>
          <w14:textFill>
            <w14:solidFill>
              <w14:schemeClr w14:val="tx1"/>
            </w14:solidFill>
          </w14:textFill>
        </w:rPr>
        <w:t>三</w:t>
      </w:r>
      <w:r>
        <w:rPr>
          <w:rFonts w:hint="eastAsia" w:ascii="宋体" w:hAnsi="宋体" w:eastAsia="宋体" w:cs="宋体"/>
          <w:color w:val="000000" w:themeColor="text1"/>
          <w:sz w:val="24"/>
          <w:szCs w:val="24"/>
          <w:highlight w:val="none"/>
          <w14:textFill>
            <w14:solidFill>
              <w14:schemeClr w14:val="tx1"/>
            </w14:solidFill>
          </w14:textFill>
        </w:rPr>
        <w:t>章  招标内容及要求</w:t>
      </w:r>
    </w:p>
    <w:p w14:paraId="4B46DA41">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第</w:t>
      </w:r>
      <w:r>
        <w:rPr>
          <w:rFonts w:hint="eastAsia" w:ascii="宋体" w:hAnsi="宋体" w:eastAsia="宋体" w:cs="宋体"/>
          <w:color w:val="000000" w:themeColor="text1"/>
          <w:sz w:val="24"/>
          <w:szCs w:val="24"/>
          <w:highlight w:val="none"/>
          <w:lang w:eastAsia="zh-CN"/>
          <w14:textFill>
            <w14:solidFill>
              <w14:schemeClr w14:val="tx1"/>
            </w14:solidFill>
          </w14:textFill>
        </w:rPr>
        <w:t>四</w:t>
      </w:r>
      <w:r>
        <w:rPr>
          <w:rFonts w:hint="eastAsia" w:ascii="宋体" w:hAnsi="宋体" w:eastAsia="宋体" w:cs="宋体"/>
          <w:color w:val="000000" w:themeColor="text1"/>
          <w:sz w:val="24"/>
          <w:szCs w:val="24"/>
          <w:highlight w:val="none"/>
          <w14:textFill>
            <w14:solidFill>
              <w14:schemeClr w14:val="tx1"/>
            </w14:solidFill>
          </w14:textFill>
        </w:rPr>
        <w:t>章  合同文本</w:t>
      </w:r>
    </w:p>
    <w:p w14:paraId="34D7999E">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第</w:t>
      </w:r>
      <w:r>
        <w:rPr>
          <w:rFonts w:hint="eastAsia" w:ascii="宋体" w:hAnsi="宋体" w:eastAsia="宋体" w:cs="宋体"/>
          <w:color w:val="000000" w:themeColor="text1"/>
          <w:sz w:val="24"/>
          <w:szCs w:val="24"/>
          <w:highlight w:val="none"/>
          <w:lang w:eastAsia="zh-CN"/>
          <w14:textFill>
            <w14:solidFill>
              <w14:schemeClr w14:val="tx1"/>
            </w14:solidFill>
          </w14:textFill>
        </w:rPr>
        <w:t>五</w:t>
      </w:r>
      <w:r>
        <w:rPr>
          <w:rFonts w:hint="eastAsia" w:ascii="宋体" w:hAnsi="宋体" w:eastAsia="宋体" w:cs="宋体"/>
          <w:color w:val="000000" w:themeColor="text1"/>
          <w:sz w:val="24"/>
          <w:szCs w:val="24"/>
          <w:highlight w:val="none"/>
          <w14:textFill>
            <w14:solidFill>
              <w14:schemeClr w14:val="tx1"/>
            </w14:solidFill>
          </w14:textFill>
        </w:rPr>
        <w:t>章  投标文件构成及格式</w:t>
      </w:r>
    </w:p>
    <w:p w14:paraId="79222ABA">
      <w:pPr>
        <w:pStyle w:val="108"/>
        <w:spacing w:before="120" w:after="120"/>
        <w:ind w:firstLine="562"/>
        <w:outlineLvl w:val="3"/>
        <w:rPr>
          <w:rFonts w:hint="eastAsia" w:ascii="宋体" w:hAnsi="宋体" w:eastAsia="宋体" w:cs="宋体"/>
          <w:color w:val="000000" w:themeColor="text1"/>
          <w:sz w:val="24"/>
          <w:szCs w:val="24"/>
          <w:highlight w:val="none"/>
          <w14:textFill>
            <w14:solidFill>
              <w14:schemeClr w14:val="tx1"/>
            </w14:solidFill>
          </w14:textFill>
        </w:rPr>
      </w:pPr>
      <w:bookmarkStart w:id="99" w:name="_Toc9476"/>
      <w:bookmarkStart w:id="100" w:name="_Toc12003"/>
      <w:bookmarkStart w:id="101" w:name="_Toc29373"/>
      <w:bookmarkStart w:id="102" w:name="_Toc28534"/>
      <w:r>
        <w:rPr>
          <w:rFonts w:hint="eastAsia" w:ascii="宋体" w:hAnsi="宋体" w:eastAsia="宋体" w:cs="宋体"/>
          <w:color w:val="000000" w:themeColor="text1"/>
          <w:sz w:val="24"/>
          <w:szCs w:val="24"/>
          <w:highlight w:val="none"/>
          <w14:textFill>
            <w14:solidFill>
              <w14:schemeClr w14:val="tx1"/>
            </w14:solidFill>
          </w14:textFill>
        </w:rPr>
        <w:t>（三）招标文件的检查及阅读</w:t>
      </w:r>
      <w:bookmarkEnd w:id="99"/>
      <w:bookmarkEnd w:id="100"/>
      <w:bookmarkEnd w:id="101"/>
      <w:bookmarkEnd w:id="102"/>
    </w:p>
    <w:p w14:paraId="136491CB">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供应商应认真阅读和充分理解招标文件中所有的事项、格式条款和规范要求，在投标文件中对招标文件做出全面响应，并按招标文件的要求提交全部资料。</w:t>
      </w:r>
    </w:p>
    <w:p w14:paraId="41CF5425">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项目废标后重新组织招标的，采购代理机构将重新编制、发布新版招标文件，供应商应按新版招标文件重新编制投标文件。原招标文件及投标文件失效。</w:t>
      </w:r>
    </w:p>
    <w:p w14:paraId="5D418DF7">
      <w:pPr>
        <w:pStyle w:val="108"/>
        <w:spacing w:before="120" w:after="120"/>
        <w:ind w:firstLine="562"/>
        <w:outlineLvl w:val="3"/>
        <w:rPr>
          <w:rFonts w:hint="eastAsia" w:ascii="宋体" w:hAnsi="宋体" w:eastAsia="宋体" w:cs="宋体"/>
          <w:color w:val="000000" w:themeColor="text1"/>
          <w:sz w:val="24"/>
          <w:szCs w:val="24"/>
          <w:highlight w:val="none"/>
          <w14:textFill>
            <w14:solidFill>
              <w14:schemeClr w14:val="tx1"/>
            </w14:solidFill>
          </w14:textFill>
        </w:rPr>
      </w:pPr>
      <w:bookmarkStart w:id="103" w:name="_Toc6838"/>
      <w:bookmarkStart w:id="104" w:name="_Toc22897"/>
      <w:bookmarkStart w:id="105" w:name="_Toc15105"/>
      <w:bookmarkStart w:id="106" w:name="_Toc16075"/>
      <w:r>
        <w:rPr>
          <w:rFonts w:hint="eastAsia" w:ascii="宋体" w:hAnsi="宋体" w:eastAsia="宋体" w:cs="宋体"/>
          <w:color w:val="000000" w:themeColor="text1"/>
          <w:sz w:val="24"/>
          <w:szCs w:val="24"/>
          <w:highlight w:val="none"/>
          <w14:textFill>
            <w14:solidFill>
              <w14:schemeClr w14:val="tx1"/>
            </w14:solidFill>
          </w14:textFill>
        </w:rPr>
        <w:t>（四）招标文件的修改、澄清</w:t>
      </w:r>
      <w:bookmarkEnd w:id="103"/>
      <w:bookmarkEnd w:id="104"/>
      <w:bookmarkEnd w:id="105"/>
      <w:bookmarkEnd w:id="106"/>
    </w:p>
    <w:p w14:paraId="7BAC12E5">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1．提交投标文件截止之日前，采购人或采购代理机构可能对已发出的招标文件进行澄清或者修改，澄清或者修改的内容为招标文件的组成部分。</w:t>
      </w:r>
    </w:p>
    <w:p w14:paraId="06E731A6">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2．当需要澄清或修改时，采购代理机构将在提交投标文件截止之日15日前，在财政部门指定的“政府采购信息发布媒体”上发布变更公告。不足15日的，将顺延提交投标文件截止时间。</w:t>
      </w:r>
    </w:p>
    <w:p w14:paraId="2E052515">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澄清或修改的内容可能影响投标文件编制时，采购代理机构将在发布变更公告的同时，提醒供应商下载答疑文件（*.SXSCF，即更新后的电子招标文件）。供应商应及时从西安市公共资源交易平台〖首页·〉电子交易平台·〉陕西政府采购交易系统·〉企业端〗登录，登录后切换到〖我的项目〗模块，从〖项目流程·〉项目管理·〉答疑文件下载〗获取更新后的电子招标文件（*.SXSCF），使用旧版电子招标文件制作的电子投标文件（*.SXSTF），系统将拒绝接收。</w:t>
      </w:r>
    </w:p>
    <w:p w14:paraId="5E76FEDF">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4．请各供应商在提交投标文件截止时间之前，务必随时关注“政府采购信息发布媒体”上发布的变更公告，采购代理机构不再另行通知，因供应商未及时关注所造成的一切后果由供应商自行承担：</w:t>
      </w:r>
    </w:p>
    <w:p w14:paraId="2A81029E">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"http://www.ccgp-shaanxi.gov.cn" </w:instrText>
      </w:r>
      <w:r>
        <w:rPr>
          <w:rFonts w:hint="eastAsia" w:ascii="宋体" w:hAnsi="宋体" w:eastAsia="宋体" w:cs="宋体"/>
          <w:sz w:val="24"/>
          <w:szCs w:val="24"/>
          <w:highlight w:val="none"/>
        </w:rPr>
        <w:fldChar w:fldCharType="separate"/>
      </w:r>
      <w:r>
        <w:rPr>
          <w:rStyle w:val="42"/>
          <w:rFonts w:hint="eastAsia" w:ascii="宋体" w:hAnsi="宋体" w:eastAsia="宋体" w:cs="宋体"/>
          <w:color w:val="000000" w:themeColor="text1"/>
          <w:sz w:val="24"/>
          <w:szCs w:val="24"/>
          <w:highlight w:val="none"/>
          <w:u w:val="none"/>
          <w14:textFill>
            <w14:solidFill>
              <w14:schemeClr w14:val="tx1"/>
            </w14:solidFill>
          </w14:textFill>
        </w:rPr>
        <w:t>陕西省政府采购网</w:t>
      </w:r>
      <w:r>
        <w:rPr>
          <w:rStyle w:val="42"/>
          <w:rFonts w:hint="eastAsia" w:ascii="宋体" w:hAnsi="宋体" w:eastAsia="宋体" w:cs="宋体"/>
          <w:color w:val="000000" w:themeColor="text1"/>
          <w:sz w:val="24"/>
          <w:szCs w:val="24"/>
          <w:highlight w:val="none"/>
          <w:u w:val="none"/>
          <w14:textFill>
            <w14:solidFill>
              <w14:schemeClr w14:val="tx1"/>
            </w14:solidFill>
          </w14:textFill>
        </w:rPr>
        <w:fldChar w:fldCharType="end"/>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"http://www.ccgp-shaanxi.gov.cn/" </w:instrText>
      </w:r>
      <w:r>
        <w:rPr>
          <w:rFonts w:hint="eastAsia" w:ascii="宋体" w:hAnsi="宋体" w:eastAsia="宋体" w:cs="宋体"/>
          <w:sz w:val="24"/>
          <w:szCs w:val="24"/>
          <w:highlight w:val="none"/>
        </w:rPr>
        <w:fldChar w:fldCharType="separate"/>
      </w:r>
      <w:r>
        <w:rPr>
          <w:rStyle w:val="42"/>
          <w:rFonts w:hint="eastAsia" w:ascii="宋体" w:hAnsi="宋体" w:eastAsia="宋体" w:cs="宋体"/>
          <w:color w:val="000000" w:themeColor="text1"/>
          <w:sz w:val="24"/>
          <w:szCs w:val="24"/>
          <w:highlight w:val="none"/>
          <w:u w:val="none"/>
          <w14:textFill>
            <w14:solidFill>
              <w14:schemeClr w14:val="tx1"/>
            </w14:solidFill>
          </w14:textFill>
        </w:rPr>
        <w:t>http://www.ccgp-shaanxi.gov.cn/</w:t>
      </w:r>
      <w:r>
        <w:rPr>
          <w:rStyle w:val="42"/>
          <w:rFonts w:hint="eastAsia" w:ascii="宋体" w:hAnsi="宋体" w:eastAsia="宋体" w:cs="宋体"/>
          <w:color w:val="000000" w:themeColor="text1"/>
          <w:sz w:val="24"/>
          <w:szCs w:val="24"/>
          <w:highlight w:val="none"/>
          <w:u w:val="none"/>
          <w14:textFill>
            <w14:solidFill>
              <w14:schemeClr w14:val="tx1"/>
            </w14:solidFill>
          </w14:textFill>
        </w:rPr>
        <w:fldChar w:fldCharType="end"/>
      </w:r>
      <w:r>
        <w:rPr>
          <w:rFonts w:hint="eastAsia" w:ascii="宋体" w:hAnsi="宋体" w:eastAsia="宋体" w:cs="宋体"/>
          <w:color w:val="000000" w:themeColor="text1"/>
          <w:sz w:val="24"/>
          <w:szCs w:val="24"/>
          <w:highlight w:val="none"/>
          <w14:textFill>
            <w14:solidFill>
              <w14:schemeClr w14:val="tx1"/>
            </w14:solidFill>
          </w14:textFill>
        </w:rPr>
        <w:t>）中的〖首页·〉信息公告·〉市级·〉西安市〗。</w:t>
      </w:r>
    </w:p>
    <w:p w14:paraId="7E687E2B">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"http://xa.sxggzyjy.cn/" </w:instrText>
      </w:r>
      <w:r>
        <w:rPr>
          <w:rFonts w:hint="eastAsia" w:ascii="宋体" w:hAnsi="宋体" w:eastAsia="宋体" w:cs="宋体"/>
          <w:sz w:val="24"/>
          <w:szCs w:val="24"/>
          <w:highlight w:val="none"/>
        </w:rPr>
        <w:fldChar w:fldCharType="separate"/>
      </w:r>
      <w:r>
        <w:rPr>
          <w:rStyle w:val="42"/>
          <w:rFonts w:hint="eastAsia" w:ascii="宋体" w:hAnsi="宋体" w:eastAsia="宋体" w:cs="宋体"/>
          <w:color w:val="000000" w:themeColor="text1"/>
          <w:sz w:val="24"/>
          <w:szCs w:val="24"/>
          <w:highlight w:val="none"/>
          <w:u w:val="none"/>
          <w14:textFill>
            <w14:solidFill>
              <w14:schemeClr w14:val="tx1"/>
            </w14:solidFill>
          </w14:textFill>
        </w:rPr>
        <w:t>全国公共资源交易网（陕西省·西安市）</w:t>
      </w:r>
      <w:r>
        <w:rPr>
          <w:rStyle w:val="42"/>
          <w:rFonts w:hint="eastAsia" w:ascii="宋体" w:hAnsi="宋体" w:eastAsia="宋体" w:cs="宋体"/>
          <w:color w:val="000000" w:themeColor="text1"/>
          <w:sz w:val="24"/>
          <w:szCs w:val="24"/>
          <w:highlight w:val="none"/>
          <w:u w:val="none"/>
          <w14:textFill>
            <w14:solidFill>
              <w14:schemeClr w14:val="tx1"/>
            </w14:solidFill>
          </w14:textFill>
        </w:rPr>
        <w:fldChar w:fldCharType="end"/>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"http://sxggzyjy.xa.gov.cn/" </w:instrText>
      </w:r>
      <w:r>
        <w:rPr>
          <w:rFonts w:hint="eastAsia" w:ascii="宋体" w:hAnsi="宋体" w:eastAsia="宋体" w:cs="宋体"/>
          <w:sz w:val="24"/>
          <w:szCs w:val="24"/>
          <w:highlight w:val="none"/>
        </w:rPr>
        <w:fldChar w:fldCharType="separate"/>
      </w:r>
      <w:r>
        <w:rPr>
          <w:rStyle w:val="42"/>
          <w:rFonts w:hint="eastAsia" w:ascii="宋体" w:hAnsi="宋体" w:eastAsia="宋体" w:cs="宋体"/>
          <w:color w:val="000000" w:themeColor="text1"/>
          <w:sz w:val="24"/>
          <w:szCs w:val="24"/>
          <w:highlight w:val="none"/>
          <w:u w:val="none"/>
          <w14:textFill>
            <w14:solidFill>
              <w14:schemeClr w14:val="tx1"/>
            </w14:solidFill>
          </w14:textFill>
        </w:rPr>
        <w:t>http://sxggzyjy.xa.gov.cn/</w:t>
      </w:r>
      <w:r>
        <w:rPr>
          <w:rStyle w:val="42"/>
          <w:rFonts w:hint="eastAsia" w:ascii="宋体" w:hAnsi="宋体" w:eastAsia="宋体" w:cs="宋体"/>
          <w:color w:val="000000" w:themeColor="text1"/>
          <w:sz w:val="24"/>
          <w:szCs w:val="24"/>
          <w:highlight w:val="none"/>
          <w:u w:val="none"/>
          <w14:textFill>
            <w14:solidFill>
              <w14:schemeClr w14:val="tx1"/>
            </w14:solidFill>
          </w14:textFill>
        </w:rPr>
        <w:fldChar w:fldCharType="end"/>
      </w:r>
      <w:r>
        <w:rPr>
          <w:rFonts w:hint="eastAsia" w:ascii="宋体" w:hAnsi="宋体" w:eastAsia="宋体" w:cs="宋体"/>
          <w:color w:val="000000" w:themeColor="text1"/>
          <w:sz w:val="24"/>
          <w:szCs w:val="24"/>
          <w:highlight w:val="none"/>
          <w14:textFill>
            <w14:solidFill>
              <w14:schemeClr w14:val="tx1"/>
            </w14:solidFill>
          </w14:textFill>
        </w:rPr>
        <w:t>）中的〖首页·〉交易大厅·〉政府采购〗。</w:t>
      </w:r>
    </w:p>
    <w:p w14:paraId="79D5B6BA">
      <w:pPr>
        <w:pStyle w:val="5"/>
        <w:bidi w:val="0"/>
        <w:jc w:val="center"/>
        <w:rPr>
          <w:rFonts w:hint="eastAsia" w:ascii="宋体" w:hAnsi="宋体" w:eastAsia="宋体" w:cs="宋体"/>
          <w:b/>
          <w:bCs/>
          <w:sz w:val="28"/>
          <w:szCs w:val="28"/>
        </w:rPr>
      </w:pPr>
      <w:bookmarkStart w:id="107" w:name="_Toc23967"/>
      <w:r>
        <w:rPr>
          <w:rFonts w:hint="eastAsia" w:ascii="宋体" w:hAnsi="宋体" w:eastAsia="宋体" w:cs="宋体"/>
          <w:b/>
          <w:bCs/>
          <w:sz w:val="28"/>
          <w:szCs w:val="28"/>
        </w:rPr>
        <w:t>四、投标文件</w:t>
      </w:r>
      <w:bookmarkEnd w:id="107"/>
    </w:p>
    <w:p w14:paraId="50ECE5CF">
      <w:pPr>
        <w:pStyle w:val="108"/>
        <w:spacing w:before="120" w:after="120"/>
        <w:ind w:firstLine="562"/>
        <w:outlineLvl w:val="3"/>
        <w:rPr>
          <w:rFonts w:hint="eastAsia" w:ascii="宋体" w:hAnsi="宋体" w:eastAsia="宋体" w:cs="宋体"/>
          <w:color w:val="000000" w:themeColor="text1"/>
          <w:sz w:val="24"/>
          <w:szCs w:val="24"/>
          <w:highlight w:val="none"/>
          <w14:textFill>
            <w14:solidFill>
              <w14:schemeClr w14:val="tx1"/>
            </w14:solidFill>
          </w14:textFill>
        </w:rPr>
      </w:pPr>
      <w:bookmarkStart w:id="108" w:name="_Toc32648"/>
      <w:bookmarkStart w:id="109" w:name="_Toc7988"/>
      <w:bookmarkStart w:id="110" w:name="_Toc27491"/>
      <w:bookmarkStart w:id="111" w:name="_Toc26487"/>
      <w:r>
        <w:rPr>
          <w:rFonts w:hint="eastAsia" w:ascii="宋体" w:hAnsi="宋体" w:eastAsia="宋体" w:cs="宋体"/>
          <w:color w:val="000000" w:themeColor="text1"/>
          <w:sz w:val="24"/>
          <w:szCs w:val="24"/>
          <w:highlight w:val="none"/>
          <w14:textFill>
            <w14:solidFill>
              <w14:schemeClr w14:val="tx1"/>
            </w14:solidFill>
          </w14:textFill>
        </w:rPr>
        <w:t>（一）投标文件的式样</w:t>
      </w:r>
      <w:bookmarkEnd w:id="108"/>
      <w:bookmarkEnd w:id="109"/>
      <w:bookmarkEnd w:id="110"/>
      <w:bookmarkEnd w:id="111"/>
    </w:p>
    <w:p w14:paraId="53778C34">
      <w:pPr>
        <w:pStyle w:val="107"/>
        <w:outlineLvl w:val="9"/>
        <w:rPr>
          <w:rFonts w:hint="eastAsia" w:ascii="宋体" w:hAnsi="宋体" w:eastAsia="宋体" w:cs="宋体"/>
          <w:color w:val="000000" w:themeColor="text1"/>
          <w:sz w:val="24"/>
          <w:szCs w:val="24"/>
          <w:highlight w:val="none"/>
          <w14:textFill>
            <w14:solidFill>
              <w14:schemeClr w14:val="tx1"/>
            </w14:solidFill>
          </w14:textFill>
        </w:rPr>
      </w:pPr>
      <w:bookmarkStart w:id="112" w:name="_Toc4380"/>
      <w:bookmarkStart w:id="113" w:name="_Toc10324"/>
      <w:bookmarkStart w:id="114" w:name="_Toc7870"/>
      <w:r>
        <w:rPr>
          <w:rFonts w:hint="eastAsia" w:ascii="宋体" w:hAnsi="宋体" w:eastAsia="宋体" w:cs="宋体"/>
          <w:color w:val="000000" w:themeColor="text1"/>
          <w:sz w:val="24"/>
          <w:szCs w:val="24"/>
          <w:highlight w:val="none"/>
          <w14:textFill>
            <w14:solidFill>
              <w14:schemeClr w14:val="tx1"/>
            </w14:solidFill>
          </w14:textFill>
        </w:rPr>
        <w:t>1．组成及格式</w:t>
      </w:r>
      <w:bookmarkEnd w:id="112"/>
      <w:bookmarkEnd w:id="113"/>
      <w:bookmarkEnd w:id="114"/>
    </w:p>
    <w:p w14:paraId="60D33E7A">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供应商依照招标文件第五章《投标文件构成及格式》给定形式进行编制投标文件。</w:t>
      </w:r>
    </w:p>
    <w:p w14:paraId="559D81EC">
      <w:pPr>
        <w:pStyle w:val="107"/>
        <w:outlineLvl w:val="9"/>
        <w:rPr>
          <w:rFonts w:hint="eastAsia" w:ascii="宋体" w:hAnsi="宋体" w:eastAsia="宋体" w:cs="宋体"/>
          <w:color w:val="000000" w:themeColor="text1"/>
          <w:sz w:val="24"/>
          <w:szCs w:val="24"/>
          <w:highlight w:val="none"/>
          <w14:textFill>
            <w14:solidFill>
              <w14:schemeClr w14:val="tx1"/>
            </w14:solidFill>
          </w14:textFill>
        </w:rPr>
      </w:pPr>
      <w:bookmarkStart w:id="115" w:name="_Toc6421"/>
      <w:bookmarkStart w:id="116" w:name="_Toc7406"/>
      <w:bookmarkStart w:id="117" w:name="_Toc2969"/>
      <w:r>
        <w:rPr>
          <w:rFonts w:hint="eastAsia" w:ascii="宋体" w:hAnsi="宋体" w:eastAsia="宋体" w:cs="宋体"/>
          <w:color w:val="000000" w:themeColor="text1"/>
          <w:sz w:val="24"/>
          <w:szCs w:val="24"/>
          <w:highlight w:val="none"/>
          <w14:textFill>
            <w14:solidFill>
              <w14:schemeClr w14:val="tx1"/>
            </w14:solidFill>
          </w14:textFill>
        </w:rPr>
        <w:t>2．语言</w:t>
      </w:r>
      <w:bookmarkEnd w:id="115"/>
      <w:bookmarkEnd w:id="116"/>
      <w:bookmarkEnd w:id="117"/>
    </w:p>
    <w:p w14:paraId="0015330E">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招标活动的所有文件、资料、函电文字均使用简体中文，确需提交用其他语言形成的资料，必须翻译成简体中文，如有差异，以简体中文为准。</w:t>
      </w:r>
    </w:p>
    <w:p w14:paraId="33724FE2">
      <w:pPr>
        <w:pStyle w:val="107"/>
        <w:outlineLvl w:val="9"/>
        <w:rPr>
          <w:rFonts w:hint="eastAsia" w:ascii="宋体" w:hAnsi="宋体" w:eastAsia="宋体" w:cs="宋体"/>
          <w:color w:val="000000" w:themeColor="text1"/>
          <w:sz w:val="24"/>
          <w:szCs w:val="24"/>
          <w:highlight w:val="none"/>
          <w14:textFill>
            <w14:solidFill>
              <w14:schemeClr w14:val="tx1"/>
            </w14:solidFill>
          </w14:textFill>
        </w:rPr>
      </w:pPr>
      <w:bookmarkStart w:id="118" w:name="_Toc9006"/>
      <w:bookmarkStart w:id="119" w:name="_Toc3202"/>
      <w:bookmarkStart w:id="120" w:name="_Toc5789"/>
      <w:r>
        <w:rPr>
          <w:rFonts w:hint="eastAsia" w:ascii="宋体" w:hAnsi="宋体" w:eastAsia="宋体" w:cs="宋体"/>
          <w:color w:val="000000" w:themeColor="text1"/>
          <w:sz w:val="24"/>
          <w:szCs w:val="24"/>
          <w:highlight w:val="none"/>
          <w14:textFill>
            <w14:solidFill>
              <w14:schemeClr w14:val="tx1"/>
            </w14:solidFill>
          </w14:textFill>
        </w:rPr>
        <w:t>3．计量单位</w:t>
      </w:r>
      <w:bookmarkEnd w:id="118"/>
      <w:bookmarkEnd w:id="119"/>
      <w:bookmarkEnd w:id="120"/>
    </w:p>
    <w:p w14:paraId="2615FE56">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投标文件的计量单位应使用中华人民共和国法定计量单位，但招标文件另有规定的除外。</w:t>
      </w:r>
    </w:p>
    <w:p w14:paraId="6634A02D">
      <w:pPr>
        <w:pStyle w:val="108"/>
        <w:spacing w:before="120" w:after="120"/>
        <w:ind w:firstLine="562"/>
        <w:outlineLvl w:val="3"/>
        <w:rPr>
          <w:rFonts w:hint="eastAsia" w:ascii="宋体" w:hAnsi="宋体" w:eastAsia="宋体" w:cs="宋体"/>
          <w:color w:val="000000" w:themeColor="text1"/>
          <w:sz w:val="24"/>
          <w:szCs w:val="24"/>
          <w:highlight w:val="none"/>
          <w14:textFill>
            <w14:solidFill>
              <w14:schemeClr w14:val="tx1"/>
            </w14:solidFill>
          </w14:textFill>
        </w:rPr>
      </w:pPr>
      <w:bookmarkStart w:id="121" w:name="_Toc32395"/>
      <w:bookmarkStart w:id="122" w:name="_Toc29110"/>
      <w:bookmarkStart w:id="123" w:name="_Toc13964"/>
      <w:bookmarkStart w:id="124" w:name="_Toc19653"/>
      <w:r>
        <w:rPr>
          <w:rFonts w:hint="eastAsia" w:ascii="宋体" w:hAnsi="宋体" w:eastAsia="宋体" w:cs="宋体"/>
          <w:color w:val="000000" w:themeColor="text1"/>
          <w:sz w:val="24"/>
          <w:szCs w:val="24"/>
          <w:highlight w:val="none"/>
          <w14:textFill>
            <w14:solidFill>
              <w14:schemeClr w14:val="tx1"/>
            </w14:solidFill>
          </w14:textFill>
        </w:rPr>
        <w:t>（二）投标文件的有效期</w:t>
      </w:r>
      <w:bookmarkEnd w:id="121"/>
      <w:bookmarkEnd w:id="122"/>
      <w:bookmarkEnd w:id="123"/>
      <w:bookmarkEnd w:id="124"/>
    </w:p>
    <w:p w14:paraId="0F15B4B1">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投标文件有效期为自开标之日起不少于90个日历日。如中标，延长至合同执行完毕时止。</w:t>
      </w:r>
    </w:p>
    <w:p w14:paraId="57A1CEF6">
      <w:pPr>
        <w:pStyle w:val="108"/>
        <w:spacing w:before="120" w:after="120"/>
        <w:ind w:firstLine="562"/>
        <w:outlineLvl w:val="3"/>
        <w:rPr>
          <w:rFonts w:hint="eastAsia" w:ascii="宋体" w:hAnsi="宋体" w:eastAsia="宋体" w:cs="宋体"/>
          <w:color w:val="000000" w:themeColor="text1"/>
          <w:sz w:val="24"/>
          <w:szCs w:val="24"/>
          <w:highlight w:val="none"/>
          <w14:textFill>
            <w14:solidFill>
              <w14:schemeClr w14:val="tx1"/>
            </w14:solidFill>
          </w14:textFill>
        </w:rPr>
      </w:pPr>
      <w:bookmarkStart w:id="125" w:name="_Toc24676"/>
      <w:bookmarkStart w:id="126" w:name="_Toc10386"/>
      <w:bookmarkStart w:id="127" w:name="_Toc931"/>
      <w:bookmarkStart w:id="128" w:name="_Toc24036"/>
      <w:r>
        <w:rPr>
          <w:rFonts w:hint="eastAsia" w:ascii="宋体" w:hAnsi="宋体" w:eastAsia="宋体" w:cs="宋体"/>
          <w:color w:val="000000" w:themeColor="text1"/>
          <w:sz w:val="24"/>
          <w:szCs w:val="24"/>
          <w:highlight w:val="none"/>
          <w14:textFill>
            <w14:solidFill>
              <w14:schemeClr w14:val="tx1"/>
            </w14:solidFill>
          </w14:textFill>
        </w:rPr>
        <w:t>（三）投标报价</w:t>
      </w:r>
      <w:bookmarkEnd w:id="125"/>
      <w:bookmarkEnd w:id="126"/>
      <w:bookmarkEnd w:id="127"/>
      <w:bookmarkEnd w:id="128"/>
    </w:p>
    <w:p w14:paraId="72DC57DA">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投标报价是供应商响应采购项目要求的全部工作内容的价格体现，包括完成采购内容所需的安装费、运输费、人工费、材料费、机械费、利润、税金及评审过程中其它相关的一切费用。</w:t>
      </w:r>
    </w:p>
    <w:p w14:paraId="502038FF">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1．供应商在报价时应充分考虑所有可能发生的费用，招标文件未列明，而供应商认为应当计取的费用均应列入报价中。报价时不论是否计取，采购人均按已计取对待。</w:t>
      </w:r>
    </w:p>
    <w:p w14:paraId="61882A30">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2．供应商应严格按照《投标文件构成及格式》第二部分《开标一览表》中的相关要求填写分类报价及其他需要响应的内容。投标报价只能提交唯一报价，任何有选择的报价将不予接受，按无效投标处理。</w:t>
      </w:r>
    </w:p>
    <w:p w14:paraId="23D7D245">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3．投标报价货币：人民币。单位：元。</w:t>
      </w:r>
    </w:p>
    <w:p w14:paraId="2EAC4303">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4．投标文件报价出现前后不一致的，除招标文件另有规定外，按照下列规则修正：</w:t>
      </w:r>
    </w:p>
    <w:p w14:paraId="26C1E2F3">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（1）投标文件中开标一览表内容与投标文件中其他位置相应内容表述不一致的，以开标一览表为准。</w:t>
      </w:r>
    </w:p>
    <w:p w14:paraId="395A4ECD">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（2）大写金额和小写金额不一致的，以大写金额为准。</w:t>
      </w:r>
    </w:p>
    <w:p w14:paraId="27AD339D">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（3）单价金额小数点或者百分比有明显错位的，以开标一览表的总价为准，并修改单价。</w:t>
      </w:r>
    </w:p>
    <w:p w14:paraId="50A92316">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（4）总价金额与按单价汇总金额不一致的，以单价金额计算结果为准。</w:t>
      </w:r>
    </w:p>
    <w:p w14:paraId="57C7CCEB">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同时出现两种以上不一致的，按照前款规定的顺序修正。修正后的报价经供应商确认后产生约束力，供应商不确认的，其投标无效。</w:t>
      </w:r>
    </w:p>
    <w:p w14:paraId="2B36391F">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5．因供应商对招标文件理解不透、误解、疏漏或对市场行情了解不清造成的后果和风险，均由供应商自己负责。</w:t>
      </w:r>
    </w:p>
    <w:p w14:paraId="7D3F5FD7">
      <w:pPr>
        <w:pStyle w:val="108"/>
        <w:spacing w:before="120" w:after="120"/>
        <w:ind w:firstLine="562"/>
        <w:outlineLvl w:val="3"/>
        <w:rPr>
          <w:rFonts w:hint="eastAsia" w:ascii="宋体" w:hAnsi="宋体" w:eastAsia="宋体" w:cs="宋体"/>
          <w:color w:val="000000" w:themeColor="text1"/>
          <w:sz w:val="24"/>
          <w:szCs w:val="24"/>
          <w:highlight w:val="none"/>
          <w14:textFill>
            <w14:solidFill>
              <w14:schemeClr w14:val="tx1"/>
            </w14:solidFill>
          </w14:textFill>
        </w:rPr>
      </w:pPr>
      <w:bookmarkStart w:id="129" w:name="_Toc3121"/>
      <w:bookmarkStart w:id="130" w:name="_Toc19004"/>
      <w:bookmarkStart w:id="131" w:name="_Toc20169"/>
      <w:bookmarkStart w:id="132" w:name="_Toc29068"/>
      <w:r>
        <w:rPr>
          <w:rFonts w:hint="eastAsia" w:ascii="宋体" w:hAnsi="宋体" w:eastAsia="宋体" w:cs="宋体"/>
          <w:color w:val="000000" w:themeColor="text1"/>
          <w:sz w:val="24"/>
          <w:szCs w:val="24"/>
          <w:highlight w:val="none"/>
          <w14:textFill>
            <w14:solidFill>
              <w14:schemeClr w14:val="tx1"/>
            </w14:solidFill>
          </w14:textFill>
        </w:rPr>
        <w:t>（四）投标文件的制作和签章</w:t>
      </w:r>
      <w:bookmarkEnd w:id="129"/>
      <w:bookmarkEnd w:id="130"/>
      <w:bookmarkEnd w:id="131"/>
      <w:bookmarkEnd w:id="132"/>
    </w:p>
    <w:p w14:paraId="44A96784">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电子投标文件（*.SXSTF）需要使用专用制作软件——“新点投标文件制作软件（陕西公共资源）”进行编制。软件下载地址及操作手册：见西安市公共资源交易平台〖首页〉服务指南〉下载专区〗中的《政府采购项目投标文件制作软件及操作手册》。</w:t>
      </w:r>
    </w:p>
    <w:p w14:paraId="0D7383EF">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链接地址：</w:t>
      </w:r>
    </w:p>
    <w:p w14:paraId="4A2C82D4">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"http://sxggzyjy.xa.gov.cn/fwzn/004003/20181115/4d59c184-e8f6-4d5a-a416-c2f6b0601e66.html" </w:instrText>
      </w:r>
      <w:r>
        <w:rPr>
          <w:rFonts w:hint="eastAsia" w:ascii="宋体" w:hAnsi="宋体" w:eastAsia="宋体" w:cs="宋体"/>
          <w:sz w:val="24"/>
          <w:szCs w:val="24"/>
          <w:highlight w:val="none"/>
        </w:rPr>
        <w:fldChar w:fldCharType="separate"/>
      </w:r>
      <w:r>
        <w:rPr>
          <w:rStyle w:val="42"/>
          <w:rFonts w:hint="eastAsia" w:ascii="宋体" w:hAnsi="宋体" w:eastAsia="宋体" w:cs="宋体"/>
          <w:color w:val="000000" w:themeColor="text1"/>
          <w:sz w:val="24"/>
          <w:szCs w:val="24"/>
          <w:highlight w:val="none"/>
          <w14:textFill>
            <w14:solidFill>
              <w14:schemeClr w14:val="tx1"/>
            </w14:solidFill>
          </w14:textFill>
        </w:rPr>
        <w:t>http://sxggzyjy.xa.gov.cn/fwzn/004003/20181115/4d59c184-e8f6-4d5a-a416-c2f6b0601e66.html</w:t>
      </w:r>
      <w:r>
        <w:rPr>
          <w:rStyle w:val="42"/>
          <w:rFonts w:hint="eastAsia" w:ascii="宋体" w:hAnsi="宋体" w:eastAsia="宋体" w:cs="宋体"/>
          <w:color w:val="000000" w:themeColor="text1"/>
          <w:sz w:val="24"/>
          <w:szCs w:val="24"/>
          <w:highlight w:val="none"/>
          <w14:textFill>
            <w14:solidFill>
              <w14:schemeClr w14:val="tx1"/>
            </w14:solidFill>
          </w14:textFill>
        </w:rPr>
        <w:fldChar w:fldCharType="end"/>
      </w:r>
    </w:p>
    <w:p w14:paraId="3C3DF561">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编制电子投标文件前，务必先做好电子招标文件的备份工作。然后按操作手册中给出的方法将电子招标文件（*.SXSZF）或答疑文件（*.SXSCF，即更新后的电子招标文件）导入制作软件，最后按照章节分别编制投标文件各个部分。</w:t>
      </w:r>
    </w:p>
    <w:p w14:paraId="1538C52D">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再次提醒：提交投标文件截止时间前，供应商应随时留意“政府采购信息发布媒体”上可能发布的变更公告。若变更公告中明确注明本项目伴有变更文件的，供应商应登录企业端后，从〖项目流程·〉项目管理·〉答疑文件下载〗获取更新后的电子招标文件（*.SXSCF），使用旧版电子招标文件制作的电子投标文件（*.SXSTF），系统将拒绝接收。</w:t>
      </w:r>
    </w:p>
    <w:p w14:paraId="1EEB6CA2">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3．电子投标文件制作过程中，需要法定代表人签字或盖章的地方，请使用“法人CA锁”进行签章。需要加盖供应商公章的地方，请使用“企业CA锁”进行签章。</w:t>
      </w:r>
    </w:p>
    <w:p w14:paraId="554D6326">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若导出的PDF文件里看不到签章，请尝试使用专用制作软件中的“查看投标文件工具”打开未加密的电子投标文件重新导出。在制作过程中，如有其他技术性问题，请先翻阅操作手册，或致电软件开发商。</w:t>
      </w:r>
    </w:p>
    <w:p w14:paraId="520AB09B">
      <w:pPr>
        <w:pStyle w:val="108"/>
        <w:spacing w:before="120" w:after="120"/>
        <w:ind w:firstLine="562"/>
        <w:outlineLvl w:val="3"/>
        <w:rPr>
          <w:rFonts w:hint="eastAsia" w:ascii="宋体" w:hAnsi="宋体" w:eastAsia="宋体" w:cs="宋体"/>
          <w:color w:val="000000" w:themeColor="text1"/>
          <w:sz w:val="24"/>
          <w:szCs w:val="24"/>
          <w:highlight w:val="none"/>
          <w14:textFill>
            <w14:solidFill>
              <w14:schemeClr w14:val="tx1"/>
            </w14:solidFill>
          </w14:textFill>
        </w:rPr>
      </w:pPr>
      <w:bookmarkStart w:id="133" w:name="_Toc809"/>
      <w:bookmarkStart w:id="134" w:name="_Toc16688"/>
      <w:bookmarkStart w:id="135" w:name="_Toc19771"/>
      <w:bookmarkStart w:id="136" w:name="_Toc3908"/>
      <w:r>
        <w:rPr>
          <w:rFonts w:hint="eastAsia" w:ascii="宋体" w:hAnsi="宋体" w:eastAsia="宋体" w:cs="宋体"/>
          <w:color w:val="000000" w:themeColor="text1"/>
          <w:sz w:val="24"/>
          <w:szCs w:val="24"/>
          <w:highlight w:val="none"/>
          <w14:textFill>
            <w14:solidFill>
              <w14:schemeClr w14:val="tx1"/>
            </w14:solidFill>
          </w14:textFill>
        </w:rPr>
        <w:t>（五）投标文件的加密和提交</w:t>
      </w:r>
      <w:bookmarkEnd w:id="133"/>
      <w:bookmarkEnd w:id="134"/>
      <w:bookmarkEnd w:id="135"/>
      <w:bookmarkEnd w:id="136"/>
    </w:p>
    <w:p w14:paraId="1CE0D892">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1．在生成电子投标文件时，需要使用CA锁对投标文件进行加密。</w:t>
      </w:r>
    </w:p>
    <w:p w14:paraId="0BCCE728">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注意：加密投标文件和开标时解密投标文件应当使用同一CA，否则将会导致解密失败。</w:t>
      </w:r>
    </w:p>
    <w:p w14:paraId="146BE4CE">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电子投标文件可于提交投标文件截止时间前任意时段，登录西安市公共资源交易平台〖首页·〉电子交易平台·〉企业端〗，登录后切换到〖我的项目〗模块下，依次点选〖项目流程·〉项目管理·〉上传响应文件〗，上传加密后的电子投标文件（*.SXSTF）。上传成功后，西安市公共资源交易平台政府采购系统将予以记录。</w:t>
      </w:r>
    </w:p>
    <w:p w14:paraId="3E0CCF40">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3．上传文件有误或需要重新提交的，可先撤销已经上传的文件，然后重新上传新文件。</w:t>
      </w:r>
    </w:p>
    <w:p w14:paraId="773EED0F">
      <w:pPr>
        <w:pStyle w:val="108"/>
        <w:spacing w:before="120" w:after="120"/>
        <w:ind w:firstLine="562"/>
        <w:outlineLvl w:val="3"/>
        <w:rPr>
          <w:rFonts w:hint="eastAsia" w:ascii="宋体" w:hAnsi="宋体" w:eastAsia="宋体" w:cs="宋体"/>
          <w:color w:val="000000" w:themeColor="text1"/>
          <w:sz w:val="24"/>
          <w:szCs w:val="24"/>
          <w:highlight w:val="none"/>
          <w14:textFill>
            <w14:solidFill>
              <w14:schemeClr w14:val="tx1"/>
            </w14:solidFill>
          </w14:textFill>
        </w:rPr>
      </w:pPr>
      <w:bookmarkStart w:id="137" w:name="_Toc10498"/>
      <w:bookmarkStart w:id="138" w:name="_Toc15229"/>
      <w:bookmarkStart w:id="139" w:name="_Toc9823"/>
      <w:bookmarkStart w:id="140" w:name="_Toc1286"/>
      <w:r>
        <w:rPr>
          <w:rFonts w:hint="eastAsia" w:ascii="宋体" w:hAnsi="宋体" w:eastAsia="宋体" w:cs="宋体"/>
          <w:color w:val="000000" w:themeColor="text1"/>
          <w:sz w:val="24"/>
          <w:szCs w:val="24"/>
          <w:highlight w:val="none"/>
          <w14:textFill>
            <w14:solidFill>
              <w14:schemeClr w14:val="tx1"/>
            </w14:solidFill>
          </w14:textFill>
        </w:rPr>
        <w:t>（六）投标文件的补充、修改和撤回</w:t>
      </w:r>
      <w:bookmarkEnd w:id="137"/>
      <w:bookmarkEnd w:id="138"/>
      <w:bookmarkEnd w:id="139"/>
      <w:bookmarkEnd w:id="140"/>
    </w:p>
    <w:p w14:paraId="4C647144">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供应商在提交投标文件截止时间前，可以对所提交的投标文件进行补充、修改或者撤回，并书面通知采购人、采购代理机构。补充、修改的内容作为投标文件的组成部分。补充、修改的内容与投标文件不一致的，以补充、修改的内容为准。</w:t>
      </w:r>
    </w:p>
    <w:p w14:paraId="063550B6">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2．供应商在提交投标文件截止时间后，撤回投标文件的，投标保证金不予退还。</w:t>
      </w:r>
    </w:p>
    <w:p w14:paraId="6931AE5B">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对已提交的电子投标文件进行补充、修改的，应先从电子交易平台上撤回旧文件，再重新提交新文件。中标后提交的纸质文件（备案用）应从专用制作软件中直接打印，与电子投标文件保持一致，不允许补充和修改。</w:t>
      </w:r>
    </w:p>
    <w:p w14:paraId="1A09E4D8">
      <w:pPr>
        <w:pStyle w:val="108"/>
        <w:spacing w:before="120" w:after="120"/>
        <w:ind w:firstLine="562"/>
        <w:outlineLvl w:val="3"/>
        <w:rPr>
          <w:rFonts w:hint="eastAsia" w:ascii="宋体" w:hAnsi="宋体" w:eastAsia="宋体" w:cs="宋体"/>
          <w:color w:val="000000" w:themeColor="text1"/>
          <w:sz w:val="24"/>
          <w:szCs w:val="24"/>
          <w:highlight w:val="none"/>
          <w14:textFill>
            <w14:solidFill>
              <w14:schemeClr w14:val="tx1"/>
            </w14:solidFill>
          </w14:textFill>
        </w:rPr>
      </w:pPr>
      <w:bookmarkStart w:id="141" w:name="_Toc18903"/>
      <w:bookmarkStart w:id="142" w:name="_Toc23655"/>
      <w:bookmarkStart w:id="143" w:name="_Toc9753"/>
      <w:bookmarkStart w:id="144" w:name="_Toc8326"/>
      <w:r>
        <w:rPr>
          <w:rFonts w:hint="eastAsia" w:ascii="宋体" w:hAnsi="宋体" w:eastAsia="宋体" w:cs="宋体"/>
          <w:color w:val="000000" w:themeColor="text1"/>
          <w:sz w:val="24"/>
          <w:szCs w:val="24"/>
          <w:highlight w:val="none"/>
          <w14:textFill>
            <w14:solidFill>
              <w14:schemeClr w14:val="tx1"/>
            </w14:solidFill>
          </w14:textFill>
        </w:rPr>
        <w:t>（七）关于投标文件的雷同性分析</w:t>
      </w:r>
      <w:bookmarkEnd w:id="141"/>
      <w:bookmarkEnd w:id="142"/>
      <w:bookmarkEnd w:id="143"/>
      <w:bookmarkEnd w:id="144"/>
    </w:p>
    <w:p w14:paraId="003F1E8C">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根据陕西省公共资源交易中心2021年7月22日印发的《关于在政府采购交易系统中开通标书雷同性分析功能的通知》，在符合性审查环节，将由评标委员会在评标系统中对供应商的电子投标文件进行雷同性分析。</w:t>
      </w:r>
    </w:p>
    <w:p w14:paraId="2658293D">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雷同性分析由两项指标组成，分别是“文件制作机器码”和“文件创建标识码”。其中，前者通过验证电子投标文件制作设备的特征信息（如MAC地址、硬盘序列号、CPU编号、主板号等），判断电子投标文件是否出自同一台设备。</w:t>
      </w:r>
    </w:p>
    <w:p w14:paraId="3F296C29">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若“文件制作机器码”一致，则表明不同投标供应商的电子投标文件出自同一台制作设备，根据《陕西省财政厅关于政府采购有关政策的复函》（陕财办采函〔2019〕18号），该情形可以视为投标供应商串通投标，其投标无效。</w:t>
      </w:r>
    </w:p>
    <w:p w14:paraId="39C7253F">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若“文件创建标识码”一致，则表示不同投标供应商使用投标文件制作软件时，使用同一源工程文件，该情形建议由评标委员会结合项目情况综合判定。</w:t>
      </w:r>
    </w:p>
    <w:p w14:paraId="3049C103">
      <w:pPr>
        <w:pStyle w:val="108"/>
        <w:spacing w:before="120" w:after="120"/>
        <w:ind w:firstLine="562"/>
        <w:outlineLvl w:val="3"/>
        <w:rPr>
          <w:rFonts w:hint="eastAsia" w:ascii="宋体" w:hAnsi="宋体" w:eastAsia="宋体" w:cs="宋体"/>
          <w:color w:val="000000" w:themeColor="text1"/>
          <w:sz w:val="24"/>
          <w:szCs w:val="24"/>
          <w:highlight w:val="none"/>
          <w14:textFill>
            <w14:solidFill>
              <w14:schemeClr w14:val="tx1"/>
            </w14:solidFill>
          </w14:textFill>
        </w:rPr>
      </w:pPr>
      <w:bookmarkStart w:id="145" w:name="_Toc22062"/>
      <w:bookmarkStart w:id="146" w:name="_Toc32375"/>
      <w:bookmarkStart w:id="147" w:name="_Toc26136"/>
      <w:bookmarkStart w:id="148" w:name="_Toc9954"/>
      <w:r>
        <w:rPr>
          <w:rFonts w:hint="eastAsia" w:ascii="宋体" w:hAnsi="宋体" w:eastAsia="宋体" w:cs="宋体"/>
          <w:color w:val="000000" w:themeColor="text1"/>
          <w:sz w:val="24"/>
          <w:szCs w:val="24"/>
          <w:highlight w:val="none"/>
          <w14:textFill>
            <w14:solidFill>
              <w14:schemeClr w14:val="tx1"/>
            </w14:solidFill>
          </w14:textFill>
        </w:rPr>
        <w:t>（八）投标文件被拒绝接收的情形</w:t>
      </w:r>
      <w:bookmarkEnd w:id="145"/>
      <w:bookmarkEnd w:id="146"/>
      <w:bookmarkEnd w:id="147"/>
      <w:bookmarkEnd w:id="148"/>
    </w:p>
    <w:p w14:paraId="6FD63D2A">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1．误投的或采用旧版电子招标文件制作的。</w:t>
      </w:r>
    </w:p>
    <w:p w14:paraId="2AEA1CB1">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2．逾期提交电子投标文件的。</w:t>
      </w:r>
    </w:p>
    <w:p w14:paraId="510F8C82">
      <w:pPr>
        <w:pStyle w:val="5"/>
        <w:bidi w:val="0"/>
        <w:jc w:val="center"/>
        <w:rPr>
          <w:rFonts w:hint="eastAsia" w:ascii="宋体" w:hAnsi="宋体" w:eastAsia="宋体" w:cs="宋体"/>
          <w:b/>
          <w:bCs/>
          <w:sz w:val="28"/>
          <w:szCs w:val="28"/>
        </w:rPr>
      </w:pPr>
      <w:bookmarkStart w:id="149" w:name="_Toc27231"/>
      <w:r>
        <w:rPr>
          <w:rFonts w:hint="eastAsia" w:ascii="宋体" w:hAnsi="宋体" w:eastAsia="宋体" w:cs="宋体"/>
          <w:b/>
          <w:bCs/>
          <w:sz w:val="28"/>
          <w:szCs w:val="28"/>
        </w:rPr>
        <w:t>五、开标程序</w:t>
      </w:r>
      <w:bookmarkEnd w:id="149"/>
    </w:p>
    <w:p w14:paraId="1939CEB7">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开标工作由采购代理机构组织实施，整个过程受同级政府采购监管机构的监督、管理。</w:t>
      </w:r>
    </w:p>
    <w:p w14:paraId="54DF5F7B">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“不见面开标”是依托政府采购云平台实现的供应商在线参与开标的一种组织形式。供应商无需抵达开标现场，即可在线实现开标、解密、澄清等操作。</w:t>
      </w:r>
    </w:p>
    <w:p w14:paraId="610330C4">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1．供应商登录：开标前，请各供应商至少提前半小时登录西安市公共资源交易平台〖首页·〉不见面开标〗系统。</w:t>
      </w:r>
    </w:p>
    <w:p w14:paraId="6B98FEAA">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2．主持人宣布开标：提交投标文件截止时间过后，系统将不再接收任何投标文件。</w:t>
      </w:r>
    </w:p>
    <w:p w14:paraId="2EC76471">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解密投标文件：供应商在收到主持人“开始解密”指令后，应使用“加密该投标文件的CA锁（必须是同一把锁）”在线完成投标文件解密。除因【西安市公共资源交易中心】断电、断网、系统故障及其他不可抗力等因素，导致“不见面开标”系统无法正常运行外，供应商应在规定的解密时间内完成解密。</w:t>
      </w:r>
    </w:p>
    <w:p w14:paraId="74328877">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4．唱标：对于公开招标项目，“不见面开标”系统将自动展示供应商名单及其投标报价。</w:t>
      </w:r>
    </w:p>
    <w:p w14:paraId="4D5F2EB9">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5．开标结束：进入评审环节。供应商请保持在线，评审期间评标委员会可能会要求供应商做相应的澄清。因供应商擅自离席造成的不利后果，由供应商自行承担。</w:t>
      </w:r>
    </w:p>
    <w:p w14:paraId="580D0DBB">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“不见面开标”系统操作说明：详见西安市公共资源交易平台〖首页·〉服务指南·〉下载专区〗中的《西安公共资源交易不见面开标大厅供应商操作手册》。</w:t>
      </w:r>
    </w:p>
    <w:p w14:paraId="4225D65E">
      <w:pPr>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链接地址：</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"http://sxggzyjy.xa.gov.cn/fwzn/004003/20200426/bc8b2c1e-abe2-4168-913c-68ff93345faf.html" </w:instrText>
      </w:r>
      <w:r>
        <w:rPr>
          <w:rFonts w:hint="eastAsia" w:ascii="宋体" w:hAnsi="宋体" w:eastAsia="宋体" w:cs="宋体"/>
          <w:sz w:val="24"/>
          <w:szCs w:val="24"/>
          <w:highlight w:val="none"/>
        </w:rPr>
        <w:fldChar w:fldCharType="separate"/>
      </w:r>
      <w:r>
        <w:rPr>
          <w:rStyle w:val="42"/>
          <w:rFonts w:hint="eastAsia" w:ascii="宋体" w:hAnsi="宋体" w:eastAsia="宋体" w:cs="宋体"/>
          <w:color w:val="000000" w:themeColor="text1"/>
          <w:sz w:val="24"/>
          <w:szCs w:val="24"/>
          <w:highlight w:val="none"/>
          <w:u w:val="none"/>
          <w14:textFill>
            <w14:solidFill>
              <w14:schemeClr w14:val="tx1"/>
            </w14:solidFill>
          </w14:textFill>
        </w:rPr>
        <w:t>http://sxggzyjy.xa.gov.cn/fwzn/004003/20200426/bc8b2c1e-abe2-4168-913c-68ff93345faf.html</w:t>
      </w:r>
      <w:r>
        <w:rPr>
          <w:rStyle w:val="42"/>
          <w:rFonts w:hint="eastAsia" w:ascii="宋体" w:hAnsi="宋体" w:eastAsia="宋体" w:cs="宋体"/>
          <w:color w:val="000000" w:themeColor="text1"/>
          <w:sz w:val="24"/>
          <w:szCs w:val="24"/>
          <w:highlight w:val="none"/>
          <w:u w:val="none"/>
          <w14:textFill>
            <w14:solidFill>
              <w14:schemeClr w14:val="tx1"/>
            </w14:solidFill>
          </w14:textFill>
        </w:rPr>
        <w:fldChar w:fldCharType="end"/>
      </w:r>
    </w:p>
    <w:p w14:paraId="1B74165B">
      <w:pPr>
        <w:pStyle w:val="108"/>
        <w:spacing w:before="120" w:after="120"/>
        <w:ind w:firstLine="562"/>
        <w:outlineLvl w:val="3"/>
        <w:rPr>
          <w:rFonts w:hint="eastAsia" w:ascii="宋体" w:hAnsi="宋体" w:eastAsia="宋体" w:cs="宋体"/>
          <w:color w:val="000000" w:themeColor="text1"/>
          <w:sz w:val="24"/>
          <w:szCs w:val="24"/>
          <w:highlight w:val="none"/>
          <w14:textFill>
            <w14:solidFill>
              <w14:schemeClr w14:val="tx1"/>
            </w14:solidFill>
          </w14:textFill>
        </w:rPr>
      </w:pPr>
      <w:bookmarkStart w:id="150" w:name="_Toc7605"/>
      <w:bookmarkStart w:id="151" w:name="_Toc10446"/>
      <w:bookmarkStart w:id="152" w:name="_Toc9214"/>
      <w:bookmarkStart w:id="153" w:name="_Toc12424"/>
      <w:r>
        <w:rPr>
          <w:rFonts w:hint="eastAsia" w:ascii="宋体" w:hAnsi="宋体" w:eastAsia="宋体" w:cs="宋体"/>
          <w:color w:val="000000" w:themeColor="text1"/>
          <w:sz w:val="24"/>
          <w:szCs w:val="24"/>
          <w:highlight w:val="none"/>
          <w14:textFill>
            <w14:solidFill>
              <w14:schemeClr w14:val="tx1"/>
            </w14:solidFill>
          </w14:textFill>
        </w:rPr>
        <w:t>（一）开标环节投标文件视为无效的情形</w:t>
      </w:r>
      <w:bookmarkEnd w:id="150"/>
      <w:bookmarkEnd w:id="151"/>
      <w:bookmarkEnd w:id="152"/>
      <w:bookmarkEnd w:id="153"/>
    </w:p>
    <w:p w14:paraId="062BD174">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1．供应商放弃或拒绝对电子投标文件进行解密的。</w:t>
      </w:r>
    </w:p>
    <w:p w14:paraId="145E235B">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2．因供应商自身原因，导致未在规定的解密时限内完整解密的，如忘带CA锁、或携带的CA锁与加密文件的CA锁不同、或使用旧版招标文件编制投标文件等情形。</w:t>
      </w:r>
    </w:p>
    <w:p w14:paraId="5BA08206">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3．上传的电子投标文件无法正常打开的。</w:t>
      </w:r>
    </w:p>
    <w:p w14:paraId="75D49B7A">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4．政府采购法律法规规定的其他无效情形。</w:t>
      </w:r>
    </w:p>
    <w:p w14:paraId="0E1B995F">
      <w:pPr>
        <w:pStyle w:val="108"/>
        <w:spacing w:before="120" w:after="120"/>
        <w:ind w:firstLine="562"/>
        <w:outlineLvl w:val="3"/>
        <w:rPr>
          <w:rFonts w:hint="eastAsia" w:ascii="宋体" w:hAnsi="宋体" w:eastAsia="宋体" w:cs="宋体"/>
          <w:color w:val="000000" w:themeColor="text1"/>
          <w:sz w:val="24"/>
          <w:szCs w:val="24"/>
          <w:highlight w:val="none"/>
          <w14:textFill>
            <w14:solidFill>
              <w14:schemeClr w14:val="tx1"/>
            </w14:solidFill>
          </w14:textFill>
        </w:rPr>
      </w:pPr>
      <w:bookmarkStart w:id="154" w:name="_Toc10968"/>
      <w:bookmarkStart w:id="155" w:name="_Toc21249"/>
      <w:bookmarkStart w:id="156" w:name="_Toc25819"/>
      <w:bookmarkStart w:id="157" w:name="_Toc4986"/>
      <w:r>
        <w:rPr>
          <w:rFonts w:hint="eastAsia" w:ascii="宋体" w:hAnsi="宋体" w:eastAsia="宋体" w:cs="宋体"/>
          <w:color w:val="000000" w:themeColor="text1"/>
          <w:sz w:val="24"/>
          <w:szCs w:val="24"/>
          <w:highlight w:val="none"/>
          <w14:textFill>
            <w14:solidFill>
              <w14:schemeClr w14:val="tx1"/>
            </w14:solidFill>
          </w14:textFill>
        </w:rPr>
        <w:t>（二）突发状况的应急处置</w:t>
      </w:r>
      <w:bookmarkEnd w:id="154"/>
      <w:bookmarkEnd w:id="155"/>
      <w:bookmarkEnd w:id="156"/>
      <w:bookmarkEnd w:id="157"/>
    </w:p>
    <w:p w14:paraId="306CAC57">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在开评标过程中，如因停电、断网、电子化系统故障等特殊原因导致电子化开、评标工作无法正常进行时，采购代理机构将及时汇报政府采购监管部门，并等待或中止后续活动。</w:t>
      </w:r>
    </w:p>
    <w:p w14:paraId="4686751B">
      <w:pPr>
        <w:pStyle w:val="5"/>
        <w:bidi w:val="0"/>
        <w:jc w:val="center"/>
        <w:rPr>
          <w:rFonts w:hint="eastAsia" w:ascii="宋体" w:hAnsi="宋体" w:eastAsia="宋体" w:cs="宋体"/>
          <w:b/>
          <w:bCs/>
          <w:sz w:val="28"/>
          <w:szCs w:val="28"/>
        </w:rPr>
      </w:pPr>
      <w:bookmarkStart w:id="158" w:name="_Toc13104"/>
      <w:r>
        <w:rPr>
          <w:rFonts w:hint="eastAsia" w:ascii="宋体" w:hAnsi="宋体" w:eastAsia="宋体" w:cs="宋体"/>
          <w:b/>
          <w:bCs/>
          <w:sz w:val="28"/>
          <w:szCs w:val="28"/>
        </w:rPr>
        <w:t>六、资格审查</w:t>
      </w:r>
      <w:bookmarkEnd w:id="158"/>
    </w:p>
    <w:p w14:paraId="7EC4D800">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开标结束后，依据法律法规和招标文件的规定，对投标文件中的资格证明文件等进行审查，以确保供应商是否具备相应资格。</w:t>
      </w:r>
    </w:p>
    <w:p w14:paraId="1AF8B083">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供应商提供的资格证明文件缺少任何一项或有任何一项不满足，都将被视为无效投标。供应商所提供的资格证明文件应图文清晰、易于辨识，否则由此带来的不利后果由供应商自行承担。</w:t>
      </w:r>
    </w:p>
    <w:p w14:paraId="1F0D5D06">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合格供应商不足3家的，不得评标。</w:t>
      </w:r>
    </w:p>
    <w:p w14:paraId="5DDCE0E5">
      <w:pP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br w:type="page"/>
      </w:r>
    </w:p>
    <w:p w14:paraId="7E320912">
      <w:pPr>
        <w:spacing w:line="560" w:lineRule="exact"/>
        <w:ind w:left="0" w:leftChars="0" w:right="0" w:rightChars="0" w:firstLine="0" w:firstLineChars="0"/>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〖资格性审查表〗</w:t>
      </w:r>
    </w:p>
    <w:tbl>
      <w:tblPr>
        <w:tblStyle w:val="35"/>
        <w:tblW w:w="8868"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836"/>
        <w:gridCol w:w="1940"/>
        <w:gridCol w:w="6092"/>
      </w:tblGrid>
      <w:tr w14:paraId="1640619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tcBorders>
              <w:top w:val="single" w:color="auto" w:sz="12" w:space="0"/>
              <w:bottom w:val="single" w:color="auto" w:sz="2" w:space="0"/>
            </w:tcBorders>
            <w:shd w:val="clear" w:color="auto" w:fill="F1F1F1" w:themeFill="background1" w:themeFillShade="F2"/>
            <w:vAlign w:val="center"/>
          </w:tcPr>
          <w:p w14:paraId="094BD433">
            <w:pPr>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序号</w:t>
            </w:r>
          </w:p>
        </w:tc>
        <w:tc>
          <w:tcPr>
            <w:tcW w:w="1940" w:type="dxa"/>
            <w:tcBorders>
              <w:top w:val="single" w:color="auto" w:sz="12" w:space="0"/>
              <w:bottom w:val="single" w:color="auto" w:sz="2" w:space="0"/>
            </w:tcBorders>
            <w:shd w:val="clear" w:color="auto" w:fill="F1F1F1" w:themeFill="background1" w:themeFillShade="F2"/>
            <w:vAlign w:val="center"/>
          </w:tcPr>
          <w:p w14:paraId="4A122895">
            <w:pPr>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资格项</w:t>
            </w:r>
          </w:p>
        </w:tc>
        <w:tc>
          <w:tcPr>
            <w:tcW w:w="6092" w:type="dxa"/>
            <w:tcBorders>
              <w:top w:val="single" w:color="auto" w:sz="12" w:space="0"/>
              <w:bottom w:val="single" w:color="auto" w:sz="2" w:space="0"/>
            </w:tcBorders>
            <w:shd w:val="clear" w:color="auto" w:fill="F1F1F1" w:themeFill="background1" w:themeFillShade="F2"/>
            <w:vAlign w:val="center"/>
          </w:tcPr>
          <w:p w14:paraId="34082D1C">
            <w:pPr>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审查内容</w:t>
            </w:r>
          </w:p>
        </w:tc>
      </w:tr>
      <w:tr w14:paraId="7B4D313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tcBorders>
              <w:top w:val="single" w:color="auto" w:sz="2" w:space="0"/>
            </w:tcBorders>
            <w:shd w:val="clear" w:color="auto" w:fill="auto"/>
            <w:vAlign w:val="center"/>
          </w:tcPr>
          <w:p w14:paraId="778EF148">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w:t>
            </w:r>
          </w:p>
        </w:tc>
        <w:tc>
          <w:tcPr>
            <w:tcW w:w="8032" w:type="dxa"/>
            <w:gridSpan w:val="2"/>
            <w:tcBorders>
              <w:top w:val="single" w:color="auto" w:sz="2" w:space="0"/>
            </w:tcBorders>
            <w:shd w:val="clear" w:color="auto" w:fill="auto"/>
            <w:vAlign w:val="center"/>
          </w:tcPr>
          <w:p w14:paraId="46A1AF68">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基本资格条件</w:t>
            </w:r>
          </w:p>
        </w:tc>
      </w:tr>
      <w:tr w14:paraId="4375D57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09524D8D">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p>
        </w:tc>
        <w:tc>
          <w:tcPr>
            <w:tcW w:w="1940" w:type="dxa"/>
            <w:vAlign w:val="center"/>
          </w:tcPr>
          <w:p w14:paraId="28C26FA2">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有效的主体资格证明</w:t>
            </w:r>
          </w:p>
        </w:tc>
        <w:tc>
          <w:tcPr>
            <w:tcW w:w="6092" w:type="dxa"/>
            <w:vAlign w:val="center"/>
          </w:tcPr>
          <w:p w14:paraId="3FFBAD8C">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具有独立承担民事责任能力的法人、其他组织或自然人并出具合法有效的营业执照或事业单位法人证书等国家规定的相关证明，自然人参与的提供其身份证明；</w:t>
            </w:r>
          </w:p>
        </w:tc>
      </w:tr>
      <w:tr w14:paraId="542E60A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53704877">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p>
        </w:tc>
        <w:tc>
          <w:tcPr>
            <w:tcW w:w="1940" w:type="dxa"/>
            <w:vAlign w:val="center"/>
          </w:tcPr>
          <w:p w14:paraId="7550BDCC">
            <w:pPr>
              <w:jc w:val="center"/>
              <w:rPr>
                <w:rFonts w:hint="eastAsia" w:ascii="宋体" w:hAnsi="宋体" w:eastAsia="宋体" w:cs="宋体"/>
                <w:color w:val="000000" w:themeColor="text1"/>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法定代表人身份证明</w:t>
            </w:r>
            <w:r>
              <w:rPr>
                <w:rFonts w:hint="eastAsia" w:ascii="宋体" w:hAnsi="宋体" w:eastAsia="宋体" w:cs="宋体"/>
                <w:color w:val="000000" w:themeColor="text1"/>
                <w:sz w:val="24"/>
                <w:szCs w:val="24"/>
                <w:highlight w:val="none"/>
                <w:lang w:val="en-US" w:eastAsia="zh-CN"/>
                <w14:textFill>
                  <w14:solidFill>
                    <w14:schemeClr w14:val="tx1"/>
                  </w14:solidFill>
                </w14:textFill>
              </w:rPr>
              <w:t>或法定代表人授权委托书</w:t>
            </w:r>
          </w:p>
        </w:tc>
        <w:tc>
          <w:tcPr>
            <w:tcW w:w="6092" w:type="dxa"/>
            <w:vAlign w:val="center"/>
          </w:tcPr>
          <w:p w14:paraId="34CDC8FC">
            <w:pPr>
              <w:jc w:val="both"/>
              <w:rPr>
                <w:rFonts w:hint="eastAsia" w:ascii="宋体" w:hAnsi="宋体" w:eastAsia="宋体" w:cs="宋体"/>
                <w:color w:val="000000" w:themeColor="text1"/>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sz w:val="24"/>
                <w:szCs w:val="24"/>
                <w:highlight w:val="none"/>
                <w:lang w:val="en-US" w:eastAsia="zh-CN" w:bidi="ar-SA"/>
                <w14:textFill>
                  <w14:solidFill>
                    <w14:schemeClr w14:val="tx1"/>
                  </w14:solidFill>
                </w14:textFill>
              </w:rPr>
              <w:t>法定代表人直接参加投标的，需提供法定代表人身份证明（含法定代表人身份证复印件），法定代表人委托代理人参加投标的，需提供法定代表人授权委托书（含法定代表人及代理人身份证复印件）；</w:t>
            </w:r>
          </w:p>
        </w:tc>
      </w:tr>
      <w:tr w14:paraId="5A11C52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661EE005">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w:t>
            </w:r>
          </w:p>
        </w:tc>
        <w:tc>
          <w:tcPr>
            <w:tcW w:w="1940" w:type="dxa"/>
            <w:vAlign w:val="center"/>
          </w:tcPr>
          <w:p w14:paraId="7C74E55A">
            <w:pPr>
              <w:jc w:val="center"/>
              <w:rPr>
                <w:rFonts w:hint="eastAsia" w:ascii="宋体" w:hAnsi="宋体" w:eastAsia="宋体" w:cs="宋体"/>
                <w:color w:val="000000" w:themeColor="text1"/>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财务状况证明</w:t>
            </w:r>
          </w:p>
        </w:tc>
        <w:tc>
          <w:tcPr>
            <w:tcW w:w="6092" w:type="dxa"/>
            <w:vAlign w:val="center"/>
          </w:tcPr>
          <w:p w14:paraId="2D062FA5">
            <w:pPr>
              <w:jc w:val="both"/>
              <w:rPr>
                <w:rFonts w:hint="eastAsia" w:ascii="宋体" w:hAnsi="宋体" w:eastAsia="宋体" w:cs="宋体"/>
                <w:color w:val="000000" w:themeColor="text1"/>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供应商应提供202</w:t>
            </w:r>
            <w:r>
              <w:rPr>
                <w:rFonts w:hint="eastAsia" w:ascii="宋体" w:hAnsi="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cs="宋体"/>
                <w:color w:val="000000" w:themeColor="text1"/>
                <w:sz w:val="24"/>
                <w:szCs w:val="24"/>
                <w:highlight w:val="none"/>
                <w:lang w:val="en-US" w:eastAsia="zh-CN"/>
                <w14:textFill>
                  <w14:solidFill>
                    <w14:schemeClr w14:val="tx1"/>
                  </w14:solidFill>
                </w14:textFill>
              </w:rPr>
              <w:t>度</w:t>
            </w:r>
            <w:r>
              <w:rPr>
                <w:rFonts w:hint="eastAsia" w:ascii="宋体" w:hAnsi="宋体" w:eastAsia="宋体" w:cs="宋体"/>
                <w:color w:val="000000" w:themeColor="text1"/>
                <w:sz w:val="24"/>
                <w:szCs w:val="24"/>
                <w:highlight w:val="none"/>
                <w14:textFill>
                  <w14:solidFill>
                    <w14:schemeClr w14:val="tx1"/>
                  </w14:solidFill>
                </w14:textFill>
              </w:rPr>
              <w:t>的财务审计报告（成立时间至提交投标文件截止时间不足一年的可提供成立后任意时段的资产负债表）或其基本存款账户开户银行出具的资信证明及基本存款账户开户许可证（或基本账户存款信息）；</w:t>
            </w:r>
          </w:p>
        </w:tc>
      </w:tr>
      <w:tr w14:paraId="72067D1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18B0BAD9">
            <w:pPr>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p>
        </w:tc>
        <w:tc>
          <w:tcPr>
            <w:tcW w:w="1940" w:type="dxa"/>
            <w:vAlign w:val="center"/>
          </w:tcPr>
          <w:p w14:paraId="339D5DDA">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履行合同所必需的设备和专业技术能力</w:t>
            </w:r>
          </w:p>
        </w:tc>
        <w:tc>
          <w:tcPr>
            <w:tcW w:w="6092" w:type="dxa"/>
            <w:vAlign w:val="center"/>
          </w:tcPr>
          <w:p w14:paraId="74C0B61D">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供应商应提供具有履行合同所必需的设备和专业技术能力的说明</w:t>
            </w:r>
            <w:r>
              <w:rPr>
                <w:rFonts w:hint="eastAsia" w:ascii="宋体" w:hAnsi="宋体" w:eastAsia="宋体" w:cs="宋体"/>
                <w:color w:val="000000" w:themeColor="text1"/>
                <w:sz w:val="24"/>
                <w:szCs w:val="24"/>
                <w:highlight w:val="none"/>
                <w:lang w:eastAsia="zh-CN"/>
                <w14:textFill>
                  <w14:solidFill>
                    <w14:schemeClr w14:val="tx1"/>
                  </w14:solidFill>
                </w14:textFill>
              </w:rPr>
              <w:t>；</w:t>
            </w:r>
          </w:p>
        </w:tc>
      </w:tr>
      <w:tr w14:paraId="0A04665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395D9ED8">
            <w:pPr>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p>
        </w:tc>
        <w:tc>
          <w:tcPr>
            <w:tcW w:w="1940" w:type="dxa"/>
            <w:vAlign w:val="center"/>
          </w:tcPr>
          <w:p w14:paraId="4546C00F">
            <w:pPr>
              <w:jc w:val="center"/>
              <w:rPr>
                <w:rFonts w:hint="eastAsia" w:ascii="宋体" w:hAnsi="宋体" w:eastAsia="宋体" w:cs="宋体"/>
                <w:color w:val="000000" w:themeColor="text1"/>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税收缴纳证明</w:t>
            </w:r>
          </w:p>
        </w:tc>
        <w:tc>
          <w:tcPr>
            <w:tcW w:w="6092" w:type="dxa"/>
            <w:vAlign w:val="center"/>
          </w:tcPr>
          <w:p w14:paraId="5D0F024B">
            <w:pPr>
              <w:jc w:val="both"/>
              <w:rPr>
                <w:rFonts w:hint="eastAsia" w:ascii="宋体" w:hAnsi="宋体" w:eastAsia="宋体" w:cs="宋体"/>
                <w:color w:val="000000" w:themeColor="text1"/>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供应商应提供202</w:t>
            </w:r>
            <w:r>
              <w:rPr>
                <w:rFonts w:hint="eastAsia" w:ascii="宋体" w:hAnsi="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年至今任意一月的纳税凭据或完税证明，依法免税的应提供相关证明材料；</w:t>
            </w:r>
          </w:p>
        </w:tc>
      </w:tr>
      <w:tr w14:paraId="338FE4D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11D2BDAE">
            <w:pPr>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p>
        </w:tc>
        <w:tc>
          <w:tcPr>
            <w:tcW w:w="1940" w:type="dxa"/>
            <w:vAlign w:val="center"/>
          </w:tcPr>
          <w:p w14:paraId="272BDD02">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社会保障资金缴纳证明</w:t>
            </w:r>
          </w:p>
        </w:tc>
        <w:tc>
          <w:tcPr>
            <w:tcW w:w="6092" w:type="dxa"/>
            <w:vAlign w:val="center"/>
          </w:tcPr>
          <w:p w14:paraId="31338CF8">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供应商应提供202</w:t>
            </w:r>
            <w:r>
              <w:rPr>
                <w:rFonts w:hint="eastAsia" w:ascii="宋体" w:hAnsi="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14:textFill>
                  <w14:solidFill>
                    <w14:schemeClr w14:val="tx1"/>
                  </w14:solidFill>
                </w14:textFill>
              </w:rPr>
              <w:t>年至今任意一月的社会保障资金缴存单据或社保机构开具的社会保险参保缴费情况证明，依法不需要缴纳社会保障资金的应提供相关证明材料；</w:t>
            </w:r>
          </w:p>
        </w:tc>
      </w:tr>
      <w:tr w14:paraId="322E169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3EB4B2FB">
            <w:pPr>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w:t>
            </w:r>
          </w:p>
        </w:tc>
        <w:tc>
          <w:tcPr>
            <w:tcW w:w="1940" w:type="dxa"/>
            <w:vAlign w:val="center"/>
          </w:tcPr>
          <w:p w14:paraId="05B8F386">
            <w:pPr>
              <w:jc w:val="center"/>
              <w:rPr>
                <w:rFonts w:hint="eastAsia" w:ascii="宋体" w:hAnsi="宋体" w:eastAsia="宋体" w:cs="宋体"/>
                <w:color w:val="000000" w:themeColor="text1"/>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前3年</w:t>
            </w:r>
            <w:r>
              <w:rPr>
                <w:rFonts w:hint="eastAsia" w:ascii="宋体" w:hAnsi="宋体" w:eastAsia="宋体" w:cs="宋体"/>
                <w:color w:val="000000" w:themeColor="text1"/>
                <w:sz w:val="24"/>
                <w:szCs w:val="24"/>
                <w:highlight w:val="none"/>
                <w14:textFill>
                  <w14:solidFill>
                    <w14:schemeClr w14:val="tx1"/>
                  </w14:solidFill>
                </w14:textFill>
              </w:rPr>
              <w:t>无重大违法记录声明</w:t>
            </w:r>
          </w:p>
        </w:tc>
        <w:tc>
          <w:tcPr>
            <w:tcW w:w="6092" w:type="dxa"/>
            <w:vAlign w:val="center"/>
          </w:tcPr>
          <w:p w14:paraId="3AD97311">
            <w:pPr>
              <w:jc w:val="both"/>
              <w:rPr>
                <w:rFonts w:hint="eastAsia" w:ascii="宋体" w:hAnsi="宋体" w:eastAsia="宋体" w:cs="宋体"/>
                <w:color w:val="000000" w:themeColor="text1"/>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供应商应出具参加本次政府采购活动前3年内在经营活动中没有重大违法违纪，以及未被列入失信被执行人、</w:t>
            </w:r>
            <w:r>
              <w:rPr>
                <w:rFonts w:hint="eastAsia" w:ascii="宋体" w:hAnsi="宋体" w:eastAsia="宋体" w:cs="宋体"/>
                <w:color w:val="000000" w:themeColor="text1"/>
                <w:sz w:val="24"/>
                <w:szCs w:val="24"/>
                <w:highlight w:val="none"/>
                <w:lang w:eastAsia="zh-CN"/>
                <w14:textFill>
                  <w14:solidFill>
                    <w14:schemeClr w14:val="tx1"/>
                  </w14:solidFill>
                </w14:textFill>
              </w:rPr>
              <w:t>重大税收违法失信主体</w:t>
            </w:r>
            <w:r>
              <w:rPr>
                <w:rFonts w:hint="eastAsia" w:ascii="宋体" w:hAnsi="宋体" w:eastAsia="宋体" w:cs="宋体"/>
                <w:color w:val="000000" w:themeColor="text1"/>
                <w:sz w:val="24"/>
                <w:szCs w:val="24"/>
                <w:highlight w:val="none"/>
                <w14:textFill>
                  <w14:solidFill>
                    <w14:schemeClr w14:val="tx1"/>
                  </w14:solidFill>
                </w14:textFill>
              </w:rPr>
              <w:t>、政府采购严重违法失信行为记录名单的书面声明</w:t>
            </w:r>
            <w:r>
              <w:rPr>
                <w:rFonts w:hint="eastAsia" w:ascii="宋体" w:hAnsi="宋体" w:eastAsia="宋体" w:cs="宋体"/>
                <w:color w:val="000000" w:themeColor="text1"/>
                <w:sz w:val="24"/>
                <w:szCs w:val="24"/>
                <w:highlight w:val="none"/>
                <w:lang w:eastAsia="zh-CN"/>
                <w14:textFill>
                  <w14:solidFill>
                    <w14:schemeClr w14:val="tx1"/>
                  </w14:solidFill>
                </w14:textFill>
              </w:rPr>
              <w:t>；</w:t>
            </w:r>
          </w:p>
        </w:tc>
      </w:tr>
      <w:tr w14:paraId="6DD44AA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0A2178DA">
            <w:pPr>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8</w:t>
            </w:r>
          </w:p>
        </w:tc>
        <w:tc>
          <w:tcPr>
            <w:tcW w:w="1940" w:type="dxa"/>
            <w:vAlign w:val="center"/>
          </w:tcPr>
          <w:p w14:paraId="3DA01504">
            <w:pPr>
              <w:jc w:val="center"/>
              <w:rPr>
                <w:rFonts w:hint="default" w:ascii="宋体" w:hAnsi="宋体" w:eastAsia="宋体" w:cs="宋体"/>
                <w:color w:val="000000" w:themeColor="text1"/>
                <w:sz w:val="24"/>
                <w:szCs w:val="24"/>
                <w:highlight w:val="none"/>
                <w:lang w:val="en-US" w:eastAsia="zh-CN" w:bidi="ar-SA"/>
                <w14:textFill>
                  <w14:solidFill>
                    <w14:schemeClr w14:val="tx1"/>
                  </w14:solidFill>
                </w14:textFill>
              </w:rPr>
            </w:pPr>
            <w:r>
              <w:rPr>
                <w:rFonts w:hint="eastAsia" w:ascii="宋体" w:hAnsi="宋体" w:cs="宋体"/>
                <w:color w:val="000000" w:themeColor="text1"/>
                <w:sz w:val="24"/>
                <w:szCs w:val="24"/>
                <w:highlight w:val="none"/>
                <w:lang w:val="en-US" w:eastAsia="zh-CN" w:bidi="ar-SA"/>
                <w14:textFill>
                  <w14:solidFill>
                    <w14:schemeClr w14:val="tx1"/>
                  </w14:solidFill>
                </w14:textFill>
              </w:rPr>
              <w:t>关联关系</w:t>
            </w:r>
          </w:p>
        </w:tc>
        <w:tc>
          <w:tcPr>
            <w:tcW w:w="6092" w:type="dxa"/>
            <w:vAlign w:val="center"/>
          </w:tcPr>
          <w:p w14:paraId="684FDB4A">
            <w:pPr>
              <w:jc w:val="both"/>
              <w:rPr>
                <w:rFonts w:hint="eastAsia" w:ascii="宋体" w:hAnsi="宋体" w:eastAsia="宋体" w:cs="宋体"/>
                <w:color w:val="000000" w:themeColor="text1"/>
                <w:sz w:val="24"/>
                <w:szCs w:val="24"/>
                <w:highlight w:val="none"/>
                <w:lang w:val="en-US" w:eastAsia="zh-CN" w:bidi="ar-SA"/>
                <w14:textFill>
                  <w14:solidFill>
                    <w14:schemeClr w14:val="tx1"/>
                  </w14:solidFill>
                </w14:textFill>
              </w:rPr>
            </w:pPr>
            <w:r>
              <w:rPr>
                <w:rFonts w:hint="eastAsia" w:cs="宋体"/>
                <w:i w:val="0"/>
                <w:iCs w:val="0"/>
                <w:caps w:val="0"/>
                <w:color w:val="auto"/>
                <w:spacing w:val="0"/>
                <w:sz w:val="24"/>
                <w:szCs w:val="24"/>
                <w:shd w:val="clear" w:fill="FFFFFF"/>
                <w:lang w:val="en-US" w:eastAsia="zh-CN"/>
              </w:rPr>
              <w:t>（1）单位负责人为同一人或者存在直接控股、管理关系的不同投标人，不得参加本次采购活动；（2）为本项目提供整体设计、规范编制或者项目管理、监理、检测等服务的投标人，不得再参加该采购项目的其他采购活动</w:t>
            </w:r>
            <w:r>
              <w:rPr>
                <w:rFonts w:hint="eastAsia" w:ascii="宋体" w:hAnsi="宋体" w:cs="宋体"/>
                <w:b w:val="0"/>
                <w:bCs w:val="0"/>
                <w:sz w:val="24"/>
                <w:szCs w:val="24"/>
                <w:highlight w:val="none"/>
                <w:lang w:val="en-US" w:eastAsia="zh-CN"/>
              </w:rPr>
              <w:t>。</w:t>
            </w:r>
          </w:p>
        </w:tc>
      </w:tr>
      <w:tr w14:paraId="0F9EFC8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36" w:type="dxa"/>
            <w:vAlign w:val="center"/>
          </w:tcPr>
          <w:p w14:paraId="63CECFCA">
            <w:pPr>
              <w:jc w:val="center"/>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9</w:t>
            </w:r>
          </w:p>
        </w:tc>
        <w:tc>
          <w:tcPr>
            <w:tcW w:w="1940" w:type="dxa"/>
            <w:vAlign w:val="center"/>
          </w:tcPr>
          <w:p w14:paraId="5F585E7B">
            <w:pPr>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aps w:val="0"/>
                <w:color w:val="000000"/>
                <w:spacing w:val="0"/>
                <w:kern w:val="0"/>
                <w:sz w:val="24"/>
                <w:szCs w:val="24"/>
                <w:highlight w:val="none"/>
                <w:shd w:val="clear" w:color="auto" w:fill="FFFFFF"/>
                <w:vertAlign w:val="baseline"/>
                <w:lang w:val="en-US" w:eastAsia="zh-CN" w:bidi="ar"/>
              </w:rPr>
              <w:t>联合体</w:t>
            </w:r>
          </w:p>
        </w:tc>
        <w:tc>
          <w:tcPr>
            <w:tcW w:w="6092" w:type="dxa"/>
            <w:vAlign w:val="center"/>
          </w:tcPr>
          <w:p w14:paraId="121708B6">
            <w:pPr>
              <w:jc w:val="both"/>
              <w:rPr>
                <w:rFonts w:hint="default" w:ascii="宋体" w:hAnsi="宋体" w:eastAsia="宋体" w:cs="宋体"/>
                <w:sz w:val="24"/>
                <w:szCs w:val="24"/>
                <w:lang w:val="en-US" w:eastAsia="zh-CN"/>
              </w:rPr>
            </w:pPr>
            <w:r>
              <w:rPr>
                <w:rFonts w:hint="eastAsia" w:ascii="宋体" w:hAnsi="宋体" w:eastAsia="宋体" w:cs="宋体"/>
                <w:i w:val="0"/>
                <w:iCs w:val="0"/>
                <w:caps w:val="0"/>
                <w:color w:val="000000"/>
                <w:spacing w:val="0"/>
                <w:kern w:val="0"/>
                <w:sz w:val="24"/>
                <w:szCs w:val="24"/>
                <w:highlight w:val="none"/>
                <w:shd w:val="clear" w:color="auto" w:fill="FFFFFF"/>
                <w:vertAlign w:val="baseline"/>
                <w:lang w:val="en-US" w:eastAsia="zh-CN" w:bidi="ar"/>
              </w:rPr>
              <w:t>本</w:t>
            </w:r>
            <w:r>
              <w:rPr>
                <w:rFonts w:hint="eastAsia" w:ascii="宋体" w:hAnsi="宋体" w:cs="宋体"/>
                <w:i w:val="0"/>
                <w:iCs w:val="0"/>
                <w:caps w:val="0"/>
                <w:color w:val="000000"/>
                <w:spacing w:val="0"/>
                <w:kern w:val="0"/>
                <w:sz w:val="24"/>
                <w:szCs w:val="24"/>
                <w:highlight w:val="none"/>
                <w:shd w:val="clear" w:color="auto" w:fill="FFFFFF"/>
                <w:vertAlign w:val="baseline"/>
                <w:lang w:val="en-US" w:eastAsia="zh-CN" w:bidi="ar"/>
              </w:rPr>
              <w:t>合同包</w:t>
            </w:r>
            <w:r>
              <w:rPr>
                <w:rFonts w:hint="eastAsia" w:ascii="宋体" w:hAnsi="宋体" w:eastAsia="宋体" w:cs="宋体"/>
                <w:i w:val="0"/>
                <w:iCs w:val="0"/>
                <w:caps w:val="0"/>
                <w:color w:val="000000"/>
                <w:spacing w:val="0"/>
                <w:kern w:val="0"/>
                <w:sz w:val="24"/>
                <w:szCs w:val="24"/>
                <w:highlight w:val="none"/>
                <w:shd w:val="clear" w:color="auto" w:fill="FFFFFF"/>
                <w:vertAlign w:val="baseline"/>
                <w:lang w:val="en-US" w:eastAsia="zh-CN" w:bidi="ar"/>
              </w:rPr>
              <w:t>不接受联合体</w:t>
            </w:r>
            <w:r>
              <w:rPr>
                <w:rFonts w:hint="eastAsia" w:ascii="宋体" w:hAnsi="宋体" w:cs="宋体"/>
                <w:i w:val="0"/>
                <w:iCs w:val="0"/>
                <w:caps w:val="0"/>
                <w:color w:val="000000"/>
                <w:spacing w:val="0"/>
                <w:kern w:val="0"/>
                <w:sz w:val="24"/>
                <w:szCs w:val="24"/>
                <w:highlight w:val="none"/>
                <w:shd w:val="clear" w:color="auto" w:fill="FFFFFF"/>
                <w:vertAlign w:val="baseline"/>
                <w:lang w:val="en-US" w:eastAsia="zh-CN" w:bidi="ar"/>
              </w:rPr>
              <w:t>投标</w:t>
            </w:r>
          </w:p>
        </w:tc>
      </w:tr>
      <w:tr w14:paraId="2A71BF4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8868" w:type="dxa"/>
            <w:gridSpan w:val="3"/>
            <w:vAlign w:val="center"/>
          </w:tcPr>
          <w:p w14:paraId="1F310155">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注意事项：</w:t>
            </w:r>
          </w:p>
          <w:p w14:paraId="7C9C7C92">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除银行、保险、石油石化、电力、电信行业外，其他行业分支机构在参与投标时，须同时提供分支机构主体资格证明文件和总公司（总所）出具的授权书，总公司（总所）只能授权一家分支机构。经总公司（总所）授权后，总公司（总所）取得的相关资质证书对分支机构有效（法律法规或行业另有规定的除外）。</w:t>
            </w:r>
          </w:p>
          <w:p w14:paraId="24B2947D">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事业单位参与投标时，可不提供财务状况报告、社会保障资金和税收缴纳证明；依法免税或不需要缴纳社会保障资金的供应商，应提供相应证明文件，证明其依法免税或不需要缴纳社会保障资金；自然人（仅限中国公民）参与投标时，只须提供身份证复印件。</w:t>
            </w:r>
          </w:p>
          <w:p w14:paraId="53FD985C">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3．以联合体形式参与投标时，应提供有效的《联合体协议书》，并遵循招标文件第二章中“关于联合体”的相关规定。</w:t>
            </w:r>
          </w:p>
          <w:p w14:paraId="7E537D2F">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基本存款账户信息》、《无重大违法记录声明》、《法定代表人委托授权书》、《法定代表人身份证明书》、《联合体协议书》应按第五章《投标文件构成及格式》中给定的格式填写，并按要求签字、盖章。</w:t>
            </w:r>
          </w:p>
          <w:p w14:paraId="32B1C581">
            <w:pPr>
              <w:jc w:val="both"/>
              <w:rPr>
                <w:rFonts w:hint="eastAsia" w:ascii="宋体" w:hAnsi="宋体" w:eastAsia="宋体" w:cs="宋体"/>
                <w:sz w:val="24"/>
                <w:szCs w:val="24"/>
                <w:lang w:val="en-US" w:eastAsia="zh-CN"/>
              </w:rPr>
            </w:pPr>
            <w:r>
              <w:rPr>
                <w:rFonts w:hint="eastAsia" w:ascii="宋体" w:hAnsi="宋体" w:eastAsia="宋体" w:cs="宋体"/>
                <w:color w:val="000000" w:themeColor="text1"/>
                <w:sz w:val="24"/>
                <w:szCs w:val="24"/>
                <w:highlight w:val="none"/>
                <w14:textFill>
                  <w14:solidFill>
                    <w14:schemeClr w14:val="tx1"/>
                  </w14:solidFill>
                </w14:textFill>
              </w:rPr>
              <w:t>5．按照财政部《关于在政府采购活动中查询及使用信用记录有关问题的通知》（财库〔2016〕125号）要求，在资格审查阶段，采购人将对投标供应商的信用记录进行核查，出现招标文件第二章中“关于信用记录的查询和使用”所列失信行为的，将拒绝其参与政府采购活动。</w:t>
            </w:r>
          </w:p>
        </w:tc>
      </w:tr>
    </w:tbl>
    <w:p w14:paraId="20488636">
      <w:pPr>
        <w:rPr>
          <w:rFonts w:hint="eastAsia" w:ascii="宋体" w:hAnsi="宋体" w:eastAsia="宋体" w:cs="宋体"/>
          <w:color w:val="000000" w:themeColor="text1"/>
          <w:sz w:val="24"/>
          <w:szCs w:val="24"/>
          <w:highlight w:val="none"/>
          <w14:textFill>
            <w14:solidFill>
              <w14:schemeClr w14:val="tx1"/>
            </w14:solidFill>
          </w14:textFill>
        </w:rPr>
      </w:pPr>
    </w:p>
    <w:p w14:paraId="1995BE98">
      <w:pPr>
        <w:pStyle w:val="5"/>
        <w:bidi w:val="0"/>
        <w:jc w:val="center"/>
        <w:rPr>
          <w:rFonts w:hint="eastAsia" w:ascii="宋体" w:hAnsi="宋体" w:eastAsia="宋体" w:cs="宋体"/>
          <w:b/>
          <w:bCs/>
          <w:sz w:val="28"/>
          <w:szCs w:val="28"/>
        </w:rPr>
      </w:pPr>
      <w:bookmarkStart w:id="159" w:name="_Toc32767"/>
      <w:r>
        <w:rPr>
          <w:rFonts w:hint="eastAsia" w:ascii="宋体" w:hAnsi="宋体" w:eastAsia="宋体" w:cs="宋体"/>
          <w:b/>
          <w:bCs/>
          <w:sz w:val="28"/>
          <w:szCs w:val="28"/>
        </w:rPr>
        <w:t>七、评审方法和程序</w:t>
      </w:r>
      <w:bookmarkEnd w:id="159"/>
    </w:p>
    <w:p w14:paraId="1B0539A6">
      <w:pPr>
        <w:pStyle w:val="108"/>
        <w:spacing w:before="120" w:after="120"/>
        <w:ind w:firstLine="562"/>
        <w:outlineLvl w:val="3"/>
        <w:rPr>
          <w:rFonts w:hint="eastAsia" w:ascii="宋体" w:hAnsi="宋体" w:eastAsia="宋体" w:cs="宋体"/>
          <w:color w:val="000000" w:themeColor="text1"/>
          <w:sz w:val="24"/>
          <w:szCs w:val="24"/>
          <w:highlight w:val="none"/>
          <w14:textFill>
            <w14:solidFill>
              <w14:schemeClr w14:val="tx1"/>
            </w14:solidFill>
          </w14:textFill>
        </w:rPr>
      </w:pPr>
      <w:bookmarkStart w:id="160" w:name="_Toc29299"/>
      <w:bookmarkStart w:id="161" w:name="_Toc14101"/>
      <w:bookmarkStart w:id="162" w:name="_Toc17161"/>
      <w:bookmarkStart w:id="163" w:name="_Toc3761"/>
      <w:r>
        <w:rPr>
          <w:rFonts w:hint="eastAsia" w:ascii="宋体" w:hAnsi="宋体" w:eastAsia="宋体" w:cs="宋体"/>
          <w:color w:val="000000" w:themeColor="text1"/>
          <w:sz w:val="24"/>
          <w:szCs w:val="24"/>
          <w:highlight w:val="none"/>
          <w14:textFill>
            <w14:solidFill>
              <w14:schemeClr w14:val="tx1"/>
            </w14:solidFill>
          </w14:textFill>
        </w:rPr>
        <w:t>（一）评标方法</w:t>
      </w:r>
      <w:bookmarkEnd w:id="160"/>
      <w:bookmarkEnd w:id="161"/>
      <w:bookmarkEnd w:id="162"/>
      <w:bookmarkEnd w:id="163"/>
    </w:p>
    <w:p w14:paraId="7E300DAF">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本项目采用综合评分法，即投标文件满足招标文件全部实质性要求，且按照评审因素的量化指标评审得分最高的供应商为中标候选人。</w:t>
      </w:r>
    </w:p>
    <w:p w14:paraId="61163215">
      <w:pPr>
        <w:pStyle w:val="108"/>
        <w:spacing w:before="120" w:after="120"/>
        <w:ind w:firstLine="562"/>
        <w:outlineLvl w:val="3"/>
        <w:rPr>
          <w:rFonts w:hint="eastAsia" w:ascii="宋体" w:hAnsi="宋体" w:eastAsia="宋体" w:cs="宋体"/>
          <w:color w:val="000000" w:themeColor="text1"/>
          <w:sz w:val="24"/>
          <w:szCs w:val="24"/>
          <w:highlight w:val="none"/>
          <w14:textFill>
            <w14:solidFill>
              <w14:schemeClr w14:val="tx1"/>
            </w14:solidFill>
          </w14:textFill>
        </w:rPr>
      </w:pPr>
      <w:bookmarkStart w:id="164" w:name="_Toc20873"/>
      <w:bookmarkStart w:id="165" w:name="_Toc27527"/>
      <w:bookmarkStart w:id="166" w:name="_Toc26336"/>
      <w:bookmarkStart w:id="167" w:name="_Toc14944"/>
      <w:r>
        <w:rPr>
          <w:rFonts w:hint="eastAsia" w:ascii="宋体" w:hAnsi="宋体" w:eastAsia="宋体" w:cs="宋体"/>
          <w:color w:val="000000" w:themeColor="text1"/>
          <w:sz w:val="24"/>
          <w:szCs w:val="24"/>
          <w:highlight w:val="none"/>
          <w14:textFill>
            <w14:solidFill>
              <w14:schemeClr w14:val="tx1"/>
            </w14:solidFill>
          </w14:textFill>
        </w:rPr>
        <w:t>（二）评标程序</w:t>
      </w:r>
      <w:bookmarkEnd w:id="164"/>
      <w:bookmarkEnd w:id="165"/>
      <w:bookmarkEnd w:id="166"/>
      <w:bookmarkEnd w:id="167"/>
    </w:p>
    <w:p w14:paraId="489C0BDD">
      <w:pPr>
        <w:pStyle w:val="107"/>
        <w:outlineLvl w:val="9"/>
        <w:rPr>
          <w:rFonts w:hint="eastAsia" w:ascii="宋体" w:hAnsi="宋体" w:eastAsia="宋体" w:cs="宋体"/>
          <w:color w:val="000000" w:themeColor="text1"/>
          <w:sz w:val="24"/>
          <w:szCs w:val="24"/>
          <w:highlight w:val="none"/>
          <w14:textFill>
            <w14:solidFill>
              <w14:schemeClr w14:val="tx1"/>
            </w14:solidFill>
          </w14:textFill>
        </w:rPr>
      </w:pPr>
      <w:bookmarkStart w:id="168" w:name="_Toc5086"/>
      <w:bookmarkStart w:id="169" w:name="_Toc32585"/>
      <w:bookmarkStart w:id="170" w:name="_Toc18155"/>
      <w:r>
        <w:rPr>
          <w:rFonts w:hint="eastAsia" w:ascii="宋体" w:hAnsi="宋体" w:eastAsia="宋体" w:cs="宋体"/>
          <w:color w:val="000000" w:themeColor="text1"/>
          <w:sz w:val="24"/>
          <w:szCs w:val="24"/>
          <w:highlight w:val="none"/>
          <w14:textFill>
            <w14:solidFill>
              <w14:schemeClr w14:val="tx1"/>
            </w14:solidFill>
          </w14:textFill>
        </w:rPr>
        <w:t>1．组建评标委员会</w:t>
      </w:r>
      <w:bookmarkEnd w:id="168"/>
      <w:bookmarkEnd w:id="169"/>
      <w:bookmarkEnd w:id="170"/>
    </w:p>
    <w:p w14:paraId="5E85B56D">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为了确保评标工作的公平、公正，依据政府采购法和政府采购相关法规、规章，成立评标委员会，评标委员会由采购人代表和有关技术、经济等方面的专家组成，成员人数为5人及以上单数（采购预算金额在1000万元以上、技术复杂、社会影响较大的采购项目评标委员会成员人数应当为7人以上单数）。其中，技术、经济等方面的专家不少于成员总数的三分之二。评标专家从政府采购评审专家库内相关专业的专家名单中随机抽取。</w:t>
      </w:r>
    </w:p>
    <w:p w14:paraId="09142925">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由采购代理机构组织评标委员会推选评标组长，采购人代表不得担任组长。</w:t>
      </w:r>
    </w:p>
    <w:p w14:paraId="75D34A26">
      <w:pPr>
        <w:pStyle w:val="107"/>
        <w:outlineLvl w:val="9"/>
        <w:rPr>
          <w:rFonts w:hint="eastAsia" w:ascii="宋体" w:hAnsi="宋体" w:eastAsia="宋体" w:cs="宋体"/>
          <w:color w:val="000000" w:themeColor="text1"/>
          <w:sz w:val="24"/>
          <w:szCs w:val="24"/>
          <w:highlight w:val="none"/>
          <w14:textFill>
            <w14:solidFill>
              <w14:schemeClr w14:val="tx1"/>
            </w14:solidFill>
          </w14:textFill>
        </w:rPr>
      </w:pPr>
      <w:bookmarkStart w:id="171" w:name="_Toc19123"/>
      <w:bookmarkStart w:id="172" w:name="_Toc1702"/>
      <w:bookmarkStart w:id="173" w:name="_Toc28107"/>
      <w:r>
        <w:rPr>
          <w:rFonts w:hint="eastAsia" w:ascii="宋体" w:hAnsi="宋体" w:eastAsia="宋体" w:cs="宋体"/>
          <w:color w:val="000000" w:themeColor="text1"/>
          <w:sz w:val="24"/>
          <w:szCs w:val="24"/>
          <w:highlight w:val="none"/>
          <w14:textFill>
            <w14:solidFill>
              <w14:schemeClr w14:val="tx1"/>
            </w14:solidFill>
          </w14:textFill>
        </w:rPr>
        <w:t>2．投标文件的符合性审查</w:t>
      </w:r>
      <w:bookmarkEnd w:id="171"/>
      <w:bookmarkEnd w:id="172"/>
      <w:bookmarkEnd w:id="173"/>
    </w:p>
    <w:p w14:paraId="542E124B">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供应商资格性审查通过后，评标委员会对符合资格的投标人的投标文件进行符合性审查，以确定其是否满足招标文件的实质性要求。</w:t>
      </w:r>
    </w:p>
    <w:p w14:paraId="1ED16EE9">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对于投标文件中含义不明确、同类问题表述不一致或者有明显文字和计算错误的内容，评标委员会应当以书面形式要求投标人作出必要的澄清、说明或者补正。</w:t>
      </w:r>
    </w:p>
    <w:p w14:paraId="3BB75E52">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投标人的澄清、说明或者补正应当采用书面形式，并加盖公章，或者由法定代表人或其授权的代表签字。投标人的澄清、说明或者补正不得超出投标文件的范围或者改变投标文件的实质性内容。</w:t>
      </w:r>
    </w:p>
    <w:p w14:paraId="12232ABC">
      <w:pPr>
        <w:spacing w:line="560" w:lineRule="exact"/>
        <w:ind w:left="0" w:leftChars="0" w:right="0" w:rightChars="0" w:firstLine="0" w:firstLineChars="0"/>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〖符合性审查表〗</w:t>
      </w:r>
    </w:p>
    <w:tbl>
      <w:tblPr>
        <w:tblStyle w:val="35"/>
        <w:tblW w:w="9440"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964"/>
        <w:gridCol w:w="2586"/>
        <w:gridCol w:w="5890"/>
      </w:tblGrid>
      <w:tr w14:paraId="476431D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jc w:val="center"/>
        </w:trPr>
        <w:tc>
          <w:tcPr>
            <w:tcW w:w="964" w:type="dxa"/>
            <w:tcBorders>
              <w:top w:val="single" w:color="auto" w:sz="12" w:space="0"/>
              <w:bottom w:val="single" w:color="auto" w:sz="2" w:space="0"/>
            </w:tcBorders>
            <w:shd w:val="clear" w:color="auto" w:fill="F1F1F1" w:themeFill="background1" w:themeFillShade="F2"/>
            <w:vAlign w:val="center"/>
          </w:tcPr>
          <w:p w14:paraId="6F08E164">
            <w:pPr>
              <w:spacing w:line="560" w:lineRule="exact"/>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序号</w:t>
            </w:r>
          </w:p>
        </w:tc>
        <w:tc>
          <w:tcPr>
            <w:tcW w:w="2586" w:type="dxa"/>
            <w:tcBorders>
              <w:top w:val="single" w:color="auto" w:sz="12" w:space="0"/>
              <w:bottom w:val="single" w:color="auto" w:sz="2" w:space="0"/>
            </w:tcBorders>
            <w:shd w:val="clear" w:color="auto" w:fill="F1F1F1" w:themeFill="background1" w:themeFillShade="F2"/>
            <w:vAlign w:val="center"/>
          </w:tcPr>
          <w:p w14:paraId="1548017A">
            <w:pPr>
              <w:spacing w:line="560" w:lineRule="exact"/>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符合性审查项</w:t>
            </w:r>
          </w:p>
        </w:tc>
        <w:tc>
          <w:tcPr>
            <w:tcW w:w="5890" w:type="dxa"/>
            <w:tcBorders>
              <w:top w:val="single" w:color="auto" w:sz="12" w:space="0"/>
              <w:bottom w:val="single" w:color="auto" w:sz="2" w:space="0"/>
            </w:tcBorders>
            <w:shd w:val="clear" w:color="auto" w:fill="F1F1F1" w:themeFill="background1" w:themeFillShade="F2"/>
            <w:vAlign w:val="center"/>
          </w:tcPr>
          <w:p w14:paraId="6BE40064">
            <w:pPr>
              <w:spacing w:line="560" w:lineRule="exact"/>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通过条件</w:t>
            </w:r>
          </w:p>
        </w:tc>
      </w:tr>
      <w:tr w14:paraId="4B730D3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jc w:val="center"/>
        </w:trPr>
        <w:tc>
          <w:tcPr>
            <w:tcW w:w="964" w:type="dxa"/>
            <w:tcBorders>
              <w:top w:val="single" w:color="auto" w:sz="2" w:space="0"/>
            </w:tcBorders>
            <w:vAlign w:val="center"/>
          </w:tcPr>
          <w:p w14:paraId="14523AB7">
            <w:pPr>
              <w:spacing w:line="560" w:lineRule="exact"/>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w:t>
            </w:r>
          </w:p>
        </w:tc>
        <w:tc>
          <w:tcPr>
            <w:tcW w:w="2586" w:type="dxa"/>
            <w:tcBorders>
              <w:top w:val="single" w:color="auto" w:sz="2" w:space="0"/>
            </w:tcBorders>
            <w:vAlign w:val="center"/>
          </w:tcPr>
          <w:p w14:paraId="7A1DCD4E">
            <w:pPr>
              <w:spacing w:line="560" w:lineRule="exact"/>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投标文件项目名称、项目编号、标段（未分标段的除外）</w:t>
            </w:r>
          </w:p>
        </w:tc>
        <w:tc>
          <w:tcPr>
            <w:tcW w:w="5890" w:type="dxa"/>
            <w:tcBorders>
              <w:top w:val="single" w:color="auto" w:sz="2" w:space="0"/>
            </w:tcBorders>
            <w:vAlign w:val="center"/>
          </w:tcPr>
          <w:p w14:paraId="78C68E55">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投标文件以下三处的项目名称、项目编号、标段与本项目完全一致，且无遗漏：</w:t>
            </w:r>
          </w:p>
          <w:p w14:paraId="062BBCCD">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（1）封面；</w:t>
            </w:r>
          </w:p>
          <w:p w14:paraId="22E180BF">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（2）投标函；</w:t>
            </w:r>
          </w:p>
          <w:p w14:paraId="2EDA4420">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（3）法定代表人委托授权书。</w:t>
            </w:r>
          </w:p>
        </w:tc>
      </w:tr>
      <w:tr w14:paraId="203C38B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jc w:val="center"/>
        </w:trPr>
        <w:tc>
          <w:tcPr>
            <w:tcW w:w="964" w:type="dxa"/>
            <w:tcBorders>
              <w:top w:val="single" w:color="auto" w:sz="2" w:space="0"/>
            </w:tcBorders>
            <w:vAlign w:val="center"/>
          </w:tcPr>
          <w:p w14:paraId="0F69DDC8">
            <w:pPr>
              <w:spacing w:line="560" w:lineRule="exact"/>
              <w:jc w:val="center"/>
              <w:rPr>
                <w:rFonts w:hint="default"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2</w:t>
            </w:r>
          </w:p>
        </w:tc>
        <w:tc>
          <w:tcPr>
            <w:tcW w:w="2586" w:type="dxa"/>
            <w:tcBorders>
              <w:top w:val="single" w:color="auto" w:sz="2" w:space="0"/>
            </w:tcBorders>
            <w:vAlign w:val="center"/>
          </w:tcPr>
          <w:p w14:paraId="6070FCD5">
            <w:pPr>
              <w:spacing w:line="560" w:lineRule="exact"/>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投标文件组成</w:t>
            </w:r>
          </w:p>
        </w:tc>
        <w:tc>
          <w:tcPr>
            <w:tcW w:w="5890" w:type="dxa"/>
            <w:tcBorders>
              <w:top w:val="single" w:color="auto" w:sz="2" w:space="0"/>
            </w:tcBorders>
            <w:vAlign w:val="center"/>
          </w:tcPr>
          <w:p w14:paraId="5F945390">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投标文件应包含以下内容：</w:t>
            </w:r>
          </w:p>
          <w:p w14:paraId="7EECBF24">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（1）投标函；</w:t>
            </w:r>
          </w:p>
          <w:p w14:paraId="1A275E80">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（2）开标一览表、分项报价表（《投标文件构成及格式》未作要求的除外）；</w:t>
            </w:r>
          </w:p>
          <w:p w14:paraId="799AF89F">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（3）资格证明文件；</w:t>
            </w:r>
          </w:p>
          <w:p w14:paraId="1CA6363D">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（4）供应商概况；</w:t>
            </w:r>
          </w:p>
          <w:p w14:paraId="2D5CBB64">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（5）供应商参加政府采购活动承诺书；</w:t>
            </w:r>
          </w:p>
          <w:p w14:paraId="1277C88F">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（6）投标方案；</w:t>
            </w:r>
          </w:p>
          <w:p w14:paraId="1351D54D">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cs="宋体"/>
                <w:color w:val="000000" w:themeColor="text1"/>
                <w:sz w:val="24"/>
                <w:szCs w:val="24"/>
                <w:highlight w:val="none"/>
                <w:lang w:val="en-US" w:eastAsia="zh-CN"/>
                <w14:textFill>
                  <w14:solidFill>
                    <w14:schemeClr w14:val="tx1"/>
                  </w14:solidFill>
                </w14:textFill>
              </w:rPr>
              <w:t>7</w:t>
            </w:r>
            <w:r>
              <w:rPr>
                <w:rFonts w:hint="eastAsia" w:ascii="宋体" w:hAnsi="宋体" w:eastAsia="宋体" w:cs="宋体"/>
                <w:color w:val="000000" w:themeColor="text1"/>
                <w:sz w:val="24"/>
                <w:szCs w:val="24"/>
                <w:highlight w:val="none"/>
                <w14:textFill>
                  <w14:solidFill>
                    <w14:schemeClr w14:val="tx1"/>
                  </w14:solidFill>
                </w14:textFill>
              </w:rPr>
              <w:t>）供应商业绩一览表；</w:t>
            </w:r>
          </w:p>
          <w:p w14:paraId="332F44CF">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供应商参加政府采购活动承诺书</w:t>
            </w:r>
            <w:r>
              <w:rPr>
                <w:rFonts w:hint="eastAsia" w:ascii="宋体" w:hAnsi="宋体" w:eastAsia="宋体" w:cs="宋体"/>
                <w:color w:val="000000" w:themeColor="text1"/>
                <w:sz w:val="24"/>
                <w:szCs w:val="24"/>
                <w:highlight w:val="none"/>
                <w14:textFill>
                  <w14:solidFill>
                    <w14:schemeClr w14:val="tx1"/>
                  </w14:solidFill>
                </w14:textFill>
              </w:rPr>
              <w:t>；</w:t>
            </w:r>
          </w:p>
          <w:p w14:paraId="3AFABF42">
            <w:pPr>
              <w:jc w:val="both"/>
              <w:rPr>
                <w:rFonts w:hint="eastAsia"/>
              </w:rPr>
            </w:pP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cs="宋体"/>
                <w:color w:val="000000" w:themeColor="text1"/>
                <w:sz w:val="24"/>
                <w:szCs w:val="24"/>
                <w:highlight w:val="none"/>
                <w:lang w:val="en-US" w:eastAsia="zh-CN"/>
                <w14:textFill>
                  <w14:solidFill>
                    <w14:schemeClr w14:val="tx1"/>
                  </w14:solidFill>
                </w14:textFill>
              </w:rPr>
              <w:t>9</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cs="宋体"/>
                <w:color w:val="000000" w:themeColor="text1"/>
                <w:sz w:val="24"/>
                <w:szCs w:val="24"/>
                <w:highlight w:val="none"/>
                <w:lang w:val="en-US" w:eastAsia="zh-CN"/>
                <w14:textFill>
                  <w14:solidFill>
                    <w14:schemeClr w14:val="tx1"/>
                  </w14:solidFill>
                </w14:textFill>
              </w:rPr>
              <w:t>其他资料</w:t>
            </w:r>
            <w:r>
              <w:rPr>
                <w:rFonts w:hint="eastAsia" w:ascii="宋体" w:hAnsi="宋体" w:eastAsia="宋体" w:cs="宋体"/>
                <w:color w:val="000000" w:themeColor="text1"/>
                <w:sz w:val="24"/>
                <w:szCs w:val="24"/>
                <w:highlight w:val="none"/>
                <w14:textFill>
                  <w14:solidFill>
                    <w14:schemeClr w14:val="tx1"/>
                  </w14:solidFill>
                </w14:textFill>
              </w:rPr>
              <w:t>。</w:t>
            </w:r>
          </w:p>
        </w:tc>
      </w:tr>
      <w:tr w14:paraId="3D7B5E3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jc w:val="center"/>
        </w:trPr>
        <w:tc>
          <w:tcPr>
            <w:tcW w:w="964" w:type="dxa"/>
            <w:tcBorders>
              <w:top w:val="single" w:color="auto" w:sz="2" w:space="0"/>
            </w:tcBorders>
            <w:vAlign w:val="center"/>
          </w:tcPr>
          <w:p w14:paraId="1A842EC9">
            <w:pPr>
              <w:spacing w:line="560" w:lineRule="exact"/>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w:t>
            </w:r>
          </w:p>
        </w:tc>
        <w:tc>
          <w:tcPr>
            <w:tcW w:w="2586" w:type="dxa"/>
            <w:tcBorders>
              <w:top w:val="single" w:color="auto" w:sz="2" w:space="0"/>
            </w:tcBorders>
            <w:vAlign w:val="center"/>
          </w:tcPr>
          <w:p w14:paraId="7586FB62">
            <w:pPr>
              <w:spacing w:line="560" w:lineRule="exact"/>
              <w:jc w:val="both"/>
              <w:rPr>
                <w:rFonts w:hint="eastAsia"/>
              </w:rPr>
            </w:pPr>
            <w:r>
              <w:rPr>
                <w:rFonts w:hint="eastAsia" w:ascii="宋体" w:hAnsi="宋体" w:eastAsia="宋体" w:cs="宋体"/>
                <w:color w:val="000000" w:themeColor="text1"/>
                <w:sz w:val="24"/>
                <w:szCs w:val="24"/>
                <w:highlight w:val="none"/>
                <w14:textFill>
                  <w14:solidFill>
                    <w14:schemeClr w14:val="tx1"/>
                  </w14:solidFill>
                </w14:textFill>
              </w:rPr>
              <w:t>投标文件的签署、盖章</w:t>
            </w:r>
          </w:p>
        </w:tc>
        <w:tc>
          <w:tcPr>
            <w:tcW w:w="5890" w:type="dxa"/>
            <w:tcBorders>
              <w:top w:val="single" w:color="auto" w:sz="2" w:space="0"/>
            </w:tcBorders>
            <w:vAlign w:val="center"/>
          </w:tcPr>
          <w:p w14:paraId="182AB856">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签署、盖章均符合招标文件要求，且无遗漏。</w:t>
            </w:r>
          </w:p>
        </w:tc>
      </w:tr>
      <w:tr w14:paraId="635234D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jc w:val="center"/>
        </w:trPr>
        <w:tc>
          <w:tcPr>
            <w:tcW w:w="964" w:type="dxa"/>
            <w:tcBorders>
              <w:top w:val="single" w:color="auto" w:sz="2" w:space="0"/>
            </w:tcBorders>
            <w:vAlign w:val="center"/>
          </w:tcPr>
          <w:p w14:paraId="1080D219">
            <w:pPr>
              <w:spacing w:line="560" w:lineRule="exact"/>
              <w:jc w:val="center"/>
              <w:rPr>
                <w:rFonts w:hint="default"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4</w:t>
            </w:r>
          </w:p>
        </w:tc>
        <w:tc>
          <w:tcPr>
            <w:tcW w:w="2586" w:type="dxa"/>
            <w:tcBorders>
              <w:top w:val="single" w:color="auto" w:sz="2" w:space="0"/>
            </w:tcBorders>
            <w:vAlign w:val="center"/>
          </w:tcPr>
          <w:p w14:paraId="00E90DF3">
            <w:pPr>
              <w:spacing w:line="560" w:lineRule="exact"/>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投标文件有效期</w:t>
            </w:r>
          </w:p>
        </w:tc>
        <w:tc>
          <w:tcPr>
            <w:tcW w:w="5890" w:type="dxa"/>
            <w:tcBorders>
              <w:top w:val="single" w:color="auto" w:sz="2" w:space="0"/>
            </w:tcBorders>
            <w:vAlign w:val="center"/>
          </w:tcPr>
          <w:p w14:paraId="32452C6D">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符合招标文件的要求</w:t>
            </w:r>
          </w:p>
        </w:tc>
      </w:tr>
      <w:tr w14:paraId="277C964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jc w:val="center"/>
        </w:trPr>
        <w:tc>
          <w:tcPr>
            <w:tcW w:w="964" w:type="dxa"/>
            <w:tcBorders>
              <w:top w:val="single" w:color="auto" w:sz="2" w:space="0"/>
            </w:tcBorders>
            <w:vAlign w:val="center"/>
          </w:tcPr>
          <w:p w14:paraId="169CC976">
            <w:pPr>
              <w:spacing w:line="560" w:lineRule="exact"/>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5</w:t>
            </w:r>
          </w:p>
        </w:tc>
        <w:tc>
          <w:tcPr>
            <w:tcW w:w="2586" w:type="dxa"/>
            <w:tcBorders>
              <w:top w:val="single" w:color="auto" w:sz="2" w:space="0"/>
            </w:tcBorders>
            <w:vAlign w:val="center"/>
          </w:tcPr>
          <w:p w14:paraId="7F5593FF">
            <w:pPr>
              <w:spacing w:line="560" w:lineRule="exact"/>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投标报价</w:t>
            </w:r>
          </w:p>
        </w:tc>
        <w:tc>
          <w:tcPr>
            <w:tcW w:w="5890" w:type="dxa"/>
            <w:tcBorders>
              <w:top w:val="single" w:color="auto" w:sz="2" w:space="0"/>
            </w:tcBorders>
            <w:vAlign w:val="center"/>
          </w:tcPr>
          <w:p w14:paraId="19F0AEB0">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同时满足以下条款：</w:t>
            </w:r>
          </w:p>
          <w:p w14:paraId="0674C74B">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（1）投标报价符合唯一性要求；</w:t>
            </w:r>
          </w:p>
          <w:p w14:paraId="1CA0B0D2">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（2）开标一览表填写符合要求；</w:t>
            </w:r>
          </w:p>
          <w:p w14:paraId="4E17E55A">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（3）报价货币符合招标文件要求；</w:t>
            </w:r>
          </w:p>
          <w:p w14:paraId="7072689C">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（4）未超出采购预算或招标文件规定的最高限价；</w:t>
            </w:r>
          </w:p>
        </w:tc>
      </w:tr>
      <w:tr w14:paraId="4DD5360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jc w:val="center"/>
        </w:trPr>
        <w:tc>
          <w:tcPr>
            <w:tcW w:w="964" w:type="dxa"/>
            <w:vAlign w:val="center"/>
          </w:tcPr>
          <w:p w14:paraId="024BD5C6">
            <w:pPr>
              <w:spacing w:line="560" w:lineRule="exact"/>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6</w:t>
            </w:r>
          </w:p>
        </w:tc>
        <w:tc>
          <w:tcPr>
            <w:tcW w:w="2586" w:type="dxa"/>
            <w:vAlign w:val="center"/>
          </w:tcPr>
          <w:p w14:paraId="1E7DD176">
            <w:pPr>
              <w:spacing w:line="560" w:lineRule="exact"/>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交货期</w:t>
            </w:r>
          </w:p>
        </w:tc>
        <w:tc>
          <w:tcPr>
            <w:tcW w:w="5890" w:type="dxa"/>
            <w:vAlign w:val="center"/>
          </w:tcPr>
          <w:p w14:paraId="1B588712">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交货</w:t>
            </w:r>
            <w:r>
              <w:rPr>
                <w:rFonts w:hint="eastAsia" w:ascii="宋体" w:hAnsi="宋体" w:eastAsia="宋体" w:cs="宋体"/>
                <w:color w:val="000000" w:themeColor="text1"/>
                <w:sz w:val="24"/>
                <w:szCs w:val="24"/>
                <w:highlight w:val="none"/>
                <w:lang w:val="en-US" w:eastAsia="zh-CN"/>
                <w14:textFill>
                  <w14:solidFill>
                    <w14:schemeClr w14:val="tx1"/>
                  </w14:solidFill>
                </w14:textFill>
              </w:rPr>
              <w:t>安装</w:t>
            </w:r>
            <w:r>
              <w:rPr>
                <w:rFonts w:hint="eastAsia" w:ascii="宋体" w:hAnsi="宋体" w:eastAsia="宋体" w:cs="宋体"/>
                <w:color w:val="000000" w:themeColor="text1"/>
                <w:sz w:val="24"/>
                <w:szCs w:val="24"/>
                <w:highlight w:val="none"/>
                <w14:textFill>
                  <w14:solidFill>
                    <w14:schemeClr w14:val="tx1"/>
                  </w14:solidFill>
                </w14:textFill>
              </w:rPr>
              <w:t>期满足招标文件要求</w:t>
            </w:r>
          </w:p>
        </w:tc>
      </w:tr>
      <w:tr w14:paraId="671ECD3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jc w:val="center"/>
        </w:trPr>
        <w:tc>
          <w:tcPr>
            <w:tcW w:w="964" w:type="dxa"/>
            <w:vAlign w:val="center"/>
          </w:tcPr>
          <w:p w14:paraId="187AB214">
            <w:pPr>
              <w:spacing w:line="560" w:lineRule="exact"/>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7</w:t>
            </w:r>
          </w:p>
        </w:tc>
        <w:tc>
          <w:tcPr>
            <w:tcW w:w="2586" w:type="dxa"/>
            <w:vAlign w:val="center"/>
          </w:tcPr>
          <w:p w14:paraId="73BF87E6">
            <w:pPr>
              <w:spacing w:line="560" w:lineRule="exact"/>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质保期</w:t>
            </w:r>
          </w:p>
        </w:tc>
        <w:tc>
          <w:tcPr>
            <w:tcW w:w="5890" w:type="dxa"/>
            <w:vAlign w:val="center"/>
          </w:tcPr>
          <w:p w14:paraId="39B60BE1">
            <w:pPr>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质保期满足招标文件要求</w:t>
            </w:r>
          </w:p>
        </w:tc>
      </w:tr>
      <w:tr w14:paraId="16D4022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jc w:val="center"/>
        </w:trPr>
        <w:tc>
          <w:tcPr>
            <w:tcW w:w="964" w:type="dxa"/>
            <w:vAlign w:val="center"/>
          </w:tcPr>
          <w:p w14:paraId="45B39698">
            <w:pPr>
              <w:spacing w:line="560" w:lineRule="exact"/>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bookmarkStart w:id="174" w:name="_Toc9318"/>
            <w:bookmarkStart w:id="175" w:name="_Toc21491"/>
            <w:bookmarkStart w:id="176" w:name="_Toc26455"/>
            <w:r>
              <w:rPr>
                <w:rFonts w:hint="eastAsia" w:ascii="宋体" w:hAnsi="宋体" w:cs="宋体"/>
                <w:color w:val="000000" w:themeColor="text1"/>
                <w:sz w:val="24"/>
                <w:szCs w:val="24"/>
                <w:highlight w:val="none"/>
                <w:lang w:val="en-US" w:eastAsia="zh-CN"/>
                <w14:textFill>
                  <w14:solidFill>
                    <w14:schemeClr w14:val="tx1"/>
                  </w14:solidFill>
                </w14:textFill>
              </w:rPr>
              <w:t>8</w:t>
            </w:r>
          </w:p>
        </w:tc>
        <w:tc>
          <w:tcPr>
            <w:tcW w:w="2586" w:type="dxa"/>
            <w:vAlign w:val="center"/>
          </w:tcPr>
          <w:p w14:paraId="5F8ADD3F">
            <w:pPr>
              <w:spacing w:line="560" w:lineRule="exact"/>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实质性条款响应</w:t>
            </w:r>
          </w:p>
        </w:tc>
        <w:tc>
          <w:tcPr>
            <w:tcW w:w="5890" w:type="dxa"/>
            <w:vAlign w:val="center"/>
          </w:tcPr>
          <w:p w14:paraId="090C73C0">
            <w:pPr>
              <w:spacing w:line="560" w:lineRule="exact"/>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完全响应招标文件要求的各项技术/服务/商务实质性条款。（实质性条款以★标识，未设置实质性条款时可忽略此项）</w:t>
            </w:r>
          </w:p>
        </w:tc>
      </w:tr>
    </w:tbl>
    <w:p w14:paraId="6DDAA458">
      <w:pPr>
        <w:pStyle w:val="107"/>
        <w:outlineLvl w:val="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3．综合比较与评价</w:t>
      </w:r>
      <w:bookmarkEnd w:id="174"/>
      <w:bookmarkEnd w:id="175"/>
      <w:bookmarkEnd w:id="176"/>
    </w:p>
    <w:p w14:paraId="4987CE37">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评标委员会按《评审要素及分值一览表》中规定的评标方法和标准，对通过符合性审查的投标文件进行商务和技术评估，综合比较与评价。</w:t>
      </w:r>
    </w:p>
    <w:p w14:paraId="04D873C1">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出现下列情形的，供应商投标无效：</w:t>
      </w:r>
    </w:p>
    <w:p w14:paraId="4F57ABA6">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（1）投标文件报价出现本章第五小节“投标报价”所列需要修正情形，但供应商对修正后的报价不予确认的。</w:t>
      </w:r>
    </w:p>
    <w:p w14:paraId="2116934C">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评标委员会认为供应商的报价明显低于其他通过符合性审查供应商的报价，有可能影响产品质量或者不能诚信履约的，要求供应商在评标现场合理的时间内提供书面说明（必要时提交相关证明材料），供应商不能证明其报价合理性的。</w:t>
      </w:r>
    </w:p>
    <w:p w14:paraId="47B5E13F">
      <w:pP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br w:type="page"/>
      </w:r>
    </w:p>
    <w:p w14:paraId="4EC6FDD0">
      <w:pPr>
        <w:spacing w:line="560" w:lineRule="exact"/>
        <w:ind w:left="0" w:leftChars="0" w:right="0" w:rightChars="0" w:firstLine="0" w:firstLineChars="0"/>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〖评审要素及分值一览表〗</w:t>
      </w:r>
    </w:p>
    <w:tbl>
      <w:tblPr>
        <w:tblStyle w:val="35"/>
        <w:tblW w:w="97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
        <w:gridCol w:w="1459"/>
        <w:gridCol w:w="7389"/>
      </w:tblGrid>
      <w:tr w14:paraId="33CCB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874" w:type="dxa"/>
            <w:noWrap/>
            <w:vAlign w:val="center"/>
          </w:tcPr>
          <w:p w14:paraId="728A3B33">
            <w:pPr>
              <w:jc w:val="center"/>
              <w:rPr>
                <w:rFonts w:hint="eastAsia" w:ascii="宋体" w:hAnsi="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评审项</w:t>
            </w:r>
          </w:p>
        </w:tc>
        <w:tc>
          <w:tcPr>
            <w:tcW w:w="1459" w:type="dxa"/>
            <w:noWrap/>
            <w:vAlign w:val="center"/>
          </w:tcPr>
          <w:p w14:paraId="3C0DFBFA">
            <w:pPr>
              <w:jc w:val="center"/>
              <w:rPr>
                <w:rFonts w:hint="eastAsia" w:ascii="宋体" w:hAnsi="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分值100分</w:t>
            </w:r>
          </w:p>
        </w:tc>
        <w:tc>
          <w:tcPr>
            <w:tcW w:w="7389" w:type="dxa"/>
            <w:noWrap/>
            <w:vAlign w:val="center"/>
          </w:tcPr>
          <w:p w14:paraId="7F8887BF">
            <w:pPr>
              <w:jc w:val="center"/>
              <w:rPr>
                <w:rFonts w:hint="eastAsia" w:ascii="宋体" w:hAnsi="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评审内容</w:t>
            </w:r>
          </w:p>
        </w:tc>
      </w:tr>
      <w:tr w14:paraId="5F8DB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874" w:type="dxa"/>
            <w:noWrap/>
            <w:vAlign w:val="center"/>
          </w:tcPr>
          <w:p w14:paraId="500C39E8">
            <w:pPr>
              <w:jc w:val="center"/>
              <w:rPr>
                <w:rFonts w:hint="eastAsia" w:ascii="宋体" w:hAnsi="宋体" w:cs="宋体"/>
              </w:rPr>
            </w:pPr>
            <w:r>
              <w:rPr>
                <w:rFonts w:hint="eastAsia" w:ascii="宋体" w:hAnsi="宋体" w:eastAsia="宋体" w:cs="宋体"/>
              </w:rPr>
              <w:t>报价</w:t>
            </w:r>
          </w:p>
        </w:tc>
        <w:tc>
          <w:tcPr>
            <w:tcW w:w="1459" w:type="dxa"/>
            <w:noWrap/>
            <w:vAlign w:val="center"/>
          </w:tcPr>
          <w:p w14:paraId="0016578C">
            <w:pPr>
              <w:jc w:val="center"/>
              <w:rPr>
                <w:rFonts w:hint="eastAsia" w:ascii="宋体" w:hAnsi="宋体" w:cs="宋体"/>
              </w:rPr>
            </w:pPr>
            <w:r>
              <w:rPr>
                <w:rFonts w:hint="eastAsia" w:ascii="宋体" w:hAnsi="宋体" w:eastAsia="宋体" w:cs="宋体"/>
              </w:rPr>
              <w:t>30.0分</w:t>
            </w:r>
          </w:p>
        </w:tc>
        <w:tc>
          <w:tcPr>
            <w:tcW w:w="7389" w:type="dxa"/>
            <w:noWrap/>
            <w:vAlign w:val="center"/>
          </w:tcPr>
          <w:p w14:paraId="7429364D">
            <w:r>
              <w:rPr>
                <w:rFonts w:hint="eastAsia"/>
              </w:rPr>
              <w:t>经资格性及符合性审查合格的供应商，其投标报价为有效报价。</w:t>
            </w:r>
          </w:p>
          <w:p w14:paraId="6C151AC3">
            <w:r>
              <w:rPr>
                <w:rFonts w:hint="eastAsia"/>
              </w:rPr>
              <w:t>评标基准价：即满足采购文件要求且报价最低的为评标基准价。</w:t>
            </w:r>
          </w:p>
          <w:p w14:paraId="00B09CF6">
            <w:r>
              <w:rPr>
                <w:rFonts w:hint="eastAsia"/>
              </w:rPr>
              <w:t>其他供应商的价格分统一按照下列公式计算。</w:t>
            </w:r>
          </w:p>
          <w:p w14:paraId="12822F0F">
            <w:r>
              <w:rPr>
                <w:rFonts w:hint="eastAsia"/>
              </w:rPr>
              <w:t>报价得分=(评标基准价/投标报价)×30</w:t>
            </w:r>
          </w:p>
          <w:p w14:paraId="275413F1">
            <w:pPr>
              <w:pStyle w:val="25"/>
              <w:spacing w:beforeLines="0" w:afterLines="0"/>
            </w:pPr>
            <w:r>
              <w:rPr>
                <w:rFonts w:hint="eastAsia" w:ascii="宋体" w:hAnsi="宋体" w:cs="宋体"/>
                <w:b/>
                <w:bCs/>
                <w:kern w:val="0"/>
                <w:sz w:val="24"/>
              </w:rPr>
              <w:t>对小型、微型企业生产的货物（产品）投标价格给予10%的扣减</w:t>
            </w:r>
            <w:r>
              <w:rPr>
                <w:rFonts w:hint="eastAsia" w:ascii="宋体" w:hAnsi="宋体" w:cs="宋体"/>
                <w:kern w:val="0"/>
                <w:sz w:val="24"/>
              </w:rPr>
              <w:t>。</w:t>
            </w:r>
          </w:p>
        </w:tc>
      </w:tr>
      <w:tr w14:paraId="02700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0" w:hRule="atLeast"/>
          <w:jc w:val="center"/>
        </w:trPr>
        <w:tc>
          <w:tcPr>
            <w:tcW w:w="874" w:type="dxa"/>
            <w:noWrap/>
            <w:vAlign w:val="center"/>
          </w:tcPr>
          <w:p w14:paraId="5B28C2A8">
            <w:pPr>
              <w:jc w:val="center"/>
              <w:rPr>
                <w:rFonts w:hint="eastAsia" w:ascii="宋体" w:hAnsi="宋体" w:cs="宋体"/>
                <w:color w:val="auto"/>
              </w:rPr>
            </w:pPr>
            <w:r>
              <w:rPr>
                <w:rFonts w:hint="eastAsia" w:ascii="宋体" w:hAnsi="宋体" w:eastAsia="宋体" w:cs="宋体"/>
                <w:color w:val="auto"/>
              </w:rPr>
              <w:t>技术指标、功能及配置</w:t>
            </w:r>
          </w:p>
        </w:tc>
        <w:tc>
          <w:tcPr>
            <w:tcW w:w="1459" w:type="dxa"/>
            <w:noWrap/>
            <w:vAlign w:val="center"/>
          </w:tcPr>
          <w:p w14:paraId="45C09553">
            <w:pPr>
              <w:jc w:val="center"/>
              <w:rPr>
                <w:rFonts w:hint="eastAsia" w:ascii="宋体" w:hAnsi="宋体" w:cs="宋体"/>
                <w:color w:val="auto"/>
              </w:rPr>
            </w:pPr>
            <w:r>
              <w:rPr>
                <w:rFonts w:hint="eastAsia" w:ascii="宋体" w:hAnsi="宋体" w:cs="宋体"/>
                <w:color w:val="auto"/>
              </w:rPr>
              <w:t>26</w:t>
            </w:r>
            <w:r>
              <w:rPr>
                <w:rFonts w:hint="eastAsia" w:ascii="宋体" w:hAnsi="宋体" w:eastAsia="宋体" w:cs="宋体"/>
                <w:color w:val="auto"/>
              </w:rPr>
              <w:t>.0分</w:t>
            </w:r>
          </w:p>
        </w:tc>
        <w:tc>
          <w:tcPr>
            <w:tcW w:w="7389" w:type="dxa"/>
            <w:noWrap/>
            <w:vAlign w:val="center"/>
          </w:tcPr>
          <w:p w14:paraId="082D7962">
            <w:pPr>
              <w:rPr>
                <w:rFonts w:hint="eastAsia" w:ascii="宋体" w:hAnsi="宋体" w:cs="宋体"/>
                <w:color w:val="auto"/>
              </w:rPr>
            </w:pPr>
            <w:r>
              <w:rPr>
                <w:rFonts w:hint="eastAsia" w:ascii="宋体" w:hAnsi="宋体" w:eastAsia="宋体" w:cs="宋体"/>
                <w:color w:val="auto"/>
              </w:rPr>
              <w:t>投标产品的技术参数、配置和功能需求（</w:t>
            </w:r>
            <w:r>
              <w:rPr>
                <w:rFonts w:hint="eastAsia" w:ascii="宋体" w:hAnsi="宋体" w:cs="宋体"/>
                <w:color w:val="auto"/>
              </w:rPr>
              <w:t>26</w:t>
            </w:r>
            <w:r>
              <w:rPr>
                <w:rFonts w:hint="eastAsia" w:ascii="宋体" w:hAnsi="宋体" w:eastAsia="宋体" w:cs="宋体"/>
                <w:color w:val="auto"/>
              </w:rPr>
              <w:t>分）。</w:t>
            </w:r>
          </w:p>
          <w:p w14:paraId="53964B1D">
            <w:pPr>
              <w:rPr>
                <w:rFonts w:hint="eastAsia" w:ascii="宋体" w:hAnsi="宋体" w:eastAsia="宋体" w:cs="宋体"/>
                <w:color w:val="auto"/>
                <w:lang w:val="en-US" w:eastAsia="zh-CN"/>
              </w:rPr>
            </w:pPr>
            <w:r>
              <w:rPr>
                <w:rFonts w:hint="eastAsia" w:ascii="宋体" w:hAnsi="宋体" w:eastAsia="宋体" w:cs="宋体"/>
                <w:color w:val="auto"/>
              </w:rPr>
              <w:t>1、基本分（</w:t>
            </w:r>
            <w:r>
              <w:rPr>
                <w:rFonts w:hint="eastAsia" w:ascii="宋体" w:hAnsi="宋体" w:cs="宋体"/>
                <w:color w:val="auto"/>
              </w:rPr>
              <w:t>15</w:t>
            </w:r>
            <w:r>
              <w:rPr>
                <w:rFonts w:hint="eastAsia" w:ascii="宋体" w:hAnsi="宋体" w:eastAsia="宋体" w:cs="宋体"/>
                <w:color w:val="auto"/>
              </w:rPr>
              <w:t>分），完全响应招标文件要求，满足采购需求、技术参数没有负偏离，计基本分</w:t>
            </w:r>
            <w:r>
              <w:rPr>
                <w:rFonts w:hint="eastAsia" w:ascii="宋体" w:hAnsi="宋体" w:cs="宋体"/>
                <w:color w:val="auto"/>
              </w:rPr>
              <w:t>15</w:t>
            </w:r>
            <w:r>
              <w:rPr>
                <w:rFonts w:hint="eastAsia" w:ascii="宋体" w:hAnsi="宋体" w:eastAsia="宋体" w:cs="宋体"/>
                <w:color w:val="auto"/>
              </w:rPr>
              <w:t>分；参数中每有一条技术指标负偏离扣1分，扣完为止；</w:t>
            </w:r>
            <w:r>
              <w:rPr>
                <w:rFonts w:hint="eastAsia" w:ascii="宋体" w:hAnsi="宋体" w:eastAsia="宋体" w:cs="宋体"/>
                <w:b/>
                <w:bCs/>
                <w:color w:val="auto"/>
              </w:rPr>
              <w:t>其中★项不允许负偏离</w:t>
            </w:r>
            <w:r>
              <w:rPr>
                <w:rFonts w:hint="eastAsia" w:ascii="宋体" w:hAnsi="宋体" w:eastAsia="宋体" w:cs="宋体"/>
                <w:b/>
                <w:bCs/>
                <w:color w:val="auto"/>
                <w:lang w:eastAsia="zh-CN"/>
              </w:rPr>
              <w:t>。</w:t>
            </w:r>
          </w:p>
          <w:p w14:paraId="47CC7F50">
            <w:pPr>
              <w:keepNext/>
              <w:keepLines/>
              <w:outlineLvl w:val="3"/>
              <w:rPr>
                <w:rFonts w:hint="eastAsia" w:ascii="宋体" w:hAnsi="宋体" w:cs="宋体"/>
                <w:color w:val="auto"/>
              </w:rPr>
            </w:pPr>
            <w:r>
              <w:rPr>
                <w:rFonts w:hint="eastAsia" w:ascii="宋体" w:hAnsi="宋体" w:eastAsia="宋体" w:cs="宋体"/>
                <w:color w:val="auto"/>
              </w:rPr>
              <w:t>2、功能及配置分（</w:t>
            </w:r>
            <w:r>
              <w:rPr>
                <w:rFonts w:hint="eastAsia" w:ascii="宋体" w:hAnsi="宋体" w:cs="宋体"/>
                <w:color w:val="auto"/>
              </w:rPr>
              <w:t>11</w:t>
            </w:r>
            <w:r>
              <w:rPr>
                <w:rFonts w:hint="eastAsia" w:ascii="宋体" w:hAnsi="宋体" w:eastAsia="宋体" w:cs="宋体"/>
                <w:color w:val="auto"/>
              </w:rPr>
              <w:t>.0分）：</w:t>
            </w:r>
          </w:p>
          <w:p w14:paraId="0B3CE97F">
            <w:pPr>
              <w:keepNext/>
              <w:keepLines/>
              <w:ind w:firstLine="480" w:firstLineChars="200"/>
              <w:outlineLvl w:val="3"/>
              <w:rPr>
                <w:rFonts w:hint="eastAsia" w:ascii="宋体" w:hAnsi="宋体" w:cs="宋体"/>
                <w:color w:val="auto"/>
              </w:rPr>
            </w:pPr>
            <w:r>
              <w:rPr>
                <w:rFonts w:hint="eastAsia" w:ascii="宋体" w:hAnsi="宋体" w:eastAsia="宋体" w:cs="宋体"/>
                <w:color w:val="auto"/>
              </w:rPr>
              <w:t>所投产品功能、技术参数优于或完全满足招标文件要求，且所提供产品认证证书等资料齐全、产品彩页清晰，设备功能描述详细，产品选型有充分的依据，配套设施完善，各类证明材料完整，计(</w:t>
            </w:r>
            <w:r>
              <w:rPr>
                <w:rFonts w:hint="eastAsia" w:ascii="宋体" w:hAnsi="宋体" w:cs="宋体"/>
                <w:color w:val="auto"/>
              </w:rPr>
              <w:t>7</w:t>
            </w:r>
            <w:r>
              <w:rPr>
                <w:rFonts w:hint="eastAsia" w:ascii="宋体" w:hAnsi="宋体" w:eastAsia="宋体" w:cs="宋体"/>
                <w:color w:val="auto"/>
              </w:rPr>
              <w:t>-1</w:t>
            </w:r>
            <w:r>
              <w:rPr>
                <w:rFonts w:hint="eastAsia" w:ascii="宋体" w:hAnsi="宋体" w:cs="宋体"/>
                <w:color w:val="auto"/>
              </w:rPr>
              <w:t>1</w:t>
            </w:r>
            <w:r>
              <w:rPr>
                <w:rFonts w:hint="eastAsia" w:ascii="宋体" w:hAnsi="宋体" w:eastAsia="宋体" w:cs="宋体"/>
                <w:color w:val="auto"/>
              </w:rPr>
              <w:t>]分；</w:t>
            </w:r>
          </w:p>
          <w:p w14:paraId="3AD660EA">
            <w:pPr>
              <w:keepNext/>
              <w:keepLines/>
              <w:ind w:firstLine="480" w:firstLineChars="200"/>
              <w:outlineLvl w:val="3"/>
              <w:rPr>
                <w:rFonts w:hint="eastAsia" w:ascii="宋体" w:hAnsi="宋体" w:cs="宋体"/>
                <w:color w:val="auto"/>
              </w:rPr>
            </w:pPr>
            <w:r>
              <w:rPr>
                <w:rFonts w:hint="eastAsia" w:ascii="宋体" w:hAnsi="宋体" w:eastAsia="宋体" w:cs="宋体"/>
                <w:color w:val="auto"/>
              </w:rPr>
              <w:t>所投产品功能满足基本要求，技术参数佐证材料较完善，产品认证证书等资料较齐全，有技术方案和设备功能描述，产品选型合理，有产品配套内容，各类证明材料较为完整，计(</w:t>
            </w:r>
            <w:r>
              <w:rPr>
                <w:rFonts w:hint="eastAsia" w:ascii="宋体" w:hAnsi="宋体" w:cs="宋体"/>
                <w:color w:val="auto"/>
              </w:rPr>
              <w:t>3</w:t>
            </w:r>
            <w:r>
              <w:rPr>
                <w:rFonts w:hint="eastAsia" w:ascii="宋体" w:hAnsi="宋体" w:eastAsia="宋体" w:cs="宋体"/>
                <w:color w:val="auto"/>
              </w:rPr>
              <w:t>-</w:t>
            </w:r>
            <w:r>
              <w:rPr>
                <w:rFonts w:hint="eastAsia" w:ascii="宋体" w:hAnsi="宋体" w:cs="宋体"/>
                <w:color w:val="auto"/>
              </w:rPr>
              <w:t>7</w:t>
            </w:r>
            <w:r>
              <w:rPr>
                <w:rFonts w:hint="eastAsia" w:ascii="宋体" w:hAnsi="宋体" w:eastAsia="宋体" w:cs="宋体"/>
                <w:color w:val="auto"/>
              </w:rPr>
              <w:t>]分；</w:t>
            </w:r>
          </w:p>
          <w:p w14:paraId="4D50B830">
            <w:pPr>
              <w:keepNext/>
              <w:keepLines/>
              <w:ind w:firstLine="480" w:firstLineChars="200"/>
              <w:outlineLvl w:val="3"/>
              <w:rPr>
                <w:rFonts w:hint="eastAsia" w:ascii="宋体" w:hAnsi="宋体" w:cs="宋体"/>
                <w:color w:val="auto"/>
              </w:rPr>
            </w:pPr>
            <w:r>
              <w:rPr>
                <w:rFonts w:hint="eastAsia" w:ascii="宋体" w:hAnsi="宋体" w:eastAsia="宋体" w:cs="宋体"/>
                <w:color w:val="auto"/>
              </w:rPr>
              <w:t>所投产品功能不能完全满足要求（有负偏离），技术资料、检测报告、产品认证证书等资料不完整，产品功能描述一般，技术参数不明确，产品选型和配套不合理，各类证明材料不完整，计(0-</w:t>
            </w:r>
            <w:r>
              <w:rPr>
                <w:rFonts w:hint="eastAsia" w:ascii="宋体" w:hAnsi="宋体" w:cs="宋体"/>
                <w:color w:val="auto"/>
              </w:rPr>
              <w:t>3</w:t>
            </w:r>
            <w:r>
              <w:rPr>
                <w:rFonts w:hint="eastAsia" w:ascii="宋体" w:hAnsi="宋体" w:eastAsia="宋体" w:cs="宋体"/>
                <w:color w:val="auto"/>
              </w:rPr>
              <w:t>]分；</w:t>
            </w:r>
          </w:p>
          <w:p w14:paraId="2CB6F8B5">
            <w:pPr>
              <w:keepNext/>
              <w:keepLines/>
              <w:ind w:firstLine="480" w:firstLineChars="200"/>
              <w:outlineLvl w:val="3"/>
              <w:rPr>
                <w:rFonts w:hint="eastAsia" w:ascii="宋体" w:hAnsi="宋体" w:cs="宋体"/>
                <w:color w:val="auto"/>
              </w:rPr>
            </w:pPr>
            <w:r>
              <w:rPr>
                <w:rFonts w:hint="eastAsia" w:ascii="宋体" w:hAnsi="宋体" w:eastAsia="宋体" w:cs="宋体"/>
                <w:color w:val="auto"/>
              </w:rPr>
              <w:t>未提供不计分；</w:t>
            </w:r>
          </w:p>
        </w:tc>
      </w:tr>
      <w:tr w14:paraId="6167F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874" w:type="dxa"/>
            <w:noWrap/>
            <w:vAlign w:val="center"/>
          </w:tcPr>
          <w:p w14:paraId="1EDBB75A">
            <w:pPr>
              <w:jc w:val="center"/>
              <w:rPr>
                <w:rFonts w:hint="eastAsia" w:ascii="宋体" w:hAnsi="宋体" w:cs="宋体"/>
              </w:rPr>
            </w:pPr>
            <w:r>
              <w:rPr>
                <w:rFonts w:hint="eastAsia" w:ascii="宋体" w:hAnsi="宋体" w:eastAsia="宋体" w:cs="宋体"/>
              </w:rPr>
              <w:t>实施方案</w:t>
            </w:r>
          </w:p>
        </w:tc>
        <w:tc>
          <w:tcPr>
            <w:tcW w:w="1459" w:type="dxa"/>
            <w:noWrap/>
            <w:vAlign w:val="center"/>
          </w:tcPr>
          <w:p w14:paraId="6E15BDFA">
            <w:pPr>
              <w:jc w:val="center"/>
              <w:rPr>
                <w:rFonts w:hint="eastAsia" w:ascii="宋体" w:hAnsi="宋体" w:cs="宋体"/>
              </w:rPr>
            </w:pPr>
            <w:r>
              <w:rPr>
                <w:rFonts w:hint="eastAsia" w:ascii="宋体" w:hAnsi="宋体" w:eastAsia="宋体" w:cs="宋体"/>
              </w:rPr>
              <w:t>7.0分</w:t>
            </w:r>
          </w:p>
        </w:tc>
        <w:tc>
          <w:tcPr>
            <w:tcW w:w="7389" w:type="dxa"/>
            <w:noWrap/>
            <w:vAlign w:val="center"/>
          </w:tcPr>
          <w:p w14:paraId="53261F33">
            <w:pPr>
              <w:keepNext/>
              <w:keepLines/>
              <w:outlineLvl w:val="3"/>
              <w:rPr>
                <w:rFonts w:hint="eastAsia" w:ascii="宋体" w:hAnsi="宋体" w:cs="宋体"/>
              </w:rPr>
            </w:pPr>
            <w:r>
              <w:rPr>
                <w:rFonts w:hint="eastAsia" w:ascii="宋体" w:hAnsi="宋体" w:eastAsia="宋体" w:cs="宋体"/>
              </w:rPr>
              <w:t>供应商对本项目的供货进度、安装调试、验收组织、人员配备、检测、系统的维护制定具体的实施方案：</w:t>
            </w:r>
          </w:p>
          <w:p w14:paraId="7887B945">
            <w:pPr>
              <w:keepNext/>
              <w:keepLines/>
              <w:ind w:firstLine="480" w:firstLineChars="200"/>
              <w:outlineLvl w:val="3"/>
              <w:rPr>
                <w:rFonts w:hint="eastAsia" w:ascii="宋体" w:hAnsi="宋体" w:cs="宋体"/>
              </w:rPr>
            </w:pPr>
            <w:r>
              <w:rPr>
                <w:rFonts w:hint="eastAsia" w:ascii="宋体" w:hAnsi="宋体" w:eastAsia="宋体" w:cs="宋体"/>
              </w:rPr>
              <w:t>方案完整、科学合理、操作性强，计</w:t>
            </w:r>
            <w:r>
              <w:rPr>
                <w:rFonts w:hint="eastAsia" w:ascii="宋体" w:hAnsi="宋体" w:cs="宋体"/>
              </w:rPr>
              <w:t>（</w:t>
            </w:r>
            <w:r>
              <w:rPr>
                <w:rFonts w:hint="eastAsia" w:ascii="宋体" w:hAnsi="宋体" w:eastAsia="宋体" w:cs="宋体"/>
              </w:rPr>
              <w:t>5-7</w:t>
            </w:r>
            <w:r>
              <w:rPr>
                <w:rFonts w:hint="eastAsia" w:ascii="宋体" w:hAnsi="宋体" w:cs="宋体"/>
              </w:rPr>
              <w:t>]</w:t>
            </w:r>
            <w:r>
              <w:rPr>
                <w:rFonts w:hint="eastAsia" w:ascii="宋体" w:hAnsi="宋体" w:eastAsia="宋体" w:cs="宋体"/>
              </w:rPr>
              <w:t>分；</w:t>
            </w:r>
          </w:p>
          <w:p w14:paraId="09DB92CB">
            <w:pPr>
              <w:keepNext/>
              <w:keepLines/>
              <w:ind w:firstLine="480" w:firstLineChars="200"/>
              <w:outlineLvl w:val="3"/>
              <w:rPr>
                <w:rFonts w:hint="eastAsia" w:ascii="宋体" w:hAnsi="宋体" w:cs="宋体"/>
              </w:rPr>
            </w:pPr>
            <w:r>
              <w:rPr>
                <w:rFonts w:hint="eastAsia" w:ascii="宋体" w:hAnsi="宋体" w:eastAsia="宋体" w:cs="宋体"/>
              </w:rPr>
              <w:t>方案较完整，工作目标不明确、工作保障措施不到位，计</w:t>
            </w:r>
            <w:r>
              <w:rPr>
                <w:rFonts w:hint="eastAsia" w:ascii="宋体" w:hAnsi="宋体" w:cs="宋体"/>
              </w:rPr>
              <w:t>（</w:t>
            </w:r>
            <w:r>
              <w:rPr>
                <w:rFonts w:hint="eastAsia" w:ascii="宋体" w:hAnsi="宋体" w:eastAsia="宋体" w:cs="宋体"/>
              </w:rPr>
              <w:t>3</w:t>
            </w:r>
            <w:r>
              <w:rPr>
                <w:rFonts w:hint="eastAsia" w:ascii="宋体" w:hAnsi="宋体" w:cs="宋体"/>
              </w:rPr>
              <w:t>-5]</w:t>
            </w:r>
            <w:r>
              <w:rPr>
                <w:rFonts w:hint="eastAsia" w:ascii="宋体" w:hAnsi="宋体" w:eastAsia="宋体" w:cs="宋体"/>
              </w:rPr>
              <w:t>分；</w:t>
            </w:r>
          </w:p>
          <w:p w14:paraId="479B19A3">
            <w:pPr>
              <w:keepNext/>
              <w:keepLines/>
              <w:ind w:firstLine="480" w:firstLineChars="200"/>
              <w:outlineLvl w:val="3"/>
              <w:rPr>
                <w:rFonts w:hint="eastAsia" w:ascii="宋体" w:hAnsi="宋体" w:cs="宋体"/>
              </w:rPr>
            </w:pPr>
            <w:r>
              <w:rPr>
                <w:rFonts w:hint="eastAsia" w:ascii="宋体" w:hAnsi="宋体" w:eastAsia="宋体" w:cs="宋体"/>
              </w:rPr>
              <w:t>方案可执行性差，计</w:t>
            </w:r>
            <w:r>
              <w:rPr>
                <w:rFonts w:hint="eastAsia" w:ascii="宋体" w:hAnsi="宋体" w:cs="宋体"/>
              </w:rPr>
              <w:t>（0</w:t>
            </w:r>
            <w:r>
              <w:rPr>
                <w:rFonts w:hint="eastAsia" w:ascii="宋体" w:hAnsi="宋体" w:eastAsia="宋体" w:cs="宋体"/>
              </w:rPr>
              <w:t>-</w:t>
            </w:r>
            <w:r>
              <w:rPr>
                <w:rFonts w:hint="eastAsia" w:ascii="宋体" w:hAnsi="宋体" w:cs="宋体"/>
              </w:rPr>
              <w:t>3]</w:t>
            </w:r>
            <w:r>
              <w:rPr>
                <w:rFonts w:hint="eastAsia" w:ascii="宋体" w:hAnsi="宋体" w:eastAsia="宋体" w:cs="宋体"/>
              </w:rPr>
              <w:t>分；</w:t>
            </w:r>
          </w:p>
          <w:p w14:paraId="24335C48">
            <w:pPr>
              <w:keepNext/>
              <w:keepLines/>
              <w:ind w:firstLine="480" w:firstLineChars="200"/>
              <w:outlineLvl w:val="3"/>
              <w:rPr>
                <w:rFonts w:hint="eastAsia" w:ascii="宋体" w:hAnsi="宋体" w:cs="宋体"/>
              </w:rPr>
            </w:pPr>
            <w:r>
              <w:rPr>
                <w:rFonts w:hint="eastAsia" w:ascii="宋体" w:hAnsi="宋体" w:eastAsia="宋体" w:cs="宋体"/>
              </w:rPr>
              <w:t>未提供不计分。</w:t>
            </w:r>
          </w:p>
        </w:tc>
      </w:tr>
      <w:tr w14:paraId="11142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4" w:type="dxa"/>
            <w:noWrap/>
            <w:vAlign w:val="center"/>
          </w:tcPr>
          <w:p w14:paraId="6C636789">
            <w:pPr>
              <w:jc w:val="center"/>
              <w:rPr>
                <w:rFonts w:hint="eastAsia" w:ascii="宋体" w:hAnsi="宋体" w:cs="宋体"/>
              </w:rPr>
            </w:pPr>
            <w:r>
              <w:rPr>
                <w:rFonts w:hint="eastAsia" w:ascii="宋体" w:hAnsi="宋体" w:eastAsia="宋体" w:cs="宋体"/>
              </w:rPr>
              <w:t>技术</w:t>
            </w:r>
          </w:p>
          <w:p w14:paraId="3C87E87B">
            <w:pPr>
              <w:jc w:val="center"/>
              <w:rPr>
                <w:rFonts w:hint="eastAsia" w:ascii="宋体" w:hAnsi="宋体" w:cs="宋体"/>
              </w:rPr>
            </w:pPr>
            <w:r>
              <w:rPr>
                <w:rFonts w:hint="eastAsia" w:ascii="宋体" w:hAnsi="宋体" w:eastAsia="宋体" w:cs="宋体"/>
              </w:rPr>
              <w:t>方案</w:t>
            </w:r>
          </w:p>
        </w:tc>
        <w:tc>
          <w:tcPr>
            <w:tcW w:w="1459" w:type="dxa"/>
            <w:noWrap/>
            <w:vAlign w:val="center"/>
          </w:tcPr>
          <w:p w14:paraId="44EE9E4F">
            <w:pPr>
              <w:jc w:val="center"/>
              <w:rPr>
                <w:rFonts w:hint="eastAsia" w:ascii="宋体" w:hAnsi="宋体" w:cs="宋体"/>
              </w:rPr>
            </w:pPr>
            <w:r>
              <w:rPr>
                <w:rFonts w:hint="eastAsia" w:ascii="宋体" w:hAnsi="宋体" w:eastAsia="宋体" w:cs="宋体"/>
              </w:rPr>
              <w:t>8.0分</w:t>
            </w:r>
          </w:p>
        </w:tc>
        <w:tc>
          <w:tcPr>
            <w:tcW w:w="7389" w:type="dxa"/>
            <w:noWrap/>
            <w:vAlign w:val="center"/>
          </w:tcPr>
          <w:p w14:paraId="113C1E8F">
            <w:pPr>
              <w:rPr>
                <w:rFonts w:hint="eastAsia" w:ascii="宋体" w:hAnsi="宋体" w:cs="宋体"/>
              </w:rPr>
            </w:pPr>
            <w:r>
              <w:rPr>
                <w:rFonts w:hint="eastAsia" w:ascii="宋体" w:hAnsi="宋体" w:eastAsia="宋体" w:cs="宋体"/>
              </w:rPr>
              <w:t>根据供应商提供的技术方案：</w:t>
            </w:r>
          </w:p>
          <w:p w14:paraId="4A6D0FF7">
            <w:pPr>
              <w:ind w:firstLine="480" w:firstLineChars="200"/>
              <w:rPr>
                <w:rFonts w:hint="eastAsia" w:ascii="宋体" w:hAnsi="宋体" w:cs="宋体"/>
              </w:rPr>
            </w:pPr>
            <w:r>
              <w:rPr>
                <w:rFonts w:hint="eastAsia" w:ascii="宋体" w:hAnsi="宋体" w:eastAsia="宋体" w:cs="宋体"/>
              </w:rPr>
              <w:t>整体方案详细、全面，相关方案和功能证明材料详尽、丰富，能够体现出在学校应用方面的先进性、兼容性、可靠性、安全性，符合当前职业教育发展方向，计</w:t>
            </w:r>
            <w:r>
              <w:rPr>
                <w:rFonts w:hint="eastAsia" w:ascii="宋体" w:hAnsi="宋体" w:cs="宋体"/>
              </w:rPr>
              <w:t>(</w:t>
            </w:r>
            <w:r>
              <w:rPr>
                <w:rFonts w:hint="eastAsia" w:ascii="宋体" w:hAnsi="宋体" w:eastAsia="宋体" w:cs="宋体"/>
              </w:rPr>
              <w:t>6-8</w:t>
            </w:r>
            <w:r>
              <w:rPr>
                <w:rFonts w:hint="eastAsia" w:ascii="宋体" w:hAnsi="宋体" w:cs="宋体"/>
              </w:rPr>
              <w:t>]</w:t>
            </w:r>
            <w:r>
              <w:rPr>
                <w:rFonts w:hint="eastAsia" w:ascii="宋体" w:hAnsi="宋体" w:eastAsia="宋体" w:cs="宋体"/>
              </w:rPr>
              <w:t>分；</w:t>
            </w:r>
          </w:p>
          <w:p w14:paraId="550A6386">
            <w:pPr>
              <w:ind w:firstLine="480" w:firstLineChars="200"/>
              <w:rPr>
                <w:rFonts w:hint="eastAsia" w:ascii="宋体" w:hAnsi="宋体" w:cs="宋体"/>
              </w:rPr>
            </w:pPr>
            <w:r>
              <w:rPr>
                <w:rFonts w:hint="eastAsia" w:ascii="宋体" w:hAnsi="宋体" w:eastAsia="宋体" w:cs="宋体"/>
              </w:rPr>
              <w:t>有具体方案，对方案先进性、兼容性、安全性有设计说明，提供了证明材料，响应了采购需求，整体技术方案设计一般，计</w:t>
            </w:r>
            <w:r>
              <w:rPr>
                <w:rFonts w:hint="eastAsia" w:ascii="宋体" w:hAnsi="宋体" w:cs="宋体"/>
              </w:rPr>
              <w:t>(</w:t>
            </w:r>
            <w:r>
              <w:rPr>
                <w:rFonts w:hint="eastAsia" w:ascii="宋体" w:hAnsi="宋体" w:eastAsia="宋体" w:cs="宋体"/>
              </w:rPr>
              <w:t>4-</w:t>
            </w:r>
            <w:r>
              <w:rPr>
                <w:rFonts w:hint="eastAsia" w:ascii="宋体" w:hAnsi="宋体" w:cs="宋体"/>
              </w:rPr>
              <w:t>6]</w:t>
            </w:r>
            <w:r>
              <w:rPr>
                <w:rFonts w:hint="eastAsia" w:ascii="宋体" w:hAnsi="宋体" w:eastAsia="宋体" w:cs="宋体"/>
              </w:rPr>
              <w:t>分；</w:t>
            </w:r>
          </w:p>
          <w:p w14:paraId="0A9901FF">
            <w:pPr>
              <w:ind w:firstLine="480" w:firstLineChars="200"/>
              <w:rPr>
                <w:rFonts w:hint="eastAsia" w:ascii="宋体" w:hAnsi="宋体" w:cs="宋体"/>
              </w:rPr>
            </w:pPr>
            <w:r>
              <w:rPr>
                <w:rFonts w:hint="eastAsia" w:ascii="宋体" w:hAnsi="宋体" w:eastAsia="宋体" w:cs="宋体"/>
              </w:rPr>
              <w:t>具有技术方案，方案体现不出各系统的成熟对接，主要系统设计方案和相关证明材料不充分，各系统功能描述和采购需求有差别，计</w:t>
            </w:r>
            <w:r>
              <w:rPr>
                <w:rFonts w:hint="eastAsia" w:ascii="宋体" w:hAnsi="宋体" w:cs="宋体"/>
              </w:rPr>
              <w:t>(0</w:t>
            </w:r>
            <w:r>
              <w:rPr>
                <w:rFonts w:hint="eastAsia" w:ascii="宋体" w:hAnsi="宋体" w:eastAsia="宋体" w:cs="宋体"/>
              </w:rPr>
              <w:t>-</w:t>
            </w:r>
            <w:r>
              <w:rPr>
                <w:rFonts w:hint="eastAsia" w:ascii="宋体" w:hAnsi="宋体" w:cs="宋体"/>
              </w:rPr>
              <w:t>4]</w:t>
            </w:r>
            <w:r>
              <w:rPr>
                <w:rFonts w:hint="eastAsia" w:ascii="宋体" w:hAnsi="宋体" w:eastAsia="宋体" w:cs="宋体"/>
              </w:rPr>
              <w:t>分；</w:t>
            </w:r>
          </w:p>
          <w:p w14:paraId="2AEE3FD9">
            <w:pPr>
              <w:keepNext/>
              <w:keepLines/>
              <w:ind w:firstLine="480" w:firstLineChars="200"/>
              <w:outlineLvl w:val="3"/>
              <w:rPr>
                <w:rFonts w:hint="eastAsia" w:ascii="宋体" w:hAnsi="宋体" w:cs="宋体"/>
              </w:rPr>
            </w:pPr>
            <w:r>
              <w:rPr>
                <w:rFonts w:hint="eastAsia" w:ascii="宋体" w:hAnsi="宋体" w:eastAsia="宋体" w:cs="宋体"/>
              </w:rPr>
              <w:t>未提供不计分。</w:t>
            </w:r>
          </w:p>
        </w:tc>
      </w:tr>
      <w:tr w14:paraId="6166C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874" w:type="dxa"/>
            <w:noWrap/>
            <w:vAlign w:val="center"/>
          </w:tcPr>
          <w:p w14:paraId="4C5FAC40">
            <w:pPr>
              <w:jc w:val="center"/>
              <w:rPr>
                <w:rFonts w:hint="eastAsia" w:ascii="宋体" w:hAnsi="宋体" w:cs="宋体"/>
                <w:szCs w:val="21"/>
              </w:rPr>
            </w:pPr>
            <w:r>
              <w:rPr>
                <w:rFonts w:hint="eastAsia" w:ascii="宋体" w:hAnsi="宋体" w:eastAsia="宋体" w:cs="宋体"/>
                <w:szCs w:val="21"/>
              </w:rPr>
              <w:t>质量</w:t>
            </w:r>
          </w:p>
          <w:p w14:paraId="0D5FE380">
            <w:pPr>
              <w:jc w:val="center"/>
              <w:rPr>
                <w:rFonts w:hint="eastAsia" w:ascii="宋体" w:hAnsi="宋体" w:cs="宋体"/>
              </w:rPr>
            </w:pPr>
            <w:r>
              <w:rPr>
                <w:rFonts w:hint="eastAsia" w:ascii="宋体" w:hAnsi="宋体" w:eastAsia="宋体" w:cs="宋体"/>
                <w:szCs w:val="21"/>
              </w:rPr>
              <w:t>保证</w:t>
            </w:r>
          </w:p>
        </w:tc>
        <w:tc>
          <w:tcPr>
            <w:tcW w:w="1459" w:type="dxa"/>
            <w:noWrap/>
            <w:vAlign w:val="center"/>
          </w:tcPr>
          <w:p w14:paraId="32A76D95">
            <w:pPr>
              <w:jc w:val="center"/>
              <w:rPr>
                <w:rFonts w:hint="eastAsia" w:ascii="宋体" w:hAnsi="宋体" w:cs="宋体"/>
              </w:rPr>
            </w:pPr>
            <w:r>
              <w:rPr>
                <w:rFonts w:hint="eastAsia" w:ascii="宋体" w:hAnsi="宋体" w:eastAsia="宋体" w:cs="宋体"/>
              </w:rPr>
              <w:t>5.0分</w:t>
            </w:r>
          </w:p>
        </w:tc>
        <w:tc>
          <w:tcPr>
            <w:tcW w:w="7389" w:type="dxa"/>
            <w:noWrap/>
            <w:vAlign w:val="center"/>
          </w:tcPr>
          <w:p w14:paraId="5C23BCED">
            <w:pPr>
              <w:keepNext/>
              <w:keepLines/>
              <w:outlineLvl w:val="3"/>
              <w:rPr>
                <w:rFonts w:hint="eastAsia" w:ascii="宋体" w:hAnsi="宋体" w:cs="宋体"/>
              </w:rPr>
            </w:pPr>
            <w:r>
              <w:rPr>
                <w:rFonts w:hint="eastAsia" w:ascii="宋体" w:hAnsi="宋体" w:cs="宋体"/>
                <w:sz w:val="24"/>
                <w:szCs w:val="24"/>
              </w:rPr>
              <w:t>根据供应商提供的所投产品的合法来源渠道和生产厂家实力等与产品质量相关的证明材料：</w:t>
            </w:r>
          </w:p>
          <w:p w14:paraId="6213BB18">
            <w:pPr>
              <w:keepNext/>
              <w:keepLines/>
              <w:ind w:firstLine="480" w:firstLineChars="200"/>
              <w:outlineLvl w:val="3"/>
              <w:rPr>
                <w:rFonts w:hint="eastAsia" w:ascii="宋体" w:hAnsi="宋体" w:cs="宋体"/>
              </w:rPr>
            </w:pPr>
            <w:r>
              <w:rPr>
                <w:rFonts w:hint="eastAsia" w:ascii="宋体" w:hAnsi="宋体" w:cs="宋体"/>
                <w:sz w:val="24"/>
                <w:szCs w:val="24"/>
              </w:rPr>
              <w:t>合法来源渠道和生产厂家实力证明等材料种类齐全、详细、充分，计(3-5]分；</w:t>
            </w:r>
          </w:p>
          <w:p w14:paraId="29FD703F">
            <w:pPr>
              <w:keepNext/>
              <w:keepLines/>
              <w:ind w:firstLine="480" w:firstLineChars="200"/>
              <w:outlineLvl w:val="3"/>
              <w:rPr>
                <w:rFonts w:hint="eastAsia" w:ascii="宋体" w:hAnsi="宋体" w:cs="宋体"/>
              </w:rPr>
            </w:pPr>
            <w:r>
              <w:rPr>
                <w:rFonts w:hint="eastAsia" w:ascii="宋体" w:hAnsi="宋体" w:cs="宋体"/>
                <w:sz w:val="24"/>
                <w:szCs w:val="24"/>
              </w:rPr>
              <w:t>合法来源渠道和生产厂家实力等证明材料较完整，计(0-3]分，</w:t>
            </w:r>
          </w:p>
          <w:p w14:paraId="7AC7E345">
            <w:pPr>
              <w:keepNext/>
              <w:keepLines/>
              <w:ind w:firstLine="480" w:firstLineChars="200"/>
              <w:outlineLvl w:val="3"/>
              <w:rPr>
                <w:rFonts w:hint="eastAsia" w:ascii="宋体" w:hAnsi="宋体" w:cs="宋体"/>
              </w:rPr>
            </w:pPr>
            <w:r>
              <w:rPr>
                <w:rFonts w:hint="eastAsia" w:ascii="宋体" w:hAnsi="宋体" w:cs="宋体"/>
                <w:sz w:val="24"/>
                <w:szCs w:val="24"/>
              </w:rPr>
              <w:t>未提供不计分。</w:t>
            </w:r>
          </w:p>
        </w:tc>
      </w:tr>
      <w:tr w14:paraId="0D72D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3" w:hRule="atLeast"/>
          <w:jc w:val="center"/>
        </w:trPr>
        <w:tc>
          <w:tcPr>
            <w:tcW w:w="874" w:type="dxa"/>
            <w:noWrap/>
            <w:vAlign w:val="center"/>
          </w:tcPr>
          <w:p w14:paraId="3FA24336">
            <w:pPr>
              <w:jc w:val="center"/>
              <w:rPr>
                <w:rFonts w:hint="eastAsia" w:ascii="宋体" w:hAnsi="宋体" w:cs="宋体"/>
                <w:color w:val="auto"/>
              </w:rPr>
            </w:pPr>
            <w:r>
              <w:rPr>
                <w:rFonts w:hint="eastAsia" w:ascii="宋体" w:hAnsi="宋体" w:eastAsia="宋体" w:cs="宋体"/>
                <w:color w:val="auto"/>
              </w:rPr>
              <w:t>售后服务方案</w:t>
            </w:r>
          </w:p>
        </w:tc>
        <w:tc>
          <w:tcPr>
            <w:tcW w:w="1459" w:type="dxa"/>
            <w:noWrap/>
            <w:vAlign w:val="center"/>
          </w:tcPr>
          <w:p w14:paraId="4EF941A3">
            <w:pPr>
              <w:jc w:val="center"/>
              <w:rPr>
                <w:rFonts w:hint="eastAsia" w:ascii="宋体" w:hAnsi="宋体" w:cs="宋体"/>
                <w:color w:val="auto"/>
              </w:rPr>
            </w:pPr>
            <w:r>
              <w:rPr>
                <w:rFonts w:hint="eastAsia" w:ascii="宋体" w:hAnsi="宋体" w:cs="宋体"/>
                <w:color w:val="auto"/>
              </w:rPr>
              <w:t>7</w:t>
            </w:r>
            <w:r>
              <w:rPr>
                <w:rFonts w:hint="eastAsia" w:ascii="宋体" w:hAnsi="宋体" w:eastAsia="宋体" w:cs="宋体"/>
                <w:color w:val="auto"/>
              </w:rPr>
              <w:t>.0分</w:t>
            </w:r>
          </w:p>
        </w:tc>
        <w:tc>
          <w:tcPr>
            <w:tcW w:w="7389" w:type="dxa"/>
            <w:noWrap/>
            <w:vAlign w:val="center"/>
          </w:tcPr>
          <w:p w14:paraId="4B57EDF2">
            <w:pPr>
              <w:rPr>
                <w:rFonts w:hint="eastAsia" w:ascii="宋体" w:hAnsi="宋体" w:cs="宋体"/>
                <w:color w:val="auto"/>
              </w:rPr>
            </w:pPr>
            <w:r>
              <w:rPr>
                <w:rFonts w:hint="eastAsia" w:ascii="宋体" w:hAnsi="宋体" w:eastAsia="宋体" w:cs="宋体"/>
                <w:color w:val="auto"/>
              </w:rPr>
              <w:t>根据供应商提供的针对本项目特点的售后服务方案（包括但不限于项目交付用户后出现故障问题响应时间、针对突发事件有具体可行的应急措施和解决方案等）及招标文件要求提供相应的售后服务：</w:t>
            </w:r>
          </w:p>
          <w:p w14:paraId="07502DB1">
            <w:pPr>
              <w:ind w:firstLine="480" w:firstLineChars="200"/>
              <w:rPr>
                <w:rFonts w:hint="eastAsia" w:ascii="宋体" w:hAnsi="宋体" w:cs="宋体"/>
                <w:color w:val="auto"/>
              </w:rPr>
            </w:pPr>
            <w:r>
              <w:rPr>
                <w:rFonts w:hint="eastAsia" w:ascii="宋体" w:hAnsi="宋体" w:eastAsia="宋体" w:cs="宋体"/>
                <w:color w:val="auto"/>
              </w:rPr>
              <w:t>方案完善、科学合理，针对性强、</w:t>
            </w:r>
            <w:r>
              <w:rPr>
                <w:rFonts w:hint="eastAsia" w:ascii="宋体" w:hAnsi="宋体" w:cs="宋体"/>
                <w:color w:val="auto"/>
              </w:rPr>
              <w:t>具有原厂售后</w:t>
            </w:r>
            <w:r>
              <w:rPr>
                <w:rFonts w:hint="eastAsia" w:ascii="宋体" w:hAnsi="宋体" w:eastAsia="宋体" w:cs="宋体"/>
                <w:color w:val="auto"/>
              </w:rPr>
              <w:t>服务</w:t>
            </w:r>
            <w:r>
              <w:rPr>
                <w:rFonts w:hint="eastAsia" w:ascii="宋体" w:hAnsi="宋体" w:cs="宋体"/>
                <w:color w:val="auto"/>
              </w:rPr>
              <w:t>证明</w:t>
            </w:r>
            <w:r>
              <w:rPr>
                <w:rFonts w:hint="eastAsia" w:ascii="宋体" w:hAnsi="宋体" w:eastAsia="宋体" w:cs="宋体"/>
                <w:color w:val="auto"/>
              </w:rPr>
              <w:t>，计</w:t>
            </w:r>
            <w:r>
              <w:rPr>
                <w:rFonts w:hint="eastAsia" w:ascii="宋体" w:hAnsi="宋体" w:cs="宋体"/>
                <w:color w:val="auto"/>
              </w:rPr>
              <w:t>(</w:t>
            </w:r>
            <w:r>
              <w:rPr>
                <w:rFonts w:hint="eastAsia" w:ascii="宋体" w:hAnsi="宋体" w:cs="宋体"/>
                <w:color w:val="auto"/>
                <w:lang w:val="en-US" w:eastAsia="zh-CN"/>
              </w:rPr>
              <w:t>4</w:t>
            </w:r>
            <w:r>
              <w:rPr>
                <w:rFonts w:hint="eastAsia" w:ascii="宋体" w:hAnsi="宋体" w:eastAsia="宋体" w:cs="宋体"/>
                <w:color w:val="auto"/>
              </w:rPr>
              <w:t>-</w:t>
            </w:r>
            <w:r>
              <w:rPr>
                <w:rFonts w:hint="eastAsia" w:ascii="宋体" w:hAnsi="宋体" w:cs="宋体"/>
                <w:color w:val="auto"/>
              </w:rPr>
              <w:t>7]</w:t>
            </w:r>
            <w:r>
              <w:rPr>
                <w:rFonts w:hint="eastAsia" w:ascii="宋体" w:hAnsi="宋体" w:eastAsia="宋体" w:cs="宋体"/>
                <w:color w:val="auto"/>
              </w:rPr>
              <w:t>分；</w:t>
            </w:r>
          </w:p>
          <w:p w14:paraId="29F58B6F">
            <w:pPr>
              <w:ind w:firstLine="480" w:firstLineChars="200"/>
              <w:rPr>
                <w:rFonts w:hint="eastAsia" w:ascii="宋体" w:hAnsi="宋体" w:cs="宋体"/>
                <w:color w:val="auto"/>
              </w:rPr>
            </w:pPr>
            <w:r>
              <w:rPr>
                <w:rFonts w:hint="eastAsia" w:ascii="宋体" w:hAnsi="宋体" w:eastAsia="宋体" w:cs="宋体"/>
                <w:color w:val="auto"/>
              </w:rPr>
              <w:t>方案较完整、合理可行、特点和承诺不明确，计</w:t>
            </w:r>
            <w:r>
              <w:rPr>
                <w:rFonts w:hint="eastAsia" w:ascii="宋体" w:hAnsi="宋体" w:cs="宋体"/>
                <w:color w:val="auto"/>
              </w:rPr>
              <w:t>(</w:t>
            </w:r>
            <w:r>
              <w:rPr>
                <w:rFonts w:hint="eastAsia" w:ascii="宋体" w:hAnsi="宋体" w:cs="宋体"/>
                <w:color w:val="auto"/>
                <w:lang w:val="en-US" w:eastAsia="zh-CN"/>
              </w:rPr>
              <w:t>2</w:t>
            </w:r>
            <w:r>
              <w:rPr>
                <w:rFonts w:hint="eastAsia" w:ascii="宋体" w:hAnsi="宋体" w:eastAsia="宋体" w:cs="宋体"/>
                <w:color w:val="auto"/>
              </w:rPr>
              <w:t>-</w:t>
            </w:r>
            <w:r>
              <w:rPr>
                <w:rFonts w:hint="eastAsia" w:ascii="宋体" w:hAnsi="宋体" w:eastAsia="宋体" w:cs="宋体"/>
                <w:color w:val="auto"/>
                <w:lang w:val="en-US" w:eastAsia="zh-CN"/>
              </w:rPr>
              <w:t>4</w:t>
            </w:r>
            <w:r>
              <w:rPr>
                <w:rFonts w:hint="eastAsia" w:ascii="宋体" w:hAnsi="宋体" w:cs="宋体"/>
                <w:color w:val="auto"/>
              </w:rPr>
              <w:t>]</w:t>
            </w:r>
            <w:r>
              <w:rPr>
                <w:rFonts w:hint="eastAsia" w:ascii="宋体" w:hAnsi="宋体" w:eastAsia="宋体" w:cs="宋体"/>
                <w:color w:val="auto"/>
              </w:rPr>
              <w:t>分；</w:t>
            </w:r>
          </w:p>
          <w:p w14:paraId="4BF2FAA3">
            <w:pPr>
              <w:ind w:firstLine="480" w:firstLineChars="200"/>
              <w:rPr>
                <w:rFonts w:hint="eastAsia" w:ascii="宋体" w:hAnsi="宋体" w:cs="宋体"/>
                <w:color w:val="auto"/>
              </w:rPr>
            </w:pPr>
            <w:r>
              <w:rPr>
                <w:rFonts w:hint="eastAsia" w:ascii="宋体" w:hAnsi="宋体" w:eastAsia="宋体" w:cs="宋体"/>
                <w:color w:val="auto"/>
              </w:rPr>
              <w:t>方案不完善，可实施性较差，计</w:t>
            </w:r>
            <w:r>
              <w:rPr>
                <w:rFonts w:hint="eastAsia" w:ascii="宋体" w:hAnsi="宋体" w:cs="宋体"/>
                <w:color w:val="auto"/>
              </w:rPr>
              <w:t>(0</w:t>
            </w:r>
            <w:r>
              <w:rPr>
                <w:rFonts w:hint="eastAsia" w:ascii="宋体" w:hAnsi="宋体" w:eastAsia="宋体" w:cs="宋体"/>
                <w:color w:val="auto"/>
              </w:rPr>
              <w:t>-</w:t>
            </w:r>
            <w:r>
              <w:rPr>
                <w:rFonts w:hint="eastAsia" w:ascii="宋体" w:hAnsi="宋体" w:eastAsia="宋体" w:cs="宋体"/>
                <w:color w:val="auto"/>
                <w:lang w:val="en-US" w:eastAsia="zh-CN"/>
              </w:rPr>
              <w:t>2</w:t>
            </w:r>
            <w:r>
              <w:rPr>
                <w:rFonts w:hint="eastAsia" w:ascii="宋体" w:hAnsi="宋体" w:cs="宋体"/>
                <w:color w:val="auto"/>
              </w:rPr>
              <w:t>]</w:t>
            </w:r>
            <w:r>
              <w:rPr>
                <w:rFonts w:hint="eastAsia" w:ascii="宋体" w:hAnsi="宋体" w:eastAsia="宋体" w:cs="宋体"/>
                <w:color w:val="auto"/>
              </w:rPr>
              <w:t>分；</w:t>
            </w:r>
          </w:p>
          <w:p w14:paraId="43862CD6">
            <w:pPr>
              <w:ind w:firstLine="480" w:firstLineChars="200"/>
              <w:rPr>
                <w:rFonts w:hint="eastAsia" w:ascii="宋体" w:hAnsi="宋体" w:cs="宋体"/>
                <w:color w:val="auto"/>
              </w:rPr>
            </w:pPr>
            <w:r>
              <w:rPr>
                <w:rFonts w:hint="eastAsia" w:ascii="宋体" w:hAnsi="宋体" w:eastAsia="宋体" w:cs="宋体"/>
                <w:color w:val="auto"/>
              </w:rPr>
              <w:t>未提供不计分。</w:t>
            </w:r>
          </w:p>
        </w:tc>
      </w:tr>
      <w:tr w14:paraId="122F5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jc w:val="center"/>
        </w:trPr>
        <w:tc>
          <w:tcPr>
            <w:tcW w:w="874" w:type="dxa"/>
            <w:noWrap/>
            <w:vAlign w:val="center"/>
          </w:tcPr>
          <w:p w14:paraId="0AACC201">
            <w:pPr>
              <w:jc w:val="center"/>
              <w:rPr>
                <w:rFonts w:hint="eastAsia" w:ascii="宋体" w:hAnsi="宋体" w:cs="宋体"/>
              </w:rPr>
            </w:pPr>
            <w:r>
              <w:rPr>
                <w:rFonts w:hint="eastAsia" w:ascii="宋体" w:hAnsi="宋体" w:eastAsia="宋体" w:cs="宋体"/>
              </w:rPr>
              <w:t>培训方案</w:t>
            </w:r>
          </w:p>
        </w:tc>
        <w:tc>
          <w:tcPr>
            <w:tcW w:w="1459" w:type="dxa"/>
            <w:noWrap/>
            <w:vAlign w:val="center"/>
          </w:tcPr>
          <w:p w14:paraId="209B5E68">
            <w:pPr>
              <w:jc w:val="center"/>
              <w:rPr>
                <w:rFonts w:hint="eastAsia" w:ascii="宋体" w:hAnsi="宋体" w:cs="宋体"/>
              </w:rPr>
            </w:pPr>
            <w:r>
              <w:rPr>
                <w:rFonts w:hint="eastAsia" w:ascii="宋体" w:hAnsi="宋体" w:eastAsia="宋体" w:cs="宋体"/>
              </w:rPr>
              <w:t>3.0分</w:t>
            </w:r>
          </w:p>
        </w:tc>
        <w:tc>
          <w:tcPr>
            <w:tcW w:w="7389" w:type="dxa"/>
            <w:noWrap/>
            <w:vAlign w:val="center"/>
          </w:tcPr>
          <w:p w14:paraId="03817E8C">
            <w:pPr>
              <w:rPr>
                <w:rFonts w:hint="eastAsia" w:ascii="宋体" w:hAnsi="宋体" w:cs="宋体"/>
              </w:rPr>
            </w:pPr>
            <w:r>
              <w:rPr>
                <w:rFonts w:hint="eastAsia" w:ascii="宋体" w:hAnsi="宋体" w:eastAsia="宋体" w:cs="宋体"/>
              </w:rPr>
              <w:t>根据供应商提供的培训方案（包括但不限于免费培训操作事项，帮助用户建立一整套管理运维流程，并提供详细的技术资料，保证用户熟练操作）及培训效果的措施：</w:t>
            </w:r>
          </w:p>
          <w:p w14:paraId="19E06E45">
            <w:pPr>
              <w:ind w:firstLine="480" w:firstLineChars="200"/>
              <w:rPr>
                <w:rFonts w:hint="eastAsia" w:ascii="宋体" w:hAnsi="宋体" w:cs="宋体"/>
              </w:rPr>
            </w:pPr>
            <w:r>
              <w:rPr>
                <w:rFonts w:hint="eastAsia" w:ascii="宋体" w:hAnsi="宋体" w:eastAsia="宋体" w:cs="宋体"/>
              </w:rPr>
              <w:t>方案完善、工作目标明确、科学合理、培训效果保证措施充分计</w:t>
            </w:r>
            <w:r>
              <w:rPr>
                <w:rFonts w:hint="eastAsia" w:ascii="宋体" w:hAnsi="宋体" w:cs="宋体"/>
              </w:rPr>
              <w:t>(</w:t>
            </w:r>
            <w:r>
              <w:rPr>
                <w:rFonts w:hint="eastAsia" w:ascii="宋体" w:hAnsi="宋体" w:eastAsia="宋体" w:cs="宋体"/>
              </w:rPr>
              <w:t>2-3</w:t>
            </w:r>
            <w:r>
              <w:rPr>
                <w:rFonts w:hint="eastAsia" w:ascii="宋体" w:hAnsi="宋体" w:cs="宋体"/>
              </w:rPr>
              <w:t>]</w:t>
            </w:r>
            <w:r>
              <w:rPr>
                <w:rFonts w:hint="eastAsia" w:ascii="宋体" w:hAnsi="宋体" w:eastAsia="宋体" w:cs="宋体"/>
              </w:rPr>
              <w:t>分；</w:t>
            </w:r>
          </w:p>
          <w:p w14:paraId="51F30363">
            <w:pPr>
              <w:ind w:firstLine="480" w:firstLineChars="200"/>
              <w:rPr>
                <w:rFonts w:hint="eastAsia" w:ascii="宋体" w:hAnsi="宋体" w:cs="宋体"/>
              </w:rPr>
            </w:pPr>
            <w:r>
              <w:rPr>
                <w:rFonts w:hint="eastAsia" w:ascii="宋体" w:hAnsi="宋体" w:eastAsia="宋体" w:cs="宋体"/>
              </w:rPr>
              <w:t>有培训方案、可行、措施和各项工作目标、条理性不强计</w:t>
            </w:r>
            <w:r>
              <w:rPr>
                <w:rFonts w:hint="eastAsia" w:ascii="宋体" w:hAnsi="宋体" w:cs="宋体"/>
              </w:rPr>
              <w:t>(0</w:t>
            </w:r>
            <w:r>
              <w:rPr>
                <w:rFonts w:hint="eastAsia" w:ascii="宋体" w:hAnsi="宋体" w:eastAsia="宋体" w:cs="宋体"/>
              </w:rPr>
              <w:t>-</w:t>
            </w:r>
            <w:r>
              <w:rPr>
                <w:rFonts w:hint="eastAsia" w:ascii="宋体" w:hAnsi="宋体" w:cs="宋体"/>
              </w:rPr>
              <w:t>2]</w:t>
            </w:r>
            <w:r>
              <w:rPr>
                <w:rFonts w:hint="eastAsia" w:ascii="宋体" w:hAnsi="宋体" w:eastAsia="宋体" w:cs="宋体"/>
              </w:rPr>
              <w:t>分；</w:t>
            </w:r>
          </w:p>
          <w:p w14:paraId="72D5E140">
            <w:pPr>
              <w:ind w:firstLine="480" w:firstLineChars="200"/>
              <w:rPr>
                <w:rFonts w:hint="eastAsia" w:ascii="宋体" w:hAnsi="宋体" w:cs="宋体"/>
              </w:rPr>
            </w:pPr>
            <w:r>
              <w:rPr>
                <w:rFonts w:hint="eastAsia" w:ascii="宋体" w:hAnsi="宋体" w:eastAsia="宋体" w:cs="宋体"/>
              </w:rPr>
              <w:t>未提供不计分。</w:t>
            </w:r>
          </w:p>
        </w:tc>
      </w:tr>
      <w:tr w14:paraId="7196D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874" w:type="dxa"/>
            <w:noWrap/>
            <w:vAlign w:val="center"/>
          </w:tcPr>
          <w:p w14:paraId="3C3DBE18">
            <w:pPr>
              <w:jc w:val="center"/>
              <w:rPr>
                <w:rFonts w:hint="eastAsia" w:ascii="宋体" w:hAnsi="宋体" w:cs="宋体"/>
                <w:color w:val="auto"/>
              </w:rPr>
            </w:pPr>
            <w:r>
              <w:rPr>
                <w:rFonts w:hint="eastAsia" w:ascii="宋体" w:hAnsi="宋体" w:eastAsia="宋体" w:cs="宋体"/>
                <w:color w:val="auto"/>
              </w:rPr>
              <w:t>业绩</w:t>
            </w:r>
          </w:p>
        </w:tc>
        <w:tc>
          <w:tcPr>
            <w:tcW w:w="1459" w:type="dxa"/>
            <w:noWrap/>
            <w:vAlign w:val="center"/>
          </w:tcPr>
          <w:p w14:paraId="27B28513">
            <w:pPr>
              <w:jc w:val="center"/>
              <w:rPr>
                <w:rFonts w:hint="eastAsia" w:ascii="宋体" w:hAnsi="宋体" w:cs="宋体"/>
                <w:color w:val="auto"/>
              </w:rPr>
            </w:pPr>
            <w:r>
              <w:rPr>
                <w:rFonts w:hint="eastAsia" w:ascii="宋体" w:hAnsi="宋体" w:cs="宋体"/>
                <w:color w:val="auto"/>
              </w:rPr>
              <w:t>3</w:t>
            </w:r>
            <w:r>
              <w:rPr>
                <w:rFonts w:hint="eastAsia" w:ascii="宋体" w:hAnsi="宋体" w:eastAsia="宋体" w:cs="宋体"/>
                <w:color w:val="auto"/>
              </w:rPr>
              <w:t>.0分</w:t>
            </w:r>
          </w:p>
        </w:tc>
        <w:tc>
          <w:tcPr>
            <w:tcW w:w="7389" w:type="dxa"/>
            <w:noWrap/>
            <w:vAlign w:val="center"/>
          </w:tcPr>
          <w:p w14:paraId="06A7E207">
            <w:pPr>
              <w:rPr>
                <w:rFonts w:hint="eastAsia" w:ascii="宋体" w:hAnsi="宋体" w:cs="宋体"/>
                <w:color w:val="auto"/>
              </w:rPr>
            </w:pPr>
            <w:r>
              <w:rPr>
                <w:rFonts w:hint="eastAsia" w:ascii="宋体" w:hAnsi="宋体" w:eastAsia="宋体" w:cs="宋体"/>
                <w:color w:val="auto"/>
                <w:szCs w:val="21"/>
              </w:rPr>
              <w:t>供应商提供20</w:t>
            </w:r>
            <w:r>
              <w:rPr>
                <w:rFonts w:hint="eastAsia" w:ascii="宋体" w:hAnsi="宋体" w:cs="宋体"/>
                <w:color w:val="auto"/>
                <w:szCs w:val="21"/>
              </w:rPr>
              <w:t>21</w:t>
            </w:r>
            <w:r>
              <w:rPr>
                <w:rFonts w:hint="eastAsia" w:ascii="宋体" w:hAnsi="宋体" w:eastAsia="宋体" w:cs="宋体"/>
                <w:color w:val="auto"/>
                <w:szCs w:val="21"/>
              </w:rPr>
              <w:t>年1</w:t>
            </w:r>
            <w:r>
              <w:rPr>
                <w:rFonts w:hint="eastAsia" w:ascii="宋体" w:hAnsi="宋体" w:eastAsia="宋体" w:cs="宋体"/>
                <w:color w:val="auto"/>
                <w:szCs w:val="21"/>
                <w:lang w:val="en-US" w:eastAsia="zh-CN"/>
              </w:rPr>
              <w:t>1</w:t>
            </w:r>
            <w:r>
              <w:rPr>
                <w:rFonts w:hint="eastAsia" w:ascii="宋体" w:hAnsi="宋体" w:eastAsia="宋体" w:cs="宋体"/>
                <w:color w:val="auto"/>
                <w:szCs w:val="21"/>
              </w:rPr>
              <w:t>月1日至今的类似项目业绩（</w:t>
            </w:r>
            <w:r>
              <w:rPr>
                <w:rFonts w:hint="eastAsia" w:ascii="宋体" w:hAnsi="宋体" w:eastAsia="宋体" w:cs="宋体"/>
                <w:color w:val="auto"/>
                <w:szCs w:val="21"/>
                <w:lang w:val="en-US" w:eastAsia="zh-CN"/>
              </w:rPr>
              <w:t>以供应商的</w:t>
            </w:r>
            <w:r>
              <w:rPr>
                <w:rFonts w:hint="eastAsia" w:ascii="宋体" w:hAnsi="宋体" w:eastAsia="宋体" w:cs="宋体"/>
                <w:color w:val="auto"/>
                <w:szCs w:val="21"/>
              </w:rPr>
              <w:t>供货合同</w:t>
            </w:r>
            <w:r>
              <w:rPr>
                <w:rFonts w:hint="eastAsia" w:ascii="宋体" w:hAnsi="宋体" w:eastAsia="宋体" w:cs="宋体"/>
                <w:color w:val="auto"/>
                <w:szCs w:val="21"/>
                <w:lang w:val="en-US" w:eastAsia="zh-CN"/>
              </w:rPr>
              <w:t>为准</w:t>
            </w:r>
            <w:r>
              <w:rPr>
                <w:rFonts w:hint="eastAsia" w:ascii="宋体" w:hAnsi="宋体" w:eastAsia="宋体" w:cs="宋体"/>
                <w:color w:val="auto"/>
                <w:szCs w:val="21"/>
              </w:rPr>
              <w:t>）复印件加盖公章，每份计</w:t>
            </w:r>
            <w:r>
              <w:rPr>
                <w:rFonts w:hint="eastAsia" w:ascii="宋体" w:hAnsi="宋体" w:cs="宋体"/>
                <w:color w:val="auto"/>
                <w:szCs w:val="21"/>
              </w:rPr>
              <w:t>1</w:t>
            </w:r>
            <w:r>
              <w:rPr>
                <w:rFonts w:hint="eastAsia" w:ascii="宋体" w:hAnsi="宋体" w:eastAsia="宋体" w:cs="宋体"/>
                <w:color w:val="auto"/>
                <w:szCs w:val="21"/>
              </w:rPr>
              <w:t>.0分，满分</w:t>
            </w:r>
            <w:r>
              <w:rPr>
                <w:rFonts w:hint="eastAsia" w:ascii="宋体" w:hAnsi="宋体" w:cs="宋体"/>
                <w:color w:val="auto"/>
                <w:szCs w:val="21"/>
              </w:rPr>
              <w:t>3</w:t>
            </w:r>
            <w:r>
              <w:rPr>
                <w:rFonts w:hint="eastAsia" w:ascii="宋体" w:hAnsi="宋体" w:eastAsia="宋体" w:cs="宋体"/>
                <w:color w:val="auto"/>
                <w:szCs w:val="21"/>
              </w:rPr>
              <w:t>.0分。</w:t>
            </w:r>
          </w:p>
        </w:tc>
      </w:tr>
      <w:tr w14:paraId="1183E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0" w:hRule="atLeast"/>
          <w:jc w:val="center"/>
        </w:trPr>
        <w:tc>
          <w:tcPr>
            <w:tcW w:w="874" w:type="dxa"/>
            <w:noWrap/>
            <w:vAlign w:val="center"/>
          </w:tcPr>
          <w:p w14:paraId="437EA041">
            <w:pPr>
              <w:jc w:val="center"/>
              <w:rPr>
                <w:rFonts w:hint="eastAsia" w:ascii="宋体" w:hAnsi="宋体" w:cs="宋体"/>
                <w:color w:val="auto"/>
              </w:rPr>
            </w:pPr>
            <w:r>
              <w:rPr>
                <w:rFonts w:hint="eastAsia" w:ascii="宋体" w:hAnsi="宋体" w:cs="宋体"/>
                <w:color w:val="auto"/>
              </w:rPr>
              <w:t>演示</w:t>
            </w:r>
          </w:p>
        </w:tc>
        <w:tc>
          <w:tcPr>
            <w:tcW w:w="1459" w:type="dxa"/>
            <w:noWrap/>
            <w:vAlign w:val="center"/>
          </w:tcPr>
          <w:p w14:paraId="6BD6C324">
            <w:pPr>
              <w:jc w:val="center"/>
              <w:rPr>
                <w:rFonts w:hint="eastAsia" w:ascii="宋体" w:hAnsi="宋体" w:cs="宋体"/>
                <w:color w:val="auto"/>
              </w:rPr>
            </w:pPr>
            <w:r>
              <w:rPr>
                <w:rFonts w:hint="eastAsia" w:ascii="宋体" w:hAnsi="宋体" w:cs="宋体"/>
                <w:color w:val="auto"/>
              </w:rPr>
              <w:t>10.0分</w:t>
            </w:r>
          </w:p>
        </w:tc>
        <w:tc>
          <w:tcPr>
            <w:tcW w:w="7389" w:type="dxa"/>
            <w:noWrap/>
            <w:vAlign w:val="center"/>
          </w:tcPr>
          <w:p w14:paraId="29091AA4">
            <w:pPr>
              <w:rPr>
                <w:rFonts w:hint="eastAsia" w:ascii="宋体" w:hAnsi="宋体" w:cs="宋体"/>
                <w:color w:val="auto"/>
                <w:szCs w:val="21"/>
              </w:rPr>
            </w:pPr>
            <w:r>
              <w:rPr>
                <w:rFonts w:hint="eastAsia" w:ascii="宋体" w:hAnsi="宋体" w:cs="宋体"/>
                <w:color w:val="auto"/>
                <w:szCs w:val="21"/>
              </w:rPr>
              <w:t>1.一体机具备互动反馈功能，将所有学生端和教师端连接一起构建成互动反馈系统，在系统里面教师可以单选，多选，判断，观点，抢答，抽选，提问箱，文件下发，批注下发。</w:t>
            </w:r>
          </w:p>
          <w:p w14:paraId="5D4FC20B">
            <w:pPr>
              <w:rPr>
                <w:rFonts w:hint="eastAsia" w:ascii="宋体" w:hAnsi="宋体" w:cs="宋体"/>
                <w:color w:val="auto"/>
                <w:szCs w:val="21"/>
              </w:rPr>
            </w:pPr>
            <w:r>
              <w:rPr>
                <w:rFonts w:hint="eastAsia" w:ascii="宋体" w:hAnsi="宋体" w:cs="宋体"/>
                <w:color w:val="auto"/>
                <w:szCs w:val="21"/>
              </w:rPr>
              <w:t xml:space="preserve">2.4K录播主机采用≥15英寸触控电容屏，内置扬声器，支持音频检测，通过主机内置扬声器可以播放测试音频，通过主机一体化屏幕进行视频预览时能够同步播放音频。支持标准USB音视频信号输出，通过主机TypeC接口可以实现图像和声音同步输出，兼容主流视频会议软件。 </w:t>
            </w:r>
          </w:p>
          <w:p w14:paraId="57D4103D">
            <w:pPr>
              <w:rPr>
                <w:rFonts w:hint="eastAsia" w:ascii="宋体" w:hAnsi="宋体" w:cs="宋体"/>
                <w:color w:val="auto"/>
                <w:szCs w:val="21"/>
              </w:rPr>
            </w:pPr>
            <w:r>
              <w:rPr>
                <w:rFonts w:hint="eastAsia" w:ascii="宋体" w:hAnsi="宋体" w:cs="宋体"/>
                <w:color w:val="auto"/>
                <w:szCs w:val="21"/>
              </w:rPr>
              <w:t xml:space="preserve">3. 4K录播主机支持网络监测功能，无需安装第三方软件，在触控屏幕上显示当前设备网络状态，包括：服务联通性、网络稳定性、上下行速度、网络追踪性、网卡信息。 </w:t>
            </w:r>
          </w:p>
          <w:p w14:paraId="7D7FD1BE">
            <w:pPr>
              <w:rPr>
                <w:rFonts w:hint="eastAsia" w:ascii="宋体" w:hAnsi="宋体" w:cs="宋体"/>
                <w:color w:val="auto"/>
                <w:szCs w:val="21"/>
              </w:rPr>
            </w:pPr>
            <w:r>
              <w:rPr>
                <w:rFonts w:hint="eastAsia" w:ascii="宋体" w:hAnsi="宋体" w:cs="宋体"/>
                <w:color w:val="auto"/>
                <w:szCs w:val="21"/>
              </w:rPr>
              <w:t>4.智慧云班牌显示终端，整机内置双目摄像头，在使用人脸识别功能时具备活体检测功能。</w:t>
            </w:r>
          </w:p>
          <w:p w14:paraId="2B9E6135">
            <w:pPr>
              <w:rPr>
                <w:rFonts w:hint="eastAsia" w:ascii="宋体" w:hAnsi="宋体" w:cs="宋体"/>
                <w:color w:val="auto"/>
                <w:szCs w:val="21"/>
              </w:rPr>
            </w:pPr>
            <w:r>
              <w:rPr>
                <w:rFonts w:hint="eastAsia" w:ascii="宋体" w:hAnsi="宋体" w:cs="宋体"/>
                <w:color w:val="auto"/>
                <w:szCs w:val="21"/>
              </w:rPr>
              <w:t>5.智慧云班牌显示终端支持预约人在设备端进行场地签到；支持刷脸/刷卡/二维码方式签到。</w:t>
            </w:r>
          </w:p>
          <w:p w14:paraId="7603F967">
            <w:pPr>
              <w:rPr>
                <w:rFonts w:hint="eastAsia" w:ascii="宋体" w:hAnsi="宋体" w:cs="宋体"/>
                <w:color w:val="auto"/>
                <w:szCs w:val="21"/>
              </w:rPr>
            </w:pPr>
            <w:r>
              <w:rPr>
                <w:rFonts w:hint="eastAsia" w:ascii="宋体" w:hAnsi="宋体" w:cs="宋体"/>
                <w:color w:val="auto"/>
                <w:szCs w:val="21"/>
              </w:rPr>
              <w:t>以上功能需现场逐条演示，满足1条</w:t>
            </w:r>
            <w:r>
              <w:rPr>
                <w:rFonts w:hint="eastAsia" w:ascii="宋体" w:hAnsi="宋体" w:eastAsia="宋体" w:cs="宋体"/>
                <w:color w:val="auto"/>
                <w:szCs w:val="21"/>
              </w:rPr>
              <w:t>计</w:t>
            </w:r>
            <w:r>
              <w:rPr>
                <w:rFonts w:hint="eastAsia" w:ascii="宋体" w:hAnsi="宋体" w:cs="宋体"/>
                <w:color w:val="auto"/>
                <w:szCs w:val="21"/>
              </w:rPr>
              <w:t>2</w:t>
            </w:r>
            <w:r>
              <w:rPr>
                <w:rFonts w:hint="eastAsia" w:ascii="宋体" w:hAnsi="宋体" w:eastAsia="宋体" w:cs="宋体"/>
                <w:color w:val="auto"/>
                <w:szCs w:val="21"/>
              </w:rPr>
              <w:t>.0分，满分10.0分。</w:t>
            </w:r>
            <w:r>
              <w:rPr>
                <w:rFonts w:hint="eastAsia" w:ascii="宋体" w:hAnsi="宋体" w:cs="宋体"/>
                <w:color w:val="auto"/>
                <w:szCs w:val="21"/>
              </w:rPr>
              <w:t>不演示不计分</w:t>
            </w:r>
          </w:p>
        </w:tc>
      </w:tr>
      <w:tr w14:paraId="1EA1E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874" w:type="dxa"/>
            <w:noWrap/>
            <w:vAlign w:val="center"/>
          </w:tcPr>
          <w:p w14:paraId="0CF78D4D">
            <w:pPr>
              <w:jc w:val="center"/>
              <w:rPr>
                <w:rFonts w:hint="eastAsia" w:ascii="宋体" w:hAnsi="宋体" w:cs="宋体"/>
              </w:rPr>
            </w:pPr>
            <w:r>
              <w:rPr>
                <w:rFonts w:hint="eastAsia" w:ascii="宋体" w:hAnsi="宋体" w:eastAsia="宋体" w:cs="宋体"/>
              </w:rPr>
              <w:t>节能</w:t>
            </w:r>
          </w:p>
          <w:p w14:paraId="0FF47C12">
            <w:pPr>
              <w:jc w:val="center"/>
              <w:rPr>
                <w:rFonts w:hint="eastAsia" w:ascii="宋体" w:hAnsi="宋体" w:cs="宋体"/>
              </w:rPr>
            </w:pPr>
            <w:r>
              <w:rPr>
                <w:rFonts w:hint="eastAsia" w:ascii="宋体" w:hAnsi="宋体" w:eastAsia="宋体" w:cs="宋体"/>
              </w:rPr>
              <w:t>环保</w:t>
            </w:r>
          </w:p>
        </w:tc>
        <w:tc>
          <w:tcPr>
            <w:tcW w:w="1459" w:type="dxa"/>
            <w:noWrap/>
            <w:vAlign w:val="center"/>
          </w:tcPr>
          <w:p w14:paraId="314881C0">
            <w:pPr>
              <w:jc w:val="center"/>
              <w:rPr>
                <w:rFonts w:hint="eastAsia" w:ascii="宋体" w:hAnsi="宋体" w:cs="宋体"/>
              </w:rPr>
            </w:pPr>
            <w:r>
              <w:rPr>
                <w:rFonts w:hint="eastAsia" w:ascii="宋体" w:hAnsi="宋体" w:eastAsia="宋体" w:cs="宋体"/>
              </w:rPr>
              <w:t>1.0分</w:t>
            </w:r>
          </w:p>
        </w:tc>
        <w:tc>
          <w:tcPr>
            <w:tcW w:w="7389" w:type="dxa"/>
            <w:noWrap/>
            <w:vAlign w:val="center"/>
          </w:tcPr>
          <w:p w14:paraId="45A679F7">
            <w:pPr>
              <w:rPr>
                <w:rFonts w:hint="eastAsia" w:ascii="宋体" w:hAnsi="宋体" w:cs="宋体"/>
              </w:rPr>
            </w:pPr>
            <w:r>
              <w:rPr>
                <w:rFonts w:hint="eastAsia" w:ascii="宋体" w:hAnsi="宋体" w:eastAsia="宋体" w:cs="宋体"/>
                <w:color w:val="000000" w:themeColor="text1"/>
                <w:szCs w:val="21"/>
                <w14:textFill>
                  <w14:solidFill>
                    <w14:schemeClr w14:val="tx1"/>
                  </w14:solidFill>
                </w14:textFill>
              </w:rPr>
              <w:t>供应商响应产品中每有一项为节能产品的得0.5分，每有一项为环境标志产品的得0.5分，供应商所投产品中每有一项产品同时为节能产品和环境标志产品的得1.0分，最多得1.0分。（须提供相应产品的国家确定的认证机构出具的、处于有效期内的节能产品、环境标志产品认证证书）</w:t>
            </w:r>
          </w:p>
        </w:tc>
      </w:tr>
      <w:tr w14:paraId="3BA30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874" w:type="dxa"/>
            <w:noWrap/>
            <w:vAlign w:val="center"/>
          </w:tcPr>
          <w:p w14:paraId="43906042">
            <w:pPr>
              <w:rPr>
                <w:rFonts w:hint="eastAsia" w:ascii="宋体" w:hAnsi="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说明</w:t>
            </w:r>
          </w:p>
        </w:tc>
        <w:tc>
          <w:tcPr>
            <w:tcW w:w="8848" w:type="dxa"/>
            <w:gridSpan w:val="2"/>
            <w:noWrap/>
            <w:vAlign w:val="center"/>
          </w:tcPr>
          <w:p w14:paraId="14C9AB75">
            <w:pPr>
              <w:pStyle w:val="115"/>
              <w:pBdr>
                <w:between w:val="single" w:color="auto" w:sz="4" w:space="1"/>
              </w:pBd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1、评标委员会成员必须按照本评审要素据实打分，各类数字计算均按“四舍五入”保留小数点后两位；</w:t>
            </w:r>
          </w:p>
          <w:p w14:paraId="17C35510">
            <w:pPr>
              <w:pStyle w:val="115"/>
              <w:pBdr>
                <w:between w:val="single" w:color="auto" w:sz="4" w:space="1"/>
              </w:pBdr>
              <w:spacing w:line="360" w:lineRule="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2、对小型和微型企业的报价给予10%的价格扣除，用扣除后的价格参与评审；未提供中小企业声明函的不享受价格折扣。</w:t>
            </w:r>
          </w:p>
        </w:tc>
      </w:tr>
    </w:tbl>
    <w:p w14:paraId="50EE185A"/>
    <w:p w14:paraId="1382E1A9">
      <w:pPr>
        <w:pStyle w:val="107"/>
        <w:outlineLvl w:val="9"/>
        <w:rPr>
          <w:rFonts w:hint="eastAsia" w:ascii="宋体" w:hAnsi="宋体" w:eastAsia="宋体" w:cs="宋体"/>
          <w:color w:val="000000" w:themeColor="text1"/>
          <w:sz w:val="24"/>
          <w:szCs w:val="24"/>
          <w:highlight w:val="none"/>
          <w14:textFill>
            <w14:solidFill>
              <w14:schemeClr w14:val="tx1"/>
            </w14:solidFill>
          </w14:textFill>
        </w:rPr>
      </w:pPr>
      <w:bookmarkStart w:id="177" w:name="_Toc14692"/>
      <w:bookmarkStart w:id="178" w:name="_Toc16015"/>
      <w:bookmarkStart w:id="179" w:name="_Toc29982"/>
      <w:r>
        <w:rPr>
          <w:rFonts w:hint="eastAsia" w:ascii="宋体" w:hAnsi="宋体" w:eastAsia="宋体" w:cs="宋体"/>
          <w:color w:val="000000" w:themeColor="text1"/>
          <w:sz w:val="24"/>
          <w:szCs w:val="24"/>
          <w:highlight w:val="none"/>
          <w14:textFill>
            <w14:solidFill>
              <w14:schemeClr w14:val="tx1"/>
            </w14:solidFill>
          </w14:textFill>
        </w:rPr>
        <w:t>4．推荐中标候选人</w:t>
      </w:r>
      <w:bookmarkEnd w:id="177"/>
      <w:bookmarkEnd w:id="178"/>
      <w:bookmarkEnd w:id="179"/>
    </w:p>
    <w:p w14:paraId="4C42AE87">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供应商为排名第一的中标候选人。</w:t>
      </w:r>
    </w:p>
    <w:p w14:paraId="65150289">
      <w:pPr>
        <w:pStyle w:val="107"/>
        <w:outlineLvl w:val="9"/>
        <w:rPr>
          <w:rFonts w:hint="eastAsia" w:ascii="宋体" w:hAnsi="宋体" w:eastAsia="宋体" w:cs="宋体"/>
          <w:color w:val="000000" w:themeColor="text1"/>
          <w:sz w:val="24"/>
          <w:szCs w:val="24"/>
          <w:highlight w:val="none"/>
          <w14:textFill>
            <w14:solidFill>
              <w14:schemeClr w14:val="tx1"/>
            </w14:solidFill>
          </w14:textFill>
        </w:rPr>
      </w:pPr>
      <w:bookmarkStart w:id="180" w:name="_Toc10501"/>
      <w:bookmarkStart w:id="181" w:name="_Toc19896"/>
      <w:bookmarkStart w:id="182" w:name="_Toc9776"/>
      <w:r>
        <w:rPr>
          <w:rFonts w:hint="eastAsia" w:ascii="宋体" w:hAnsi="宋体" w:eastAsia="宋体" w:cs="宋体"/>
          <w:color w:val="000000" w:themeColor="text1"/>
          <w:sz w:val="24"/>
          <w:szCs w:val="24"/>
          <w:highlight w:val="none"/>
          <w14:textFill>
            <w14:solidFill>
              <w14:schemeClr w14:val="tx1"/>
            </w14:solidFill>
          </w14:textFill>
        </w:rPr>
        <w:t>5．编写评审报告</w:t>
      </w:r>
      <w:bookmarkEnd w:id="180"/>
      <w:bookmarkEnd w:id="181"/>
      <w:bookmarkEnd w:id="182"/>
    </w:p>
    <w:p w14:paraId="20E2DBB0">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评审报告是评标委员会根据全体评标成员签字的原始评标记录和评标结果编写的报告，其主要内容包括：</w:t>
      </w:r>
    </w:p>
    <w:p w14:paraId="270650D9">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（1）招标公告刊登的媒体名称、开标日期和地点。</w:t>
      </w:r>
    </w:p>
    <w:p w14:paraId="47B3FC90">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（2）投标供应商名单和评标委员会成员名单。</w:t>
      </w:r>
    </w:p>
    <w:p w14:paraId="1E08BBB7">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（3）评标方法。</w:t>
      </w:r>
    </w:p>
    <w:p w14:paraId="22543EBB">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（4）开标记录和评标情况及说明，包括投标无效供应商名单及原因。</w:t>
      </w:r>
    </w:p>
    <w:p w14:paraId="66F77F18">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（5）评标结果，确定的中标候选人名单或者经采购人委托直接确定的中标供应商。</w:t>
      </w:r>
    </w:p>
    <w:p w14:paraId="45822DE2">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（6）其他需要说明的情况，包括评标过程中投标供应商根据评标委员会要求进行的澄清、说明或者补正，评标委员会成员的更换等。</w:t>
      </w:r>
    </w:p>
    <w:p w14:paraId="5A472697">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评标委员会成员应当在评标报告中签字确认，对评标过程和结果有不同意见的，应当在评标报告中写明并说明理由。签字但未写明不同意见或者未说明理由的，视同无意见。拒不签字又未另行书面说明其不同意见和理由的，视同同意评标结果。</w:t>
      </w:r>
    </w:p>
    <w:p w14:paraId="2D1B3DB3">
      <w:pPr>
        <w:pStyle w:val="108"/>
        <w:spacing w:before="120" w:after="120"/>
        <w:ind w:firstLine="562"/>
        <w:outlineLvl w:val="3"/>
        <w:rPr>
          <w:rFonts w:hint="eastAsia" w:ascii="宋体" w:hAnsi="宋体" w:eastAsia="宋体" w:cs="宋体"/>
          <w:color w:val="000000" w:themeColor="text1"/>
          <w:sz w:val="24"/>
          <w:szCs w:val="24"/>
          <w:highlight w:val="none"/>
          <w14:textFill>
            <w14:solidFill>
              <w14:schemeClr w14:val="tx1"/>
            </w14:solidFill>
          </w14:textFill>
        </w:rPr>
      </w:pPr>
      <w:bookmarkStart w:id="183" w:name="_Toc10890"/>
      <w:bookmarkStart w:id="184" w:name="_Toc26208"/>
      <w:bookmarkStart w:id="185" w:name="_Toc19320"/>
      <w:bookmarkStart w:id="186" w:name="_Toc17734"/>
      <w:r>
        <w:rPr>
          <w:rFonts w:hint="eastAsia" w:ascii="宋体" w:hAnsi="宋体" w:eastAsia="宋体" w:cs="宋体"/>
          <w:color w:val="000000" w:themeColor="text1"/>
          <w:sz w:val="24"/>
          <w:szCs w:val="24"/>
          <w:highlight w:val="none"/>
          <w14:textFill>
            <w14:solidFill>
              <w14:schemeClr w14:val="tx1"/>
            </w14:solidFill>
          </w14:textFill>
        </w:rPr>
        <w:t>（三）评标争议处理规则</w:t>
      </w:r>
      <w:bookmarkEnd w:id="183"/>
      <w:bookmarkEnd w:id="184"/>
      <w:bookmarkEnd w:id="185"/>
      <w:bookmarkEnd w:id="186"/>
    </w:p>
    <w:p w14:paraId="3C4CBC51">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评标委员会在评审过程中，对于符合性审查、对投标文件做无效投标处理及其他需要共同认定的事项存在争议的，应当以少数服从多数的原则做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本采购代理机构书面反映。采购人或采购代理机构收到书面反映后，应当书面报告同级政府采购监管部门依法处理。</w:t>
      </w:r>
    </w:p>
    <w:p w14:paraId="4AF125D9">
      <w:pPr>
        <w:pStyle w:val="108"/>
        <w:spacing w:before="120" w:after="120"/>
        <w:ind w:firstLine="562"/>
        <w:outlineLvl w:val="3"/>
        <w:rPr>
          <w:rFonts w:hint="eastAsia" w:ascii="宋体" w:hAnsi="宋体" w:eastAsia="宋体" w:cs="宋体"/>
          <w:color w:val="000000" w:themeColor="text1"/>
          <w:sz w:val="24"/>
          <w:szCs w:val="24"/>
          <w:highlight w:val="none"/>
          <w14:textFill>
            <w14:solidFill>
              <w14:schemeClr w14:val="tx1"/>
            </w14:solidFill>
          </w14:textFill>
        </w:rPr>
      </w:pPr>
      <w:bookmarkStart w:id="187" w:name="_Toc5591"/>
      <w:bookmarkStart w:id="188" w:name="_Toc2631"/>
      <w:bookmarkStart w:id="189" w:name="_Toc23269"/>
      <w:bookmarkStart w:id="190" w:name="_Toc14406"/>
      <w:r>
        <w:rPr>
          <w:rFonts w:hint="eastAsia" w:ascii="宋体" w:hAnsi="宋体" w:eastAsia="宋体" w:cs="宋体"/>
          <w:color w:val="000000" w:themeColor="text1"/>
          <w:sz w:val="24"/>
          <w:szCs w:val="24"/>
          <w:highlight w:val="none"/>
          <w14:textFill>
            <w14:solidFill>
              <w14:schemeClr w14:val="tx1"/>
            </w14:solidFill>
          </w14:textFill>
        </w:rPr>
        <w:t>（四）评审现场人员的保密责任</w:t>
      </w:r>
      <w:bookmarkEnd w:id="187"/>
      <w:bookmarkEnd w:id="188"/>
      <w:bookmarkEnd w:id="189"/>
      <w:bookmarkEnd w:id="190"/>
    </w:p>
    <w:p w14:paraId="167D436B">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在采购结果确定前，采购人、采购代理机构对评审委员会名单负有保密责任。评审委员会成员、采购人和集中采购代理机构工作人员、相关监督人员等与评审工作有关的人员，对评审情况以及在评审过程中获悉的国家秘密、商业秘密负有保密责任。</w:t>
      </w:r>
    </w:p>
    <w:p w14:paraId="276F309C">
      <w:pPr>
        <w:pStyle w:val="108"/>
        <w:spacing w:before="120" w:after="120"/>
        <w:ind w:firstLine="562"/>
        <w:outlineLvl w:val="3"/>
        <w:rPr>
          <w:rFonts w:hint="eastAsia" w:ascii="宋体" w:hAnsi="宋体" w:eastAsia="宋体" w:cs="宋体"/>
          <w:color w:val="000000" w:themeColor="text1"/>
          <w:sz w:val="24"/>
          <w:szCs w:val="24"/>
          <w:highlight w:val="none"/>
          <w14:textFill>
            <w14:solidFill>
              <w14:schemeClr w14:val="tx1"/>
            </w14:solidFill>
          </w14:textFill>
        </w:rPr>
      </w:pPr>
      <w:bookmarkStart w:id="191" w:name="_Toc10213"/>
      <w:bookmarkStart w:id="192" w:name="_Toc22694"/>
      <w:bookmarkStart w:id="193" w:name="_Toc21723"/>
      <w:bookmarkStart w:id="194" w:name="_Toc17739"/>
      <w:r>
        <w:rPr>
          <w:rFonts w:hint="eastAsia" w:ascii="宋体" w:hAnsi="宋体" w:eastAsia="宋体" w:cs="宋体"/>
          <w:color w:val="000000" w:themeColor="text1"/>
          <w:sz w:val="24"/>
          <w:szCs w:val="24"/>
          <w:highlight w:val="none"/>
          <w14:textFill>
            <w14:solidFill>
              <w14:schemeClr w14:val="tx1"/>
            </w14:solidFill>
          </w14:textFill>
        </w:rPr>
        <w:t>（五）视同供应商串通投标的情形，其投标无效：</w:t>
      </w:r>
      <w:bookmarkEnd w:id="191"/>
      <w:bookmarkEnd w:id="192"/>
      <w:bookmarkEnd w:id="193"/>
      <w:bookmarkEnd w:id="194"/>
    </w:p>
    <w:p w14:paraId="7DC81E9E">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1．不同供应商的投标文件由同一单位或者个人编制。</w:t>
      </w:r>
    </w:p>
    <w:p w14:paraId="73E0AA20">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2．不同供应商委托同一单位或者个人办理投标事宜。</w:t>
      </w:r>
    </w:p>
    <w:p w14:paraId="5868D609">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3．不同供应商的投标文件载明的项目管理成员或者联系人员为同一人。</w:t>
      </w:r>
    </w:p>
    <w:p w14:paraId="021F945A">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4．不同供应商的投标文件异常一致或者投标报价呈规律性差异。</w:t>
      </w:r>
    </w:p>
    <w:p w14:paraId="101C08F8">
      <w:pPr>
        <w:pStyle w:val="5"/>
        <w:bidi w:val="0"/>
        <w:jc w:val="center"/>
        <w:rPr>
          <w:rFonts w:hint="eastAsia" w:ascii="宋体" w:hAnsi="宋体" w:eastAsia="宋体" w:cs="宋体"/>
          <w:b/>
          <w:bCs/>
          <w:sz w:val="28"/>
          <w:szCs w:val="28"/>
        </w:rPr>
      </w:pPr>
      <w:bookmarkStart w:id="195" w:name="_Toc25575"/>
      <w:r>
        <w:rPr>
          <w:rFonts w:hint="eastAsia" w:ascii="宋体" w:hAnsi="宋体" w:eastAsia="宋体" w:cs="宋体"/>
          <w:b/>
          <w:bCs/>
          <w:sz w:val="28"/>
          <w:szCs w:val="28"/>
        </w:rPr>
        <w:t>八、中标</w:t>
      </w:r>
      <w:bookmarkEnd w:id="195"/>
    </w:p>
    <w:p w14:paraId="4550416E">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1．代理机构在评标结束后</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个工作日内将评标报告送达采购单位，采购单位在收到评标报告后</w:t>
      </w: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r>
        <w:rPr>
          <w:rFonts w:hint="eastAsia" w:ascii="宋体" w:hAnsi="宋体" w:eastAsia="宋体" w:cs="宋体"/>
          <w:color w:val="000000" w:themeColor="text1"/>
          <w:sz w:val="24"/>
          <w:szCs w:val="24"/>
          <w:highlight w:val="none"/>
          <w14:textFill>
            <w14:solidFill>
              <w14:schemeClr w14:val="tx1"/>
            </w14:solidFill>
          </w14:textFill>
        </w:rPr>
        <w:t>个工作日内，按照评标报告中推荐的中标候选人顺序确认第一中标候选人为中标单位，同时书面复函代理机构。</w:t>
      </w:r>
    </w:p>
    <w:p w14:paraId="598925B4">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2．采购代理机构将在中标供应商确定之日起</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个工作日内，在【</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"http://www.ccgp-shaanxi.gov.cn" </w:instrText>
      </w:r>
      <w:r>
        <w:rPr>
          <w:rFonts w:hint="eastAsia" w:ascii="宋体" w:hAnsi="宋体" w:eastAsia="宋体" w:cs="宋体"/>
          <w:sz w:val="24"/>
          <w:szCs w:val="24"/>
          <w:highlight w:val="none"/>
        </w:rPr>
        <w:fldChar w:fldCharType="separate"/>
      </w:r>
      <w:r>
        <w:rPr>
          <w:rStyle w:val="42"/>
          <w:rFonts w:hint="eastAsia" w:ascii="宋体" w:hAnsi="宋体" w:eastAsia="宋体" w:cs="宋体"/>
          <w:color w:val="000000" w:themeColor="text1"/>
          <w:sz w:val="24"/>
          <w:szCs w:val="24"/>
          <w:highlight w:val="none"/>
          <w:u w:val="none"/>
          <w14:textFill>
            <w14:solidFill>
              <w14:schemeClr w14:val="tx1"/>
            </w14:solidFill>
          </w14:textFill>
        </w:rPr>
        <w:t>陕西省政府采购网</w:t>
      </w:r>
      <w:r>
        <w:rPr>
          <w:rStyle w:val="42"/>
          <w:rFonts w:hint="eastAsia" w:ascii="宋体" w:hAnsi="宋体" w:eastAsia="宋体" w:cs="宋体"/>
          <w:color w:val="000000" w:themeColor="text1"/>
          <w:sz w:val="24"/>
          <w:szCs w:val="24"/>
          <w:highlight w:val="none"/>
          <w:u w:val="none"/>
          <w14:textFill>
            <w14:solidFill>
              <w14:schemeClr w14:val="tx1"/>
            </w14:solidFill>
          </w14:textFill>
        </w:rPr>
        <w:fldChar w:fldCharType="end"/>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"http://www.ccgp-shaanxi.gov.cn/" </w:instrText>
      </w:r>
      <w:r>
        <w:rPr>
          <w:rFonts w:hint="eastAsia" w:ascii="宋体" w:hAnsi="宋体" w:eastAsia="宋体" w:cs="宋体"/>
          <w:sz w:val="24"/>
          <w:szCs w:val="24"/>
          <w:highlight w:val="none"/>
        </w:rPr>
        <w:fldChar w:fldCharType="separate"/>
      </w:r>
      <w:r>
        <w:rPr>
          <w:rStyle w:val="42"/>
          <w:rFonts w:hint="eastAsia" w:ascii="宋体" w:hAnsi="宋体" w:eastAsia="宋体" w:cs="宋体"/>
          <w:color w:val="000000" w:themeColor="text1"/>
          <w:sz w:val="24"/>
          <w:szCs w:val="24"/>
          <w:highlight w:val="none"/>
          <w:u w:val="none"/>
          <w14:textFill>
            <w14:solidFill>
              <w14:schemeClr w14:val="tx1"/>
            </w14:solidFill>
          </w14:textFill>
        </w:rPr>
        <w:t>http://www.ccgp-shaanxi.gov.cn/</w:t>
      </w:r>
      <w:r>
        <w:rPr>
          <w:rStyle w:val="42"/>
          <w:rFonts w:hint="eastAsia" w:ascii="宋体" w:hAnsi="宋体" w:eastAsia="宋体" w:cs="宋体"/>
          <w:color w:val="000000" w:themeColor="text1"/>
          <w:sz w:val="24"/>
          <w:szCs w:val="24"/>
          <w:highlight w:val="none"/>
          <w:u w:val="none"/>
          <w14:textFill>
            <w14:solidFill>
              <w14:schemeClr w14:val="tx1"/>
            </w14:solidFill>
          </w14:textFill>
        </w:rPr>
        <w:fldChar w:fldCharType="end"/>
      </w:r>
      <w:r>
        <w:rPr>
          <w:rFonts w:hint="eastAsia" w:ascii="宋体" w:hAnsi="宋体" w:eastAsia="宋体" w:cs="宋体"/>
          <w:color w:val="000000" w:themeColor="text1"/>
          <w:sz w:val="24"/>
          <w:szCs w:val="24"/>
          <w:highlight w:val="none"/>
          <w14:textFill>
            <w14:solidFill>
              <w14:schemeClr w14:val="tx1"/>
            </w14:solidFill>
          </w14:textFill>
        </w:rPr>
        <w:t>）上公布中标结果。中标公告期限为1个工作日</w:t>
      </w:r>
    </w:p>
    <w:p w14:paraId="68DEAF99">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采用综合评分法评审的，供应商可登录【全国公共资源交易中心（陕西省·西安市）】网站〖首页·〉电子交易平台·〉企业端〗，登录后切换到〖我的项目〗模块，依次点选〖项目流程·〉项目管理·〉评标结果查看〗，查看本单位的最终得分与排序。</w:t>
      </w:r>
    </w:p>
    <w:p w14:paraId="3B57B8CE">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4．采购代理机构按照相关规定将评审报告送监管机构备案。</w:t>
      </w:r>
    </w:p>
    <w:p w14:paraId="44D38B7A">
      <w:pPr>
        <w:pStyle w:val="5"/>
        <w:bidi w:val="0"/>
        <w:jc w:val="center"/>
        <w:rPr>
          <w:rFonts w:hint="eastAsia" w:ascii="宋体" w:hAnsi="宋体" w:eastAsia="宋体" w:cs="宋体"/>
          <w:b/>
          <w:bCs/>
          <w:sz w:val="28"/>
          <w:szCs w:val="28"/>
        </w:rPr>
      </w:pPr>
      <w:bookmarkStart w:id="196" w:name="_Toc15898"/>
      <w:r>
        <w:rPr>
          <w:rFonts w:hint="eastAsia" w:ascii="宋体" w:hAnsi="宋体" w:eastAsia="宋体" w:cs="宋体"/>
          <w:b/>
          <w:bCs/>
          <w:sz w:val="28"/>
          <w:szCs w:val="28"/>
        </w:rPr>
        <w:t>九、合同签订、履行及验收</w:t>
      </w:r>
      <w:bookmarkEnd w:id="196"/>
    </w:p>
    <w:p w14:paraId="1FDA0342">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招标文件、投标文件、澄清、补充合同等为政府采购合同的组成部分，具有同等法律效力。</w:t>
      </w:r>
    </w:p>
    <w:p w14:paraId="6358AF39">
      <w:pPr>
        <w:pStyle w:val="108"/>
        <w:spacing w:before="120" w:after="120"/>
        <w:ind w:firstLine="562"/>
        <w:outlineLvl w:val="3"/>
        <w:rPr>
          <w:rFonts w:hint="eastAsia" w:ascii="宋体" w:hAnsi="宋体" w:eastAsia="宋体" w:cs="宋体"/>
          <w:color w:val="000000" w:themeColor="text1"/>
          <w:sz w:val="24"/>
          <w:szCs w:val="24"/>
          <w:highlight w:val="none"/>
          <w14:textFill>
            <w14:solidFill>
              <w14:schemeClr w14:val="tx1"/>
            </w14:solidFill>
          </w14:textFill>
        </w:rPr>
      </w:pPr>
      <w:bookmarkStart w:id="197" w:name="_Toc26458"/>
      <w:bookmarkStart w:id="198" w:name="_Toc24344"/>
      <w:bookmarkStart w:id="199" w:name="_Toc15766"/>
      <w:bookmarkStart w:id="200" w:name="_Toc444"/>
      <w:r>
        <w:rPr>
          <w:rFonts w:hint="eastAsia" w:ascii="宋体" w:hAnsi="宋体" w:eastAsia="宋体" w:cs="宋体"/>
          <w:color w:val="000000" w:themeColor="text1"/>
          <w:sz w:val="24"/>
          <w:szCs w:val="24"/>
          <w:highlight w:val="none"/>
          <w14:textFill>
            <w14:solidFill>
              <w14:schemeClr w14:val="tx1"/>
            </w14:solidFill>
          </w14:textFill>
        </w:rPr>
        <w:t>（一）签订政府采购合同</w:t>
      </w:r>
      <w:bookmarkEnd w:id="197"/>
      <w:bookmarkEnd w:id="198"/>
      <w:bookmarkEnd w:id="199"/>
      <w:bookmarkEnd w:id="200"/>
    </w:p>
    <w:p w14:paraId="11C1FB46">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1．自中标通知书发出之日起30日内，采购人与中标供应商应按招标文件和中标供应商投标文件的约定，签订书面合同。</w:t>
      </w:r>
    </w:p>
    <w:p w14:paraId="1BD7ABF0">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2．中标供应商拒绝与采购人签订合同的，采购人可以按照《政府采购法实施条例》第四十九条规定，确定下一候选人为中标供应商，也可以重新开展政府采购活动。</w:t>
      </w:r>
    </w:p>
    <w:p w14:paraId="2730A5F3">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3．采购人不得向中标供应商提出任何不合理的要求，作为签订合同的条件，不得与中标供应商私下订立背离合同实质性内容的任何协议，所签订的合同不得对招标文件和中标供应商投标文件作实质性修改。</w:t>
      </w:r>
    </w:p>
    <w:p w14:paraId="7643A224">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4．质疑或者投诉事项可能影响中标、成交结果的，采购人应当暂停签订合同，已经签订合同的，应当中止履行合同。</w:t>
      </w:r>
    </w:p>
    <w:p w14:paraId="4223960B">
      <w:pPr>
        <w:pStyle w:val="108"/>
        <w:spacing w:before="120" w:after="120"/>
        <w:ind w:firstLine="562"/>
        <w:outlineLvl w:val="3"/>
        <w:rPr>
          <w:rFonts w:hint="eastAsia" w:ascii="宋体" w:hAnsi="宋体" w:eastAsia="宋体" w:cs="宋体"/>
          <w:color w:val="000000" w:themeColor="text1"/>
          <w:sz w:val="24"/>
          <w:szCs w:val="24"/>
          <w:highlight w:val="none"/>
          <w14:textFill>
            <w14:solidFill>
              <w14:schemeClr w14:val="tx1"/>
            </w14:solidFill>
          </w14:textFill>
        </w:rPr>
      </w:pPr>
      <w:bookmarkStart w:id="201" w:name="_Toc14412"/>
      <w:bookmarkStart w:id="202" w:name="_Toc876"/>
      <w:bookmarkStart w:id="203" w:name="_Toc26383"/>
      <w:bookmarkStart w:id="204" w:name="_Toc13157"/>
      <w:r>
        <w:rPr>
          <w:rFonts w:hint="eastAsia" w:ascii="宋体" w:hAnsi="宋体" w:eastAsia="宋体" w:cs="宋体"/>
          <w:color w:val="000000" w:themeColor="text1"/>
          <w:sz w:val="24"/>
          <w:szCs w:val="24"/>
          <w:highlight w:val="none"/>
          <w14:textFill>
            <w14:solidFill>
              <w14:schemeClr w14:val="tx1"/>
            </w14:solidFill>
          </w14:textFill>
        </w:rPr>
        <w:t>（二）合同公告及备案</w:t>
      </w:r>
      <w:bookmarkEnd w:id="201"/>
      <w:bookmarkEnd w:id="202"/>
      <w:bookmarkEnd w:id="203"/>
      <w:bookmarkEnd w:id="204"/>
    </w:p>
    <w:p w14:paraId="3883BB87">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1．采购人应当自政府采购合同签订之日起2个工作日内，在陕西省政府采购网对合同进行公示，但政府采购合同中涉及国家秘密、商业秘密的内容除外。</w:t>
      </w:r>
    </w:p>
    <w:p w14:paraId="67450AD4">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2．采购人应自合同签订之日起7个工作日内将政府采购合同报送监管机构备案。</w:t>
      </w:r>
    </w:p>
    <w:p w14:paraId="22CCCDA3">
      <w:pPr>
        <w:pStyle w:val="108"/>
        <w:spacing w:before="120" w:after="120"/>
        <w:ind w:firstLine="562"/>
        <w:outlineLvl w:val="3"/>
        <w:rPr>
          <w:rFonts w:hint="eastAsia" w:ascii="宋体" w:hAnsi="宋体" w:eastAsia="宋体" w:cs="宋体"/>
          <w:color w:val="000000" w:themeColor="text1"/>
          <w:sz w:val="24"/>
          <w:szCs w:val="24"/>
          <w:highlight w:val="none"/>
          <w14:textFill>
            <w14:solidFill>
              <w14:schemeClr w14:val="tx1"/>
            </w14:solidFill>
          </w14:textFill>
        </w:rPr>
      </w:pPr>
      <w:bookmarkStart w:id="205" w:name="_Toc22359"/>
      <w:bookmarkStart w:id="206" w:name="_Toc5592"/>
      <w:bookmarkStart w:id="207" w:name="_Toc11766"/>
      <w:bookmarkStart w:id="208" w:name="_Toc25755"/>
      <w:r>
        <w:rPr>
          <w:rFonts w:hint="eastAsia" w:ascii="宋体" w:hAnsi="宋体" w:eastAsia="宋体" w:cs="宋体"/>
          <w:color w:val="000000" w:themeColor="text1"/>
          <w:sz w:val="24"/>
          <w:szCs w:val="24"/>
          <w:highlight w:val="none"/>
          <w14:textFill>
            <w14:solidFill>
              <w14:schemeClr w14:val="tx1"/>
            </w14:solidFill>
          </w14:textFill>
        </w:rPr>
        <w:t>（三）履行合同</w:t>
      </w:r>
      <w:bookmarkEnd w:id="205"/>
      <w:bookmarkEnd w:id="206"/>
      <w:bookmarkEnd w:id="207"/>
      <w:bookmarkEnd w:id="208"/>
    </w:p>
    <w:p w14:paraId="7C1F5010">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1．合同一经签订，双方应严格履行合同规定的义务。</w:t>
      </w:r>
    </w:p>
    <w:p w14:paraId="2919E7BB">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2．在合同履行过程中，如发生合同纠纷，合同双方应按照《中华人民共和国民法典》及合同条款的有关规定进行处理。</w:t>
      </w:r>
    </w:p>
    <w:p w14:paraId="31CD4186">
      <w:pPr>
        <w:pStyle w:val="108"/>
        <w:spacing w:before="120" w:after="120"/>
        <w:ind w:firstLine="562"/>
        <w:outlineLvl w:val="3"/>
        <w:rPr>
          <w:rFonts w:hint="eastAsia" w:ascii="宋体" w:hAnsi="宋体" w:eastAsia="宋体" w:cs="宋体"/>
          <w:color w:val="000000" w:themeColor="text1"/>
          <w:sz w:val="24"/>
          <w:szCs w:val="24"/>
          <w:highlight w:val="none"/>
          <w14:textFill>
            <w14:solidFill>
              <w14:schemeClr w14:val="tx1"/>
            </w14:solidFill>
          </w14:textFill>
        </w:rPr>
      </w:pPr>
      <w:bookmarkStart w:id="209" w:name="_Toc602"/>
      <w:bookmarkStart w:id="210" w:name="_Toc7346"/>
      <w:bookmarkStart w:id="211" w:name="_Toc1104"/>
      <w:bookmarkStart w:id="212" w:name="_Toc1478"/>
      <w:r>
        <w:rPr>
          <w:rFonts w:hint="eastAsia" w:ascii="宋体" w:hAnsi="宋体" w:eastAsia="宋体" w:cs="宋体"/>
          <w:color w:val="000000" w:themeColor="text1"/>
          <w:sz w:val="24"/>
          <w:szCs w:val="24"/>
          <w:highlight w:val="none"/>
          <w14:textFill>
            <w14:solidFill>
              <w14:schemeClr w14:val="tx1"/>
            </w14:solidFill>
          </w14:textFill>
        </w:rPr>
        <w:t>（四）验收或考核</w:t>
      </w:r>
      <w:bookmarkEnd w:id="209"/>
      <w:bookmarkEnd w:id="210"/>
      <w:bookmarkEnd w:id="211"/>
      <w:bookmarkEnd w:id="212"/>
    </w:p>
    <w:p w14:paraId="610F4BF5">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1．采购人严格按照国家相关法律法规的要求及招标文件的要求组织验收或考核。</w:t>
      </w:r>
    </w:p>
    <w:p w14:paraId="444BBCF8">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2．采购人按《关于促进政府采购公平竞争优化营商环境的通知》（财库〔2019〕38号）、《保障中小企业款项支付条例》（国务院令第728号）等规定及采购合同的约定进行支付合同款项。</w:t>
      </w:r>
    </w:p>
    <w:p w14:paraId="605DA4EA">
      <w:pPr>
        <w:pStyle w:val="5"/>
        <w:bidi w:val="0"/>
        <w:jc w:val="center"/>
        <w:rPr>
          <w:rFonts w:hint="eastAsia" w:ascii="宋体" w:hAnsi="宋体" w:eastAsia="宋体" w:cs="宋体"/>
          <w:b/>
          <w:bCs/>
          <w:sz w:val="28"/>
          <w:szCs w:val="28"/>
        </w:rPr>
      </w:pPr>
      <w:bookmarkStart w:id="213" w:name="_Toc15830"/>
      <w:r>
        <w:rPr>
          <w:rFonts w:hint="eastAsia" w:ascii="宋体" w:hAnsi="宋体" w:eastAsia="宋体" w:cs="宋体"/>
          <w:b/>
          <w:bCs/>
          <w:sz w:val="28"/>
          <w:szCs w:val="28"/>
        </w:rPr>
        <w:t>十、废标及重新招标</w:t>
      </w:r>
      <w:bookmarkEnd w:id="213"/>
    </w:p>
    <w:p w14:paraId="05601E4C">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6FCFCD8C">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2．根据《</w:t>
      </w:r>
      <w:r>
        <w:rPr>
          <w:rFonts w:hint="eastAsia" w:ascii="宋体" w:hAnsi="宋体" w:eastAsia="宋体" w:cs="宋体"/>
          <w:spacing w:val="-2"/>
          <w:kern w:val="0"/>
          <w:sz w:val="24"/>
        </w:rPr>
        <w:t>中华人民共和国</w:t>
      </w:r>
      <w:r>
        <w:rPr>
          <w:rFonts w:hint="eastAsia" w:ascii="宋体" w:hAnsi="宋体" w:eastAsia="宋体" w:cs="宋体"/>
          <w:color w:val="000000" w:themeColor="text1"/>
          <w:sz w:val="24"/>
          <w:szCs w:val="24"/>
          <w:highlight w:val="none"/>
          <w14:textFill>
            <w14:solidFill>
              <w14:schemeClr w14:val="tx1"/>
            </w14:solidFill>
          </w14:textFill>
        </w:rPr>
        <w:t>政府采购法》第三十六条规定，在招标采购中，出现下列情形之一的，本项目按废标处理：</w:t>
      </w:r>
    </w:p>
    <w:p w14:paraId="28D350A5">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（1）出现影响采购公正的违法、违规行为的。</w:t>
      </w:r>
    </w:p>
    <w:p w14:paraId="02A66F64">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（2）供应商的报价均超过了采购预算，采购人不能支付的。</w:t>
      </w:r>
    </w:p>
    <w:p w14:paraId="4E751767">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（3）因重大变故，采购任务取消的。</w:t>
      </w:r>
    </w:p>
    <w:p w14:paraId="4137A220">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废标后，除采购任务取消外，本项目将重新组织招标。</w:t>
      </w:r>
    </w:p>
    <w:p w14:paraId="65D811D4">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在递交投标文件阶段、密封性等形式检查阶段、资格审查阶段或评标委员会评标阶段，当出现有效投标供应商不足3家时，本项目将依据西安市财政局《关于进一步规范市级预算单位变更政府采购方式审批管理的通知》（市财发〔2017〕186号）的有关规定，按政府采购监管部门事前批准的采购方式继续进行。</w:t>
      </w:r>
    </w:p>
    <w:p w14:paraId="0451D37A">
      <w:pPr>
        <w:spacing w:line="560" w:lineRule="exact"/>
        <w:ind w:firstLine="480"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4．招标文件未明确的其他事项，按《</w:t>
      </w:r>
      <w:r>
        <w:rPr>
          <w:rFonts w:hint="eastAsia" w:ascii="宋体" w:hAnsi="宋体" w:eastAsia="宋体" w:cs="宋体"/>
          <w:spacing w:val="-2"/>
          <w:kern w:val="0"/>
          <w:sz w:val="24"/>
        </w:rPr>
        <w:t>中华人民共和国</w:t>
      </w:r>
      <w:r>
        <w:rPr>
          <w:rFonts w:hint="eastAsia" w:ascii="宋体" w:hAnsi="宋体" w:eastAsia="宋体" w:cs="宋体"/>
          <w:color w:val="000000" w:themeColor="text1"/>
          <w:sz w:val="24"/>
          <w:szCs w:val="24"/>
          <w:highlight w:val="none"/>
          <w14:textFill>
            <w14:solidFill>
              <w14:schemeClr w14:val="tx1"/>
            </w14:solidFill>
          </w14:textFill>
        </w:rPr>
        <w:t>政府采购法》及其相关法律法规执行。</w:t>
      </w:r>
    </w:p>
    <w:p w14:paraId="6436A9DD">
      <w:pPr>
        <w:rPr>
          <w:rFonts w:hint="eastAsia" w:ascii="宋体" w:hAnsi="宋体" w:eastAsia="宋体" w:cs="宋体"/>
          <w:color w:val="000000" w:themeColor="text1"/>
          <w:sz w:val="24"/>
          <w:szCs w:val="24"/>
          <w:highlight w:val="none"/>
          <w14:textFill>
            <w14:solidFill>
              <w14:schemeClr w14:val="tx1"/>
            </w14:solidFill>
          </w14:textFill>
        </w:rPr>
      </w:pPr>
      <w:bookmarkStart w:id="214" w:name="_Toc100219614"/>
      <w:r>
        <w:rPr>
          <w:rFonts w:hint="eastAsia" w:ascii="宋体" w:hAnsi="宋体" w:eastAsia="宋体" w:cs="宋体"/>
          <w:color w:val="000000" w:themeColor="text1"/>
          <w:sz w:val="24"/>
          <w:szCs w:val="24"/>
          <w:highlight w:val="none"/>
          <w14:textFill>
            <w14:solidFill>
              <w14:schemeClr w14:val="tx1"/>
            </w14:solidFill>
          </w14:textFill>
        </w:rPr>
        <w:br w:type="page"/>
      </w:r>
    </w:p>
    <w:p w14:paraId="27368FE4">
      <w:pPr>
        <w:pStyle w:val="3"/>
        <w:bidi w:val="0"/>
      </w:pPr>
      <w:bookmarkStart w:id="215" w:name="_Toc13481"/>
      <w:bookmarkStart w:id="216" w:name="_Toc15548"/>
      <w:r>
        <w:rPr>
          <w:rFonts w:hint="eastAsia"/>
        </w:rPr>
        <w:t>第三章  招标内容及要求</w:t>
      </w:r>
      <w:bookmarkEnd w:id="214"/>
      <w:bookmarkEnd w:id="215"/>
      <w:bookmarkEnd w:id="216"/>
    </w:p>
    <w:p w14:paraId="7F575ADF">
      <w:pPr>
        <w:spacing w:line="560" w:lineRule="exact"/>
        <w:ind w:firstLine="560" w:firstLineChars="200"/>
        <w:rPr>
          <w:rFonts w:hint="eastAsia" w:ascii="宋体" w:hAnsi="宋体" w:eastAsia="宋体" w:cs="宋体"/>
          <w:sz w:val="28"/>
          <w:szCs w:val="28"/>
        </w:rPr>
      </w:pPr>
      <w:bookmarkStart w:id="217" w:name="_Toc26386"/>
      <w:bookmarkStart w:id="218" w:name="_Toc100219615"/>
      <w:r>
        <w:rPr>
          <w:rFonts w:hint="eastAsia" w:ascii="宋体" w:hAnsi="宋体" w:eastAsia="宋体" w:cs="宋体"/>
          <w:sz w:val="28"/>
          <w:szCs w:val="28"/>
        </w:rPr>
        <w:t>教学及管理服务系统改造项目包含龙首校区智慧教室建设（42间）、四校区教室电子班牌建设（319间）、精品录播教室建设（4间）和虚拟化平台维保四部分内容。</w:t>
      </w:r>
    </w:p>
    <w:p w14:paraId="448BA8A2">
      <w:pPr>
        <w:spacing w:line="560" w:lineRule="exact"/>
        <w:ind w:firstLine="640" w:firstLineChars="200"/>
        <w:rPr>
          <w:rFonts w:hint="eastAsia" w:ascii="黑体" w:hAnsi="黑体" w:eastAsia="黑体"/>
          <w:sz w:val="32"/>
          <w:szCs w:val="32"/>
        </w:rPr>
      </w:pPr>
      <w:r>
        <w:rPr>
          <w:rFonts w:hint="eastAsia" w:ascii="黑体" w:hAnsi="黑体" w:eastAsia="黑体"/>
          <w:sz w:val="32"/>
          <w:szCs w:val="32"/>
        </w:rPr>
        <w:t>一、智慧教室（42间）</w:t>
      </w:r>
    </w:p>
    <w:tbl>
      <w:tblPr>
        <w:tblStyle w:val="35"/>
        <w:tblW w:w="5000" w:type="pct"/>
        <w:tblInd w:w="0" w:type="dxa"/>
        <w:tblLayout w:type="autofit"/>
        <w:tblCellMar>
          <w:top w:w="0" w:type="dxa"/>
          <w:left w:w="108" w:type="dxa"/>
          <w:bottom w:w="0" w:type="dxa"/>
          <w:right w:w="108" w:type="dxa"/>
        </w:tblCellMar>
      </w:tblPr>
      <w:tblGrid>
        <w:gridCol w:w="493"/>
        <w:gridCol w:w="741"/>
        <w:gridCol w:w="7160"/>
        <w:gridCol w:w="494"/>
        <w:gridCol w:w="494"/>
      </w:tblGrid>
      <w:tr w14:paraId="1A72D92D">
        <w:tblPrEx>
          <w:tblCellMar>
            <w:top w:w="0" w:type="dxa"/>
            <w:left w:w="108" w:type="dxa"/>
            <w:bottom w:w="0" w:type="dxa"/>
            <w:right w:w="108" w:type="dxa"/>
          </w:tblCellMar>
        </w:tblPrEx>
        <w:trPr>
          <w:trHeight w:val="330" w:hRule="atLeast"/>
        </w:trPr>
        <w:tc>
          <w:tcPr>
            <w:tcW w:w="263" w:type="pct"/>
            <w:tcBorders>
              <w:top w:val="single" w:color="auto" w:sz="4" w:space="0"/>
              <w:left w:val="single" w:color="auto" w:sz="4" w:space="0"/>
              <w:bottom w:val="single" w:color="auto" w:sz="4" w:space="0"/>
              <w:right w:val="single" w:color="auto" w:sz="4" w:space="0"/>
            </w:tcBorders>
            <w:shd w:val="clear" w:color="auto" w:fill="auto"/>
            <w:vAlign w:val="center"/>
          </w:tcPr>
          <w:p w14:paraId="6D00DFE6">
            <w:pPr>
              <w:widowControl/>
              <w:jc w:val="center"/>
              <w:rPr>
                <w:rFonts w:hint="eastAsia" w:ascii="宋体" w:hAnsi="宋体" w:eastAsia="宋体" w:cs="宋体"/>
                <w:b/>
                <w:bCs/>
                <w:color w:val="auto"/>
                <w:kern w:val="0"/>
                <w:sz w:val="22"/>
              </w:rPr>
            </w:pPr>
            <w:r>
              <w:rPr>
                <w:rFonts w:hint="eastAsia" w:ascii="宋体" w:hAnsi="宋体" w:eastAsia="宋体" w:cs="宋体"/>
                <w:b/>
                <w:bCs/>
                <w:color w:val="auto"/>
                <w:kern w:val="0"/>
                <w:sz w:val="22"/>
              </w:rPr>
              <w:t>序号</w:t>
            </w:r>
          </w:p>
        </w:tc>
        <w:tc>
          <w:tcPr>
            <w:tcW w:w="395" w:type="pct"/>
            <w:tcBorders>
              <w:top w:val="single" w:color="auto" w:sz="4" w:space="0"/>
              <w:left w:val="nil"/>
              <w:bottom w:val="single" w:color="auto" w:sz="4" w:space="0"/>
              <w:right w:val="single" w:color="auto" w:sz="4" w:space="0"/>
            </w:tcBorders>
            <w:shd w:val="clear" w:color="auto" w:fill="auto"/>
            <w:vAlign w:val="center"/>
          </w:tcPr>
          <w:p w14:paraId="312150D2">
            <w:pPr>
              <w:widowControl/>
              <w:jc w:val="center"/>
              <w:rPr>
                <w:rFonts w:hint="eastAsia" w:ascii="宋体" w:hAnsi="宋体" w:eastAsia="宋体" w:cs="宋体"/>
                <w:b/>
                <w:bCs/>
                <w:color w:val="auto"/>
                <w:kern w:val="0"/>
                <w:sz w:val="22"/>
              </w:rPr>
            </w:pPr>
            <w:r>
              <w:rPr>
                <w:rFonts w:hint="eastAsia" w:ascii="宋体" w:hAnsi="宋体" w:eastAsia="宋体" w:cs="宋体"/>
                <w:b/>
                <w:bCs/>
                <w:color w:val="auto"/>
                <w:kern w:val="0"/>
                <w:sz w:val="22"/>
              </w:rPr>
              <w:t>名称</w:t>
            </w:r>
          </w:p>
        </w:tc>
        <w:tc>
          <w:tcPr>
            <w:tcW w:w="3814" w:type="pct"/>
            <w:tcBorders>
              <w:top w:val="single" w:color="auto" w:sz="4" w:space="0"/>
              <w:left w:val="nil"/>
              <w:bottom w:val="single" w:color="auto" w:sz="4" w:space="0"/>
              <w:right w:val="single" w:color="auto" w:sz="4" w:space="0"/>
            </w:tcBorders>
            <w:shd w:val="clear" w:color="auto" w:fill="auto"/>
            <w:vAlign w:val="center"/>
          </w:tcPr>
          <w:p w14:paraId="0B8429E8">
            <w:pPr>
              <w:widowControl/>
              <w:jc w:val="center"/>
              <w:rPr>
                <w:rFonts w:hint="eastAsia" w:ascii="宋体" w:hAnsi="宋体" w:eastAsia="宋体" w:cs="宋体"/>
                <w:b/>
                <w:bCs/>
                <w:color w:val="auto"/>
                <w:kern w:val="0"/>
                <w:sz w:val="22"/>
              </w:rPr>
            </w:pPr>
            <w:r>
              <w:rPr>
                <w:rFonts w:hint="eastAsia" w:ascii="宋体" w:hAnsi="宋体" w:eastAsia="宋体" w:cs="宋体"/>
                <w:b/>
                <w:bCs/>
                <w:color w:val="auto"/>
                <w:kern w:val="0"/>
                <w:sz w:val="22"/>
              </w:rPr>
              <w:t>描述</w:t>
            </w:r>
          </w:p>
        </w:tc>
        <w:tc>
          <w:tcPr>
            <w:tcW w:w="263" w:type="pct"/>
            <w:tcBorders>
              <w:top w:val="single" w:color="auto" w:sz="4" w:space="0"/>
              <w:left w:val="nil"/>
              <w:bottom w:val="single" w:color="auto" w:sz="4" w:space="0"/>
              <w:right w:val="single" w:color="auto" w:sz="4" w:space="0"/>
            </w:tcBorders>
            <w:shd w:val="clear" w:color="auto" w:fill="auto"/>
            <w:vAlign w:val="center"/>
          </w:tcPr>
          <w:p w14:paraId="480F7BFB">
            <w:pPr>
              <w:widowControl/>
              <w:jc w:val="center"/>
              <w:rPr>
                <w:rFonts w:hint="eastAsia" w:ascii="宋体" w:hAnsi="宋体" w:eastAsia="宋体" w:cs="宋体"/>
                <w:b/>
                <w:bCs/>
                <w:color w:val="auto"/>
                <w:kern w:val="0"/>
                <w:sz w:val="22"/>
              </w:rPr>
            </w:pPr>
            <w:r>
              <w:rPr>
                <w:rFonts w:hint="eastAsia" w:ascii="宋体" w:hAnsi="宋体" w:eastAsia="宋体" w:cs="宋体"/>
                <w:b/>
                <w:bCs/>
                <w:color w:val="auto"/>
                <w:kern w:val="0"/>
                <w:sz w:val="22"/>
              </w:rPr>
              <w:t>数量</w:t>
            </w:r>
          </w:p>
        </w:tc>
        <w:tc>
          <w:tcPr>
            <w:tcW w:w="263" w:type="pct"/>
            <w:tcBorders>
              <w:top w:val="single" w:color="auto" w:sz="4" w:space="0"/>
              <w:left w:val="nil"/>
              <w:bottom w:val="single" w:color="auto" w:sz="4" w:space="0"/>
              <w:right w:val="single" w:color="auto" w:sz="4" w:space="0"/>
            </w:tcBorders>
            <w:shd w:val="clear" w:color="auto" w:fill="auto"/>
            <w:vAlign w:val="center"/>
          </w:tcPr>
          <w:p w14:paraId="3039767E">
            <w:pPr>
              <w:widowControl/>
              <w:jc w:val="center"/>
              <w:rPr>
                <w:rFonts w:hint="eastAsia" w:ascii="宋体" w:hAnsi="宋体" w:eastAsia="宋体" w:cs="宋体"/>
                <w:b/>
                <w:bCs/>
                <w:color w:val="auto"/>
                <w:kern w:val="0"/>
                <w:sz w:val="22"/>
              </w:rPr>
            </w:pPr>
            <w:r>
              <w:rPr>
                <w:rFonts w:hint="eastAsia" w:ascii="宋体" w:hAnsi="宋体" w:eastAsia="宋体" w:cs="宋体"/>
                <w:b/>
                <w:bCs/>
                <w:color w:val="auto"/>
                <w:kern w:val="0"/>
                <w:sz w:val="22"/>
              </w:rPr>
              <w:t>单位</w:t>
            </w:r>
          </w:p>
        </w:tc>
      </w:tr>
      <w:tr w14:paraId="6196E364">
        <w:tblPrEx>
          <w:tblCellMar>
            <w:top w:w="0" w:type="dxa"/>
            <w:left w:w="108" w:type="dxa"/>
            <w:bottom w:w="0" w:type="dxa"/>
            <w:right w:w="108" w:type="dxa"/>
          </w:tblCellMar>
        </w:tblPrEx>
        <w:trPr>
          <w:trHeight w:val="90" w:hRule="atLeast"/>
        </w:trPr>
        <w:tc>
          <w:tcPr>
            <w:tcW w:w="263" w:type="pct"/>
            <w:tcBorders>
              <w:top w:val="nil"/>
              <w:left w:val="single" w:color="auto" w:sz="4" w:space="0"/>
              <w:bottom w:val="single" w:color="auto" w:sz="4" w:space="0"/>
              <w:right w:val="single" w:color="auto" w:sz="4" w:space="0"/>
            </w:tcBorders>
            <w:shd w:val="clear" w:color="auto" w:fill="auto"/>
            <w:vAlign w:val="center"/>
          </w:tcPr>
          <w:p w14:paraId="08003EF2">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1</w:t>
            </w:r>
          </w:p>
        </w:tc>
        <w:tc>
          <w:tcPr>
            <w:tcW w:w="395" w:type="pct"/>
            <w:tcBorders>
              <w:top w:val="nil"/>
              <w:left w:val="nil"/>
              <w:bottom w:val="single" w:color="auto" w:sz="4" w:space="0"/>
              <w:right w:val="single" w:color="auto" w:sz="4" w:space="0"/>
            </w:tcBorders>
            <w:shd w:val="clear" w:color="auto" w:fill="auto"/>
            <w:vAlign w:val="center"/>
          </w:tcPr>
          <w:p w14:paraId="2BEDFA7D">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一体机</w:t>
            </w:r>
          </w:p>
        </w:tc>
        <w:tc>
          <w:tcPr>
            <w:tcW w:w="3814" w:type="pct"/>
            <w:tcBorders>
              <w:top w:val="nil"/>
              <w:left w:val="nil"/>
              <w:bottom w:val="single" w:color="auto" w:sz="4" w:space="0"/>
              <w:right w:val="single" w:color="auto" w:sz="4" w:space="0"/>
            </w:tcBorders>
            <w:shd w:val="clear" w:color="auto" w:fill="auto"/>
          </w:tcPr>
          <w:p w14:paraId="35228AA1">
            <w:pPr>
              <w:widowControl/>
              <w:jc w:val="left"/>
              <w:rPr>
                <w:rFonts w:hint="eastAsia" w:ascii="宋体" w:hAnsi="宋体" w:eastAsia="宋体" w:cs="宋体"/>
                <w:color w:val="auto"/>
                <w:kern w:val="0"/>
                <w:sz w:val="22"/>
              </w:rPr>
            </w:pPr>
            <w:r>
              <w:rPr>
                <w:rFonts w:hint="eastAsia" w:ascii="微软雅黑" w:hAnsi="微软雅黑" w:eastAsia="微软雅黑" w:cs="微软雅黑"/>
                <w:color w:val="auto"/>
                <w:kern w:val="0"/>
                <w:sz w:val="22"/>
              </w:rPr>
              <w:t>★</w:t>
            </w:r>
            <w:r>
              <w:rPr>
                <w:rFonts w:hint="eastAsia" w:ascii="宋体" w:hAnsi="宋体" w:eastAsia="宋体" w:cs="宋体"/>
                <w:color w:val="auto"/>
                <w:kern w:val="0"/>
                <w:sz w:val="22"/>
              </w:rPr>
              <w:t>1.整机屏幕采用LED液晶显示屏,尺寸不小于86英寸，显示比例16:9，分辨率≥3840×2160。</w:t>
            </w:r>
          </w:p>
          <w:p w14:paraId="153ACF8B">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2.输入接口不少于1路HDMI、1路RS232、1路USB接口；输出接口不少于1路音频输出、1路触控USB输出；前置输入接口不少于1路Type-C、1路USB接口。</w:t>
            </w:r>
          </w:p>
          <w:p w14:paraId="1C2DD1D5">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3.嵌入式系统版本不低于Android 13。内存≥2GB。存储空间≥8GB。</w:t>
            </w:r>
          </w:p>
          <w:p w14:paraId="3C6FDBD9">
            <w:pPr>
              <w:rPr>
                <w:rFonts w:hint="eastAsia" w:ascii="宋体" w:hAnsi="宋体" w:eastAsia="宋体" w:cs="宋体"/>
                <w:color w:val="auto"/>
                <w:kern w:val="0"/>
                <w:sz w:val="22"/>
              </w:rPr>
            </w:pPr>
            <w:r>
              <w:rPr>
                <w:rFonts w:hint="eastAsia" w:ascii="宋体" w:hAnsi="宋体" w:eastAsia="宋体" w:cs="宋体"/>
                <w:color w:val="auto"/>
                <w:kern w:val="0"/>
                <w:sz w:val="22"/>
              </w:rPr>
              <w:t>4.采用红外触控技术，支持Windows系统和Android系统中进行触控，触控点数≥25点。</w:t>
            </w:r>
            <w:r>
              <w:rPr>
                <w:rFonts w:hint="eastAsia"/>
                <w:color w:val="auto"/>
              </w:rPr>
              <w:t>提供相关证明材料（包括检测报告或产品彩页或官网截图等）</w:t>
            </w:r>
          </w:p>
          <w:p w14:paraId="1199DBC5">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5.前置USB接口支持Android系统、Windows系统读取外接移动存储设备。</w:t>
            </w:r>
          </w:p>
          <w:p w14:paraId="16DACC1A">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6.整机内置不低于2.2声道扬声器，功率≥50W；</w:t>
            </w:r>
          </w:p>
          <w:p w14:paraId="09935983">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7.整机内置不少于8阵列麦克风，拾音距离≥10米。</w:t>
            </w:r>
          </w:p>
          <w:p w14:paraId="2114A47F">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 xml:space="preserve">8.整机背光系统支持DC调光； </w:t>
            </w:r>
          </w:p>
          <w:p w14:paraId="6355A693">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9.整机支持蓝牙Bluetooth 5.4及以上标准。</w:t>
            </w:r>
          </w:p>
          <w:p w14:paraId="111DD765">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10.整机内置双WiFi6无线网卡，无线设备连接数≥30个；</w:t>
            </w:r>
          </w:p>
          <w:p w14:paraId="2845B488">
            <w:pPr>
              <w:rPr>
                <w:rFonts w:hint="eastAsia" w:ascii="宋体" w:hAnsi="宋体" w:eastAsia="宋体" w:cs="宋体"/>
                <w:color w:val="auto"/>
                <w:kern w:val="0"/>
                <w:sz w:val="22"/>
              </w:rPr>
            </w:pPr>
            <w:r>
              <w:rPr>
                <w:rFonts w:hint="eastAsia" w:ascii="宋体" w:hAnsi="宋体" w:eastAsia="宋体" w:cs="宋体"/>
                <w:color w:val="auto"/>
                <w:kern w:val="0"/>
                <w:sz w:val="22"/>
              </w:rPr>
              <w:t>11.整机上边框内置非独立摄像头，可拍摄≥1300万像素数的照片，可拍摄输出4K分辨率的照片或视频。</w:t>
            </w:r>
          </w:p>
          <w:p w14:paraId="77727A8B">
            <w:pPr>
              <w:widowControl/>
              <w:jc w:val="left"/>
              <w:rPr>
                <w:rFonts w:hint="eastAsia" w:ascii="宋体" w:hAnsi="宋体" w:eastAsia="宋体" w:cs="宋体"/>
                <w:color w:val="auto"/>
                <w:kern w:val="0"/>
                <w:sz w:val="22"/>
              </w:rPr>
            </w:pPr>
            <w:r>
              <w:rPr>
                <w:rFonts w:hint="eastAsia" w:ascii="微软雅黑" w:hAnsi="微软雅黑" w:eastAsia="微软雅黑" w:cs="微软雅黑"/>
                <w:color w:val="auto"/>
                <w:kern w:val="0"/>
                <w:sz w:val="22"/>
              </w:rPr>
              <w:t>★</w:t>
            </w:r>
            <w:r>
              <w:rPr>
                <w:rFonts w:hint="eastAsia" w:ascii="宋体" w:hAnsi="宋体" w:eastAsia="宋体" w:cs="宋体"/>
                <w:color w:val="auto"/>
                <w:kern w:val="0"/>
                <w:sz w:val="22"/>
              </w:rPr>
              <w:t>12.内置电脑配置：CPU≥12核，主频≥2.1GHz；独立显卡，显存≥4GB；内存≥16GB DDR4，SSD≥500GB。</w:t>
            </w:r>
          </w:p>
          <w:p w14:paraId="7A98AC51">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13.电脑模块具有独立非外拓展的视频输出接口，不少于1 路 HDMI；不少于3个USB3.0 接口。</w:t>
            </w:r>
          </w:p>
          <w:p w14:paraId="5617CB9E">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14.电脑模块和整机的连接采用万兆级接口，传输速率≥10Gbps；和整机的连接接口针脚数≤40pin。</w:t>
            </w:r>
          </w:p>
          <w:p w14:paraId="347E2F83">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15.授课软件（1 套）</w:t>
            </w:r>
          </w:p>
          <w:p w14:paraId="11B2F7C1">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（1）公网连接：不需借助任何外接设备，在公网环境下即可支持学生端手机、平板同教师端进行连接。</w:t>
            </w:r>
          </w:p>
          <w:p w14:paraId="3EAEE6E7">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（2）扫码连接：支持学生端通过输入连接码和扫描二维码两种方式，进入课堂，同步完成考勤签到。</w:t>
            </w:r>
          </w:p>
          <w:p w14:paraId="19C859D0">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（3）互动系统：将所有学生端和教师端连接一起构建成互动系统，在系统里面教师可以单选，多选，判断，抢答等互动功能。具备班级创建、统计考勤、互动答题、批注分发、无线传屏等功能。</w:t>
            </w:r>
            <w:r>
              <w:rPr>
                <w:rFonts w:hint="eastAsia"/>
                <w:color w:val="auto"/>
              </w:rPr>
              <w:t>提供相关证明材料（包括检测报告或产品彩页或官网截图等）。</w:t>
            </w:r>
          </w:p>
        </w:tc>
        <w:tc>
          <w:tcPr>
            <w:tcW w:w="263" w:type="pct"/>
            <w:tcBorders>
              <w:top w:val="nil"/>
              <w:left w:val="nil"/>
              <w:bottom w:val="single" w:color="auto" w:sz="4" w:space="0"/>
              <w:right w:val="single" w:color="auto" w:sz="4" w:space="0"/>
            </w:tcBorders>
            <w:shd w:val="clear" w:color="auto" w:fill="auto"/>
            <w:vAlign w:val="center"/>
          </w:tcPr>
          <w:p w14:paraId="3CA2E5B4">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40</w:t>
            </w:r>
          </w:p>
        </w:tc>
        <w:tc>
          <w:tcPr>
            <w:tcW w:w="263" w:type="pct"/>
            <w:tcBorders>
              <w:top w:val="nil"/>
              <w:left w:val="nil"/>
              <w:bottom w:val="single" w:color="auto" w:sz="4" w:space="0"/>
              <w:right w:val="single" w:color="auto" w:sz="4" w:space="0"/>
            </w:tcBorders>
            <w:shd w:val="clear" w:color="auto" w:fill="auto"/>
            <w:vAlign w:val="center"/>
          </w:tcPr>
          <w:p w14:paraId="01ED3809">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台</w:t>
            </w:r>
          </w:p>
        </w:tc>
      </w:tr>
      <w:tr w14:paraId="0BDAAA75">
        <w:tblPrEx>
          <w:tblCellMar>
            <w:top w:w="0" w:type="dxa"/>
            <w:left w:w="108" w:type="dxa"/>
            <w:bottom w:w="0" w:type="dxa"/>
            <w:right w:w="108" w:type="dxa"/>
          </w:tblCellMar>
        </w:tblPrEx>
        <w:trPr>
          <w:trHeight w:val="2684" w:hRule="atLeast"/>
        </w:trPr>
        <w:tc>
          <w:tcPr>
            <w:tcW w:w="263" w:type="pct"/>
            <w:tcBorders>
              <w:top w:val="nil"/>
              <w:left w:val="single" w:color="auto" w:sz="4" w:space="0"/>
              <w:bottom w:val="single" w:color="auto" w:sz="4" w:space="0"/>
              <w:right w:val="single" w:color="auto" w:sz="4" w:space="0"/>
            </w:tcBorders>
            <w:shd w:val="clear" w:color="auto" w:fill="auto"/>
            <w:vAlign w:val="center"/>
          </w:tcPr>
          <w:p w14:paraId="179EE986">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2</w:t>
            </w:r>
          </w:p>
        </w:tc>
        <w:tc>
          <w:tcPr>
            <w:tcW w:w="395" w:type="pct"/>
            <w:tcBorders>
              <w:top w:val="nil"/>
              <w:left w:val="nil"/>
              <w:bottom w:val="single" w:color="auto" w:sz="4" w:space="0"/>
              <w:right w:val="single" w:color="auto" w:sz="4" w:space="0"/>
            </w:tcBorders>
            <w:shd w:val="clear" w:color="auto" w:fill="auto"/>
            <w:vAlign w:val="center"/>
          </w:tcPr>
          <w:p w14:paraId="50A8D2DA">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固定投影仪及幕布</w:t>
            </w:r>
          </w:p>
        </w:tc>
        <w:tc>
          <w:tcPr>
            <w:tcW w:w="3814" w:type="pct"/>
            <w:tcBorders>
              <w:top w:val="nil"/>
              <w:left w:val="nil"/>
              <w:bottom w:val="single" w:color="auto" w:sz="4" w:space="0"/>
              <w:right w:val="single" w:color="auto" w:sz="4" w:space="0"/>
            </w:tcBorders>
            <w:shd w:val="clear" w:color="auto" w:fill="auto"/>
          </w:tcPr>
          <w:p w14:paraId="0AC79804">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 技术指标及参数要求：</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1）纯激光光源，分辨率不小于1920*1080；长宽比为16:9;</w:t>
            </w:r>
          </w:p>
          <w:p w14:paraId="6A6DDF55">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2）支持电动镜头变焦，变焦比例≥1.6倍;</w:t>
            </w:r>
          </w:p>
          <w:p w14:paraId="13040077">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3）支持垂直水平方向电动镜头位移，垂直方向≥100%，水平方向≥40%</w:t>
            </w:r>
          </w:p>
          <w:p w14:paraId="2B7A7254">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4）对比度≥5000000:1；</w:t>
            </w:r>
          </w:p>
          <w:p w14:paraId="78CDED23">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5）色域：色域覆盖面积大于REC.709标准；</w:t>
            </w:r>
          </w:p>
          <w:p w14:paraId="0322820C">
            <w:pPr>
              <w:widowControl/>
              <w:jc w:val="left"/>
              <w:rPr>
                <w:rFonts w:hint="eastAsia" w:ascii="宋体" w:hAnsi="宋体" w:eastAsia="宋体" w:cs="宋体"/>
                <w:color w:val="auto"/>
                <w:kern w:val="0"/>
                <w:sz w:val="22"/>
              </w:rPr>
            </w:pPr>
            <w:r>
              <w:rPr>
                <w:rFonts w:hint="eastAsia" w:ascii="微软雅黑" w:hAnsi="微软雅黑" w:eastAsia="微软雅黑" w:cs="微软雅黑"/>
                <w:color w:val="auto"/>
                <w:kern w:val="0"/>
                <w:sz w:val="22"/>
              </w:rPr>
              <w:t>★</w:t>
            </w:r>
            <w:r>
              <w:rPr>
                <w:rFonts w:hint="eastAsia" w:ascii="宋体" w:hAnsi="宋体" w:eastAsia="宋体" w:cs="宋体"/>
                <w:color w:val="auto"/>
                <w:kern w:val="0"/>
                <w:sz w:val="22"/>
              </w:rPr>
              <w:t>6）亮度≥5600流明；</w:t>
            </w:r>
          </w:p>
          <w:p w14:paraId="58BD9A64">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7）整机IP5X级增压防尘设计，光源系统IP6X级密闭设计，整机无滤网；</w:t>
            </w:r>
          </w:p>
          <w:p w14:paraId="63AF0DE5">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8）3D技术：多种3D模式</w:t>
            </w:r>
          </w:p>
          <w:p w14:paraId="49BEEB20">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9)光源寿命≥25000小时；</w:t>
            </w:r>
          </w:p>
          <w:p w14:paraId="73B05EDC">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10)照度均匀性≥90%；</w:t>
            </w:r>
          </w:p>
          <w:p w14:paraId="45FD2B4D">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11)支持垂直水平梯形校正及四点校正；</w:t>
            </w:r>
          </w:p>
          <w:p w14:paraId="25F565AE">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12)控制方式：支持无线遥控器，网络RJ45和RS-232控制；</w:t>
            </w:r>
          </w:p>
          <w:p w14:paraId="0196D809">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13)接口包含:</w:t>
            </w:r>
          </w:p>
          <w:p w14:paraId="7CAA5F3F">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输入： HDMI*2; VGA*2; Audio in（mini jack,3.5mm）*1; 3D SYNC IN*1;</w:t>
            </w:r>
          </w:p>
          <w:p w14:paraId="058D1487">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输出：VGA*1（与VGA in 2共用）; Audio out（mini jack,3.5mm）*1; 3D SYNC OUT*1; IR 3D OUT *1</w:t>
            </w:r>
          </w:p>
          <w:p w14:paraId="334A7ECF">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USB-B*1；RS232*1；RJ45*1;</w:t>
            </w:r>
          </w:p>
          <w:p w14:paraId="28EFAD12">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14）电动幕布：≥150英寸，幕布比例和投影仪相同。</w:t>
            </w:r>
          </w:p>
        </w:tc>
        <w:tc>
          <w:tcPr>
            <w:tcW w:w="263" w:type="pct"/>
            <w:tcBorders>
              <w:top w:val="nil"/>
              <w:left w:val="nil"/>
              <w:bottom w:val="single" w:color="auto" w:sz="4" w:space="0"/>
              <w:right w:val="single" w:color="auto" w:sz="4" w:space="0"/>
            </w:tcBorders>
            <w:shd w:val="clear" w:color="auto" w:fill="auto"/>
            <w:vAlign w:val="center"/>
          </w:tcPr>
          <w:p w14:paraId="71A55CA8">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2</w:t>
            </w:r>
          </w:p>
        </w:tc>
        <w:tc>
          <w:tcPr>
            <w:tcW w:w="263" w:type="pct"/>
            <w:tcBorders>
              <w:top w:val="nil"/>
              <w:left w:val="nil"/>
              <w:bottom w:val="single" w:color="auto" w:sz="4" w:space="0"/>
              <w:right w:val="single" w:color="auto" w:sz="4" w:space="0"/>
            </w:tcBorders>
            <w:shd w:val="clear" w:color="auto" w:fill="auto"/>
            <w:vAlign w:val="center"/>
          </w:tcPr>
          <w:p w14:paraId="2F32E403">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台</w:t>
            </w:r>
          </w:p>
        </w:tc>
      </w:tr>
      <w:tr w14:paraId="2AE1CCE4">
        <w:tblPrEx>
          <w:tblCellMar>
            <w:top w:w="0" w:type="dxa"/>
            <w:left w:w="108" w:type="dxa"/>
            <w:bottom w:w="0" w:type="dxa"/>
            <w:right w:w="108" w:type="dxa"/>
          </w:tblCellMar>
        </w:tblPrEx>
        <w:trPr>
          <w:trHeight w:val="660" w:hRule="atLeast"/>
        </w:trPr>
        <w:tc>
          <w:tcPr>
            <w:tcW w:w="263" w:type="pct"/>
            <w:tcBorders>
              <w:top w:val="nil"/>
              <w:left w:val="single" w:color="auto" w:sz="4" w:space="0"/>
              <w:bottom w:val="single" w:color="auto" w:sz="4" w:space="0"/>
              <w:right w:val="single" w:color="auto" w:sz="4" w:space="0"/>
            </w:tcBorders>
            <w:shd w:val="clear" w:color="auto" w:fill="auto"/>
            <w:vAlign w:val="center"/>
          </w:tcPr>
          <w:p w14:paraId="3B1E3C34">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3</w:t>
            </w:r>
          </w:p>
        </w:tc>
        <w:tc>
          <w:tcPr>
            <w:tcW w:w="395" w:type="pct"/>
            <w:tcBorders>
              <w:top w:val="nil"/>
              <w:left w:val="nil"/>
              <w:bottom w:val="single" w:color="auto" w:sz="4" w:space="0"/>
              <w:right w:val="single" w:color="auto" w:sz="4" w:space="0"/>
            </w:tcBorders>
            <w:shd w:val="clear" w:color="auto" w:fill="auto"/>
            <w:vAlign w:val="center"/>
          </w:tcPr>
          <w:p w14:paraId="6A15B895">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移动投影仪及幕布</w:t>
            </w:r>
          </w:p>
        </w:tc>
        <w:tc>
          <w:tcPr>
            <w:tcW w:w="3814" w:type="pct"/>
            <w:tcBorders>
              <w:top w:val="nil"/>
              <w:left w:val="nil"/>
              <w:bottom w:val="single" w:color="auto" w:sz="4" w:space="0"/>
              <w:right w:val="single" w:color="auto" w:sz="4" w:space="0"/>
            </w:tcBorders>
            <w:shd w:val="clear" w:color="auto" w:fill="auto"/>
          </w:tcPr>
          <w:p w14:paraId="4648985B">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 技术指标及参数要求：</w:t>
            </w:r>
            <w:r>
              <w:rPr>
                <w:rFonts w:hint="eastAsia" w:ascii="宋体" w:hAnsi="宋体" w:eastAsia="宋体" w:cs="宋体"/>
                <w:color w:val="auto"/>
                <w:kern w:val="0"/>
                <w:sz w:val="22"/>
              </w:rPr>
              <w:br w:type="textWrapping"/>
            </w:r>
            <w:r>
              <w:rPr>
                <w:rFonts w:hint="eastAsia" w:ascii="微软雅黑" w:hAnsi="微软雅黑" w:eastAsia="微软雅黑" w:cs="微软雅黑"/>
                <w:color w:val="auto"/>
                <w:kern w:val="0"/>
                <w:sz w:val="22"/>
              </w:rPr>
              <w:t>★</w:t>
            </w:r>
            <w:r>
              <w:rPr>
                <w:rFonts w:hint="eastAsia" w:ascii="宋体" w:hAnsi="宋体" w:eastAsia="宋体" w:cs="宋体"/>
                <w:color w:val="auto"/>
                <w:kern w:val="0"/>
                <w:sz w:val="22"/>
              </w:rPr>
              <w:t>1）亮度不小于4000流明；</w:t>
            </w:r>
          </w:p>
          <w:p w14:paraId="6E811BC9">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2）操作系统为安卓9.0版本以上；</w:t>
            </w:r>
          </w:p>
          <w:p w14:paraId="4CB930E7">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3）支持侧投及画面自动校正；</w:t>
            </w:r>
          </w:p>
          <w:p w14:paraId="13E51091">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4）分辨率不小于1080P；</w:t>
            </w:r>
          </w:p>
          <w:p w14:paraId="15AAB1AC">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5）支持2.4G和5G无线网络；</w:t>
            </w:r>
          </w:p>
          <w:p w14:paraId="0583EDE0">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6）支持无线投屏；</w:t>
            </w:r>
          </w:p>
          <w:p w14:paraId="59437898">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7）支持U盘直读，可以演示office文档；</w:t>
            </w:r>
          </w:p>
          <w:p w14:paraId="58FFB834">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8）具备≥2*HDMI接口；</w:t>
            </w:r>
          </w:p>
          <w:p w14:paraId="29DE07E0">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9）扬声器不小于10W。</w:t>
            </w:r>
          </w:p>
          <w:p w14:paraId="57B79813">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10）便携式幕布：≥100英寸，幕布比例和投影仪相同。</w:t>
            </w:r>
          </w:p>
        </w:tc>
        <w:tc>
          <w:tcPr>
            <w:tcW w:w="263" w:type="pct"/>
            <w:tcBorders>
              <w:top w:val="nil"/>
              <w:left w:val="nil"/>
              <w:bottom w:val="single" w:color="auto" w:sz="4" w:space="0"/>
              <w:right w:val="single" w:color="auto" w:sz="4" w:space="0"/>
            </w:tcBorders>
            <w:shd w:val="clear" w:color="auto" w:fill="auto"/>
            <w:vAlign w:val="center"/>
          </w:tcPr>
          <w:p w14:paraId="3948C4B7">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5</w:t>
            </w:r>
          </w:p>
        </w:tc>
        <w:tc>
          <w:tcPr>
            <w:tcW w:w="263" w:type="pct"/>
            <w:tcBorders>
              <w:top w:val="nil"/>
              <w:left w:val="nil"/>
              <w:bottom w:val="single" w:color="auto" w:sz="4" w:space="0"/>
              <w:right w:val="single" w:color="auto" w:sz="4" w:space="0"/>
            </w:tcBorders>
            <w:shd w:val="clear" w:color="auto" w:fill="auto"/>
            <w:vAlign w:val="center"/>
          </w:tcPr>
          <w:p w14:paraId="483850E9">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台</w:t>
            </w:r>
          </w:p>
        </w:tc>
      </w:tr>
      <w:tr w14:paraId="3FE43D72">
        <w:tblPrEx>
          <w:tblCellMar>
            <w:top w:w="0" w:type="dxa"/>
            <w:left w:w="108" w:type="dxa"/>
            <w:bottom w:w="0" w:type="dxa"/>
            <w:right w:w="108" w:type="dxa"/>
          </w:tblCellMar>
        </w:tblPrEx>
        <w:trPr>
          <w:trHeight w:val="416" w:hRule="atLeast"/>
        </w:trPr>
        <w:tc>
          <w:tcPr>
            <w:tcW w:w="263" w:type="pct"/>
            <w:tcBorders>
              <w:top w:val="nil"/>
              <w:left w:val="single" w:color="auto" w:sz="4" w:space="0"/>
              <w:bottom w:val="single" w:color="auto" w:sz="4" w:space="0"/>
              <w:right w:val="single" w:color="auto" w:sz="4" w:space="0"/>
            </w:tcBorders>
            <w:shd w:val="clear" w:color="auto" w:fill="auto"/>
            <w:vAlign w:val="center"/>
          </w:tcPr>
          <w:p w14:paraId="6CD11D8F">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4</w:t>
            </w:r>
          </w:p>
        </w:tc>
        <w:tc>
          <w:tcPr>
            <w:tcW w:w="395" w:type="pct"/>
            <w:tcBorders>
              <w:top w:val="nil"/>
              <w:left w:val="nil"/>
              <w:bottom w:val="single" w:color="auto" w:sz="4" w:space="0"/>
              <w:right w:val="single" w:color="auto" w:sz="4" w:space="0"/>
            </w:tcBorders>
            <w:shd w:val="clear" w:color="auto" w:fill="auto"/>
            <w:vAlign w:val="center"/>
          </w:tcPr>
          <w:p w14:paraId="544B3CF6">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显示器</w:t>
            </w:r>
          </w:p>
        </w:tc>
        <w:tc>
          <w:tcPr>
            <w:tcW w:w="3814" w:type="pct"/>
            <w:tcBorders>
              <w:top w:val="nil"/>
              <w:left w:val="nil"/>
              <w:bottom w:val="single" w:color="auto" w:sz="4" w:space="0"/>
              <w:right w:val="single" w:color="auto" w:sz="4" w:space="0"/>
            </w:tcBorders>
            <w:shd w:val="clear" w:color="auto" w:fill="auto"/>
          </w:tcPr>
          <w:p w14:paraId="086EA0C9">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1.技术指标及参数要求：</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1)LED 显示器，屏幕尺寸≥21.5 英寸。分辨率≥1920x1080，屏幕比例：16：9。</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2)可视角度（H/V）≥178°，刷新率≥100Hz;色域覆盖率≥85%。</w:t>
            </w:r>
          </w:p>
          <w:p w14:paraId="54D48C76">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3）视频接口：VGA，HDMI。支持标准壁挂接口。</w:t>
            </w:r>
          </w:p>
          <w:p w14:paraId="3D518ABA">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4）显示器具备不少于四种显示模式。</w:t>
            </w:r>
          </w:p>
        </w:tc>
        <w:tc>
          <w:tcPr>
            <w:tcW w:w="263" w:type="pct"/>
            <w:tcBorders>
              <w:top w:val="nil"/>
              <w:left w:val="nil"/>
              <w:bottom w:val="single" w:color="auto" w:sz="4" w:space="0"/>
              <w:right w:val="single" w:color="auto" w:sz="4" w:space="0"/>
            </w:tcBorders>
            <w:shd w:val="clear" w:color="auto" w:fill="auto"/>
            <w:vAlign w:val="center"/>
          </w:tcPr>
          <w:p w14:paraId="598C7B1D">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42</w:t>
            </w:r>
          </w:p>
        </w:tc>
        <w:tc>
          <w:tcPr>
            <w:tcW w:w="263" w:type="pct"/>
            <w:tcBorders>
              <w:top w:val="nil"/>
              <w:left w:val="nil"/>
              <w:bottom w:val="single" w:color="auto" w:sz="4" w:space="0"/>
              <w:right w:val="single" w:color="auto" w:sz="4" w:space="0"/>
            </w:tcBorders>
            <w:shd w:val="clear" w:color="auto" w:fill="auto"/>
            <w:vAlign w:val="center"/>
          </w:tcPr>
          <w:p w14:paraId="599036B4">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台</w:t>
            </w:r>
          </w:p>
        </w:tc>
      </w:tr>
      <w:tr w14:paraId="37BCF79B">
        <w:tblPrEx>
          <w:tblCellMar>
            <w:top w:w="0" w:type="dxa"/>
            <w:left w:w="108" w:type="dxa"/>
            <w:bottom w:w="0" w:type="dxa"/>
            <w:right w:w="108" w:type="dxa"/>
          </w:tblCellMar>
        </w:tblPrEx>
        <w:trPr>
          <w:trHeight w:val="989" w:hRule="atLeast"/>
        </w:trPr>
        <w:tc>
          <w:tcPr>
            <w:tcW w:w="263" w:type="pct"/>
            <w:tcBorders>
              <w:top w:val="nil"/>
              <w:left w:val="single" w:color="auto" w:sz="4" w:space="0"/>
              <w:bottom w:val="single" w:color="auto" w:sz="4" w:space="0"/>
              <w:right w:val="single" w:color="auto" w:sz="4" w:space="0"/>
            </w:tcBorders>
            <w:shd w:val="clear" w:color="auto" w:fill="auto"/>
            <w:vAlign w:val="center"/>
          </w:tcPr>
          <w:p w14:paraId="151A7B21">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5</w:t>
            </w:r>
          </w:p>
        </w:tc>
        <w:tc>
          <w:tcPr>
            <w:tcW w:w="395" w:type="pct"/>
            <w:tcBorders>
              <w:top w:val="nil"/>
              <w:left w:val="nil"/>
              <w:bottom w:val="single" w:color="auto" w:sz="4" w:space="0"/>
              <w:right w:val="single" w:color="auto" w:sz="4" w:space="0"/>
            </w:tcBorders>
            <w:shd w:val="clear" w:color="auto" w:fill="auto"/>
            <w:vAlign w:val="center"/>
          </w:tcPr>
          <w:p w14:paraId="5543F51D">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键盘鼠标</w:t>
            </w:r>
          </w:p>
        </w:tc>
        <w:tc>
          <w:tcPr>
            <w:tcW w:w="3814" w:type="pct"/>
            <w:tcBorders>
              <w:top w:val="nil"/>
              <w:left w:val="nil"/>
              <w:bottom w:val="single" w:color="auto" w:sz="4" w:space="0"/>
              <w:right w:val="single" w:color="auto" w:sz="4" w:space="0"/>
            </w:tcBorders>
            <w:shd w:val="clear" w:color="auto" w:fill="auto"/>
          </w:tcPr>
          <w:p w14:paraId="4352C0FF">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 技术指标及参数要求：</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1）键盘≥104键位</w:t>
            </w:r>
          </w:p>
          <w:p w14:paraId="0F0D21D7">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2）有线键盘和鼠标。</w:t>
            </w:r>
          </w:p>
        </w:tc>
        <w:tc>
          <w:tcPr>
            <w:tcW w:w="263" w:type="pct"/>
            <w:tcBorders>
              <w:top w:val="nil"/>
              <w:left w:val="nil"/>
              <w:bottom w:val="single" w:color="auto" w:sz="4" w:space="0"/>
              <w:right w:val="single" w:color="auto" w:sz="4" w:space="0"/>
            </w:tcBorders>
            <w:shd w:val="clear" w:color="auto" w:fill="auto"/>
            <w:vAlign w:val="center"/>
          </w:tcPr>
          <w:p w14:paraId="6EE341D4">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42</w:t>
            </w:r>
          </w:p>
        </w:tc>
        <w:tc>
          <w:tcPr>
            <w:tcW w:w="263" w:type="pct"/>
            <w:tcBorders>
              <w:top w:val="nil"/>
              <w:left w:val="nil"/>
              <w:bottom w:val="single" w:color="auto" w:sz="4" w:space="0"/>
              <w:right w:val="single" w:color="auto" w:sz="4" w:space="0"/>
            </w:tcBorders>
            <w:shd w:val="clear" w:color="auto" w:fill="auto"/>
            <w:vAlign w:val="center"/>
          </w:tcPr>
          <w:p w14:paraId="4923D3BE">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台</w:t>
            </w:r>
          </w:p>
        </w:tc>
      </w:tr>
      <w:tr w14:paraId="47B78CE3">
        <w:tblPrEx>
          <w:tblCellMar>
            <w:top w:w="0" w:type="dxa"/>
            <w:left w:w="108" w:type="dxa"/>
            <w:bottom w:w="0" w:type="dxa"/>
            <w:right w:w="108" w:type="dxa"/>
          </w:tblCellMar>
        </w:tblPrEx>
        <w:trPr>
          <w:trHeight w:val="983" w:hRule="atLeast"/>
        </w:trPr>
        <w:tc>
          <w:tcPr>
            <w:tcW w:w="263" w:type="pct"/>
            <w:tcBorders>
              <w:top w:val="nil"/>
              <w:left w:val="single" w:color="auto" w:sz="4" w:space="0"/>
              <w:bottom w:val="single" w:color="auto" w:sz="4" w:space="0"/>
              <w:right w:val="single" w:color="auto" w:sz="4" w:space="0"/>
            </w:tcBorders>
            <w:shd w:val="clear" w:color="auto" w:fill="auto"/>
            <w:vAlign w:val="center"/>
          </w:tcPr>
          <w:p w14:paraId="7A8EFF71">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6</w:t>
            </w:r>
          </w:p>
        </w:tc>
        <w:tc>
          <w:tcPr>
            <w:tcW w:w="395" w:type="pct"/>
            <w:tcBorders>
              <w:top w:val="nil"/>
              <w:left w:val="nil"/>
              <w:bottom w:val="single" w:color="auto" w:sz="4" w:space="0"/>
              <w:right w:val="single" w:color="auto" w:sz="4" w:space="0"/>
            </w:tcBorders>
            <w:shd w:val="clear" w:color="auto" w:fill="auto"/>
            <w:vAlign w:val="center"/>
          </w:tcPr>
          <w:p w14:paraId="7BC9A166">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智能融合终端</w:t>
            </w:r>
          </w:p>
        </w:tc>
        <w:tc>
          <w:tcPr>
            <w:tcW w:w="3814" w:type="pct"/>
            <w:tcBorders>
              <w:top w:val="nil"/>
              <w:left w:val="nil"/>
              <w:bottom w:val="single" w:color="auto" w:sz="4" w:space="0"/>
              <w:right w:val="single" w:color="auto" w:sz="4" w:space="0"/>
            </w:tcBorders>
            <w:shd w:val="clear" w:color="auto" w:fill="auto"/>
            <w:vAlign w:val="center"/>
          </w:tcPr>
          <w:p w14:paraId="7948ED21">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1.机柜式终端，标准机架式设计,主机不大于2U。</w:t>
            </w:r>
          </w:p>
          <w:p w14:paraId="22B65285">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2.主机需集成千兆以上交换机功能，具备≥5个RJ45网口，最大支持4组VLAN划分。具备≥4路RS232通信端口，具备≥1路RS485通信端口，具备≥1路输出接口，具备≥2路IO接口。具备≥1路USB通信接口, 具备不少于一进四出的USB KVM切换能力。</w:t>
            </w:r>
          </w:p>
          <w:p w14:paraId="191C5C3E">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3.板载需集成≥HDMI4*4全交叉无缝矩阵,具备≥3路HDMI输入接口，具备≥4路HDMI输出接口。HDMI接口均需支持4K高清分辨率。</w:t>
            </w:r>
          </w:p>
          <w:p w14:paraId="02D34495">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4.主机具备≥2路3.5mm音频线性输入接口，具备≥2路3.5mm音频线性输出。具备≥1路48V 幻象供电有线麦克风输入接口，支持配置幻象供电开启或关闭。</w:t>
            </w:r>
          </w:p>
          <w:p w14:paraId="6898AEDC">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5.需支持国标市电输入，支持本机能耗检测，为保证电源管理的灵活性。</w:t>
            </w:r>
          </w:p>
          <w:p w14:paraId="2772E7AF">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6.需具备网络中控功能，支持电教设备的本地或远程控制。需集成物联网关功能，支持能耗数据上报。支持 MQTT协议，支持扩展最大30路无线物联模块，配合系统平台可远程对终端设备进行手动、定时、集控管理。</w:t>
            </w:r>
          </w:p>
          <w:p w14:paraId="73557A25">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7.主机具备音视频硬解码能力，支持与学校现用的集中管理平台无缝对接，实现在现用平台进行音视频广播的推送，播放平台定时/手动广播任务；并需支持主机在关机状态下接收现有平台预设的高清流媒体内容或在线电视节目进行自动播放，自动开启和关闭显示设备，实现智能自动播放的功能。</w:t>
            </w:r>
          </w:p>
          <w:p w14:paraId="16A71E69">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8.为保证使用的便捷性，需支持通过控制面板或远程控制暂停音视频广播输出和调节广播音量。</w:t>
            </w:r>
          </w:p>
          <w:p w14:paraId="3C215866">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9.需支持web配置界面，支持本地系统参数、网络参数、串口参数、面板参数、音视频矩阵参数、IO接口参数、显示设备参数等配置。支持开关机场景及自定义场景配置。</w:t>
            </w:r>
          </w:p>
          <w:p w14:paraId="579D5127">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10.主机需通过配套触控面板可完成一键开关机设备、音量调节。支持IC卡刷卡、扫码、人脸识别、IP对讲等功能，支持离线状态下启用面板开机功能,支持同品牌无线麦克风接入及扩声。支持设备故障报修功能，待机状态下可显示设备联机网络信息、终端ID信息、运维电话等。</w:t>
            </w:r>
          </w:p>
          <w:p w14:paraId="52FA47A6">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11.为了满足丰富的教学场景需求，主机需支持≥4路大屏/投影机同屏显示或≥3路大屏/投影机异屏显示及控制，支持输出画面冻结功能。</w:t>
            </w:r>
          </w:p>
          <w:p w14:paraId="02FC3B72">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12.为了后期的运维方便，需支持在线升级功能，支持版本信息查看，网络配置等功能。</w:t>
            </w:r>
          </w:p>
          <w:p w14:paraId="7ADF8298">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13.需与学校现有集中管控平台能够实现全功能对接。</w:t>
            </w:r>
          </w:p>
        </w:tc>
        <w:tc>
          <w:tcPr>
            <w:tcW w:w="263" w:type="pct"/>
            <w:tcBorders>
              <w:top w:val="nil"/>
              <w:left w:val="nil"/>
              <w:bottom w:val="single" w:color="auto" w:sz="4" w:space="0"/>
              <w:right w:val="single" w:color="auto" w:sz="4" w:space="0"/>
            </w:tcBorders>
            <w:shd w:val="clear" w:color="auto" w:fill="auto"/>
            <w:vAlign w:val="center"/>
          </w:tcPr>
          <w:p w14:paraId="23022B91">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42</w:t>
            </w:r>
          </w:p>
        </w:tc>
        <w:tc>
          <w:tcPr>
            <w:tcW w:w="263" w:type="pct"/>
            <w:tcBorders>
              <w:top w:val="nil"/>
              <w:left w:val="nil"/>
              <w:bottom w:val="single" w:color="auto" w:sz="4" w:space="0"/>
              <w:right w:val="single" w:color="auto" w:sz="4" w:space="0"/>
            </w:tcBorders>
            <w:shd w:val="clear" w:color="auto" w:fill="auto"/>
            <w:noWrap/>
            <w:vAlign w:val="center"/>
          </w:tcPr>
          <w:p w14:paraId="7CD27865">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套</w:t>
            </w:r>
          </w:p>
        </w:tc>
      </w:tr>
      <w:tr w14:paraId="02A47005">
        <w:tblPrEx>
          <w:tblCellMar>
            <w:top w:w="0" w:type="dxa"/>
            <w:left w:w="108" w:type="dxa"/>
            <w:bottom w:w="0" w:type="dxa"/>
            <w:right w:w="108" w:type="dxa"/>
          </w:tblCellMar>
        </w:tblPrEx>
        <w:trPr>
          <w:trHeight w:val="1800" w:hRule="atLeast"/>
        </w:trPr>
        <w:tc>
          <w:tcPr>
            <w:tcW w:w="263" w:type="pct"/>
            <w:tcBorders>
              <w:top w:val="nil"/>
              <w:left w:val="single" w:color="auto" w:sz="4" w:space="0"/>
              <w:bottom w:val="single" w:color="auto" w:sz="4" w:space="0"/>
              <w:right w:val="single" w:color="auto" w:sz="4" w:space="0"/>
            </w:tcBorders>
            <w:shd w:val="clear" w:color="auto" w:fill="auto"/>
            <w:vAlign w:val="center"/>
          </w:tcPr>
          <w:p w14:paraId="5F54B8A1">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7</w:t>
            </w:r>
          </w:p>
        </w:tc>
        <w:tc>
          <w:tcPr>
            <w:tcW w:w="395" w:type="pct"/>
            <w:tcBorders>
              <w:top w:val="nil"/>
              <w:left w:val="nil"/>
              <w:bottom w:val="single" w:color="auto" w:sz="4" w:space="0"/>
              <w:right w:val="single" w:color="auto" w:sz="4" w:space="0"/>
            </w:tcBorders>
            <w:shd w:val="clear" w:color="auto" w:fill="auto"/>
            <w:vAlign w:val="center"/>
          </w:tcPr>
          <w:p w14:paraId="337362C6">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智能控制面板</w:t>
            </w:r>
          </w:p>
        </w:tc>
        <w:tc>
          <w:tcPr>
            <w:tcW w:w="3814" w:type="pct"/>
            <w:tcBorders>
              <w:top w:val="nil"/>
              <w:left w:val="nil"/>
              <w:bottom w:val="single" w:color="auto" w:sz="4" w:space="0"/>
              <w:right w:val="single" w:color="auto" w:sz="4" w:space="0"/>
            </w:tcBorders>
            <w:shd w:val="clear" w:color="auto" w:fill="auto"/>
            <w:vAlign w:val="center"/>
          </w:tcPr>
          <w:p w14:paraId="3710828C">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1.一体化设计，支持桌面或墙面固定安装方式。</w:t>
            </w:r>
          </w:p>
          <w:p w14:paraId="59A558EE">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2.具备≥1个RJ45千兆网口，≥1路USB接口，支持POE或DC受电。</w:t>
            </w:r>
          </w:p>
          <w:p w14:paraId="3FE539CD">
            <w:pPr>
              <w:rPr>
                <w:rFonts w:hint="eastAsia" w:ascii="宋体" w:hAnsi="宋体" w:eastAsia="宋体" w:cs="宋体"/>
                <w:color w:val="auto"/>
                <w:kern w:val="0"/>
                <w:sz w:val="22"/>
              </w:rPr>
            </w:pPr>
            <w:r>
              <w:rPr>
                <w:rFonts w:hint="eastAsia" w:ascii="宋体" w:hAnsi="宋体" w:eastAsia="宋体" w:cs="宋体"/>
                <w:color w:val="auto"/>
                <w:kern w:val="0"/>
                <w:sz w:val="22"/>
              </w:rPr>
              <w:t>3.面板基于Android或Linux系统，采用不低于4核CPU、2GB RAM、32GB EMMC FLASH、内置1T NPU的配置。需配备≥10.1英寸工业触控屏，屏幕分辨率≥1920×1200；需集成IC卡读卡器、内置扬声器、拾音器、二维码正/反扫摄像头，并具备音视频编解码能力，支持二维码正/反扫、刷卡、人脸识别开关机。</w:t>
            </w:r>
            <w:r>
              <w:rPr>
                <w:rFonts w:hint="eastAsia"/>
                <w:color w:val="auto"/>
              </w:rPr>
              <w:t>提供相关证明材料（包括检测报告或产品彩页或官网截图等）</w:t>
            </w:r>
          </w:p>
          <w:p w14:paraId="6885F7A1">
            <w:pPr>
              <w:rPr>
                <w:rFonts w:hint="eastAsia" w:ascii="宋体" w:hAnsi="宋体" w:eastAsia="宋体" w:cs="宋体"/>
                <w:color w:val="auto"/>
                <w:kern w:val="0"/>
                <w:sz w:val="22"/>
              </w:rPr>
            </w:pPr>
            <w:r>
              <w:rPr>
                <w:rFonts w:hint="eastAsia" w:ascii="宋体" w:hAnsi="宋体" w:eastAsia="宋体" w:cs="宋体"/>
                <w:color w:val="auto"/>
                <w:kern w:val="0"/>
                <w:sz w:val="22"/>
              </w:rPr>
              <w:t>4.为满足人脸识别开机需求，触控面板需集成≥200万像素摄像头。</w:t>
            </w:r>
          </w:p>
          <w:p w14:paraId="6C1E1AF4">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5.需支持一键上下课、画面切换、声音调整、物联设备控制、音视频广播控制、直播课堂、录播预览及控制等功能。</w:t>
            </w:r>
            <w:r>
              <w:rPr>
                <w:rFonts w:hint="eastAsia"/>
                <w:color w:val="auto"/>
              </w:rPr>
              <w:t>提供相关证明材料（包括检测报告或产品彩页或官网截图等）</w:t>
            </w:r>
          </w:p>
          <w:p w14:paraId="3F1050C2">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 xml:space="preserve">6. 需与学校现有集中管控平台能够实现全功能对接。 </w:t>
            </w:r>
          </w:p>
        </w:tc>
        <w:tc>
          <w:tcPr>
            <w:tcW w:w="263" w:type="pct"/>
            <w:tcBorders>
              <w:top w:val="nil"/>
              <w:left w:val="nil"/>
              <w:bottom w:val="single" w:color="auto" w:sz="4" w:space="0"/>
              <w:right w:val="single" w:color="auto" w:sz="4" w:space="0"/>
            </w:tcBorders>
            <w:shd w:val="clear" w:color="auto" w:fill="auto"/>
            <w:vAlign w:val="center"/>
          </w:tcPr>
          <w:p w14:paraId="5C7A03AF">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42</w:t>
            </w:r>
          </w:p>
        </w:tc>
        <w:tc>
          <w:tcPr>
            <w:tcW w:w="263" w:type="pct"/>
            <w:tcBorders>
              <w:top w:val="nil"/>
              <w:left w:val="nil"/>
              <w:bottom w:val="single" w:color="auto" w:sz="4" w:space="0"/>
              <w:right w:val="single" w:color="auto" w:sz="4" w:space="0"/>
            </w:tcBorders>
            <w:shd w:val="clear" w:color="auto" w:fill="auto"/>
            <w:noWrap/>
            <w:vAlign w:val="center"/>
          </w:tcPr>
          <w:p w14:paraId="28FF44E1">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台</w:t>
            </w:r>
          </w:p>
        </w:tc>
      </w:tr>
      <w:tr w14:paraId="71919FDB">
        <w:tblPrEx>
          <w:tblCellMar>
            <w:top w:w="0" w:type="dxa"/>
            <w:left w:w="108" w:type="dxa"/>
            <w:bottom w:w="0" w:type="dxa"/>
            <w:right w:w="108" w:type="dxa"/>
          </w:tblCellMar>
        </w:tblPrEx>
        <w:trPr>
          <w:trHeight w:val="1350" w:hRule="atLeast"/>
        </w:trPr>
        <w:tc>
          <w:tcPr>
            <w:tcW w:w="263" w:type="pct"/>
            <w:tcBorders>
              <w:top w:val="nil"/>
              <w:left w:val="single" w:color="auto" w:sz="4" w:space="0"/>
              <w:bottom w:val="single" w:color="auto" w:sz="4" w:space="0"/>
              <w:right w:val="single" w:color="auto" w:sz="4" w:space="0"/>
            </w:tcBorders>
            <w:shd w:val="clear" w:color="auto" w:fill="auto"/>
            <w:vAlign w:val="center"/>
          </w:tcPr>
          <w:p w14:paraId="5C971483">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8</w:t>
            </w:r>
          </w:p>
        </w:tc>
        <w:tc>
          <w:tcPr>
            <w:tcW w:w="395" w:type="pct"/>
            <w:tcBorders>
              <w:top w:val="nil"/>
              <w:left w:val="nil"/>
              <w:bottom w:val="single" w:color="auto" w:sz="4" w:space="0"/>
              <w:right w:val="single" w:color="auto" w:sz="4" w:space="0"/>
            </w:tcBorders>
            <w:shd w:val="clear" w:color="auto" w:fill="auto"/>
            <w:vAlign w:val="center"/>
          </w:tcPr>
          <w:p w14:paraId="300EC9FD">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音箱</w:t>
            </w:r>
          </w:p>
        </w:tc>
        <w:tc>
          <w:tcPr>
            <w:tcW w:w="3814" w:type="pct"/>
            <w:tcBorders>
              <w:top w:val="nil"/>
              <w:left w:val="nil"/>
              <w:bottom w:val="single" w:color="auto" w:sz="4" w:space="0"/>
              <w:right w:val="single" w:color="auto" w:sz="4" w:space="0"/>
            </w:tcBorders>
            <w:shd w:val="clear" w:color="auto" w:fill="auto"/>
            <w:vAlign w:val="center"/>
          </w:tcPr>
          <w:p w14:paraId="2041175C">
            <w:pPr>
              <w:widowControl/>
              <w:numPr>
                <w:ilvl w:val="0"/>
                <w:numId w:val="3"/>
              </w:numPr>
              <w:jc w:val="left"/>
              <w:rPr>
                <w:rFonts w:hint="eastAsia" w:ascii="宋体" w:hAnsi="宋体" w:eastAsia="宋体" w:cs="宋体"/>
                <w:color w:val="auto"/>
                <w:kern w:val="0"/>
                <w:sz w:val="22"/>
              </w:rPr>
            </w:pPr>
            <w:r>
              <w:rPr>
                <w:rFonts w:hint="eastAsia" w:ascii="宋体" w:hAnsi="宋体" w:eastAsia="宋体" w:cs="宋体"/>
                <w:color w:val="auto"/>
                <w:kern w:val="0"/>
                <w:sz w:val="22"/>
              </w:rPr>
              <w:t>技术指标及参数要求：</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1）频率响应：不低于120Hz ～ 16kHz、灵敏度： ≥85 dB。</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2）额定功率：≥30 W。</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3）全频喇叭单元尺寸≥5英寸。</w:t>
            </w:r>
          </w:p>
          <w:p w14:paraId="2886A44B">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4）支持无线麦克风扩声接收，采用Wi-Fi射频2.4GHz与5GHz双频段传输。</w:t>
            </w:r>
          </w:p>
        </w:tc>
        <w:tc>
          <w:tcPr>
            <w:tcW w:w="263" w:type="pct"/>
            <w:tcBorders>
              <w:top w:val="nil"/>
              <w:left w:val="nil"/>
              <w:bottom w:val="single" w:color="auto" w:sz="4" w:space="0"/>
              <w:right w:val="single" w:color="auto" w:sz="4" w:space="0"/>
            </w:tcBorders>
            <w:shd w:val="clear" w:color="auto" w:fill="auto"/>
            <w:vAlign w:val="center"/>
          </w:tcPr>
          <w:p w14:paraId="445AB59A">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42</w:t>
            </w:r>
          </w:p>
        </w:tc>
        <w:tc>
          <w:tcPr>
            <w:tcW w:w="263" w:type="pct"/>
            <w:tcBorders>
              <w:top w:val="nil"/>
              <w:left w:val="nil"/>
              <w:bottom w:val="single" w:color="auto" w:sz="4" w:space="0"/>
              <w:right w:val="single" w:color="auto" w:sz="4" w:space="0"/>
            </w:tcBorders>
            <w:shd w:val="clear" w:color="auto" w:fill="auto"/>
            <w:noWrap/>
            <w:vAlign w:val="center"/>
          </w:tcPr>
          <w:p w14:paraId="3D3A842E">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对</w:t>
            </w:r>
          </w:p>
        </w:tc>
      </w:tr>
      <w:tr w14:paraId="74F14EAC">
        <w:tblPrEx>
          <w:tblCellMar>
            <w:top w:w="0" w:type="dxa"/>
            <w:left w:w="108" w:type="dxa"/>
            <w:bottom w:w="0" w:type="dxa"/>
            <w:right w:w="108" w:type="dxa"/>
          </w:tblCellMar>
        </w:tblPrEx>
        <w:trPr>
          <w:trHeight w:val="1800" w:hRule="atLeast"/>
        </w:trPr>
        <w:tc>
          <w:tcPr>
            <w:tcW w:w="263" w:type="pct"/>
            <w:tcBorders>
              <w:top w:val="nil"/>
              <w:left w:val="single" w:color="auto" w:sz="4" w:space="0"/>
              <w:bottom w:val="single" w:color="auto" w:sz="4" w:space="0"/>
              <w:right w:val="single" w:color="auto" w:sz="4" w:space="0"/>
            </w:tcBorders>
            <w:shd w:val="clear" w:color="auto" w:fill="auto"/>
            <w:vAlign w:val="center"/>
          </w:tcPr>
          <w:p w14:paraId="01060BEC">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9</w:t>
            </w:r>
          </w:p>
        </w:tc>
        <w:tc>
          <w:tcPr>
            <w:tcW w:w="395" w:type="pct"/>
            <w:tcBorders>
              <w:top w:val="nil"/>
              <w:left w:val="nil"/>
              <w:bottom w:val="single" w:color="auto" w:sz="4" w:space="0"/>
              <w:right w:val="single" w:color="auto" w:sz="4" w:space="0"/>
            </w:tcBorders>
            <w:shd w:val="clear" w:color="auto" w:fill="auto"/>
            <w:vAlign w:val="center"/>
          </w:tcPr>
          <w:p w14:paraId="28EFAAC6">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无线麦克风</w:t>
            </w:r>
          </w:p>
        </w:tc>
        <w:tc>
          <w:tcPr>
            <w:tcW w:w="3814" w:type="pct"/>
            <w:tcBorders>
              <w:top w:val="nil"/>
              <w:left w:val="nil"/>
              <w:bottom w:val="single" w:color="auto" w:sz="4" w:space="0"/>
              <w:right w:val="single" w:color="auto" w:sz="4" w:space="0"/>
            </w:tcBorders>
            <w:shd w:val="clear" w:color="auto" w:fill="auto"/>
            <w:vAlign w:val="center"/>
          </w:tcPr>
          <w:p w14:paraId="492E8143">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 技术指标及参数要求：</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1）无线麦克风集天线、音频发射处理器、电池、拾音麦克于一体。</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2）即开即用，无需对频。</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3) 内置锂电池，续航时间≥5小时。</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4)接收直线距离：≥15m。</w:t>
            </w:r>
          </w:p>
        </w:tc>
        <w:tc>
          <w:tcPr>
            <w:tcW w:w="263" w:type="pct"/>
            <w:tcBorders>
              <w:top w:val="nil"/>
              <w:left w:val="nil"/>
              <w:bottom w:val="single" w:color="auto" w:sz="4" w:space="0"/>
              <w:right w:val="single" w:color="auto" w:sz="4" w:space="0"/>
            </w:tcBorders>
            <w:shd w:val="clear" w:color="auto" w:fill="auto"/>
            <w:vAlign w:val="center"/>
          </w:tcPr>
          <w:p w14:paraId="392B0D4F">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42</w:t>
            </w:r>
          </w:p>
        </w:tc>
        <w:tc>
          <w:tcPr>
            <w:tcW w:w="263" w:type="pct"/>
            <w:tcBorders>
              <w:top w:val="nil"/>
              <w:left w:val="nil"/>
              <w:bottom w:val="single" w:color="auto" w:sz="4" w:space="0"/>
              <w:right w:val="single" w:color="auto" w:sz="4" w:space="0"/>
            </w:tcBorders>
            <w:shd w:val="clear" w:color="auto" w:fill="auto"/>
            <w:noWrap/>
            <w:vAlign w:val="center"/>
          </w:tcPr>
          <w:p w14:paraId="54144597">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套</w:t>
            </w:r>
          </w:p>
        </w:tc>
      </w:tr>
      <w:tr w14:paraId="04EE832B">
        <w:tblPrEx>
          <w:tblCellMar>
            <w:top w:w="0" w:type="dxa"/>
            <w:left w:w="108" w:type="dxa"/>
            <w:bottom w:w="0" w:type="dxa"/>
            <w:right w:w="108" w:type="dxa"/>
          </w:tblCellMar>
        </w:tblPrEx>
        <w:trPr>
          <w:trHeight w:val="841" w:hRule="atLeast"/>
        </w:trPr>
        <w:tc>
          <w:tcPr>
            <w:tcW w:w="263" w:type="pct"/>
            <w:tcBorders>
              <w:top w:val="nil"/>
              <w:left w:val="single" w:color="auto" w:sz="4" w:space="0"/>
              <w:bottom w:val="single" w:color="auto" w:sz="4" w:space="0"/>
              <w:right w:val="single" w:color="auto" w:sz="4" w:space="0"/>
            </w:tcBorders>
            <w:shd w:val="clear" w:color="auto" w:fill="auto"/>
            <w:vAlign w:val="center"/>
          </w:tcPr>
          <w:p w14:paraId="4960B037">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10</w:t>
            </w:r>
          </w:p>
        </w:tc>
        <w:tc>
          <w:tcPr>
            <w:tcW w:w="395" w:type="pct"/>
            <w:tcBorders>
              <w:top w:val="nil"/>
              <w:left w:val="nil"/>
              <w:bottom w:val="single" w:color="auto" w:sz="4" w:space="0"/>
              <w:right w:val="single" w:color="auto" w:sz="4" w:space="0"/>
            </w:tcBorders>
            <w:shd w:val="clear" w:color="auto" w:fill="auto"/>
            <w:vAlign w:val="center"/>
          </w:tcPr>
          <w:p w14:paraId="77F061C5">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智能球形摄像机</w:t>
            </w:r>
          </w:p>
        </w:tc>
        <w:tc>
          <w:tcPr>
            <w:tcW w:w="3814" w:type="pct"/>
            <w:tcBorders>
              <w:top w:val="nil"/>
              <w:left w:val="nil"/>
              <w:bottom w:val="single" w:color="auto" w:sz="4" w:space="0"/>
              <w:right w:val="single" w:color="auto" w:sz="4" w:space="0"/>
            </w:tcBorders>
            <w:shd w:val="clear" w:color="auto" w:fill="auto"/>
            <w:vAlign w:val="center"/>
          </w:tcPr>
          <w:p w14:paraId="5DD23034">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 技术指标及参数要求：</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1)≥400 万像素红外网络高清球型摄像机。</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2）视频输出支持≥2560×1440@30fps，红外距离≥20米。</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3）支持≥4 倍光学变倍，≥16 倍数字变倍。</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4）支持最低照度可达彩色≤0.05Lux，黑白≤0.005Lux。</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5）支持水平手控速度不小于80°/S，垂直手控速度不小于80°/S。</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6）水平旋转范围为 0°-330°，垂直旋转范围为 0° -90°。</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7） 支持不少于200 个预置位，支持≥30 条巡航路径。</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8） 动态范围不小于105dB。</w:t>
            </w:r>
          </w:p>
        </w:tc>
        <w:tc>
          <w:tcPr>
            <w:tcW w:w="263" w:type="pct"/>
            <w:tcBorders>
              <w:top w:val="nil"/>
              <w:left w:val="nil"/>
              <w:bottom w:val="single" w:color="auto" w:sz="4" w:space="0"/>
              <w:right w:val="single" w:color="auto" w:sz="4" w:space="0"/>
            </w:tcBorders>
            <w:shd w:val="clear" w:color="auto" w:fill="auto"/>
            <w:vAlign w:val="center"/>
          </w:tcPr>
          <w:p w14:paraId="4015FAA6">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84</w:t>
            </w:r>
          </w:p>
        </w:tc>
        <w:tc>
          <w:tcPr>
            <w:tcW w:w="263" w:type="pct"/>
            <w:tcBorders>
              <w:top w:val="nil"/>
              <w:left w:val="nil"/>
              <w:bottom w:val="single" w:color="auto" w:sz="4" w:space="0"/>
              <w:right w:val="single" w:color="auto" w:sz="4" w:space="0"/>
            </w:tcBorders>
            <w:shd w:val="clear" w:color="auto" w:fill="auto"/>
            <w:noWrap/>
            <w:vAlign w:val="center"/>
          </w:tcPr>
          <w:p w14:paraId="7FDD81D6">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台</w:t>
            </w:r>
          </w:p>
        </w:tc>
      </w:tr>
      <w:tr w14:paraId="47B82C9F">
        <w:tblPrEx>
          <w:tblCellMar>
            <w:top w:w="0" w:type="dxa"/>
            <w:left w:w="108" w:type="dxa"/>
            <w:bottom w:w="0" w:type="dxa"/>
            <w:right w:w="108" w:type="dxa"/>
          </w:tblCellMar>
        </w:tblPrEx>
        <w:trPr>
          <w:trHeight w:val="1125" w:hRule="atLeast"/>
        </w:trPr>
        <w:tc>
          <w:tcPr>
            <w:tcW w:w="263" w:type="pct"/>
            <w:tcBorders>
              <w:top w:val="nil"/>
              <w:left w:val="single" w:color="auto" w:sz="4" w:space="0"/>
              <w:bottom w:val="single" w:color="auto" w:sz="4" w:space="0"/>
              <w:right w:val="single" w:color="auto" w:sz="4" w:space="0"/>
            </w:tcBorders>
            <w:shd w:val="clear" w:color="auto" w:fill="auto"/>
            <w:vAlign w:val="center"/>
          </w:tcPr>
          <w:p w14:paraId="4263772C">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11</w:t>
            </w:r>
          </w:p>
        </w:tc>
        <w:tc>
          <w:tcPr>
            <w:tcW w:w="395" w:type="pct"/>
            <w:tcBorders>
              <w:top w:val="nil"/>
              <w:left w:val="nil"/>
              <w:bottom w:val="single" w:color="auto" w:sz="4" w:space="0"/>
              <w:right w:val="single" w:color="auto" w:sz="4" w:space="0"/>
            </w:tcBorders>
            <w:shd w:val="clear" w:color="auto" w:fill="auto"/>
            <w:vAlign w:val="center"/>
          </w:tcPr>
          <w:p w14:paraId="22E74D02">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拾音器</w:t>
            </w:r>
          </w:p>
        </w:tc>
        <w:tc>
          <w:tcPr>
            <w:tcW w:w="3814" w:type="pct"/>
            <w:tcBorders>
              <w:top w:val="nil"/>
              <w:left w:val="nil"/>
              <w:bottom w:val="single" w:color="auto" w:sz="4" w:space="0"/>
              <w:right w:val="single" w:color="auto" w:sz="4" w:space="0"/>
            </w:tcBorders>
            <w:shd w:val="clear" w:color="auto" w:fill="auto"/>
          </w:tcPr>
          <w:p w14:paraId="78DAF8AE">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 技术指标及参数要求：</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1）内置数字语音处理电路和微处理芯片，≥两级动态数字降噪处理。</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2）镀银震膜电容咪头。自适应动态降噪处理技术，内置高速DSP 数字信号处理器。</w:t>
            </w:r>
          </w:p>
        </w:tc>
        <w:tc>
          <w:tcPr>
            <w:tcW w:w="263" w:type="pct"/>
            <w:tcBorders>
              <w:top w:val="nil"/>
              <w:left w:val="nil"/>
              <w:bottom w:val="single" w:color="auto" w:sz="4" w:space="0"/>
              <w:right w:val="single" w:color="auto" w:sz="4" w:space="0"/>
            </w:tcBorders>
            <w:shd w:val="clear" w:color="auto" w:fill="auto"/>
            <w:vAlign w:val="center"/>
          </w:tcPr>
          <w:p w14:paraId="562E5A88">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42</w:t>
            </w:r>
          </w:p>
        </w:tc>
        <w:tc>
          <w:tcPr>
            <w:tcW w:w="263" w:type="pct"/>
            <w:tcBorders>
              <w:top w:val="nil"/>
              <w:left w:val="nil"/>
              <w:bottom w:val="single" w:color="auto" w:sz="4" w:space="0"/>
              <w:right w:val="single" w:color="auto" w:sz="4" w:space="0"/>
            </w:tcBorders>
            <w:shd w:val="clear" w:color="auto" w:fill="auto"/>
            <w:vAlign w:val="center"/>
          </w:tcPr>
          <w:p w14:paraId="01EDCD42">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台</w:t>
            </w:r>
          </w:p>
        </w:tc>
      </w:tr>
      <w:tr w14:paraId="2FDFFCA9">
        <w:tblPrEx>
          <w:tblCellMar>
            <w:top w:w="0" w:type="dxa"/>
            <w:left w:w="108" w:type="dxa"/>
            <w:bottom w:w="0" w:type="dxa"/>
            <w:right w:w="108" w:type="dxa"/>
          </w:tblCellMar>
        </w:tblPrEx>
        <w:trPr>
          <w:trHeight w:val="1125" w:hRule="atLeast"/>
        </w:trPr>
        <w:tc>
          <w:tcPr>
            <w:tcW w:w="263" w:type="pct"/>
            <w:tcBorders>
              <w:top w:val="nil"/>
              <w:left w:val="single" w:color="auto" w:sz="4" w:space="0"/>
              <w:bottom w:val="single" w:color="auto" w:sz="4" w:space="0"/>
              <w:right w:val="single" w:color="auto" w:sz="4" w:space="0"/>
            </w:tcBorders>
            <w:shd w:val="clear" w:color="auto" w:fill="auto"/>
            <w:vAlign w:val="center"/>
          </w:tcPr>
          <w:p w14:paraId="42C77757">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12</w:t>
            </w:r>
          </w:p>
        </w:tc>
        <w:tc>
          <w:tcPr>
            <w:tcW w:w="395" w:type="pct"/>
            <w:tcBorders>
              <w:top w:val="nil"/>
              <w:left w:val="nil"/>
              <w:bottom w:val="single" w:color="auto" w:sz="4" w:space="0"/>
              <w:right w:val="single" w:color="auto" w:sz="4" w:space="0"/>
            </w:tcBorders>
            <w:shd w:val="clear" w:color="auto" w:fill="auto"/>
            <w:vAlign w:val="center"/>
          </w:tcPr>
          <w:p w14:paraId="464FE313">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黑板</w:t>
            </w:r>
          </w:p>
        </w:tc>
        <w:tc>
          <w:tcPr>
            <w:tcW w:w="3814" w:type="pct"/>
            <w:tcBorders>
              <w:top w:val="nil"/>
              <w:left w:val="nil"/>
              <w:bottom w:val="single" w:color="auto" w:sz="4" w:space="0"/>
              <w:right w:val="single" w:color="auto" w:sz="4" w:space="0"/>
            </w:tcBorders>
            <w:shd w:val="clear" w:color="auto" w:fill="auto"/>
          </w:tcPr>
          <w:p w14:paraId="39DBA181">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 技术指标及参数要求：</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1）尺寸与所配一体机吻合，一体机和黑板拼接后需在一个平面且有一体化外边框，边框颜色和宽度可根据实际情况调整，要求美观坚固。</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2）书写黑板，厚度≥0.30mm，光泽度不超过10Gu，表面粗糙度不小于2.0。甲醛释放量不超过0.04mg/L，涂层重金属含量无超标现象。</w:t>
            </w:r>
            <w:r>
              <w:rPr>
                <w:rFonts w:hint="eastAsia"/>
                <w:color w:val="auto"/>
              </w:rPr>
              <w:t>提供相关证明材料（包括检测报告或产品彩页或官网截图等）</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3）需要拆除原黑板，清运垃圾。</w:t>
            </w:r>
          </w:p>
        </w:tc>
        <w:tc>
          <w:tcPr>
            <w:tcW w:w="263" w:type="pct"/>
            <w:tcBorders>
              <w:top w:val="nil"/>
              <w:left w:val="nil"/>
              <w:bottom w:val="single" w:color="auto" w:sz="4" w:space="0"/>
              <w:right w:val="single" w:color="auto" w:sz="4" w:space="0"/>
            </w:tcBorders>
            <w:shd w:val="clear" w:color="auto" w:fill="auto"/>
            <w:vAlign w:val="center"/>
          </w:tcPr>
          <w:p w14:paraId="540DE492">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42</w:t>
            </w:r>
          </w:p>
        </w:tc>
        <w:tc>
          <w:tcPr>
            <w:tcW w:w="263" w:type="pct"/>
            <w:tcBorders>
              <w:top w:val="nil"/>
              <w:left w:val="nil"/>
              <w:bottom w:val="single" w:color="auto" w:sz="4" w:space="0"/>
              <w:right w:val="single" w:color="auto" w:sz="4" w:space="0"/>
            </w:tcBorders>
            <w:shd w:val="clear" w:color="auto" w:fill="auto"/>
            <w:vAlign w:val="center"/>
          </w:tcPr>
          <w:p w14:paraId="788AABDB">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台</w:t>
            </w:r>
          </w:p>
        </w:tc>
      </w:tr>
      <w:tr w14:paraId="42D82A5E">
        <w:tblPrEx>
          <w:tblCellMar>
            <w:top w:w="0" w:type="dxa"/>
            <w:left w:w="108" w:type="dxa"/>
            <w:bottom w:w="0" w:type="dxa"/>
            <w:right w:w="108" w:type="dxa"/>
          </w:tblCellMar>
        </w:tblPrEx>
        <w:trPr>
          <w:trHeight w:val="2250" w:hRule="atLeast"/>
        </w:trPr>
        <w:tc>
          <w:tcPr>
            <w:tcW w:w="263" w:type="pct"/>
            <w:tcBorders>
              <w:top w:val="nil"/>
              <w:left w:val="single" w:color="auto" w:sz="4" w:space="0"/>
              <w:bottom w:val="single" w:color="auto" w:sz="4" w:space="0"/>
              <w:right w:val="single" w:color="auto" w:sz="4" w:space="0"/>
            </w:tcBorders>
            <w:shd w:val="clear" w:color="auto" w:fill="auto"/>
            <w:vAlign w:val="center"/>
          </w:tcPr>
          <w:p w14:paraId="42FC4C66">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13</w:t>
            </w:r>
          </w:p>
        </w:tc>
        <w:tc>
          <w:tcPr>
            <w:tcW w:w="395" w:type="pct"/>
            <w:tcBorders>
              <w:top w:val="nil"/>
              <w:left w:val="nil"/>
              <w:bottom w:val="single" w:color="auto" w:sz="4" w:space="0"/>
              <w:right w:val="single" w:color="auto" w:sz="4" w:space="0"/>
            </w:tcBorders>
            <w:shd w:val="clear" w:color="auto" w:fill="auto"/>
            <w:vAlign w:val="center"/>
          </w:tcPr>
          <w:p w14:paraId="1C579206">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主控桌</w:t>
            </w:r>
          </w:p>
        </w:tc>
        <w:tc>
          <w:tcPr>
            <w:tcW w:w="3814" w:type="pct"/>
            <w:tcBorders>
              <w:top w:val="nil"/>
              <w:left w:val="nil"/>
              <w:bottom w:val="single" w:color="auto" w:sz="4" w:space="0"/>
              <w:right w:val="single" w:color="auto" w:sz="4" w:space="0"/>
            </w:tcBorders>
            <w:shd w:val="clear" w:color="auto" w:fill="auto"/>
          </w:tcPr>
          <w:p w14:paraId="1FDB076E">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1.技术指标及参数要求：</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1) 规格：≤L*W*H（mm）：1000*750*1100。</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2) 材料：钢木结合，主体采用≥1.2mm 冷轧钢材。桌面及背面采用≥18mm 高密度纤维板材料。</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3）上层：分为显示区域和操作台面两部分。安装显示器、中控面板、等设备。</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4）下层：三面拆装式，呼应整体外观，独立隐藏式走线通道。</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5）机柜：≥独立 8U 机柜，可根据教室需求选配，接入第三方设备，机柜与下层主体之间用滑块式轨道连接，可整体滑动，机柜内部配置层板均为可滑动式设计。</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6）预留与 1-3 相匹配的嵌入安装位置，嵌入讲桌后无明显缝隙。</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7）提供输入接口：USB3.0 x2、Type-C x1、HDMIx1、网线接口 x1。</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8）讲桌正面配置独立≥18mm 厚高密度纤维板，易拆卸，方便侧维护和后维护。根据学校要求设计印制 LOGO。</w:t>
            </w:r>
          </w:p>
        </w:tc>
        <w:tc>
          <w:tcPr>
            <w:tcW w:w="263" w:type="pct"/>
            <w:tcBorders>
              <w:top w:val="nil"/>
              <w:left w:val="nil"/>
              <w:bottom w:val="single" w:color="auto" w:sz="4" w:space="0"/>
              <w:right w:val="single" w:color="auto" w:sz="4" w:space="0"/>
            </w:tcBorders>
            <w:shd w:val="clear" w:color="auto" w:fill="auto"/>
            <w:vAlign w:val="center"/>
          </w:tcPr>
          <w:p w14:paraId="7EBC300B">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42</w:t>
            </w:r>
          </w:p>
        </w:tc>
        <w:tc>
          <w:tcPr>
            <w:tcW w:w="263" w:type="pct"/>
            <w:tcBorders>
              <w:top w:val="nil"/>
              <w:left w:val="nil"/>
              <w:bottom w:val="single" w:color="auto" w:sz="4" w:space="0"/>
              <w:right w:val="single" w:color="auto" w:sz="4" w:space="0"/>
            </w:tcBorders>
            <w:shd w:val="clear" w:color="auto" w:fill="auto"/>
            <w:vAlign w:val="center"/>
          </w:tcPr>
          <w:p w14:paraId="689F71ED">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个</w:t>
            </w:r>
          </w:p>
        </w:tc>
      </w:tr>
      <w:tr w14:paraId="0FC5AA88">
        <w:tblPrEx>
          <w:tblCellMar>
            <w:top w:w="0" w:type="dxa"/>
            <w:left w:w="108" w:type="dxa"/>
            <w:bottom w:w="0" w:type="dxa"/>
            <w:right w:w="108" w:type="dxa"/>
          </w:tblCellMar>
        </w:tblPrEx>
        <w:trPr>
          <w:trHeight w:val="920" w:hRule="atLeast"/>
        </w:trPr>
        <w:tc>
          <w:tcPr>
            <w:tcW w:w="263" w:type="pct"/>
            <w:tcBorders>
              <w:top w:val="single" w:color="auto" w:sz="4" w:space="0"/>
              <w:left w:val="single" w:color="auto" w:sz="4" w:space="0"/>
              <w:bottom w:val="single" w:color="auto" w:sz="4" w:space="0"/>
              <w:right w:val="single" w:color="auto" w:sz="4" w:space="0"/>
            </w:tcBorders>
            <w:shd w:val="clear" w:color="auto" w:fill="auto"/>
            <w:vAlign w:val="center"/>
          </w:tcPr>
          <w:p w14:paraId="411D59FF">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14</w:t>
            </w:r>
          </w:p>
        </w:tc>
        <w:tc>
          <w:tcPr>
            <w:tcW w:w="395" w:type="pct"/>
            <w:tcBorders>
              <w:top w:val="single" w:color="auto" w:sz="4" w:space="0"/>
              <w:left w:val="nil"/>
              <w:bottom w:val="single" w:color="auto" w:sz="4" w:space="0"/>
              <w:right w:val="single" w:color="auto" w:sz="4" w:space="0"/>
            </w:tcBorders>
            <w:shd w:val="clear" w:color="auto" w:fill="auto"/>
            <w:vAlign w:val="center"/>
          </w:tcPr>
          <w:p w14:paraId="718CBB38">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综合布线</w:t>
            </w:r>
          </w:p>
        </w:tc>
        <w:tc>
          <w:tcPr>
            <w:tcW w:w="3814" w:type="pct"/>
            <w:tcBorders>
              <w:top w:val="single" w:color="auto" w:sz="4" w:space="0"/>
              <w:left w:val="nil"/>
              <w:bottom w:val="single" w:color="auto" w:sz="4" w:space="0"/>
              <w:right w:val="single" w:color="auto" w:sz="4" w:space="0"/>
            </w:tcBorders>
            <w:shd w:val="clear" w:color="auto" w:fill="auto"/>
          </w:tcPr>
          <w:p w14:paraId="4D83EC90">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1.技术指标及参数要求：</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网线为超六类线，电源线等线材符合国家标准。</w:t>
            </w:r>
          </w:p>
        </w:tc>
        <w:tc>
          <w:tcPr>
            <w:tcW w:w="263" w:type="pct"/>
            <w:tcBorders>
              <w:top w:val="single" w:color="auto" w:sz="4" w:space="0"/>
              <w:left w:val="nil"/>
              <w:bottom w:val="single" w:color="auto" w:sz="4" w:space="0"/>
              <w:right w:val="single" w:color="auto" w:sz="4" w:space="0"/>
            </w:tcBorders>
            <w:shd w:val="clear" w:color="auto" w:fill="auto"/>
            <w:vAlign w:val="center"/>
          </w:tcPr>
          <w:p w14:paraId="4BE8C1C6">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42</w:t>
            </w:r>
          </w:p>
        </w:tc>
        <w:tc>
          <w:tcPr>
            <w:tcW w:w="263" w:type="pct"/>
            <w:tcBorders>
              <w:top w:val="single" w:color="auto" w:sz="4" w:space="0"/>
              <w:left w:val="nil"/>
              <w:bottom w:val="single" w:color="auto" w:sz="4" w:space="0"/>
              <w:right w:val="single" w:color="auto" w:sz="4" w:space="0"/>
            </w:tcBorders>
            <w:shd w:val="clear" w:color="auto" w:fill="auto"/>
            <w:vAlign w:val="center"/>
          </w:tcPr>
          <w:p w14:paraId="7995523C">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项</w:t>
            </w:r>
          </w:p>
        </w:tc>
      </w:tr>
    </w:tbl>
    <w:p w14:paraId="7B690240">
      <w:pPr>
        <w:spacing w:line="560" w:lineRule="exact"/>
        <w:ind w:firstLine="640" w:firstLineChars="200"/>
        <w:rPr>
          <w:rFonts w:hint="eastAsia" w:ascii="黑体" w:hAnsi="黑体" w:eastAsia="黑体"/>
          <w:color w:val="auto"/>
          <w:sz w:val="32"/>
          <w:szCs w:val="32"/>
        </w:rPr>
      </w:pPr>
      <w:r>
        <w:rPr>
          <w:rFonts w:hint="eastAsia" w:ascii="黑体" w:hAnsi="黑体" w:eastAsia="黑体"/>
          <w:color w:val="auto"/>
          <w:sz w:val="32"/>
          <w:szCs w:val="32"/>
        </w:rPr>
        <w:t>二、教室电子班牌（319间）</w:t>
      </w:r>
    </w:p>
    <w:tbl>
      <w:tblPr>
        <w:tblStyle w:val="35"/>
        <w:tblW w:w="5000" w:type="pct"/>
        <w:tblInd w:w="0" w:type="dxa"/>
        <w:tblLayout w:type="autofit"/>
        <w:tblCellMar>
          <w:top w:w="0" w:type="dxa"/>
          <w:left w:w="108" w:type="dxa"/>
          <w:bottom w:w="0" w:type="dxa"/>
          <w:right w:w="108" w:type="dxa"/>
        </w:tblCellMar>
      </w:tblPr>
      <w:tblGrid>
        <w:gridCol w:w="494"/>
        <w:gridCol w:w="741"/>
        <w:gridCol w:w="7036"/>
        <w:gridCol w:w="617"/>
        <w:gridCol w:w="494"/>
      </w:tblGrid>
      <w:tr w14:paraId="6CF8E9CF">
        <w:tblPrEx>
          <w:tblCellMar>
            <w:top w:w="0" w:type="dxa"/>
            <w:left w:w="108" w:type="dxa"/>
            <w:bottom w:w="0" w:type="dxa"/>
            <w:right w:w="108" w:type="dxa"/>
          </w:tblCellMar>
        </w:tblPrEx>
        <w:trPr>
          <w:trHeight w:val="330" w:hRule="atLeast"/>
        </w:trPr>
        <w:tc>
          <w:tcPr>
            <w:tcW w:w="263" w:type="pct"/>
            <w:tcBorders>
              <w:top w:val="single" w:color="auto" w:sz="4" w:space="0"/>
              <w:left w:val="single" w:color="auto" w:sz="4" w:space="0"/>
              <w:bottom w:val="single" w:color="auto" w:sz="4" w:space="0"/>
              <w:right w:val="single" w:color="auto" w:sz="4" w:space="0"/>
            </w:tcBorders>
            <w:shd w:val="clear" w:color="auto" w:fill="auto"/>
            <w:vAlign w:val="center"/>
          </w:tcPr>
          <w:p w14:paraId="38F4DF55">
            <w:pPr>
              <w:widowControl/>
              <w:jc w:val="center"/>
              <w:rPr>
                <w:rFonts w:hint="eastAsia" w:ascii="宋体" w:hAnsi="宋体" w:eastAsia="宋体" w:cs="宋体"/>
                <w:b/>
                <w:bCs/>
                <w:color w:val="auto"/>
                <w:kern w:val="0"/>
                <w:sz w:val="22"/>
              </w:rPr>
            </w:pPr>
            <w:r>
              <w:rPr>
                <w:rFonts w:hint="eastAsia" w:ascii="宋体" w:hAnsi="宋体" w:eastAsia="宋体" w:cs="宋体"/>
                <w:b/>
                <w:bCs/>
                <w:color w:val="auto"/>
                <w:kern w:val="0"/>
                <w:sz w:val="22"/>
              </w:rPr>
              <w:t>序号</w:t>
            </w:r>
          </w:p>
        </w:tc>
        <w:tc>
          <w:tcPr>
            <w:tcW w:w="395" w:type="pct"/>
            <w:tcBorders>
              <w:top w:val="single" w:color="auto" w:sz="4" w:space="0"/>
              <w:left w:val="nil"/>
              <w:bottom w:val="single" w:color="auto" w:sz="4" w:space="0"/>
              <w:right w:val="single" w:color="auto" w:sz="4" w:space="0"/>
            </w:tcBorders>
            <w:shd w:val="clear" w:color="auto" w:fill="auto"/>
            <w:vAlign w:val="center"/>
          </w:tcPr>
          <w:p w14:paraId="04F47BD8">
            <w:pPr>
              <w:widowControl/>
              <w:jc w:val="center"/>
              <w:rPr>
                <w:rFonts w:hint="eastAsia" w:ascii="宋体" w:hAnsi="宋体" w:eastAsia="宋体" w:cs="宋体"/>
                <w:b/>
                <w:bCs/>
                <w:color w:val="auto"/>
                <w:kern w:val="0"/>
                <w:sz w:val="22"/>
              </w:rPr>
            </w:pPr>
            <w:r>
              <w:rPr>
                <w:rFonts w:hint="eastAsia" w:ascii="宋体" w:hAnsi="宋体" w:eastAsia="宋体" w:cs="宋体"/>
                <w:b/>
                <w:bCs/>
                <w:color w:val="auto"/>
                <w:kern w:val="0"/>
                <w:sz w:val="22"/>
              </w:rPr>
              <w:t>名称</w:t>
            </w:r>
          </w:p>
        </w:tc>
        <w:tc>
          <w:tcPr>
            <w:tcW w:w="3749" w:type="pct"/>
            <w:tcBorders>
              <w:top w:val="single" w:color="auto" w:sz="4" w:space="0"/>
              <w:left w:val="nil"/>
              <w:bottom w:val="single" w:color="auto" w:sz="4" w:space="0"/>
              <w:right w:val="single" w:color="auto" w:sz="4" w:space="0"/>
            </w:tcBorders>
            <w:shd w:val="clear" w:color="auto" w:fill="auto"/>
            <w:vAlign w:val="center"/>
          </w:tcPr>
          <w:p w14:paraId="43DA7D8E">
            <w:pPr>
              <w:widowControl/>
              <w:jc w:val="center"/>
              <w:rPr>
                <w:rFonts w:hint="eastAsia" w:ascii="宋体" w:hAnsi="宋体" w:eastAsia="宋体" w:cs="宋体"/>
                <w:b/>
                <w:bCs/>
                <w:color w:val="auto"/>
                <w:kern w:val="0"/>
                <w:sz w:val="22"/>
              </w:rPr>
            </w:pPr>
            <w:r>
              <w:rPr>
                <w:rFonts w:hint="eastAsia" w:ascii="宋体" w:hAnsi="宋体" w:eastAsia="宋体" w:cs="宋体"/>
                <w:b/>
                <w:bCs/>
                <w:color w:val="auto"/>
                <w:kern w:val="0"/>
                <w:sz w:val="22"/>
              </w:rPr>
              <w:t>描述</w:t>
            </w:r>
          </w:p>
        </w:tc>
        <w:tc>
          <w:tcPr>
            <w:tcW w:w="329" w:type="pct"/>
            <w:tcBorders>
              <w:top w:val="single" w:color="auto" w:sz="4" w:space="0"/>
              <w:left w:val="nil"/>
              <w:bottom w:val="single" w:color="auto" w:sz="4" w:space="0"/>
              <w:right w:val="single" w:color="auto" w:sz="4" w:space="0"/>
            </w:tcBorders>
            <w:shd w:val="clear" w:color="auto" w:fill="auto"/>
            <w:vAlign w:val="center"/>
          </w:tcPr>
          <w:p w14:paraId="405BA3B5">
            <w:pPr>
              <w:widowControl/>
              <w:jc w:val="center"/>
              <w:rPr>
                <w:rFonts w:hint="eastAsia" w:ascii="宋体" w:hAnsi="宋体" w:eastAsia="宋体" w:cs="宋体"/>
                <w:b/>
                <w:bCs/>
                <w:color w:val="auto"/>
                <w:kern w:val="0"/>
                <w:sz w:val="22"/>
              </w:rPr>
            </w:pPr>
            <w:r>
              <w:rPr>
                <w:rFonts w:hint="eastAsia" w:ascii="宋体" w:hAnsi="宋体" w:eastAsia="宋体" w:cs="宋体"/>
                <w:b/>
                <w:bCs/>
                <w:color w:val="auto"/>
                <w:kern w:val="0"/>
                <w:sz w:val="22"/>
              </w:rPr>
              <w:t>数量</w:t>
            </w:r>
          </w:p>
        </w:tc>
        <w:tc>
          <w:tcPr>
            <w:tcW w:w="263" w:type="pct"/>
            <w:tcBorders>
              <w:top w:val="single" w:color="auto" w:sz="4" w:space="0"/>
              <w:left w:val="nil"/>
              <w:bottom w:val="single" w:color="auto" w:sz="4" w:space="0"/>
              <w:right w:val="single" w:color="auto" w:sz="4" w:space="0"/>
            </w:tcBorders>
            <w:shd w:val="clear" w:color="auto" w:fill="auto"/>
            <w:vAlign w:val="center"/>
          </w:tcPr>
          <w:p w14:paraId="49383068">
            <w:pPr>
              <w:widowControl/>
              <w:jc w:val="center"/>
              <w:rPr>
                <w:rFonts w:hint="eastAsia" w:ascii="宋体" w:hAnsi="宋体" w:eastAsia="宋体" w:cs="宋体"/>
                <w:b/>
                <w:bCs/>
                <w:color w:val="auto"/>
                <w:kern w:val="0"/>
                <w:sz w:val="22"/>
              </w:rPr>
            </w:pPr>
            <w:r>
              <w:rPr>
                <w:rFonts w:hint="eastAsia" w:ascii="宋体" w:hAnsi="宋体" w:eastAsia="宋体" w:cs="宋体"/>
                <w:b/>
                <w:bCs/>
                <w:color w:val="auto"/>
                <w:kern w:val="0"/>
                <w:sz w:val="22"/>
              </w:rPr>
              <w:t>单位</w:t>
            </w:r>
          </w:p>
        </w:tc>
      </w:tr>
      <w:tr w14:paraId="292B1945">
        <w:tblPrEx>
          <w:tblCellMar>
            <w:top w:w="0" w:type="dxa"/>
            <w:left w:w="108" w:type="dxa"/>
            <w:bottom w:w="0" w:type="dxa"/>
            <w:right w:w="108" w:type="dxa"/>
          </w:tblCellMar>
        </w:tblPrEx>
        <w:trPr>
          <w:trHeight w:val="1266" w:hRule="atLeast"/>
        </w:trPr>
        <w:tc>
          <w:tcPr>
            <w:tcW w:w="263" w:type="pct"/>
            <w:tcBorders>
              <w:top w:val="nil"/>
              <w:left w:val="single" w:color="auto" w:sz="4" w:space="0"/>
              <w:bottom w:val="single" w:color="auto" w:sz="4" w:space="0"/>
              <w:right w:val="single" w:color="auto" w:sz="4" w:space="0"/>
            </w:tcBorders>
            <w:shd w:val="clear" w:color="auto" w:fill="auto"/>
            <w:vAlign w:val="center"/>
          </w:tcPr>
          <w:p w14:paraId="173DE811">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1</w:t>
            </w:r>
          </w:p>
        </w:tc>
        <w:tc>
          <w:tcPr>
            <w:tcW w:w="395" w:type="pct"/>
            <w:tcBorders>
              <w:top w:val="nil"/>
              <w:left w:val="nil"/>
              <w:bottom w:val="single" w:color="auto" w:sz="4" w:space="0"/>
              <w:right w:val="single" w:color="auto" w:sz="4" w:space="0"/>
            </w:tcBorders>
            <w:shd w:val="clear" w:color="auto" w:fill="auto"/>
            <w:vAlign w:val="center"/>
          </w:tcPr>
          <w:p w14:paraId="6C8A818B">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智慧云班牌显示终端（含班牌软件）</w:t>
            </w:r>
          </w:p>
        </w:tc>
        <w:tc>
          <w:tcPr>
            <w:tcW w:w="3749" w:type="pct"/>
            <w:tcBorders>
              <w:top w:val="nil"/>
              <w:left w:val="nil"/>
              <w:bottom w:val="single" w:color="auto" w:sz="4" w:space="0"/>
              <w:right w:val="single" w:color="auto" w:sz="4" w:space="0"/>
            </w:tcBorders>
            <w:shd w:val="clear" w:color="auto" w:fill="auto"/>
            <w:vAlign w:val="center"/>
          </w:tcPr>
          <w:p w14:paraId="72CC2EF6">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设备参数：</w:t>
            </w:r>
          </w:p>
          <w:p w14:paraId="44EFFECF">
            <w:pPr>
              <w:rPr>
                <w:rFonts w:hint="eastAsia" w:ascii="宋体" w:hAnsi="宋体" w:eastAsia="宋体" w:cs="宋体"/>
                <w:color w:val="auto"/>
                <w:kern w:val="0"/>
                <w:sz w:val="22"/>
              </w:rPr>
            </w:pPr>
            <w:r>
              <w:rPr>
                <w:rFonts w:hint="eastAsia" w:ascii="微软雅黑" w:hAnsi="微软雅黑" w:eastAsia="微软雅黑" w:cs="微软雅黑"/>
                <w:color w:val="auto"/>
                <w:kern w:val="0"/>
                <w:sz w:val="22"/>
              </w:rPr>
              <w:t>★</w:t>
            </w:r>
            <w:r>
              <w:rPr>
                <w:rFonts w:hint="eastAsia" w:ascii="宋体" w:hAnsi="宋体" w:eastAsia="宋体" w:cs="宋体"/>
                <w:color w:val="auto"/>
                <w:kern w:val="0"/>
                <w:sz w:val="22"/>
              </w:rPr>
              <w:t>1.采用21.5英寸横屏式电容显示屏，支持10点触控，屏幕分辨率≥1920*1080，显示比例16:9；屏幕亮度≥500cd/㎡。</w:t>
            </w:r>
          </w:p>
          <w:p w14:paraId="51D3EDC1">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2.屏体采用宽温液晶屏，屏体工作温度区间跨度不小于-10°C-80°C。</w:t>
            </w:r>
          </w:p>
          <w:p w14:paraId="27E83881">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3.整机采用防水防尘结构设计，适用于学校教室半户外环境，防护等级不低于IP65。</w:t>
            </w:r>
          </w:p>
          <w:p w14:paraId="54D6800B">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4.整机背部与墙面微距全贴合，背面与平整墙面间隙最大处≤2.5mm，保障教学环境的安全性。</w:t>
            </w:r>
          </w:p>
          <w:p w14:paraId="797A09DE">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5.整机最大厚度不大于30mm。</w:t>
            </w:r>
          </w:p>
          <w:p w14:paraId="5313FBCF">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6.整机正面覆盖钢化玻璃</w:t>
            </w:r>
          </w:p>
          <w:p w14:paraId="4EC4EAA7">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7.整机正面不采用贴膜方式具备防眩光功能</w:t>
            </w:r>
          </w:p>
          <w:p w14:paraId="20AA6E35">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8.可拍摄不低于200W像素的照片，支持不少于10人同时进行人脸识别。</w:t>
            </w:r>
          </w:p>
          <w:p w14:paraId="4B56954C">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9.整机在逆光（人像处于背景照度≥80000Lux）环境下距离≤0.5m可正常进行人脸识别。</w:t>
            </w:r>
          </w:p>
          <w:p w14:paraId="5685615B">
            <w:pPr>
              <w:widowControl/>
              <w:jc w:val="left"/>
              <w:rPr>
                <w:rFonts w:hint="eastAsia" w:ascii="宋体" w:hAnsi="宋体" w:eastAsia="宋体" w:cs="宋体"/>
                <w:color w:val="auto"/>
                <w:kern w:val="0"/>
                <w:sz w:val="22"/>
              </w:rPr>
            </w:pPr>
            <w:r>
              <w:rPr>
                <w:rFonts w:hint="eastAsia" w:ascii="微软雅黑" w:hAnsi="微软雅黑" w:eastAsia="微软雅黑" w:cs="微软雅黑"/>
                <w:color w:val="auto"/>
                <w:kern w:val="0"/>
                <w:sz w:val="22"/>
              </w:rPr>
              <w:t>★</w:t>
            </w:r>
            <w:r>
              <w:rPr>
                <w:rFonts w:hint="eastAsia" w:ascii="宋体" w:hAnsi="宋体" w:eastAsia="宋体" w:cs="宋体"/>
                <w:color w:val="auto"/>
                <w:kern w:val="0"/>
                <w:sz w:val="22"/>
              </w:rPr>
              <w:t>10.整机内置红外补光灯和双目摄像头，能同时打开彩色和黑白照片，具备活体检测功能。</w:t>
            </w:r>
          </w:p>
          <w:p w14:paraId="2D33C606">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11.内置高灵敏度的全向麦克风，拾音半径不小于0.5m。</w:t>
            </w:r>
          </w:p>
          <w:p w14:paraId="16DCCB86">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12.内置2.0立体声道功放。</w:t>
            </w:r>
          </w:p>
          <w:p w14:paraId="77573173">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13.刷卡器：具有内置IC卡刷卡器，支持14443协议。</w:t>
            </w:r>
          </w:p>
          <w:p w14:paraId="3FCFD7BC">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14.整机具备至少一路RJ45网络接口；具备不少于2路USB 2.0接口。</w:t>
            </w:r>
          </w:p>
          <w:p w14:paraId="1D373C22">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15.整机采用内置天线设计，无任何天线外露。</w:t>
            </w:r>
          </w:p>
          <w:p w14:paraId="3FF21D6E">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16.整机支持外接门禁控制。</w:t>
            </w:r>
          </w:p>
          <w:p w14:paraId="084A5ACC">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17.系统运行内存不低于2GB，存储容量不低于16GB；操作系统版本不低于Android 9.0。</w:t>
            </w:r>
          </w:p>
          <w:p w14:paraId="774BF429">
            <w:pPr>
              <w:widowControl/>
              <w:jc w:val="left"/>
              <w:rPr>
                <w:rFonts w:hint="eastAsia" w:ascii="宋体" w:hAnsi="宋体" w:eastAsia="宋体" w:cs="宋体"/>
                <w:color w:val="auto"/>
                <w:kern w:val="0"/>
                <w:sz w:val="22"/>
              </w:rPr>
            </w:pPr>
            <w:r>
              <w:rPr>
                <w:rFonts w:hint="eastAsia" w:ascii="微软雅黑" w:hAnsi="微软雅黑" w:eastAsia="微软雅黑" w:cs="微软雅黑"/>
                <w:color w:val="auto"/>
                <w:kern w:val="0"/>
                <w:sz w:val="22"/>
              </w:rPr>
              <w:t>★</w:t>
            </w:r>
            <w:r>
              <w:rPr>
                <w:rFonts w:hint="eastAsia" w:ascii="宋体" w:hAnsi="宋体" w:eastAsia="宋体" w:cs="宋体"/>
                <w:color w:val="auto"/>
                <w:kern w:val="0"/>
                <w:sz w:val="22"/>
              </w:rPr>
              <w:t>18.整机CPU≥4核，主频≥1.9GHz，操作系统版本不低于Android 9.0。</w:t>
            </w:r>
          </w:p>
          <w:p w14:paraId="5A777273">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19.整机电源采用插墙式电源适配器，适配器无需悬挂，线材上出。</w:t>
            </w:r>
          </w:p>
          <w:p w14:paraId="1E3FD33D">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20.支持远程开关机功能，远程唤醒待机功耗≤2W。</w:t>
            </w:r>
          </w:p>
          <w:p w14:paraId="71789BA4">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21.整机支持自动感光调节屏幕亮度。</w:t>
            </w:r>
          </w:p>
          <w:p w14:paraId="5EE82CF2">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软件参数：</w:t>
            </w:r>
          </w:p>
          <w:p w14:paraId="609B698E">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1．应用服务采用B/S架构设计，支持学校管理者在Windows、Linux、Android、IOS等多种不同的操作系统上通过网页浏览器登陆进行设备的管理操作。</w:t>
            </w:r>
          </w:p>
          <w:p w14:paraId="0A3FE2A1">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2．支持在设备端显示当前场地占用情况，包含课程、场地预约的占用信息。</w:t>
            </w:r>
          </w:p>
          <w:p w14:paraId="14898ECA">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3．支持在设备端显示该场地当天所有场地使用安排。</w:t>
            </w:r>
          </w:p>
          <w:p w14:paraId="51601DAF">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4．支持预约人和参会人在设备端进行场地签到；支持刷脸/刷卡/二维码方式签到。</w:t>
            </w:r>
          </w:p>
          <w:p w14:paraId="6690897D">
            <w:pPr>
              <w:widowControl/>
              <w:jc w:val="left"/>
              <w:rPr>
                <w:rFonts w:hint="eastAsia" w:ascii="宋体" w:hAnsi="宋体" w:eastAsia="宋体" w:cs="宋体"/>
                <w:color w:val="auto"/>
                <w:kern w:val="0"/>
                <w:sz w:val="22"/>
              </w:rPr>
            </w:pPr>
            <w:r>
              <w:rPr>
                <w:rFonts w:hint="eastAsia" w:ascii="微软雅黑" w:hAnsi="微软雅黑" w:eastAsia="微软雅黑" w:cs="微软雅黑"/>
                <w:color w:val="auto"/>
                <w:kern w:val="0"/>
                <w:sz w:val="22"/>
              </w:rPr>
              <w:t>★</w:t>
            </w:r>
            <w:r>
              <w:rPr>
                <w:rFonts w:hint="eastAsia" w:ascii="宋体" w:hAnsi="宋体" w:eastAsia="宋体" w:cs="宋体"/>
                <w:color w:val="auto"/>
                <w:kern w:val="0"/>
                <w:sz w:val="22"/>
              </w:rPr>
              <w:t>5．支持被授权人在设备端通过刷脸/刷卡/二维码方式完成鉴权后发送开门指令。</w:t>
            </w:r>
            <w:r>
              <w:rPr>
                <w:rFonts w:hint="eastAsia"/>
                <w:color w:val="auto"/>
              </w:rPr>
              <w:t>提供相关证明材料（包括检测报告或产品彩页或官网截图等）</w:t>
            </w:r>
          </w:p>
          <w:p w14:paraId="2CF87C22">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6．设备端支持根据后台发布的信息进行全屏展示，内容包括图片、视频、公告。</w:t>
            </w:r>
          </w:p>
          <w:p w14:paraId="4881BB70">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7．设备端支持接入教室空间内摄像头视频流，可通过终端实时查看教室内的影像，巡班老师不用进入教室，通过门口终端即可查看室内的教学情况。</w:t>
            </w:r>
          </w:p>
          <w:p w14:paraId="5E39665E">
            <w:pPr>
              <w:rPr>
                <w:rFonts w:hint="eastAsia" w:ascii="宋体" w:hAnsi="宋体" w:eastAsia="宋体" w:cs="宋体"/>
                <w:color w:val="auto"/>
                <w:kern w:val="0"/>
                <w:sz w:val="22"/>
              </w:rPr>
            </w:pPr>
            <w:r>
              <w:rPr>
                <w:rFonts w:hint="eastAsia" w:ascii="宋体" w:hAnsi="宋体" w:eastAsia="宋体" w:cs="宋体"/>
                <w:color w:val="auto"/>
                <w:kern w:val="0"/>
                <w:sz w:val="22"/>
              </w:rPr>
              <w:t>8．设备端涉及绑定场地、系统设置（网络设置、解绑场地）、重启设备的设置或操作时，均需进行用户身份二维码扫描认证。</w:t>
            </w:r>
            <w:r>
              <w:rPr>
                <w:rFonts w:hint="eastAsia"/>
                <w:color w:val="auto"/>
              </w:rPr>
              <w:t>提供相关证明材料（包括检测报告或产品彩页或官网截图等）</w:t>
            </w:r>
          </w:p>
          <w:p w14:paraId="3321E732">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9．设备端支持查看本机配置信息，包含版本号、设备序列号、IP地址、开关机时间。</w:t>
            </w:r>
          </w:p>
          <w:p w14:paraId="098BD05B">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10．在管理后台发布课程考勤后，支持刷脸/刷卡/二维码方式在设备端完成考勤签到。</w:t>
            </w:r>
          </w:p>
          <w:p w14:paraId="4DF4248A">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11．在设备端支持师生课程考勤，支持教师与学生同时进行考勤。</w:t>
            </w:r>
          </w:p>
          <w:p w14:paraId="617677D9">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12．设备端的人脸识别考勤功能支持离线识别，无网络环境下设备端仍可以进行人脸识别考勤。</w:t>
            </w:r>
          </w:p>
          <w:p w14:paraId="0CD8A233">
            <w:pPr>
              <w:widowControl/>
              <w:jc w:val="left"/>
              <w:rPr>
                <w:rFonts w:hint="eastAsia" w:ascii="宋体" w:hAnsi="宋体" w:eastAsia="宋体" w:cs="宋体"/>
                <w:color w:val="auto"/>
                <w:kern w:val="0"/>
                <w:sz w:val="22"/>
              </w:rPr>
            </w:pPr>
            <w:r>
              <w:rPr>
                <w:rFonts w:hint="eastAsia" w:ascii="微软雅黑" w:hAnsi="微软雅黑" w:eastAsia="微软雅黑" w:cs="微软雅黑"/>
                <w:color w:val="auto"/>
                <w:kern w:val="0"/>
                <w:sz w:val="22"/>
              </w:rPr>
              <w:t>★</w:t>
            </w:r>
            <w:r>
              <w:rPr>
                <w:rFonts w:hint="eastAsia" w:ascii="宋体" w:hAnsi="宋体" w:eastAsia="宋体" w:cs="宋体"/>
                <w:color w:val="auto"/>
                <w:kern w:val="0"/>
                <w:sz w:val="22"/>
              </w:rPr>
              <w:t>13.需与学校教务管理系统、智慧教学系统、学工管理系统实现功能和数据对接集成。</w:t>
            </w:r>
          </w:p>
        </w:tc>
        <w:tc>
          <w:tcPr>
            <w:tcW w:w="329" w:type="pct"/>
            <w:tcBorders>
              <w:top w:val="nil"/>
              <w:left w:val="nil"/>
              <w:bottom w:val="single" w:color="auto" w:sz="4" w:space="0"/>
              <w:right w:val="single" w:color="auto" w:sz="4" w:space="0"/>
            </w:tcBorders>
            <w:shd w:val="clear" w:color="auto" w:fill="auto"/>
            <w:vAlign w:val="center"/>
          </w:tcPr>
          <w:p w14:paraId="5E3A617D">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319</w:t>
            </w:r>
          </w:p>
        </w:tc>
        <w:tc>
          <w:tcPr>
            <w:tcW w:w="263" w:type="pct"/>
            <w:tcBorders>
              <w:top w:val="nil"/>
              <w:left w:val="nil"/>
              <w:bottom w:val="single" w:color="auto" w:sz="4" w:space="0"/>
              <w:right w:val="single" w:color="auto" w:sz="4" w:space="0"/>
            </w:tcBorders>
            <w:shd w:val="clear" w:color="auto" w:fill="auto"/>
            <w:vAlign w:val="center"/>
          </w:tcPr>
          <w:p w14:paraId="7DCD7635">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台</w:t>
            </w:r>
          </w:p>
        </w:tc>
      </w:tr>
      <w:tr w14:paraId="165F4DCD">
        <w:tblPrEx>
          <w:tblCellMar>
            <w:top w:w="0" w:type="dxa"/>
            <w:left w:w="108" w:type="dxa"/>
            <w:bottom w:w="0" w:type="dxa"/>
            <w:right w:w="108" w:type="dxa"/>
          </w:tblCellMar>
        </w:tblPrEx>
        <w:trPr>
          <w:trHeight w:val="370" w:hRule="atLeast"/>
        </w:trPr>
        <w:tc>
          <w:tcPr>
            <w:tcW w:w="263" w:type="pct"/>
            <w:tcBorders>
              <w:top w:val="nil"/>
              <w:left w:val="single" w:color="auto" w:sz="4" w:space="0"/>
              <w:bottom w:val="single" w:color="auto" w:sz="4" w:space="0"/>
              <w:right w:val="single" w:color="auto" w:sz="4" w:space="0"/>
            </w:tcBorders>
            <w:shd w:val="clear" w:color="auto" w:fill="auto"/>
            <w:vAlign w:val="center"/>
          </w:tcPr>
          <w:p w14:paraId="089BE10F">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2</w:t>
            </w:r>
          </w:p>
        </w:tc>
        <w:tc>
          <w:tcPr>
            <w:tcW w:w="395" w:type="pct"/>
            <w:tcBorders>
              <w:top w:val="nil"/>
              <w:left w:val="nil"/>
              <w:bottom w:val="single" w:color="auto" w:sz="4" w:space="0"/>
              <w:right w:val="single" w:color="auto" w:sz="4" w:space="0"/>
            </w:tcBorders>
            <w:shd w:val="clear" w:color="auto" w:fill="auto"/>
            <w:vAlign w:val="center"/>
          </w:tcPr>
          <w:p w14:paraId="2C85A902">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智慧校园云智管控系统</w:t>
            </w:r>
          </w:p>
        </w:tc>
        <w:tc>
          <w:tcPr>
            <w:tcW w:w="3749" w:type="pct"/>
            <w:tcBorders>
              <w:top w:val="nil"/>
              <w:left w:val="nil"/>
              <w:bottom w:val="single" w:color="auto" w:sz="4" w:space="0"/>
              <w:right w:val="single" w:color="auto" w:sz="4" w:space="0"/>
            </w:tcBorders>
            <w:shd w:val="clear" w:color="auto" w:fill="auto"/>
            <w:vAlign w:val="center"/>
          </w:tcPr>
          <w:p w14:paraId="45FC0D89">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1.支持在管理后台查看全校场地的占用情况。</w:t>
            </w:r>
          </w:p>
          <w:p w14:paraId="75707901">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2.支持在管理后台预约空闲的场地，预约后审核人可对预约信息审核。</w:t>
            </w:r>
          </w:p>
          <w:p w14:paraId="17F0202B">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3.支持预约人和参会人在管理后台查看预约信息，支持预约人编辑、取消预约，支持管理员在管理后台导出预约数据。</w:t>
            </w:r>
          </w:p>
          <w:p w14:paraId="32F4B89A">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4.支持在管理后台赋予指定人员指定场地的开门权限。</w:t>
            </w:r>
          </w:p>
          <w:p w14:paraId="67108772">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5.支持在管理后台控制设备发送开门指令，实现远程开门。</w:t>
            </w:r>
          </w:p>
          <w:p w14:paraId="6301CA4C">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6.支持在管理后台进行信息发布内容管理，可管理发布图片、视频、公告内容。</w:t>
            </w:r>
          </w:p>
          <w:p w14:paraId="72F5B6EF">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7.具备定向发布功能，支持在管理后台针对指定场地设备发布信息，支持图片、视频、公告信息内容。</w:t>
            </w:r>
          </w:p>
          <w:p w14:paraId="30C1728C">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8.系统提供基础信息库，支持管理员在管理后台设置包含教师、班级、学生、场地、一卡通数据，支持电子表格批量导入或手工导入。</w:t>
            </w:r>
          </w:p>
          <w:p w14:paraId="4FD7CB32">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9.支持多层级角色和权限管理，可以自定义用户角色及相关功能权限。</w:t>
            </w:r>
          </w:p>
          <w:p w14:paraId="2ECC74B3">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10.支持在管理后台查看设备的配置信息，包含版本号、设备序列号、IP地址、开关机时间。</w:t>
            </w:r>
          </w:p>
          <w:p w14:paraId="31F2D175">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11.支持在管理后台查看设备的开关机、联网情况的设备运行状态。</w:t>
            </w:r>
          </w:p>
          <w:p w14:paraId="52329FCB">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12.支持在管理后台远程对设备进行场地解绑、场地换绑、设备重启操作。</w:t>
            </w:r>
          </w:p>
          <w:p w14:paraId="499CA10A">
            <w:pPr>
              <w:rPr>
                <w:rFonts w:hint="eastAsia" w:ascii="宋体" w:hAnsi="宋体" w:eastAsia="宋体" w:cs="宋体"/>
                <w:color w:val="auto"/>
                <w:kern w:val="0"/>
                <w:sz w:val="22"/>
              </w:rPr>
            </w:pPr>
            <w:r>
              <w:rPr>
                <w:rFonts w:hint="eastAsia" w:ascii="宋体" w:hAnsi="宋体" w:eastAsia="宋体" w:cs="宋体"/>
                <w:color w:val="auto"/>
                <w:kern w:val="0"/>
                <w:sz w:val="22"/>
              </w:rPr>
              <w:t>13.系统支持设定设备端定时开关机管理策略，支持对设备端批量设置多组自动开关机时间策略，可实现设备端每天执行不同的开关机时间策略。</w:t>
            </w:r>
            <w:r>
              <w:rPr>
                <w:rFonts w:hint="eastAsia"/>
                <w:color w:val="auto"/>
              </w:rPr>
              <w:t>提供相关证明材料（包括检测报告或产品彩页或官网截图等）</w:t>
            </w:r>
          </w:p>
          <w:p w14:paraId="71CF1922">
            <w:pPr>
              <w:rPr>
                <w:rFonts w:hint="eastAsia" w:ascii="宋体" w:hAnsi="宋体" w:eastAsia="宋体" w:cs="宋体"/>
                <w:color w:val="auto"/>
                <w:kern w:val="0"/>
                <w:sz w:val="22"/>
              </w:rPr>
            </w:pPr>
            <w:r>
              <w:rPr>
                <w:rFonts w:hint="eastAsia" w:ascii="宋体" w:hAnsi="宋体" w:eastAsia="宋体" w:cs="宋体"/>
                <w:color w:val="auto"/>
                <w:kern w:val="0"/>
                <w:sz w:val="22"/>
              </w:rPr>
              <w:t>14.针对周末临时调课和节假日情况，支持在设备端开机且联网状态下设置临时开关机计划以满足学校灵活管理设备的需求。</w:t>
            </w:r>
            <w:r>
              <w:rPr>
                <w:rFonts w:hint="eastAsia"/>
                <w:color w:val="auto"/>
              </w:rPr>
              <w:t>提供相关证明材料（包括检测报告或产品彩页或官网截图等）</w:t>
            </w:r>
          </w:p>
          <w:p w14:paraId="4A0A1F9A">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15.支持在管理后台设置师生课程考勤规则，针对指定课程，可设置教师与学生同时进行考勤。</w:t>
            </w:r>
          </w:p>
          <w:p w14:paraId="2D996F4E">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16.支持在管理后台查看考勤结果，包括应到和缺卡统计汇总及明细，支持数据导出。</w:t>
            </w:r>
          </w:p>
          <w:p w14:paraId="790463C5">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17.支持在移动端查看全校场地的占用情况。</w:t>
            </w:r>
          </w:p>
          <w:p w14:paraId="1E8B319B">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18.支持在移动端预约空闲的场地，预约后审核人可在移动端对预约信息审核。</w:t>
            </w:r>
          </w:p>
          <w:p w14:paraId="4B326D13">
            <w:pPr>
              <w:rPr>
                <w:rFonts w:hint="eastAsia" w:ascii="宋体" w:hAnsi="宋体" w:eastAsia="宋体" w:cs="宋体"/>
                <w:color w:val="auto"/>
                <w:kern w:val="0"/>
                <w:sz w:val="22"/>
              </w:rPr>
            </w:pPr>
            <w:r>
              <w:rPr>
                <w:rFonts w:hint="eastAsia" w:ascii="宋体" w:hAnsi="宋体" w:eastAsia="宋体" w:cs="宋体"/>
                <w:color w:val="auto"/>
                <w:kern w:val="0"/>
                <w:sz w:val="22"/>
              </w:rPr>
              <w:t>19.支持预约人和参会人在移动端查看预约信息，支持预约人编辑、取消预约。</w:t>
            </w:r>
            <w:r>
              <w:rPr>
                <w:rFonts w:hint="eastAsia"/>
                <w:color w:val="auto"/>
              </w:rPr>
              <w:t>提供相关证明材料（包括检测报告或产品彩页或官网截图等）</w:t>
            </w:r>
          </w:p>
          <w:p w14:paraId="4E7E0229">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20.支持在移动端控制设备发送开门指令，实现远程开门。</w:t>
            </w:r>
          </w:p>
          <w:p w14:paraId="1684F7EA">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21.支持在移动端查看个人每日课程表，包含课程名称、课程时间、场地、任课老师信息。</w:t>
            </w:r>
          </w:p>
        </w:tc>
        <w:tc>
          <w:tcPr>
            <w:tcW w:w="329" w:type="pct"/>
            <w:tcBorders>
              <w:top w:val="nil"/>
              <w:left w:val="nil"/>
              <w:bottom w:val="single" w:color="auto" w:sz="4" w:space="0"/>
              <w:right w:val="single" w:color="auto" w:sz="4" w:space="0"/>
            </w:tcBorders>
            <w:shd w:val="clear" w:color="auto" w:fill="auto"/>
            <w:vAlign w:val="center"/>
          </w:tcPr>
          <w:p w14:paraId="5421982E">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1</w:t>
            </w:r>
          </w:p>
        </w:tc>
        <w:tc>
          <w:tcPr>
            <w:tcW w:w="263" w:type="pct"/>
            <w:tcBorders>
              <w:top w:val="nil"/>
              <w:left w:val="nil"/>
              <w:bottom w:val="single" w:color="auto" w:sz="4" w:space="0"/>
              <w:right w:val="single" w:color="auto" w:sz="4" w:space="0"/>
            </w:tcBorders>
            <w:shd w:val="clear" w:color="auto" w:fill="auto"/>
            <w:vAlign w:val="center"/>
          </w:tcPr>
          <w:p w14:paraId="5CE611D5">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套</w:t>
            </w:r>
          </w:p>
        </w:tc>
      </w:tr>
    </w:tbl>
    <w:p w14:paraId="6BB96176">
      <w:pPr>
        <w:spacing w:line="560" w:lineRule="exact"/>
        <w:ind w:firstLine="640" w:firstLineChars="200"/>
        <w:rPr>
          <w:rFonts w:hint="eastAsia" w:ascii="黑体" w:hAnsi="黑体" w:eastAsia="黑体"/>
          <w:color w:val="auto"/>
          <w:sz w:val="32"/>
          <w:szCs w:val="32"/>
        </w:rPr>
      </w:pPr>
      <w:r>
        <w:rPr>
          <w:rFonts w:hint="eastAsia" w:ascii="黑体" w:hAnsi="黑体" w:eastAsia="黑体"/>
          <w:color w:val="auto"/>
          <w:sz w:val="32"/>
          <w:szCs w:val="32"/>
        </w:rPr>
        <w:t>三、精品录播教室（4间）</w:t>
      </w:r>
    </w:p>
    <w:tbl>
      <w:tblPr>
        <w:tblStyle w:val="3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
        <w:gridCol w:w="1240"/>
        <w:gridCol w:w="6539"/>
        <w:gridCol w:w="616"/>
        <w:gridCol w:w="494"/>
      </w:tblGrid>
      <w:tr w14:paraId="7FC24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3" w:type="pct"/>
          </w:tcPr>
          <w:p w14:paraId="78C8993D">
            <w:pPr>
              <w:widowControl/>
              <w:jc w:val="center"/>
              <w:rPr>
                <w:rFonts w:hint="eastAsia" w:ascii="宋体" w:hAnsi="宋体" w:eastAsia="宋体" w:cs="宋体"/>
                <w:b/>
                <w:bCs/>
                <w:color w:val="auto"/>
                <w:kern w:val="0"/>
                <w:sz w:val="22"/>
              </w:rPr>
            </w:pPr>
            <w:r>
              <w:rPr>
                <w:rFonts w:hint="eastAsia" w:ascii="宋体" w:hAnsi="宋体" w:eastAsia="宋体" w:cs="宋体"/>
                <w:b/>
                <w:bCs/>
                <w:color w:val="auto"/>
                <w:kern w:val="0"/>
                <w:sz w:val="22"/>
              </w:rPr>
              <w:t>序号</w:t>
            </w:r>
          </w:p>
        </w:tc>
        <w:tc>
          <w:tcPr>
            <w:tcW w:w="661" w:type="pct"/>
          </w:tcPr>
          <w:p w14:paraId="695CA0E2">
            <w:pPr>
              <w:widowControl/>
              <w:jc w:val="center"/>
              <w:rPr>
                <w:rFonts w:hint="eastAsia" w:ascii="宋体" w:hAnsi="宋体" w:eastAsia="宋体" w:cs="宋体"/>
                <w:b/>
                <w:bCs/>
                <w:color w:val="auto"/>
                <w:kern w:val="0"/>
                <w:sz w:val="22"/>
              </w:rPr>
            </w:pPr>
            <w:r>
              <w:rPr>
                <w:rFonts w:hint="eastAsia" w:ascii="宋体" w:hAnsi="宋体" w:eastAsia="宋体" w:cs="宋体"/>
                <w:b/>
                <w:bCs/>
                <w:color w:val="auto"/>
                <w:kern w:val="0"/>
                <w:sz w:val="22"/>
              </w:rPr>
              <w:t>名称</w:t>
            </w:r>
          </w:p>
        </w:tc>
        <w:tc>
          <w:tcPr>
            <w:tcW w:w="3484" w:type="pct"/>
          </w:tcPr>
          <w:p w14:paraId="7380DB9F">
            <w:pPr>
              <w:widowControl/>
              <w:jc w:val="center"/>
              <w:rPr>
                <w:rFonts w:hint="eastAsia" w:ascii="宋体" w:hAnsi="宋体" w:eastAsia="宋体" w:cs="宋体"/>
                <w:b/>
                <w:bCs/>
                <w:color w:val="auto"/>
                <w:kern w:val="0"/>
                <w:sz w:val="22"/>
              </w:rPr>
            </w:pPr>
            <w:r>
              <w:rPr>
                <w:rFonts w:hint="eastAsia" w:ascii="宋体" w:hAnsi="宋体" w:eastAsia="宋体" w:cs="宋体"/>
                <w:b/>
                <w:bCs/>
                <w:color w:val="auto"/>
                <w:kern w:val="0"/>
                <w:sz w:val="22"/>
              </w:rPr>
              <w:t>描述</w:t>
            </w:r>
          </w:p>
        </w:tc>
        <w:tc>
          <w:tcPr>
            <w:tcW w:w="328" w:type="pct"/>
          </w:tcPr>
          <w:p w14:paraId="10680CDE">
            <w:pPr>
              <w:widowControl/>
              <w:jc w:val="center"/>
              <w:rPr>
                <w:rFonts w:hint="eastAsia" w:ascii="宋体" w:hAnsi="宋体" w:eastAsia="宋体" w:cs="宋体"/>
                <w:b/>
                <w:bCs/>
                <w:color w:val="auto"/>
                <w:kern w:val="0"/>
                <w:sz w:val="22"/>
              </w:rPr>
            </w:pPr>
            <w:r>
              <w:rPr>
                <w:rFonts w:hint="eastAsia" w:ascii="宋体" w:hAnsi="宋体" w:eastAsia="宋体" w:cs="宋体"/>
                <w:b/>
                <w:bCs/>
                <w:color w:val="auto"/>
                <w:kern w:val="0"/>
                <w:sz w:val="22"/>
              </w:rPr>
              <w:t>数量</w:t>
            </w:r>
          </w:p>
        </w:tc>
        <w:tc>
          <w:tcPr>
            <w:tcW w:w="263" w:type="pct"/>
          </w:tcPr>
          <w:p w14:paraId="0BCE1CC3">
            <w:pPr>
              <w:widowControl/>
              <w:jc w:val="center"/>
              <w:rPr>
                <w:rFonts w:hint="eastAsia" w:ascii="宋体" w:hAnsi="宋体" w:eastAsia="宋体" w:cs="宋体"/>
                <w:b/>
                <w:bCs/>
                <w:color w:val="auto"/>
                <w:kern w:val="0"/>
                <w:sz w:val="22"/>
              </w:rPr>
            </w:pPr>
            <w:r>
              <w:rPr>
                <w:rFonts w:hint="eastAsia" w:ascii="宋体" w:hAnsi="宋体" w:eastAsia="宋体" w:cs="宋体"/>
                <w:b/>
                <w:bCs/>
                <w:color w:val="auto"/>
                <w:kern w:val="0"/>
                <w:sz w:val="22"/>
              </w:rPr>
              <w:t>单位</w:t>
            </w:r>
          </w:p>
        </w:tc>
      </w:tr>
      <w:tr w14:paraId="657D8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trPr>
        <w:tc>
          <w:tcPr>
            <w:tcW w:w="263" w:type="pct"/>
            <w:vAlign w:val="center"/>
          </w:tcPr>
          <w:p w14:paraId="549D28B9">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1</w:t>
            </w:r>
          </w:p>
        </w:tc>
        <w:tc>
          <w:tcPr>
            <w:tcW w:w="661" w:type="pct"/>
            <w:vAlign w:val="center"/>
          </w:tcPr>
          <w:p w14:paraId="0FF1A39B">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一体机</w:t>
            </w:r>
          </w:p>
        </w:tc>
        <w:tc>
          <w:tcPr>
            <w:tcW w:w="3484" w:type="pct"/>
          </w:tcPr>
          <w:p w14:paraId="0B375414">
            <w:pPr>
              <w:widowControl/>
              <w:jc w:val="left"/>
              <w:rPr>
                <w:rFonts w:hint="eastAsia" w:ascii="宋体" w:hAnsi="宋体" w:eastAsia="宋体" w:cs="宋体"/>
                <w:color w:val="auto"/>
                <w:kern w:val="0"/>
                <w:sz w:val="22"/>
              </w:rPr>
            </w:pPr>
            <w:r>
              <w:rPr>
                <w:rFonts w:hint="eastAsia" w:ascii="微软雅黑" w:hAnsi="微软雅黑" w:eastAsia="微软雅黑" w:cs="微软雅黑"/>
                <w:color w:val="auto"/>
                <w:kern w:val="0"/>
                <w:sz w:val="22"/>
              </w:rPr>
              <w:t>★</w:t>
            </w:r>
            <w:r>
              <w:rPr>
                <w:rFonts w:hint="eastAsia" w:ascii="宋体" w:hAnsi="宋体" w:eastAsia="宋体" w:cs="宋体"/>
                <w:color w:val="auto"/>
                <w:kern w:val="0"/>
                <w:sz w:val="22"/>
              </w:rPr>
              <w:t>1.整机屏幕采用LED液晶显示屏,尺寸不小于86英寸，显示比例16:9，分辨率≥3840×2160。</w:t>
            </w:r>
          </w:p>
          <w:p w14:paraId="028217C3">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2.输入接口不少于1路HDMI、1路RS232、1路USB接口；输出接口不少于1路音频输出、1路触控USB输出；前置输入接口不少于1路Type-C、1路USB接口。</w:t>
            </w:r>
          </w:p>
          <w:p w14:paraId="73A6CC80">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3.嵌入式系统版本不低于Android 13。内存≥2GB。存储空间≥8GB。</w:t>
            </w:r>
          </w:p>
          <w:p w14:paraId="7AD1F112">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4.采用红外触控技术，支持Windows系统和Android系统中进行触控，触控点数≥25点。</w:t>
            </w:r>
          </w:p>
          <w:p w14:paraId="407B3C6E">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5.前置USB接口支持Android系统、Windows系统读取外接移动存储设备。</w:t>
            </w:r>
          </w:p>
          <w:p w14:paraId="59C6C72B">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6.整机内置不低于2.2声道扬声器，功率≥50W；</w:t>
            </w:r>
          </w:p>
          <w:p w14:paraId="53DD9D3D">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7.整机内置不少于8阵列麦克风，拾音距离≥10米。</w:t>
            </w:r>
          </w:p>
          <w:p w14:paraId="754C77E1">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8.整机背光系统支持DC调光。</w:t>
            </w:r>
          </w:p>
          <w:p w14:paraId="0E5A0A34">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9.整机支持蓝牙Bluetooth 5.4及以上标准。</w:t>
            </w:r>
          </w:p>
          <w:p w14:paraId="79107AF1">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10.整机内置双WiFi6无线网卡，无线设备连接数≥30个；</w:t>
            </w:r>
          </w:p>
          <w:p w14:paraId="04D30D22">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11.整机上边框内置非独立摄像头，可拍摄≥1300万像素数的照片，可拍摄输出4K分辨率的照片或视频。</w:t>
            </w:r>
          </w:p>
          <w:p w14:paraId="5D97CDA6">
            <w:pPr>
              <w:widowControl/>
              <w:jc w:val="left"/>
              <w:rPr>
                <w:rFonts w:hint="eastAsia" w:ascii="宋体" w:hAnsi="宋体" w:eastAsia="宋体" w:cs="宋体"/>
                <w:color w:val="auto"/>
                <w:kern w:val="0"/>
                <w:sz w:val="22"/>
              </w:rPr>
            </w:pPr>
            <w:r>
              <w:rPr>
                <w:rFonts w:hint="eastAsia" w:ascii="微软雅黑" w:hAnsi="微软雅黑" w:eastAsia="微软雅黑" w:cs="微软雅黑"/>
                <w:color w:val="auto"/>
                <w:kern w:val="0"/>
                <w:sz w:val="22"/>
              </w:rPr>
              <w:t>★</w:t>
            </w:r>
            <w:r>
              <w:rPr>
                <w:rFonts w:hint="eastAsia" w:ascii="宋体" w:hAnsi="宋体" w:eastAsia="宋体" w:cs="宋体"/>
                <w:color w:val="auto"/>
                <w:kern w:val="0"/>
                <w:sz w:val="22"/>
              </w:rPr>
              <w:t>12.</w:t>
            </w:r>
            <w:r>
              <w:rPr>
                <w:rFonts w:hint="eastAsia" w:ascii="宋体" w:hAnsi="宋体" w:eastAsia="宋体" w:cs="宋体"/>
                <w:color w:val="auto"/>
                <w:kern w:val="0"/>
                <w:sz w:val="22"/>
              </w:rPr>
              <w:tab/>
            </w:r>
            <w:r>
              <w:rPr>
                <w:rFonts w:hint="eastAsia" w:ascii="宋体" w:hAnsi="宋体" w:eastAsia="宋体" w:cs="宋体"/>
                <w:color w:val="auto"/>
                <w:kern w:val="0"/>
                <w:sz w:val="22"/>
              </w:rPr>
              <w:t>内置电脑配置：CPU≥12核，主频≥2.1GHz；独立显卡，显存≥4GB；内存≥16GB DDR4 ， SSD≥500GB。</w:t>
            </w:r>
          </w:p>
          <w:p w14:paraId="76539C00">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13.电脑模块具有独立非外拓展的视频输出接口，不少于1 路 HDMI；不少于3个USB3.0 接口。</w:t>
            </w:r>
          </w:p>
          <w:p w14:paraId="1C72511D">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14.电脑模块和整机的连接采用万兆级接口，传输速率≥10Gbps；和整机的连接接口针脚数≤40pin。</w:t>
            </w:r>
          </w:p>
          <w:p w14:paraId="23C67125">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15.双屏互动软件，</w:t>
            </w:r>
            <w:r>
              <w:rPr>
                <w:rFonts w:hint="eastAsia"/>
                <w:color w:val="auto"/>
              </w:rPr>
              <w:t>提供相关证明材料（包括检测报告或产品彩页或官网截图等）</w:t>
            </w:r>
          </w:p>
          <w:p w14:paraId="4037B939">
            <w:pPr>
              <w:widowControl/>
              <w:numPr>
                <w:ilvl w:val="0"/>
                <w:numId w:val="4"/>
              </w:numPr>
              <w:jc w:val="left"/>
              <w:rPr>
                <w:rFonts w:hint="eastAsia" w:ascii="宋体" w:hAnsi="宋体" w:eastAsia="宋体" w:cs="宋体"/>
                <w:color w:val="auto"/>
                <w:kern w:val="0"/>
                <w:sz w:val="22"/>
              </w:rPr>
            </w:pPr>
            <w:r>
              <w:rPr>
                <w:rFonts w:hint="eastAsia" w:ascii="宋体" w:hAnsi="宋体" w:eastAsia="宋体" w:cs="宋体"/>
                <w:color w:val="auto"/>
                <w:kern w:val="0"/>
                <w:sz w:val="22"/>
              </w:rPr>
              <w:t>双屏拓展：支持双屏设为拓展模式，两屏一体化展示一张无限画板，支持滑动画板实现板书和资源内容穿越屏幕展示；</w:t>
            </w:r>
          </w:p>
          <w:p w14:paraId="1E5264D5">
            <w:pPr>
              <w:widowControl/>
              <w:numPr>
                <w:ilvl w:val="0"/>
                <w:numId w:val="4"/>
              </w:numPr>
              <w:jc w:val="left"/>
              <w:rPr>
                <w:rFonts w:hint="eastAsia" w:ascii="宋体" w:hAnsi="宋体" w:eastAsia="宋体" w:cs="宋体"/>
                <w:color w:val="auto"/>
                <w:kern w:val="0"/>
                <w:sz w:val="22"/>
              </w:rPr>
            </w:pPr>
            <w:r>
              <w:rPr>
                <w:rFonts w:hint="eastAsia" w:ascii="宋体" w:hAnsi="宋体" w:eastAsia="宋体" w:cs="宋体"/>
                <w:color w:val="auto"/>
                <w:kern w:val="0"/>
                <w:sz w:val="22"/>
              </w:rPr>
              <w:t>双屏同屏：支持双屏设为复制模式，两屏同时显示同一画板内容，在一屏上的画板操作，另一屏实时同步；</w:t>
            </w:r>
          </w:p>
          <w:p w14:paraId="66264CCD">
            <w:pPr>
              <w:widowControl/>
              <w:numPr>
                <w:ilvl w:val="0"/>
                <w:numId w:val="4"/>
              </w:numPr>
              <w:jc w:val="left"/>
              <w:rPr>
                <w:rFonts w:hint="eastAsia" w:ascii="宋体" w:hAnsi="宋体" w:eastAsia="宋体" w:cs="宋体"/>
                <w:color w:val="auto"/>
                <w:kern w:val="0"/>
                <w:sz w:val="22"/>
              </w:rPr>
            </w:pPr>
            <w:r>
              <w:rPr>
                <w:rFonts w:hint="eastAsia" w:ascii="宋体" w:hAnsi="宋体" w:eastAsia="宋体" w:cs="宋体"/>
                <w:color w:val="auto"/>
                <w:kern w:val="0"/>
                <w:sz w:val="22"/>
              </w:rPr>
              <w:t>宽屏素材展示：支持在双屏画布上展示32:9比例的素材资源，支持通过画板移动缩放调整合适的演示尺寸，无需调整分辨率以及比例。</w:t>
            </w:r>
          </w:p>
          <w:p w14:paraId="381BD07C">
            <w:pPr>
              <w:widowControl/>
              <w:numPr>
                <w:ilvl w:val="0"/>
                <w:numId w:val="4"/>
              </w:numPr>
              <w:jc w:val="left"/>
              <w:rPr>
                <w:rFonts w:hint="eastAsia" w:ascii="宋体" w:hAnsi="宋体" w:eastAsia="宋体" w:cs="宋体"/>
                <w:color w:val="auto"/>
                <w:kern w:val="0"/>
                <w:sz w:val="22"/>
              </w:rPr>
            </w:pPr>
            <w:r>
              <w:rPr>
                <w:rFonts w:hint="eastAsia" w:ascii="宋体" w:hAnsi="宋体" w:eastAsia="宋体" w:cs="宋体"/>
                <w:color w:val="auto"/>
                <w:kern w:val="0"/>
                <w:sz w:val="22"/>
              </w:rPr>
              <w:t>课件上下页联动：支持双屏上下页联动放映演示页，一边屏幕放映当前演示页面，另外一边屏幕放映演示页另一页面，方便同时展示更多演示内容。</w:t>
            </w:r>
          </w:p>
          <w:p w14:paraId="79F2A76A">
            <w:pPr>
              <w:widowControl/>
              <w:numPr>
                <w:ilvl w:val="0"/>
                <w:numId w:val="4"/>
              </w:numPr>
              <w:jc w:val="left"/>
              <w:rPr>
                <w:rFonts w:hint="eastAsia" w:ascii="宋体" w:hAnsi="宋体" w:eastAsia="宋体" w:cs="宋体"/>
                <w:color w:val="auto"/>
                <w:kern w:val="0"/>
                <w:sz w:val="22"/>
              </w:rPr>
            </w:pPr>
            <w:r>
              <w:rPr>
                <w:rFonts w:hint="eastAsia" w:ascii="宋体" w:hAnsi="宋体" w:eastAsia="宋体" w:cs="宋体"/>
                <w:color w:val="auto"/>
                <w:kern w:val="0"/>
                <w:sz w:val="22"/>
              </w:rPr>
              <w:t>课件同步展示：支持双屏同步放映演示页同一页面，增加演示内容的可视角，让学生看得更加清楚。</w:t>
            </w:r>
          </w:p>
          <w:p w14:paraId="48BBE700">
            <w:pPr>
              <w:widowControl/>
              <w:numPr>
                <w:ilvl w:val="0"/>
                <w:numId w:val="4"/>
              </w:numPr>
              <w:jc w:val="left"/>
              <w:rPr>
                <w:rFonts w:hint="eastAsia" w:ascii="宋体" w:hAnsi="宋体" w:eastAsia="宋体" w:cs="宋体"/>
                <w:color w:val="auto"/>
                <w:kern w:val="0"/>
                <w:sz w:val="22"/>
              </w:rPr>
            </w:pPr>
            <w:r>
              <w:rPr>
                <w:rFonts w:hint="eastAsia" w:ascii="宋体" w:hAnsi="宋体" w:eastAsia="宋体" w:cs="宋体"/>
                <w:color w:val="auto"/>
                <w:kern w:val="0"/>
                <w:sz w:val="22"/>
              </w:rPr>
              <w:t>双线教学：支持在一边的屏幕上打开演示页，另一边的屏幕上打开画板，实现演示内容和板书同步展示。</w:t>
            </w:r>
          </w:p>
        </w:tc>
        <w:tc>
          <w:tcPr>
            <w:tcW w:w="328" w:type="pct"/>
            <w:vAlign w:val="center"/>
          </w:tcPr>
          <w:p w14:paraId="2D8007C8">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8</w:t>
            </w:r>
          </w:p>
        </w:tc>
        <w:tc>
          <w:tcPr>
            <w:tcW w:w="263" w:type="pct"/>
            <w:vAlign w:val="center"/>
          </w:tcPr>
          <w:p w14:paraId="1B1DE15C">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台</w:t>
            </w:r>
          </w:p>
        </w:tc>
      </w:tr>
      <w:tr w14:paraId="7E264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263" w:type="pct"/>
            <w:vAlign w:val="center"/>
          </w:tcPr>
          <w:p w14:paraId="32400CA6">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2</w:t>
            </w:r>
          </w:p>
        </w:tc>
        <w:tc>
          <w:tcPr>
            <w:tcW w:w="661" w:type="pct"/>
            <w:vAlign w:val="center"/>
          </w:tcPr>
          <w:p w14:paraId="08B41CD5">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一体机（带支架）</w:t>
            </w:r>
          </w:p>
        </w:tc>
        <w:tc>
          <w:tcPr>
            <w:tcW w:w="3484" w:type="pct"/>
          </w:tcPr>
          <w:p w14:paraId="2B954D47">
            <w:pPr>
              <w:widowControl/>
              <w:jc w:val="left"/>
              <w:rPr>
                <w:rFonts w:hint="eastAsia" w:ascii="宋体" w:hAnsi="宋体" w:eastAsia="宋体" w:cs="宋体"/>
                <w:color w:val="auto"/>
                <w:kern w:val="0"/>
                <w:sz w:val="22"/>
              </w:rPr>
            </w:pPr>
            <w:r>
              <w:rPr>
                <w:rFonts w:hint="eastAsia" w:ascii="微软雅黑" w:hAnsi="微软雅黑" w:eastAsia="微软雅黑" w:cs="微软雅黑"/>
                <w:color w:val="auto"/>
                <w:kern w:val="0"/>
                <w:sz w:val="22"/>
              </w:rPr>
              <w:t>★</w:t>
            </w:r>
            <w:r>
              <w:rPr>
                <w:rFonts w:hint="eastAsia" w:ascii="宋体" w:hAnsi="宋体" w:eastAsia="宋体" w:cs="宋体"/>
                <w:color w:val="auto"/>
                <w:kern w:val="0"/>
                <w:sz w:val="22"/>
              </w:rPr>
              <w:t>1.整机屏幕采用LED液晶显示屏,尺寸不小于75英寸，显示比例16:9，分辨率≥3840×2160。</w:t>
            </w:r>
          </w:p>
          <w:p w14:paraId="521D4DFA">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2.输入接口不少于1路HDMI、1路RS232、1路USB接口；输出接口不少于1路音频输出、1路触控USB输出；前置输入接口不少于1路Type-C、1路USB接口。</w:t>
            </w:r>
          </w:p>
          <w:p w14:paraId="44BAC717">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3.嵌入式系统版本不低于Android 13。内存≥2GB。存储空间≥8GB。</w:t>
            </w:r>
          </w:p>
          <w:p w14:paraId="4DDAAF53">
            <w:pPr>
              <w:rPr>
                <w:rFonts w:hint="eastAsia" w:ascii="宋体" w:hAnsi="宋体" w:eastAsia="宋体" w:cs="宋体"/>
                <w:color w:val="auto"/>
                <w:kern w:val="0"/>
                <w:sz w:val="22"/>
              </w:rPr>
            </w:pPr>
            <w:r>
              <w:rPr>
                <w:rFonts w:hint="eastAsia" w:ascii="宋体" w:hAnsi="宋体" w:eastAsia="宋体" w:cs="宋体"/>
                <w:color w:val="auto"/>
                <w:kern w:val="0"/>
                <w:sz w:val="22"/>
              </w:rPr>
              <w:t>4.采用红外触控技术，支持Windows系统和Android系统中进行触控，触控点数≥25点。</w:t>
            </w:r>
            <w:r>
              <w:rPr>
                <w:rFonts w:hint="eastAsia"/>
                <w:color w:val="auto"/>
              </w:rPr>
              <w:t>提供相关证明材料（包括检测报告或产品彩页或官网截图等）</w:t>
            </w:r>
          </w:p>
          <w:p w14:paraId="2C1DAD51">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5.前置USB接口支持Android系统、Windows系统读取外接移动存储设备。</w:t>
            </w:r>
          </w:p>
          <w:p w14:paraId="55718F4A">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6.整机内置不低于2.2声道扬声器，功率≥50W；</w:t>
            </w:r>
          </w:p>
          <w:p w14:paraId="42AB3B3A">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7.整机内置不少于8阵列麦克风，拾音距离≥10米。</w:t>
            </w:r>
          </w:p>
          <w:p w14:paraId="59B917FF">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8.整机背光系统支持DC调光。</w:t>
            </w:r>
          </w:p>
          <w:p w14:paraId="1F99BA59">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9.整机支持蓝牙Bluetooth 5.4及以上标准。</w:t>
            </w:r>
          </w:p>
          <w:p w14:paraId="186A4D5E">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10.整机内置双WiFi6无线网卡，无线设备连接数≥30个；</w:t>
            </w:r>
          </w:p>
          <w:p w14:paraId="2932B97B">
            <w:pPr>
              <w:rPr>
                <w:rFonts w:hint="eastAsia" w:ascii="宋体" w:hAnsi="宋体" w:eastAsia="宋体" w:cs="宋体"/>
                <w:color w:val="auto"/>
                <w:kern w:val="0"/>
                <w:sz w:val="22"/>
              </w:rPr>
            </w:pPr>
            <w:r>
              <w:rPr>
                <w:rFonts w:hint="eastAsia" w:ascii="宋体" w:hAnsi="宋体" w:eastAsia="宋体" w:cs="宋体"/>
                <w:color w:val="auto"/>
                <w:kern w:val="0"/>
                <w:sz w:val="22"/>
              </w:rPr>
              <w:t>11.整机上边框内置非独立摄像头，可拍摄≥1300万像素数的照片，可拍摄输出4K分辨率的照片或视频。</w:t>
            </w:r>
            <w:r>
              <w:rPr>
                <w:rFonts w:hint="eastAsia"/>
                <w:color w:val="auto"/>
              </w:rPr>
              <w:t>提供相关证明材料（包括检测报告或产品彩页或官网截图等）</w:t>
            </w:r>
          </w:p>
          <w:p w14:paraId="585787E8">
            <w:pPr>
              <w:widowControl/>
              <w:jc w:val="left"/>
              <w:rPr>
                <w:rFonts w:hint="eastAsia" w:ascii="宋体" w:hAnsi="宋体" w:eastAsia="宋体" w:cs="宋体"/>
                <w:color w:val="auto"/>
                <w:kern w:val="0"/>
                <w:sz w:val="22"/>
              </w:rPr>
            </w:pPr>
            <w:r>
              <w:rPr>
                <w:rFonts w:hint="eastAsia" w:ascii="微软雅黑" w:hAnsi="微软雅黑" w:eastAsia="微软雅黑" w:cs="微软雅黑"/>
                <w:color w:val="auto"/>
                <w:kern w:val="0"/>
                <w:sz w:val="22"/>
              </w:rPr>
              <w:t>★</w:t>
            </w:r>
            <w:r>
              <w:rPr>
                <w:rFonts w:hint="eastAsia" w:ascii="宋体" w:hAnsi="宋体" w:eastAsia="宋体" w:cs="宋体"/>
                <w:color w:val="auto"/>
                <w:kern w:val="0"/>
                <w:sz w:val="22"/>
              </w:rPr>
              <w:t>12.</w:t>
            </w:r>
            <w:r>
              <w:rPr>
                <w:rFonts w:hint="eastAsia" w:ascii="宋体" w:hAnsi="宋体" w:eastAsia="宋体" w:cs="宋体"/>
                <w:color w:val="auto"/>
                <w:kern w:val="0"/>
                <w:sz w:val="22"/>
              </w:rPr>
              <w:tab/>
            </w:r>
            <w:r>
              <w:rPr>
                <w:rFonts w:hint="eastAsia" w:ascii="宋体" w:hAnsi="宋体" w:eastAsia="宋体" w:cs="宋体"/>
                <w:color w:val="auto"/>
                <w:kern w:val="0"/>
                <w:sz w:val="22"/>
              </w:rPr>
              <w:t>内置电脑配置：CPU≥12核，主频≥2.1GHz；独立显卡，显存≥4GB；内存≥16GB DDR4，SSD≥500GB。</w:t>
            </w:r>
          </w:p>
          <w:p w14:paraId="53B67B14">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13.电脑模块具有独立非外拓展的视频输出接口，不少于1 路 HDMI；不少于3个USB3.0 接口。</w:t>
            </w:r>
          </w:p>
          <w:p w14:paraId="6F1BCA58">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14.电脑模块和整机的连接采用万兆级接口，传输速率≥10Gbps。</w:t>
            </w:r>
          </w:p>
          <w:p w14:paraId="1DFE02E8">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15.配金属移动支架。</w:t>
            </w:r>
          </w:p>
          <w:p w14:paraId="2DF3BE6B">
            <w:pPr>
              <w:rPr>
                <w:rFonts w:hint="eastAsia" w:ascii="宋体" w:hAnsi="宋体" w:eastAsia="宋体" w:cs="宋体"/>
                <w:color w:val="auto"/>
                <w:kern w:val="0"/>
                <w:sz w:val="22"/>
              </w:rPr>
            </w:pPr>
            <w:r>
              <w:rPr>
                <w:rFonts w:hint="eastAsia" w:ascii="宋体" w:hAnsi="宋体" w:eastAsia="宋体" w:cs="宋体"/>
                <w:color w:val="auto"/>
                <w:kern w:val="0"/>
                <w:sz w:val="22"/>
              </w:rPr>
              <w:t>16.多屏互动研讨软件，</w:t>
            </w:r>
            <w:r>
              <w:rPr>
                <w:rFonts w:hint="eastAsia"/>
                <w:color w:val="auto"/>
              </w:rPr>
              <w:t>提供相关证明材料（包括检测报告或产品彩页或官网截图等）：</w:t>
            </w:r>
          </w:p>
          <w:p w14:paraId="28606C5E">
            <w:pPr>
              <w:widowControl/>
              <w:numPr>
                <w:ilvl w:val="0"/>
                <w:numId w:val="5"/>
              </w:numPr>
              <w:jc w:val="left"/>
              <w:rPr>
                <w:rFonts w:hint="eastAsia" w:ascii="宋体" w:hAnsi="宋体" w:eastAsia="宋体" w:cs="宋体"/>
                <w:color w:val="auto"/>
                <w:kern w:val="0"/>
                <w:sz w:val="22"/>
              </w:rPr>
            </w:pPr>
            <w:r>
              <w:rPr>
                <w:rFonts w:hint="eastAsia" w:ascii="宋体" w:hAnsi="宋体" w:eastAsia="宋体" w:cs="宋体"/>
                <w:color w:val="auto"/>
                <w:kern w:val="0"/>
                <w:sz w:val="22"/>
              </w:rPr>
              <w:t>小组研讨空间：支持教师端发起分组研讨活动，给每个小组端创建独立的研讨空间，各小组的研讨协作内容互不干扰；</w:t>
            </w:r>
          </w:p>
          <w:p w14:paraId="31064EB7">
            <w:pPr>
              <w:widowControl/>
              <w:numPr>
                <w:ilvl w:val="0"/>
                <w:numId w:val="5"/>
              </w:numPr>
              <w:jc w:val="left"/>
              <w:rPr>
                <w:rFonts w:hint="eastAsia" w:ascii="宋体" w:hAnsi="宋体" w:eastAsia="宋体" w:cs="宋体"/>
                <w:color w:val="auto"/>
                <w:kern w:val="0"/>
                <w:sz w:val="22"/>
              </w:rPr>
            </w:pPr>
            <w:r>
              <w:rPr>
                <w:rFonts w:hint="eastAsia" w:ascii="宋体" w:hAnsi="宋体" w:eastAsia="宋体" w:cs="宋体"/>
                <w:color w:val="auto"/>
                <w:kern w:val="0"/>
                <w:sz w:val="22"/>
              </w:rPr>
              <w:t>研讨内容查看：支持教师端在统一界面上同时预览各小组研讨内容，预览画面自动更新；支持教师端进入小组研讨空间实时查看内容，支持切换查看不同小组研讨空间，方便教师即时指导；</w:t>
            </w:r>
          </w:p>
          <w:p w14:paraId="140ADD80">
            <w:pPr>
              <w:widowControl/>
              <w:numPr>
                <w:ilvl w:val="0"/>
                <w:numId w:val="5"/>
              </w:numPr>
              <w:jc w:val="left"/>
              <w:rPr>
                <w:rFonts w:hint="eastAsia" w:ascii="宋体" w:hAnsi="宋体" w:eastAsia="宋体" w:cs="宋体"/>
                <w:color w:val="auto"/>
                <w:kern w:val="0"/>
                <w:sz w:val="22"/>
              </w:rPr>
            </w:pPr>
            <w:r>
              <w:rPr>
                <w:rFonts w:hint="eastAsia" w:ascii="宋体" w:hAnsi="宋体" w:eastAsia="宋体" w:cs="宋体"/>
                <w:color w:val="auto"/>
                <w:kern w:val="0"/>
                <w:sz w:val="22"/>
              </w:rPr>
              <w:t>研讨进度查看：支持教师端查看研讨已进行时间，小组研讨状态；小组端可点击完成研讨，告知教师完成状态；</w:t>
            </w:r>
          </w:p>
          <w:p w14:paraId="5BB4F8C4">
            <w:pPr>
              <w:widowControl/>
              <w:numPr>
                <w:ilvl w:val="0"/>
                <w:numId w:val="5"/>
              </w:numPr>
              <w:jc w:val="left"/>
              <w:rPr>
                <w:rFonts w:hint="eastAsia" w:ascii="宋体" w:hAnsi="宋体" w:eastAsia="宋体" w:cs="宋体"/>
                <w:color w:val="auto"/>
                <w:kern w:val="0"/>
                <w:sz w:val="22"/>
              </w:rPr>
            </w:pPr>
            <w:r>
              <w:rPr>
                <w:rFonts w:hint="eastAsia" w:ascii="宋体" w:hAnsi="宋体" w:eastAsia="宋体" w:cs="宋体"/>
                <w:color w:val="auto"/>
                <w:kern w:val="0"/>
                <w:sz w:val="22"/>
              </w:rPr>
              <w:t>研讨成果留存：小组研讨成果可保留在教学空间中，教师和学生在课后可通过一体机、PC、手机端继续查看和编辑；</w:t>
            </w:r>
          </w:p>
          <w:p w14:paraId="74E9221E">
            <w:pPr>
              <w:widowControl/>
              <w:numPr>
                <w:ilvl w:val="0"/>
                <w:numId w:val="5"/>
              </w:numPr>
              <w:jc w:val="left"/>
              <w:rPr>
                <w:rFonts w:hint="eastAsia" w:ascii="宋体" w:hAnsi="宋体" w:eastAsia="宋体" w:cs="宋体"/>
                <w:color w:val="auto"/>
                <w:kern w:val="0"/>
                <w:sz w:val="22"/>
              </w:rPr>
            </w:pPr>
            <w:r>
              <w:rPr>
                <w:rFonts w:hint="eastAsia" w:ascii="宋体" w:hAnsi="宋体" w:eastAsia="宋体" w:cs="宋体"/>
                <w:color w:val="auto"/>
                <w:kern w:val="0"/>
                <w:sz w:val="22"/>
              </w:rPr>
              <w:t>教师同步画面：小组端连接教师端后，同步教师端空间画面，无需学生操作即可自动跟随教师端的板书或演示内容，满足同教室内各小组学生同步听讲；</w:t>
            </w:r>
          </w:p>
          <w:p w14:paraId="5CE73DA2">
            <w:pPr>
              <w:widowControl/>
              <w:numPr>
                <w:ilvl w:val="0"/>
                <w:numId w:val="5"/>
              </w:numPr>
              <w:jc w:val="left"/>
              <w:rPr>
                <w:rFonts w:hint="eastAsia" w:ascii="宋体" w:hAnsi="宋体" w:eastAsia="宋体" w:cs="宋体"/>
                <w:color w:val="auto"/>
                <w:kern w:val="0"/>
                <w:sz w:val="22"/>
              </w:rPr>
            </w:pPr>
            <w:r>
              <w:rPr>
                <w:rFonts w:hint="eastAsia" w:ascii="宋体" w:hAnsi="宋体" w:eastAsia="宋体" w:cs="宋体"/>
                <w:color w:val="auto"/>
                <w:kern w:val="0"/>
                <w:sz w:val="22"/>
              </w:rPr>
              <w:t>研讨创作工具：研讨空间内提供多种创作工具，满足学生多样研讨创作需求；</w:t>
            </w:r>
          </w:p>
          <w:p w14:paraId="141D3824">
            <w:pPr>
              <w:widowControl/>
              <w:numPr>
                <w:ilvl w:val="0"/>
                <w:numId w:val="5"/>
              </w:numPr>
              <w:jc w:val="left"/>
              <w:rPr>
                <w:rFonts w:hint="eastAsia" w:ascii="宋体" w:hAnsi="宋体" w:eastAsia="宋体" w:cs="宋体"/>
                <w:color w:val="auto"/>
                <w:kern w:val="0"/>
                <w:sz w:val="22"/>
              </w:rPr>
            </w:pPr>
            <w:r>
              <w:rPr>
                <w:rFonts w:hint="eastAsia" w:ascii="宋体" w:hAnsi="宋体" w:eastAsia="宋体" w:cs="宋体"/>
                <w:color w:val="auto"/>
                <w:kern w:val="0"/>
                <w:sz w:val="22"/>
              </w:rPr>
              <w:t>多端协同研讨：支持学生通过小组端、PC、手机端加入同一研讨空间，加入后可实时协同创作。</w:t>
            </w:r>
          </w:p>
          <w:p w14:paraId="5E7B4DAF">
            <w:pPr>
              <w:widowControl/>
              <w:numPr>
                <w:ilvl w:val="0"/>
                <w:numId w:val="5"/>
              </w:numPr>
              <w:jc w:val="left"/>
              <w:rPr>
                <w:rFonts w:hint="eastAsia" w:ascii="宋体" w:hAnsi="宋体" w:eastAsia="宋体" w:cs="宋体"/>
                <w:color w:val="auto"/>
                <w:kern w:val="0"/>
                <w:sz w:val="22"/>
              </w:rPr>
            </w:pPr>
            <w:r>
              <w:rPr>
                <w:rFonts w:hint="eastAsia" w:ascii="宋体" w:hAnsi="宋体" w:eastAsia="宋体" w:cs="宋体"/>
                <w:color w:val="auto"/>
                <w:kern w:val="0"/>
                <w:sz w:val="22"/>
              </w:rPr>
              <w:t>远程研讨互动：支持在研讨空间内开启音视频互动，仅限同一研讨空间的学生和老师加入，各组间互不影响，满足小组成员远程互动交流；</w:t>
            </w:r>
          </w:p>
          <w:p w14:paraId="7D569633">
            <w:pPr>
              <w:widowControl/>
              <w:numPr>
                <w:ilvl w:val="0"/>
                <w:numId w:val="5"/>
              </w:numPr>
              <w:jc w:val="left"/>
              <w:rPr>
                <w:rFonts w:hint="eastAsia" w:ascii="宋体" w:hAnsi="宋体" w:eastAsia="宋体" w:cs="宋体"/>
                <w:color w:val="auto"/>
                <w:kern w:val="0"/>
                <w:sz w:val="22"/>
              </w:rPr>
            </w:pPr>
            <w:r>
              <w:rPr>
                <w:rFonts w:hint="eastAsia" w:ascii="宋体" w:hAnsi="宋体" w:eastAsia="宋体" w:cs="宋体"/>
                <w:color w:val="auto"/>
                <w:kern w:val="0"/>
                <w:sz w:val="22"/>
              </w:rPr>
              <w:t>研讨成果交流：教师端结束研讨后，小组端和成员将退出研讨空间，可互相查看各自的研讨成果，发起视角跟随，学生进行演示分享。</w:t>
            </w:r>
          </w:p>
        </w:tc>
        <w:tc>
          <w:tcPr>
            <w:tcW w:w="328" w:type="pct"/>
            <w:vAlign w:val="center"/>
          </w:tcPr>
          <w:p w14:paraId="59BDC2E1">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16</w:t>
            </w:r>
          </w:p>
        </w:tc>
        <w:tc>
          <w:tcPr>
            <w:tcW w:w="263" w:type="pct"/>
            <w:vAlign w:val="center"/>
          </w:tcPr>
          <w:p w14:paraId="4D92D994">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台</w:t>
            </w:r>
          </w:p>
        </w:tc>
      </w:tr>
      <w:tr w14:paraId="3F389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trPr>
        <w:tc>
          <w:tcPr>
            <w:tcW w:w="263" w:type="pct"/>
            <w:vAlign w:val="center"/>
          </w:tcPr>
          <w:p w14:paraId="59936AF6">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3</w:t>
            </w:r>
          </w:p>
        </w:tc>
        <w:tc>
          <w:tcPr>
            <w:tcW w:w="661" w:type="pct"/>
            <w:vAlign w:val="center"/>
          </w:tcPr>
          <w:p w14:paraId="6DF46D7E">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显示器</w:t>
            </w:r>
          </w:p>
        </w:tc>
        <w:tc>
          <w:tcPr>
            <w:tcW w:w="3484" w:type="pct"/>
          </w:tcPr>
          <w:p w14:paraId="31407F06">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1.技术指标及参数要求：</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1) LED 显示器，屏幕尺寸≥21.5 英寸。分辨率≥1920x1080，屏幕比例：16：9。</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2) 可视角度（H/V）≥178°,刷新率≥100Hz;色域覆盖率≥85%。</w:t>
            </w:r>
          </w:p>
          <w:p w14:paraId="2D58CC8B">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3）视频接口：VGA，HDMI。支持标准壁挂接口。</w:t>
            </w:r>
          </w:p>
          <w:p w14:paraId="2F9697BB">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4）显示器具备不少于四种显示模式。</w:t>
            </w:r>
          </w:p>
        </w:tc>
        <w:tc>
          <w:tcPr>
            <w:tcW w:w="328" w:type="pct"/>
            <w:vAlign w:val="center"/>
          </w:tcPr>
          <w:p w14:paraId="68150B87">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4</w:t>
            </w:r>
          </w:p>
        </w:tc>
        <w:tc>
          <w:tcPr>
            <w:tcW w:w="263" w:type="pct"/>
            <w:vAlign w:val="center"/>
          </w:tcPr>
          <w:p w14:paraId="225503A3">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台</w:t>
            </w:r>
          </w:p>
        </w:tc>
      </w:tr>
      <w:tr w14:paraId="3EC77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263" w:type="pct"/>
            <w:vAlign w:val="center"/>
          </w:tcPr>
          <w:p w14:paraId="674BFB7E">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4</w:t>
            </w:r>
          </w:p>
        </w:tc>
        <w:tc>
          <w:tcPr>
            <w:tcW w:w="661" w:type="pct"/>
            <w:vAlign w:val="center"/>
          </w:tcPr>
          <w:p w14:paraId="7F63A6D3">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键盘鼠标</w:t>
            </w:r>
          </w:p>
        </w:tc>
        <w:tc>
          <w:tcPr>
            <w:tcW w:w="3484" w:type="pct"/>
          </w:tcPr>
          <w:p w14:paraId="26D395D1">
            <w:pPr>
              <w:widowControl/>
              <w:numPr>
                <w:ilvl w:val="0"/>
                <w:numId w:val="6"/>
              </w:numPr>
              <w:jc w:val="left"/>
              <w:rPr>
                <w:rFonts w:hint="eastAsia" w:ascii="宋体" w:hAnsi="宋体" w:eastAsia="宋体" w:cs="宋体"/>
                <w:color w:val="auto"/>
                <w:kern w:val="0"/>
                <w:sz w:val="22"/>
              </w:rPr>
            </w:pPr>
            <w:r>
              <w:rPr>
                <w:rFonts w:hint="eastAsia" w:ascii="宋体" w:hAnsi="宋体" w:eastAsia="宋体" w:cs="宋体"/>
                <w:color w:val="auto"/>
                <w:kern w:val="0"/>
                <w:sz w:val="22"/>
              </w:rPr>
              <w:t>技术指标及参数要求：</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1）键盘≥104键位。</w:t>
            </w:r>
          </w:p>
          <w:p w14:paraId="53A12191">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2）有线键盘和鼠标。</w:t>
            </w:r>
          </w:p>
        </w:tc>
        <w:tc>
          <w:tcPr>
            <w:tcW w:w="328" w:type="pct"/>
            <w:vAlign w:val="center"/>
          </w:tcPr>
          <w:p w14:paraId="14461F1E">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4</w:t>
            </w:r>
          </w:p>
        </w:tc>
        <w:tc>
          <w:tcPr>
            <w:tcW w:w="263" w:type="pct"/>
            <w:vAlign w:val="center"/>
          </w:tcPr>
          <w:p w14:paraId="239D5CE7">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台</w:t>
            </w:r>
          </w:p>
        </w:tc>
      </w:tr>
      <w:tr w14:paraId="0BB93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0" w:hRule="atLeast"/>
        </w:trPr>
        <w:tc>
          <w:tcPr>
            <w:tcW w:w="263" w:type="pct"/>
            <w:vAlign w:val="center"/>
          </w:tcPr>
          <w:p w14:paraId="74802C6A">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5</w:t>
            </w:r>
          </w:p>
        </w:tc>
        <w:tc>
          <w:tcPr>
            <w:tcW w:w="661" w:type="pct"/>
            <w:vAlign w:val="center"/>
          </w:tcPr>
          <w:p w14:paraId="20B2A2C8">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智能融合终端</w:t>
            </w:r>
          </w:p>
        </w:tc>
        <w:tc>
          <w:tcPr>
            <w:tcW w:w="3484" w:type="pct"/>
            <w:vAlign w:val="center"/>
          </w:tcPr>
          <w:p w14:paraId="42E21E1C">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1.机柜式终端，标准机架式设计,主机不大于2U。</w:t>
            </w:r>
          </w:p>
          <w:p w14:paraId="10D0DC4B">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2.主机需集成千兆以上交换机功能，具备≥5个RJ45网口，最大支持4组VLAN划分。具备≥4路RS232通信端口，具备≥1路RS485通信端口，具备≥1路输出接口，具备≥2路IO接口。具备≥1路USB通信接口, 具备不少于一进四出的USB KVM切换能力。</w:t>
            </w:r>
          </w:p>
          <w:p w14:paraId="69DFEF70">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3.板载需集成≥HDMI4*4全交叉无缝矩阵,具备≥3路HDMI输入接口，具备≥4路HDMI输出接口。HDMI接口均需支持4K高清分辨率。</w:t>
            </w:r>
          </w:p>
          <w:p w14:paraId="1433389B">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4.主机具备≥2路3.5mm音频线性输入接口，具备≥2路3.5mm音频线性输出。具备≥1路48V 幻象供电有线麦克风输入接口，支持配置幻象供电开启或关闭。</w:t>
            </w:r>
          </w:p>
          <w:p w14:paraId="1F7F85B3">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5.需支持国标市电输入，支持本机能耗检测，为保证电源管理的灵活性。</w:t>
            </w:r>
          </w:p>
          <w:p w14:paraId="62D52E5F">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6.需具备网络中控功能，支持电教设备的本地或远程控制。需集成物联网关功能，支持能耗数据上报。支持 MQTT协议，支持扩展最大30路无线物联模块，配合系统平台可远程对终端设备进行手动、定时、集控管理。</w:t>
            </w:r>
          </w:p>
          <w:p w14:paraId="7C920AAA">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7.主机具备音视频硬解码能力，支持与学校现用的集中管理平台无缝对接，实现在现用平台进行音视频广播的推送，播放平台定时/手动广播任务；并需支持主机在关机状态下接收现有平台预设的高清流媒体内容或在线电视节目进行自动播放，自动开启和关闭显示设备，实现智能自动播放的功能。</w:t>
            </w:r>
          </w:p>
          <w:p w14:paraId="6DC7B45B">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8.为保证使用的便捷性，需支持通过控制面板或远程控制暂停音视频广播输出和调节广播音量。</w:t>
            </w:r>
          </w:p>
          <w:p w14:paraId="47F05B94">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9.需支持web配置界面，支持本地系统参数、网络参数、串口参数、面板参数、音视频矩阵参数、IO接口参数、显示设备参数等配置。支持开关机场景及自定义场景配置。</w:t>
            </w:r>
          </w:p>
          <w:p w14:paraId="39E77BAE">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10.主机需通过配套触控面板可完成一键开关机设备、音量调节。支持IC卡刷卡、扫码、人脸识别、IP对讲等功能，支持离线状态下启用面板开机功能,支持同品牌无线麦克风接入及扩声。支持设备故障报修功能，待机状态下可显示设备联机网络信息、终端ID信息、运维电话等。</w:t>
            </w:r>
          </w:p>
          <w:p w14:paraId="376E7868">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11.为了满足丰富的教学场景需求，主机需支持≥4路大屏/投影机同屏显示或≥3路大屏/投影机异屏显示及控制，支持输出画面冻结功能。</w:t>
            </w:r>
          </w:p>
          <w:p w14:paraId="6746FE60">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12.为了后期的运维方便，需支持在线升级功能，支持版本信息查看，网络配置等功能。</w:t>
            </w:r>
          </w:p>
          <w:p w14:paraId="1653D90E">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13.需与学校现有集中管控平台能够实现全功能对接。</w:t>
            </w:r>
          </w:p>
        </w:tc>
        <w:tc>
          <w:tcPr>
            <w:tcW w:w="328" w:type="pct"/>
            <w:vAlign w:val="center"/>
          </w:tcPr>
          <w:p w14:paraId="56414945">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4</w:t>
            </w:r>
          </w:p>
        </w:tc>
        <w:tc>
          <w:tcPr>
            <w:tcW w:w="263" w:type="pct"/>
            <w:noWrap/>
            <w:vAlign w:val="center"/>
          </w:tcPr>
          <w:p w14:paraId="5185C0F8">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套</w:t>
            </w:r>
          </w:p>
        </w:tc>
      </w:tr>
      <w:tr w14:paraId="76B32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0" w:hRule="atLeast"/>
        </w:trPr>
        <w:tc>
          <w:tcPr>
            <w:tcW w:w="263" w:type="pct"/>
            <w:vAlign w:val="center"/>
          </w:tcPr>
          <w:p w14:paraId="0B872939">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6</w:t>
            </w:r>
          </w:p>
        </w:tc>
        <w:tc>
          <w:tcPr>
            <w:tcW w:w="661" w:type="pct"/>
            <w:vAlign w:val="center"/>
          </w:tcPr>
          <w:p w14:paraId="30BF5D38">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智能控制面板</w:t>
            </w:r>
          </w:p>
        </w:tc>
        <w:tc>
          <w:tcPr>
            <w:tcW w:w="3484" w:type="pct"/>
            <w:vAlign w:val="center"/>
          </w:tcPr>
          <w:p w14:paraId="1C6CA590">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1.一体化设计，支持桌面或墙面固定安装方式。</w:t>
            </w:r>
          </w:p>
          <w:p w14:paraId="7AA70689">
            <w:pPr>
              <w:widowControl/>
              <w:jc w:val="left"/>
              <w:rPr>
                <w:rFonts w:hint="eastAsia" w:ascii="宋体" w:hAnsi="宋体" w:eastAsia="宋体" w:cs="宋体"/>
                <w:color w:val="auto"/>
                <w:kern w:val="0"/>
                <w:sz w:val="22"/>
                <w:highlight w:val="yellow"/>
              </w:rPr>
            </w:pPr>
            <w:r>
              <w:rPr>
                <w:rFonts w:hint="eastAsia" w:ascii="宋体" w:hAnsi="宋体" w:eastAsia="宋体" w:cs="宋体"/>
                <w:color w:val="auto"/>
                <w:kern w:val="0"/>
                <w:sz w:val="22"/>
              </w:rPr>
              <w:t>2.具备≥1个RJ45千兆网口，≥1路USB接口，支持POE或DC受电。</w:t>
            </w:r>
          </w:p>
          <w:p w14:paraId="21039451">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3.面板基于Android或Linux系统，采用不低于4核CPU、2GB RAM、32GB EMMC FLASH、内置1T NPU的配置。需配备≥10.1英寸工业触控屏，屏幕分辨率≥1920×1200；需集成IC卡读卡器、内置扬声器、拾音器、二维码正/反扫摄像头，并具备音视频编解码能力，支持二维码正/反扫、刷卡、人脸识别开关机。</w:t>
            </w:r>
            <w:r>
              <w:rPr>
                <w:rFonts w:hint="eastAsia"/>
                <w:color w:val="auto"/>
              </w:rPr>
              <w:t>提供相关证明材料（包括检测报告或产品彩页或官网截图等）</w:t>
            </w:r>
          </w:p>
          <w:p w14:paraId="4B9A9EF7">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4.为满足人脸识别开机需求，触控面板需集成≥200万像素摄像头。</w:t>
            </w:r>
          </w:p>
          <w:p w14:paraId="21BD5C7A">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5.需支持一键上下课、画面切换、声音调整、物联设备控制、音视频广播控制、直播课堂、录播预览及控制等功能。</w:t>
            </w:r>
            <w:r>
              <w:rPr>
                <w:rFonts w:hint="eastAsia"/>
                <w:color w:val="auto"/>
              </w:rPr>
              <w:t>提供相关证明材料（包括检测报告或产品彩页或官网截图等）</w:t>
            </w:r>
          </w:p>
          <w:p w14:paraId="2CA4D41E">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 xml:space="preserve">6. 需与学校现有集中管控平台能够实现全功能对接 </w:t>
            </w:r>
          </w:p>
        </w:tc>
        <w:tc>
          <w:tcPr>
            <w:tcW w:w="328" w:type="pct"/>
            <w:vAlign w:val="center"/>
          </w:tcPr>
          <w:p w14:paraId="4906D1B5">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4</w:t>
            </w:r>
          </w:p>
        </w:tc>
        <w:tc>
          <w:tcPr>
            <w:tcW w:w="263" w:type="pct"/>
            <w:noWrap/>
            <w:vAlign w:val="center"/>
          </w:tcPr>
          <w:p w14:paraId="78C3C134">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台</w:t>
            </w:r>
          </w:p>
        </w:tc>
      </w:tr>
      <w:tr w14:paraId="5E377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2" w:hRule="atLeast"/>
        </w:trPr>
        <w:tc>
          <w:tcPr>
            <w:tcW w:w="263" w:type="pct"/>
            <w:vAlign w:val="center"/>
          </w:tcPr>
          <w:p w14:paraId="7F54636F">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7</w:t>
            </w:r>
          </w:p>
        </w:tc>
        <w:tc>
          <w:tcPr>
            <w:tcW w:w="661" w:type="pct"/>
            <w:vAlign w:val="center"/>
          </w:tcPr>
          <w:p w14:paraId="0D30DEC1">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智能球形摄像机</w:t>
            </w:r>
          </w:p>
        </w:tc>
        <w:tc>
          <w:tcPr>
            <w:tcW w:w="3484" w:type="pct"/>
          </w:tcPr>
          <w:p w14:paraId="5098FC69">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 技术指标及参数要求：</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1)≥400 万像素红外网络高清球型摄像机。</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2）视频输出支持≥2560×1440@30fps，红外距离≥20米。</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3） 支持≥4 倍光学变倍，≥16 倍数字变倍。</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4） 支持最低照度可达彩色≤0.05Lux，黑白≤0.005Lux。</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5）支持水平手控速度不小于80°/S，垂直手控速度不小于80°/S，云台定位精度为±0.1°。</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6）水平旋转范围为 0°-330°，垂直旋转范围为 0° -90°。</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7） 支持不少于200 个预置位，支持≥30 条巡航路径。</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8） 动态范围不小于105dB。</w:t>
            </w:r>
          </w:p>
        </w:tc>
        <w:tc>
          <w:tcPr>
            <w:tcW w:w="328" w:type="pct"/>
            <w:vAlign w:val="center"/>
          </w:tcPr>
          <w:p w14:paraId="0A0F790C">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8</w:t>
            </w:r>
          </w:p>
        </w:tc>
        <w:tc>
          <w:tcPr>
            <w:tcW w:w="263" w:type="pct"/>
            <w:noWrap/>
            <w:vAlign w:val="center"/>
          </w:tcPr>
          <w:p w14:paraId="0F678CEC">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台</w:t>
            </w:r>
          </w:p>
        </w:tc>
      </w:tr>
      <w:tr w14:paraId="6C7D6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trPr>
        <w:tc>
          <w:tcPr>
            <w:tcW w:w="263" w:type="pct"/>
            <w:vAlign w:val="center"/>
          </w:tcPr>
          <w:p w14:paraId="5DE329A4">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8</w:t>
            </w:r>
          </w:p>
        </w:tc>
        <w:tc>
          <w:tcPr>
            <w:tcW w:w="661" w:type="pct"/>
            <w:vAlign w:val="center"/>
          </w:tcPr>
          <w:p w14:paraId="224C741C">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拾音器</w:t>
            </w:r>
          </w:p>
        </w:tc>
        <w:tc>
          <w:tcPr>
            <w:tcW w:w="3484" w:type="pct"/>
          </w:tcPr>
          <w:p w14:paraId="1805FC8A">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 技术指标及参数要求：</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1）内置数字语音处理电路和微处理芯片，≥两级动态数字降噪处理。</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2）镀银震膜电容咪头。自适应动态降噪处理技术，内置高速DSP 数字信号处理器。</w:t>
            </w:r>
          </w:p>
        </w:tc>
        <w:tc>
          <w:tcPr>
            <w:tcW w:w="328" w:type="pct"/>
            <w:vAlign w:val="center"/>
          </w:tcPr>
          <w:p w14:paraId="3A7F5F18">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4</w:t>
            </w:r>
          </w:p>
        </w:tc>
        <w:tc>
          <w:tcPr>
            <w:tcW w:w="263" w:type="pct"/>
            <w:vAlign w:val="center"/>
          </w:tcPr>
          <w:p w14:paraId="324FEB01">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台</w:t>
            </w:r>
          </w:p>
        </w:tc>
      </w:tr>
      <w:tr w14:paraId="2DB8F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trPr>
        <w:tc>
          <w:tcPr>
            <w:tcW w:w="263" w:type="pct"/>
            <w:vAlign w:val="center"/>
          </w:tcPr>
          <w:p w14:paraId="0A87609F">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9</w:t>
            </w:r>
          </w:p>
        </w:tc>
        <w:tc>
          <w:tcPr>
            <w:tcW w:w="661" w:type="pct"/>
            <w:vAlign w:val="center"/>
          </w:tcPr>
          <w:p w14:paraId="1B856FAE">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主控桌</w:t>
            </w:r>
          </w:p>
        </w:tc>
        <w:tc>
          <w:tcPr>
            <w:tcW w:w="3484" w:type="pct"/>
          </w:tcPr>
          <w:p w14:paraId="47CD6631">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1.技术指标及参数要求：</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1) 规格：≤L*W*H（mm）：1000*750*1100。</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2) 材料：钢木结合，主体采用≥1.2mm 冷轧钢材。桌面及背面采用≥18mm 高密度纤维板材料。</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3）上层：分为显示区域和操作台面两部分。安装显示器、中控面板、等设备。</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4）下层：三面拆装式，呼应整体外观，独立隐藏式走线通道。</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5）机柜：≥独立 8U 机柜，可根据教室需求选配，接入第三方设备，机柜与下层主体之间用滑块式轨道连接，可整体滑动，机柜内部配置层板均为可滑动式设计。</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6）预留与 1-3 相匹配的嵌入安装位置，嵌入讲桌后无明显缝隙。</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7）提供输入接口：USB3.0 x2、Type-C x1、HDMIx1、网线接口 x1。</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8）讲桌正面配置独立≥18mm 厚高密度纤维板，易拆卸，方便侧维护和后维护。根据学校要求设计印制 LOGO。</w:t>
            </w:r>
          </w:p>
        </w:tc>
        <w:tc>
          <w:tcPr>
            <w:tcW w:w="328" w:type="pct"/>
            <w:vAlign w:val="center"/>
          </w:tcPr>
          <w:p w14:paraId="6AEAE545">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4</w:t>
            </w:r>
          </w:p>
        </w:tc>
        <w:tc>
          <w:tcPr>
            <w:tcW w:w="263" w:type="pct"/>
            <w:vAlign w:val="center"/>
          </w:tcPr>
          <w:p w14:paraId="03A44566">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个</w:t>
            </w:r>
          </w:p>
        </w:tc>
      </w:tr>
      <w:tr w14:paraId="401E9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63" w:type="pct"/>
            <w:vAlign w:val="center"/>
          </w:tcPr>
          <w:p w14:paraId="27C23A93">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10</w:t>
            </w:r>
          </w:p>
        </w:tc>
        <w:tc>
          <w:tcPr>
            <w:tcW w:w="661" w:type="pct"/>
            <w:vAlign w:val="center"/>
          </w:tcPr>
          <w:p w14:paraId="20B441FE">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4K录播主机</w:t>
            </w:r>
          </w:p>
        </w:tc>
        <w:tc>
          <w:tcPr>
            <w:tcW w:w="3484" w:type="pct"/>
          </w:tcPr>
          <w:p w14:paraId="64075C03">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1.主机系统内存≥8GB，存储容量≥1TB。</w:t>
            </w:r>
          </w:p>
          <w:p w14:paraId="1F9830AF">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 xml:space="preserve">2.主机采用≥15英寸触控屏，表面硬度≥7H，屏幕分辨率≥1920*1080。 </w:t>
            </w:r>
          </w:p>
          <w:p w14:paraId="51C1C64F">
            <w:pPr>
              <w:widowControl/>
              <w:jc w:val="left"/>
              <w:rPr>
                <w:rFonts w:hint="eastAsia" w:ascii="宋体" w:hAnsi="宋体" w:eastAsia="宋体" w:cs="宋体"/>
                <w:color w:val="auto"/>
                <w:kern w:val="0"/>
                <w:sz w:val="22"/>
              </w:rPr>
            </w:pPr>
            <w:r>
              <w:rPr>
                <w:rFonts w:hint="eastAsia" w:ascii="微软雅黑" w:hAnsi="微软雅黑" w:eastAsia="微软雅黑" w:cs="微软雅黑"/>
                <w:color w:val="auto"/>
                <w:kern w:val="0"/>
                <w:sz w:val="22"/>
              </w:rPr>
              <w:t>★</w:t>
            </w:r>
            <w:r>
              <w:rPr>
                <w:rFonts w:hint="eastAsia" w:ascii="宋体" w:hAnsi="宋体" w:eastAsia="宋体" w:cs="宋体"/>
                <w:color w:val="auto"/>
                <w:kern w:val="0"/>
                <w:sz w:val="22"/>
              </w:rPr>
              <w:t>3.主机支持独立完成视频采集、音频采集、音频编码、视频编码、音频处理、视频处理、直播、录制、互动、专业导播、远程运维参数设置功能。</w:t>
            </w:r>
          </w:p>
          <w:p w14:paraId="65D41CAD">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 xml:space="preserve">4.内置扬声器，支持音频检测，可进行视频预览，播放音频。 </w:t>
            </w:r>
          </w:p>
          <w:p w14:paraId="02D5617A">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 xml:space="preserve">5.支持≥1个阵列麦克风输入接口，可在不接入音频处理器的情况下，通过网线就可以完成≥5个阵列麦克风接入主机，通过网线可以实现≥5麦克风的供电、音频信号传输、音频参数设置，支持数字音频传输。 </w:t>
            </w:r>
          </w:p>
          <w:p w14:paraId="62C12574">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6.内置音频接收模块。无需外接无线音频接收模块，即可完成无线音频采集，支持同时≥2个无线麦克风接入，且同时支持≥2种对频模式。麦克风链接成功后，主机会显示无线麦克风连接成功图标，可通过麦表动态查看声音采集状态。</w:t>
            </w:r>
          </w:p>
          <w:p w14:paraId="3284AD56">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7.支持≥4个RJ45接口，其中≥3个支持POE。</w:t>
            </w:r>
          </w:p>
          <w:p w14:paraId="1640F268">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 xml:space="preserve">8.支持≥5个USB类型接口 </w:t>
            </w:r>
          </w:p>
          <w:p w14:paraId="67A6C026">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9.支持标准USB音视频信号输出，通过主机TypeC接口可以实现图像和声音同步输出，最大支持4K图像输出，输出音频可通过主机控制软件实现混音，兼容主流视频会议软件。</w:t>
            </w:r>
            <w:r>
              <w:rPr>
                <w:rFonts w:hint="eastAsia"/>
                <w:color w:val="auto"/>
              </w:rPr>
              <w:t>提供相关证明材料（包括检测报告或产品彩页或官网截图等）</w:t>
            </w:r>
            <w:r>
              <w:rPr>
                <w:rFonts w:hint="eastAsia" w:ascii="宋体" w:hAnsi="宋体" w:eastAsia="宋体" w:cs="宋体"/>
                <w:color w:val="auto"/>
                <w:kern w:val="0"/>
                <w:sz w:val="22"/>
              </w:rPr>
              <w:t xml:space="preserve"> </w:t>
            </w:r>
          </w:p>
          <w:p w14:paraId="40B23347">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10.支持 H.264视频编码与解码。</w:t>
            </w:r>
          </w:p>
          <w:p w14:paraId="79909614">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 xml:space="preserve">11.支持网络监测功能，无需安装第三方软件，在触控屏幕上显示教室网络状态，包括：服务联通性、网络稳定性、上下行速度、网络追踪性、网卡信息。 </w:t>
            </w:r>
          </w:p>
          <w:p w14:paraId="78E8EA3A">
            <w:pPr>
              <w:widowControl/>
              <w:jc w:val="left"/>
              <w:rPr>
                <w:rFonts w:hint="eastAsia" w:ascii="宋体" w:hAnsi="宋体" w:eastAsia="宋体" w:cs="宋体"/>
                <w:color w:val="auto"/>
                <w:kern w:val="0"/>
                <w:sz w:val="22"/>
              </w:rPr>
            </w:pPr>
            <w:r>
              <w:rPr>
                <w:rFonts w:hint="eastAsia" w:ascii="微软雅黑" w:hAnsi="微软雅黑" w:eastAsia="微软雅黑" w:cs="微软雅黑"/>
                <w:color w:val="auto"/>
                <w:kern w:val="0"/>
                <w:sz w:val="22"/>
              </w:rPr>
              <w:t>★</w:t>
            </w:r>
            <w:r>
              <w:rPr>
                <w:rFonts w:hint="eastAsia" w:ascii="宋体" w:hAnsi="宋体" w:eastAsia="宋体" w:cs="宋体"/>
                <w:color w:val="auto"/>
                <w:kern w:val="0"/>
                <w:sz w:val="22"/>
              </w:rPr>
              <w:t>12.支持录制清晰度设定，支持可选择 4K、1080p、720p；支持录制帧率设定。</w:t>
            </w:r>
          </w:p>
          <w:p w14:paraId="390791C7">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13.支持多通道同时录制，支持生成标准 MP4 格式视频文件，支持≥7路 MP4 文件同时录制。</w:t>
            </w:r>
          </w:p>
          <w:p w14:paraId="49AA97A7">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14.支持通过主机一体化触控屏实现开始、暂停、停止录制。</w:t>
            </w:r>
          </w:p>
          <w:p w14:paraId="4DC64369">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 xml:space="preserve">16.支持≥2个HDMI高清采集接口，支持≥3路高清视频输出，3路视频输出可同一时间输出不同视频源，且输出最大分辨率均可达到4K，其中HDMI信号输出≥2路且UVC信号输出≥1路。 </w:t>
            </w:r>
          </w:p>
          <w:p w14:paraId="4BC9ACC9">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17.支持通过互联网，实现对设备的远程配置，支持关机、重启、参数配置操作。</w:t>
            </w:r>
          </w:p>
        </w:tc>
        <w:tc>
          <w:tcPr>
            <w:tcW w:w="328" w:type="pct"/>
            <w:vAlign w:val="center"/>
          </w:tcPr>
          <w:p w14:paraId="76C78EF5">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4</w:t>
            </w:r>
          </w:p>
        </w:tc>
        <w:tc>
          <w:tcPr>
            <w:tcW w:w="263" w:type="pct"/>
            <w:vAlign w:val="center"/>
          </w:tcPr>
          <w:p w14:paraId="5B039139">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台</w:t>
            </w:r>
          </w:p>
        </w:tc>
      </w:tr>
      <w:tr w14:paraId="78858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263" w:type="pct"/>
            <w:vAlign w:val="center"/>
          </w:tcPr>
          <w:p w14:paraId="45E7A3C3">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11</w:t>
            </w:r>
          </w:p>
        </w:tc>
        <w:tc>
          <w:tcPr>
            <w:tcW w:w="661" w:type="pct"/>
            <w:vAlign w:val="center"/>
          </w:tcPr>
          <w:p w14:paraId="408F74BD">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4K摄像头</w:t>
            </w:r>
          </w:p>
        </w:tc>
        <w:tc>
          <w:tcPr>
            <w:tcW w:w="3484" w:type="pct"/>
          </w:tcPr>
          <w:p w14:paraId="255524C4">
            <w:pPr>
              <w:widowControl/>
              <w:numPr>
                <w:ilvl w:val="0"/>
                <w:numId w:val="7"/>
              </w:numPr>
              <w:jc w:val="left"/>
              <w:rPr>
                <w:rFonts w:hint="eastAsia" w:ascii="宋体" w:hAnsi="宋体" w:eastAsia="宋体" w:cs="宋体"/>
                <w:color w:val="auto"/>
                <w:kern w:val="0"/>
                <w:sz w:val="22"/>
              </w:rPr>
            </w:pPr>
            <w:r>
              <w:rPr>
                <w:rFonts w:hint="eastAsia" w:ascii="宋体" w:hAnsi="宋体" w:eastAsia="宋体" w:cs="宋体"/>
                <w:color w:val="auto"/>
                <w:kern w:val="0"/>
                <w:sz w:val="22"/>
              </w:rPr>
              <w:t>技术指标及参数要求：</w:t>
            </w:r>
          </w:p>
          <w:p w14:paraId="4D7F6A90">
            <w:pPr>
              <w:widowControl/>
              <w:numPr>
                <w:ilvl w:val="0"/>
                <w:numId w:val="8"/>
              </w:numPr>
              <w:jc w:val="left"/>
              <w:rPr>
                <w:rFonts w:hint="eastAsia" w:ascii="宋体" w:hAnsi="宋体" w:eastAsia="宋体" w:cs="宋体"/>
                <w:color w:val="auto"/>
                <w:kern w:val="0"/>
                <w:sz w:val="22"/>
              </w:rPr>
            </w:pPr>
            <w:r>
              <w:rPr>
                <w:rFonts w:hint="eastAsia" w:ascii="宋体" w:hAnsi="宋体" w:eastAsia="宋体" w:cs="宋体"/>
                <w:color w:val="auto"/>
                <w:kern w:val="0"/>
                <w:sz w:val="22"/>
              </w:rPr>
              <w:t>视频输出接口：SDI≥1、HDMI≥1，同步输出 4K 图像。</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2)传感器类型：CMOS</w:t>
            </w:r>
            <w:r>
              <w:rPr>
                <w:rFonts w:hint="eastAsia" w:ascii="宋体" w:hAnsi="宋体" w:eastAsia="宋体" w:cs="宋体"/>
                <w:color w:val="auto"/>
                <w:kern w:val="0"/>
                <w:sz w:val="22"/>
              </w:rPr>
              <w:br w:type="textWrapping"/>
            </w:r>
            <w:r>
              <w:rPr>
                <w:rFonts w:hint="eastAsia" w:ascii="微软雅黑" w:hAnsi="微软雅黑" w:eastAsia="微软雅黑" w:cs="微软雅黑"/>
                <w:color w:val="auto"/>
                <w:kern w:val="0"/>
                <w:sz w:val="22"/>
              </w:rPr>
              <w:t>★</w:t>
            </w:r>
            <w:r>
              <w:rPr>
                <w:rFonts w:hint="eastAsia" w:ascii="宋体" w:hAnsi="宋体" w:eastAsia="宋体" w:cs="宋体"/>
                <w:color w:val="auto"/>
                <w:kern w:val="0"/>
                <w:sz w:val="22"/>
              </w:rPr>
              <w:t>3)传感器像素：为充分保障视频的高清效果，图像采</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集、输出分辨率支持 ≥3840*2160,满足 4K 分辨率要求。</w:t>
            </w:r>
            <w:r>
              <w:rPr>
                <w:rFonts w:hint="eastAsia" w:ascii="宋体" w:hAnsi="宋体" w:eastAsia="宋体" w:cs="宋体"/>
                <w:color w:val="auto"/>
                <w:kern w:val="0"/>
                <w:sz w:val="22"/>
              </w:rPr>
              <w:br w:type="textWrapping"/>
            </w:r>
            <w:r>
              <w:rPr>
                <w:rFonts w:hint="eastAsia" w:ascii="微软雅黑" w:hAnsi="微软雅黑" w:eastAsia="微软雅黑" w:cs="微软雅黑"/>
                <w:color w:val="auto"/>
                <w:kern w:val="0"/>
                <w:sz w:val="22"/>
              </w:rPr>
              <w:t>★</w:t>
            </w:r>
            <w:r>
              <w:rPr>
                <w:rFonts w:hint="eastAsia" w:ascii="宋体" w:hAnsi="宋体" w:eastAsia="宋体" w:cs="宋体"/>
                <w:color w:val="auto"/>
                <w:kern w:val="0"/>
                <w:sz w:val="22"/>
              </w:rPr>
              <w:t>4) 镜头焦距：≥15倍光学变焦，≥15倍数字变焦。</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5)水平转动速度范围：1.0°～ 94.2°/s，垂直转动</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速度范围：1.0°～74.8°/s，水平视场角：72.0°～</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6.7°，垂直视场角：43.2°～ 3.7°。</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6)支持水平、垂直翻转。</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7)数字降噪：2D&amp;3D 数字降噪。</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8)摄像机管理软件采用 B/S 架构，支持通用浏览器直</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接访问进行管理。</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9)支持网络参数设置与修改，支持一键恢复默认参数。</w:t>
            </w:r>
          </w:p>
          <w:p w14:paraId="4CEC7FCF">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10）支持人脸/人形检测AI算法；支持学生全景、学生特写、教师全景、教师特写、板书模式等不低于5种模式。</w:t>
            </w:r>
            <w:r>
              <w:rPr>
                <w:rFonts w:hint="eastAsia"/>
                <w:color w:val="auto"/>
              </w:rPr>
              <w:t>提供相关证明材料（包括检测报告或产品彩页或官网截图等）</w:t>
            </w:r>
          </w:p>
        </w:tc>
        <w:tc>
          <w:tcPr>
            <w:tcW w:w="328" w:type="pct"/>
            <w:vAlign w:val="center"/>
          </w:tcPr>
          <w:p w14:paraId="1C2254F0">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16</w:t>
            </w:r>
          </w:p>
        </w:tc>
        <w:tc>
          <w:tcPr>
            <w:tcW w:w="263" w:type="pct"/>
            <w:vAlign w:val="center"/>
          </w:tcPr>
          <w:p w14:paraId="68A006C0">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台</w:t>
            </w:r>
          </w:p>
        </w:tc>
      </w:tr>
      <w:tr w14:paraId="5EB31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4" w:hRule="atLeast"/>
        </w:trPr>
        <w:tc>
          <w:tcPr>
            <w:tcW w:w="263" w:type="pct"/>
            <w:vAlign w:val="center"/>
          </w:tcPr>
          <w:p w14:paraId="76431E8C">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12</w:t>
            </w:r>
          </w:p>
        </w:tc>
        <w:tc>
          <w:tcPr>
            <w:tcW w:w="661" w:type="pct"/>
            <w:vAlign w:val="center"/>
          </w:tcPr>
          <w:p w14:paraId="5FF565DD">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录播控制面板</w:t>
            </w:r>
          </w:p>
        </w:tc>
        <w:tc>
          <w:tcPr>
            <w:tcW w:w="3484" w:type="pct"/>
          </w:tcPr>
          <w:p w14:paraId="63315F67">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1.技术指标及参数要求：</w:t>
            </w:r>
          </w:p>
          <w:p w14:paraId="54A2ED52">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 支持一键式系统电源开关控制。</w:t>
            </w:r>
          </w:p>
          <w:p w14:paraId="5874B952">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2)一键式录制、停止。</w:t>
            </w:r>
          </w:p>
          <w:p w14:paraId="6CD96238">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3)支持录播模式和互动模式。</w:t>
            </w:r>
          </w:p>
        </w:tc>
        <w:tc>
          <w:tcPr>
            <w:tcW w:w="328" w:type="pct"/>
            <w:vAlign w:val="center"/>
          </w:tcPr>
          <w:p w14:paraId="0D359BB8">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4</w:t>
            </w:r>
          </w:p>
        </w:tc>
        <w:tc>
          <w:tcPr>
            <w:tcW w:w="263" w:type="pct"/>
            <w:vAlign w:val="center"/>
          </w:tcPr>
          <w:p w14:paraId="0ACE8C53">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台</w:t>
            </w:r>
          </w:p>
        </w:tc>
      </w:tr>
      <w:tr w14:paraId="2C38A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trPr>
        <w:tc>
          <w:tcPr>
            <w:tcW w:w="263" w:type="pct"/>
            <w:vAlign w:val="center"/>
          </w:tcPr>
          <w:p w14:paraId="36176786">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13</w:t>
            </w:r>
          </w:p>
        </w:tc>
        <w:tc>
          <w:tcPr>
            <w:tcW w:w="661" w:type="pct"/>
            <w:vAlign w:val="center"/>
          </w:tcPr>
          <w:p w14:paraId="5E2972EB">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音频处理</w:t>
            </w:r>
            <w:r>
              <w:rPr>
                <w:rFonts w:hint="eastAsia" w:ascii="宋体" w:hAnsi="宋体" w:eastAsia="宋体" w:cs="宋体"/>
                <w:color w:val="auto"/>
                <w:kern w:val="0"/>
                <w:sz w:val="22"/>
              </w:rPr>
              <w:br w:type="textWrapping"/>
            </w:r>
            <w:r>
              <w:rPr>
                <w:rFonts w:hint="eastAsia" w:ascii="宋体" w:hAnsi="宋体" w:eastAsia="宋体" w:cs="宋体"/>
                <w:color w:val="auto"/>
                <w:kern w:val="0"/>
                <w:sz w:val="22"/>
              </w:rPr>
              <w:t>器</w:t>
            </w:r>
          </w:p>
        </w:tc>
        <w:tc>
          <w:tcPr>
            <w:tcW w:w="3484" w:type="pct"/>
          </w:tcPr>
          <w:p w14:paraId="6B40D565">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 xml:space="preserve">1.CPU核心数量≥4个，CPU主频≥1.5GHz </w:t>
            </w:r>
          </w:p>
          <w:p w14:paraId="05D822BD">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2.主机机身高度≤1U。</w:t>
            </w:r>
          </w:p>
          <w:p w14:paraId="01FC48ED">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3.主机具备≥2个状态指示灯，可显示主机工作状态。</w:t>
            </w:r>
          </w:p>
          <w:p w14:paraId="568E2D17">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4.主机具备≥7个音量调节旋钮，支持调节各输入输出通道的音量大小，音量调节旋钮均带箭头指示标识。</w:t>
            </w:r>
          </w:p>
          <w:p w14:paraId="428C4BCE">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5.支持RJ45网口音频输入；支持≥6路凤凰端子差分输入，其中≥4路支持 48V幻象电源供电。</w:t>
            </w:r>
          </w:p>
          <w:p w14:paraId="5528D88C">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6.支持≥2 路凤凰端子差分输出，支持≥2路凤凰端子功放输出。</w:t>
            </w:r>
          </w:p>
          <w:p w14:paraId="6B507A35">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7.支持通过RS485接口实现串口通信，支持通过RJ45网口实现网络通信。</w:t>
            </w:r>
          </w:p>
          <w:p w14:paraId="24350D6B">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8.功率放大器的输出功率≥2*150W。</w:t>
            </w:r>
          </w:p>
          <w:p w14:paraId="4BCE5904">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9.采样率≥48KHz。频率响应范围为100Hz~20KHz。</w:t>
            </w:r>
          </w:p>
          <w:p w14:paraId="363832F7">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10.总谐波失真≤0.1%。信噪比≥100dB。</w:t>
            </w:r>
          </w:p>
          <w:p w14:paraId="5F99337E">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11.内置自适应音频处理算法，实现自动校准，收敛时间≤3s。</w:t>
            </w:r>
          </w:p>
          <w:p w14:paraId="1CE51D50">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12.支持自动反馈抑制算法，可抑制声反馈啸叫，声反馈增益≥18dB，支持≥5个等级的反馈抑制强度调节。</w:t>
            </w:r>
          </w:p>
          <w:p w14:paraId="0BC8A85B">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13.支持低时延AI降噪技术，既可对教室内的空调、电风扇等稳态噪声进行抑制，也可对板书声、走路声、桌椅声等瞬态噪声进行抑制，不进行扩声输出，降噪幅度≥30dB。</w:t>
            </w:r>
          </w:p>
          <w:p w14:paraId="03E101CB">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14.支持全频带全双工自适应回声消除算法，回声消除幅度≥90dB，回声消除长度≥1s。</w:t>
            </w:r>
          </w:p>
          <w:p w14:paraId="59DEE59E">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15.支持自动增益控制，最大增益≥15dB。支持混响抑制算法，混响抑制≥18dB。</w:t>
            </w:r>
          </w:p>
        </w:tc>
        <w:tc>
          <w:tcPr>
            <w:tcW w:w="328" w:type="pct"/>
            <w:vAlign w:val="center"/>
          </w:tcPr>
          <w:p w14:paraId="12047E31">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4</w:t>
            </w:r>
          </w:p>
        </w:tc>
        <w:tc>
          <w:tcPr>
            <w:tcW w:w="263" w:type="pct"/>
            <w:vAlign w:val="center"/>
          </w:tcPr>
          <w:p w14:paraId="00080D31">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台</w:t>
            </w:r>
          </w:p>
        </w:tc>
      </w:tr>
      <w:tr w14:paraId="63B69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263" w:type="pct"/>
            <w:vAlign w:val="center"/>
          </w:tcPr>
          <w:p w14:paraId="70DE923A">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14</w:t>
            </w:r>
          </w:p>
        </w:tc>
        <w:tc>
          <w:tcPr>
            <w:tcW w:w="661" w:type="pct"/>
            <w:vAlign w:val="center"/>
          </w:tcPr>
          <w:p w14:paraId="5CA84347">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学生话筒</w:t>
            </w:r>
          </w:p>
        </w:tc>
        <w:tc>
          <w:tcPr>
            <w:tcW w:w="3484" w:type="pct"/>
          </w:tcPr>
          <w:p w14:paraId="1DA3FFD1">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1.标配2支麦克风，采用≥4核的芯片。</w:t>
            </w:r>
          </w:p>
          <w:p w14:paraId="64DC24A1">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2.频率响应范围不低于50Hz~16KHz。</w:t>
            </w:r>
          </w:p>
          <w:p w14:paraId="4E1232BD">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3.拾音半径≥8m。</w:t>
            </w:r>
          </w:p>
          <w:p w14:paraId="0B69F3A5">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4.信噪比≥68dB。</w:t>
            </w:r>
          </w:p>
          <w:p w14:paraId="1FF8A09C">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5.声压级≥130dBSPL。</w:t>
            </w:r>
          </w:p>
          <w:p w14:paraId="276B8836">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6.支持≥2个数字音频接口，支持盲插。</w:t>
            </w:r>
          </w:p>
          <w:p w14:paraId="38A5B2C6">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7.支持≥1个Type-C接口。</w:t>
            </w:r>
          </w:p>
          <w:p w14:paraId="5C7972CE">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8.内置≥8个硅麦传感器单元。</w:t>
            </w:r>
          </w:p>
          <w:p w14:paraId="43C39754">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9.能够通过网线实现麦克风供电、音频信号传输、参数调整。</w:t>
            </w:r>
          </w:p>
          <w:p w14:paraId="60B0BC06">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10.支持降噪、回声抵消、混响抑制、自动增益控制、多麦融合多种音频算法。</w:t>
            </w:r>
          </w:p>
          <w:p w14:paraId="1D1D4C99">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11.支持无损数字音频传输，避免模拟信号传输导致的电流干扰。</w:t>
            </w:r>
          </w:p>
        </w:tc>
        <w:tc>
          <w:tcPr>
            <w:tcW w:w="328" w:type="pct"/>
            <w:vAlign w:val="center"/>
          </w:tcPr>
          <w:p w14:paraId="73A36927">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8</w:t>
            </w:r>
          </w:p>
        </w:tc>
        <w:tc>
          <w:tcPr>
            <w:tcW w:w="263" w:type="pct"/>
            <w:vAlign w:val="center"/>
          </w:tcPr>
          <w:p w14:paraId="29D9F0EF">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套</w:t>
            </w:r>
          </w:p>
        </w:tc>
      </w:tr>
      <w:tr w14:paraId="1C98B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263" w:type="pct"/>
            <w:vAlign w:val="center"/>
          </w:tcPr>
          <w:p w14:paraId="3161B1C0">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15</w:t>
            </w:r>
          </w:p>
        </w:tc>
        <w:tc>
          <w:tcPr>
            <w:tcW w:w="661" w:type="pct"/>
            <w:vAlign w:val="center"/>
          </w:tcPr>
          <w:p w14:paraId="51B6EF62">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教师话筒</w:t>
            </w:r>
          </w:p>
        </w:tc>
        <w:tc>
          <w:tcPr>
            <w:tcW w:w="3484" w:type="pct"/>
          </w:tcPr>
          <w:p w14:paraId="2B024BDA">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1.麦克风采用线阵列设计，内置≥6个传感器单元。</w:t>
            </w:r>
          </w:p>
          <w:p w14:paraId="7307F014">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2.麦克风能够通过网线实现麦克风供电、音频信号传输。</w:t>
            </w:r>
          </w:p>
          <w:p w14:paraId="0A811B0A">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3.麦克风采用≥2个网口进行模拟音频信号传输。</w:t>
            </w:r>
          </w:p>
          <w:p w14:paraId="41F31ADD">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4.麦克风拾音距离≥5米。</w:t>
            </w:r>
          </w:p>
          <w:p w14:paraId="2520EAE4">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5.麦克风频率响应范围≥100Hz~20KHz。</w:t>
            </w:r>
          </w:p>
          <w:p w14:paraId="549085A5">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6.麦克风灵敏度≥-37dB。</w:t>
            </w:r>
          </w:p>
          <w:p w14:paraId="29885E84">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7.麦克风信噪比≥70dB。</w:t>
            </w:r>
          </w:p>
          <w:p w14:paraId="38E589AD">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8.麦克风输出阻抗≥100Ω。</w:t>
            </w:r>
          </w:p>
          <w:p w14:paraId="2DAB6D80">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9.麦克风最大声压级≥110dBSPL。</w:t>
            </w:r>
          </w:p>
        </w:tc>
        <w:tc>
          <w:tcPr>
            <w:tcW w:w="328" w:type="pct"/>
            <w:vAlign w:val="center"/>
          </w:tcPr>
          <w:p w14:paraId="2F5172F9">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4</w:t>
            </w:r>
          </w:p>
        </w:tc>
        <w:tc>
          <w:tcPr>
            <w:tcW w:w="263" w:type="pct"/>
            <w:vAlign w:val="center"/>
          </w:tcPr>
          <w:p w14:paraId="31D2281A">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台</w:t>
            </w:r>
          </w:p>
        </w:tc>
      </w:tr>
      <w:tr w14:paraId="09ABE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263" w:type="pct"/>
            <w:vAlign w:val="center"/>
          </w:tcPr>
          <w:p w14:paraId="0F466CF2">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16</w:t>
            </w:r>
          </w:p>
        </w:tc>
        <w:tc>
          <w:tcPr>
            <w:tcW w:w="661" w:type="pct"/>
            <w:vAlign w:val="center"/>
          </w:tcPr>
          <w:p w14:paraId="4D04A398">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扩声音箱</w:t>
            </w:r>
          </w:p>
        </w:tc>
        <w:tc>
          <w:tcPr>
            <w:tcW w:w="3484" w:type="pct"/>
          </w:tcPr>
          <w:p w14:paraId="58C71BA0">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1.音箱采用≥2个喇叭单元 ，其中1个≥6寸中低音喇叭单元，1个≥1寸高音喇叭单元。</w:t>
            </w:r>
          </w:p>
          <w:p w14:paraId="44AC6354">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2.标配原厂壁挂支架，支持水平方向±90°、垂直方向±90°范围调节。</w:t>
            </w:r>
          </w:p>
          <w:p w14:paraId="6F8521F9">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3.额定功率≥30W。</w:t>
            </w:r>
          </w:p>
          <w:p w14:paraId="529B36D3">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4.最大功率≥60W。</w:t>
            </w:r>
          </w:p>
          <w:p w14:paraId="0F9A1A4C">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5.阻抗≥8Ω。</w:t>
            </w:r>
          </w:p>
          <w:p w14:paraId="4FFA12FE">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6.最大声压级≥105dBSPL。</w:t>
            </w:r>
          </w:p>
          <w:p w14:paraId="7DEE8858">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7.灵敏度≥86dB。</w:t>
            </w:r>
          </w:p>
          <w:p w14:paraId="36B42DF9">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8.频率响应范围≥70Hz~20KHz。</w:t>
            </w:r>
          </w:p>
        </w:tc>
        <w:tc>
          <w:tcPr>
            <w:tcW w:w="328" w:type="pct"/>
            <w:vAlign w:val="center"/>
          </w:tcPr>
          <w:p w14:paraId="584C32E8">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4</w:t>
            </w:r>
          </w:p>
        </w:tc>
        <w:tc>
          <w:tcPr>
            <w:tcW w:w="263" w:type="pct"/>
            <w:vAlign w:val="center"/>
          </w:tcPr>
          <w:p w14:paraId="3BFA4324">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对</w:t>
            </w:r>
          </w:p>
        </w:tc>
      </w:tr>
      <w:tr w14:paraId="05073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7" w:hRule="atLeast"/>
        </w:trPr>
        <w:tc>
          <w:tcPr>
            <w:tcW w:w="263" w:type="pct"/>
            <w:vAlign w:val="center"/>
          </w:tcPr>
          <w:p w14:paraId="41005AD9">
            <w:pPr>
              <w:widowControl/>
              <w:jc w:val="center"/>
              <w:rPr>
                <w:rFonts w:hint="eastAsia" w:ascii="宋体" w:hAnsi="宋体" w:eastAsia="宋体" w:cs="宋体"/>
                <w:kern w:val="0"/>
                <w:sz w:val="22"/>
              </w:rPr>
            </w:pPr>
            <w:r>
              <w:rPr>
                <w:rFonts w:hint="eastAsia" w:ascii="宋体" w:hAnsi="宋体" w:eastAsia="宋体" w:cs="宋体"/>
                <w:kern w:val="0"/>
                <w:sz w:val="22"/>
              </w:rPr>
              <w:t>17</w:t>
            </w:r>
          </w:p>
        </w:tc>
        <w:tc>
          <w:tcPr>
            <w:tcW w:w="661" w:type="pct"/>
            <w:vAlign w:val="center"/>
          </w:tcPr>
          <w:p w14:paraId="1AC44737">
            <w:pPr>
              <w:widowControl/>
              <w:jc w:val="center"/>
              <w:rPr>
                <w:rFonts w:hint="eastAsia" w:ascii="宋体" w:hAnsi="宋体" w:eastAsia="宋体" w:cs="宋体"/>
                <w:kern w:val="0"/>
                <w:sz w:val="22"/>
              </w:rPr>
            </w:pPr>
            <w:r>
              <w:rPr>
                <w:rFonts w:hint="eastAsia" w:ascii="宋体" w:hAnsi="宋体" w:eastAsia="宋体" w:cs="宋体"/>
                <w:kern w:val="0"/>
                <w:sz w:val="22"/>
              </w:rPr>
              <w:t>学生桌椅</w:t>
            </w:r>
          </w:p>
        </w:tc>
        <w:tc>
          <w:tcPr>
            <w:tcW w:w="3484" w:type="pct"/>
          </w:tcPr>
          <w:p w14:paraId="76FC6CE7">
            <w:pPr>
              <w:widowControl/>
              <w:numPr>
                <w:ilvl w:val="0"/>
                <w:numId w:val="9"/>
              </w:numPr>
              <w:jc w:val="left"/>
              <w:rPr>
                <w:rFonts w:hint="eastAsia" w:ascii="宋体" w:hAnsi="宋体" w:eastAsia="宋体" w:cs="宋体"/>
                <w:color w:val="000000"/>
                <w:kern w:val="0"/>
                <w:sz w:val="22"/>
              </w:rPr>
            </w:pPr>
            <w:r>
              <w:rPr>
                <w:rFonts w:hint="eastAsia" w:ascii="宋体" w:hAnsi="宋体" w:eastAsia="宋体" w:cs="宋体"/>
                <w:color w:val="000000"/>
                <w:kern w:val="0"/>
                <w:sz w:val="22"/>
              </w:rPr>
              <w:t xml:space="preserve">技术指标及参数要求： </w:t>
            </w:r>
          </w:p>
          <w:p w14:paraId="60D470D9">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桌子</w:t>
            </w:r>
          </w:p>
          <w:p w14:paraId="0A3494A5">
            <w:pPr>
              <w:widowControl/>
              <w:ind w:left="110"/>
              <w:jc w:val="left"/>
              <w:rPr>
                <w:rFonts w:hint="eastAsia" w:ascii="宋体" w:hAnsi="宋体" w:eastAsia="宋体" w:cs="宋体"/>
                <w:color w:val="FF0000"/>
                <w:kern w:val="0"/>
                <w:sz w:val="22"/>
              </w:rPr>
            </w:pPr>
            <w:r>
              <w:rPr>
                <w:rFonts w:hint="eastAsia" w:ascii="宋体" w:hAnsi="宋体" w:eastAsia="宋体" w:cs="宋体"/>
                <w:color w:val="000000"/>
                <w:kern w:val="0"/>
                <w:sz w:val="22"/>
              </w:rPr>
              <w:t xml:space="preserve"> 1）基材：采用优质 E1 级三胺板。 2）台面贴面：选用双贴三聚胺氰浸渍面纸饰面。 3）封边：双色 PVC 封边、厚度≥ 2mm。 4）下架：选用优质钢材下架，选用优质钢材≥1.2mm， 经打磨、抛光、酸洗、磷化、防腐等工艺处理，静电粉末喷涂处理,连接配件用铝合金。</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5）配件：固定脚垫带调节脚。</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6）含铝合金置物架，可折叠，台面底下连接平衡码为</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铝合金。</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7）可拼成外直径 1.6M 的六边形。单张的尺寸</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727*550*750H(单位：MM) 。</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椅子</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1）架子采用异型扁管喷涂，铁管厚度≥1.3mm。</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2）背板采用尼龙塑料加网布进口特网靠背，靠背连接</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件为工程塑料 ABS 坐板采用定型海绵加耐污弹力布饰</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面。</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3）可移动万向轮灵活耐用。</w:t>
            </w:r>
          </w:p>
        </w:tc>
        <w:tc>
          <w:tcPr>
            <w:tcW w:w="328" w:type="pct"/>
            <w:vAlign w:val="center"/>
          </w:tcPr>
          <w:p w14:paraId="3F00B528">
            <w:pPr>
              <w:widowControl/>
              <w:jc w:val="center"/>
              <w:rPr>
                <w:rFonts w:hint="eastAsia" w:ascii="宋体" w:hAnsi="宋体" w:eastAsia="宋体" w:cs="宋体"/>
                <w:kern w:val="0"/>
                <w:sz w:val="22"/>
              </w:rPr>
            </w:pPr>
            <w:r>
              <w:rPr>
                <w:rFonts w:hint="eastAsia" w:ascii="宋体" w:hAnsi="宋体" w:eastAsia="宋体" w:cs="宋体"/>
                <w:kern w:val="0"/>
                <w:sz w:val="22"/>
              </w:rPr>
              <w:t>96</w:t>
            </w:r>
          </w:p>
        </w:tc>
        <w:tc>
          <w:tcPr>
            <w:tcW w:w="263" w:type="pct"/>
            <w:vAlign w:val="center"/>
          </w:tcPr>
          <w:p w14:paraId="7CF34BFF">
            <w:pPr>
              <w:widowControl/>
              <w:jc w:val="center"/>
              <w:rPr>
                <w:rFonts w:hint="eastAsia" w:ascii="宋体" w:hAnsi="宋体" w:eastAsia="宋体" w:cs="宋体"/>
                <w:kern w:val="0"/>
                <w:sz w:val="22"/>
              </w:rPr>
            </w:pPr>
            <w:r>
              <w:rPr>
                <w:rFonts w:hint="eastAsia" w:ascii="宋体" w:hAnsi="宋体" w:eastAsia="宋体" w:cs="宋体"/>
                <w:kern w:val="0"/>
                <w:sz w:val="22"/>
              </w:rPr>
              <w:t>套</w:t>
            </w:r>
          </w:p>
        </w:tc>
      </w:tr>
      <w:tr w14:paraId="1858D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trPr>
        <w:tc>
          <w:tcPr>
            <w:tcW w:w="263" w:type="pct"/>
            <w:vAlign w:val="center"/>
          </w:tcPr>
          <w:p w14:paraId="0FEF8C55">
            <w:pPr>
              <w:widowControl/>
              <w:jc w:val="center"/>
              <w:rPr>
                <w:rFonts w:hint="eastAsia" w:ascii="宋体" w:hAnsi="宋体" w:eastAsia="宋体" w:cs="宋体"/>
                <w:kern w:val="0"/>
                <w:sz w:val="22"/>
              </w:rPr>
            </w:pPr>
            <w:r>
              <w:rPr>
                <w:rFonts w:hint="eastAsia" w:ascii="宋体" w:hAnsi="宋体" w:eastAsia="宋体" w:cs="宋体"/>
                <w:kern w:val="0"/>
                <w:sz w:val="22"/>
              </w:rPr>
              <w:t>18</w:t>
            </w:r>
          </w:p>
        </w:tc>
        <w:tc>
          <w:tcPr>
            <w:tcW w:w="661" w:type="pct"/>
            <w:vAlign w:val="center"/>
          </w:tcPr>
          <w:p w14:paraId="21C0E974">
            <w:pPr>
              <w:widowControl/>
              <w:jc w:val="center"/>
              <w:rPr>
                <w:rFonts w:hint="eastAsia" w:ascii="宋体" w:hAnsi="宋体" w:eastAsia="宋体" w:cs="宋体"/>
                <w:kern w:val="0"/>
                <w:sz w:val="22"/>
              </w:rPr>
            </w:pPr>
            <w:r>
              <w:rPr>
                <w:rFonts w:hint="eastAsia" w:ascii="宋体" w:hAnsi="宋体" w:eastAsia="宋体" w:cs="宋体"/>
                <w:kern w:val="0"/>
                <w:sz w:val="22"/>
              </w:rPr>
              <w:t>吸顶空调</w:t>
            </w:r>
          </w:p>
        </w:tc>
        <w:tc>
          <w:tcPr>
            <w:tcW w:w="3484" w:type="pct"/>
          </w:tcPr>
          <w:p w14:paraId="2D251DDA">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1.技术指标及参数要求：</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1)3P 双制吸顶空调。</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2)制冷量（W）≥7200，制热量（W）≥9200。</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3)制冷功率（W）≥2200, 制热功率(W) ≥2700。</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4 能效等</w:t>
            </w:r>
            <w:r>
              <w:rPr>
                <w:rFonts w:hint="eastAsia" w:ascii="宋体" w:hAnsi="宋体" w:eastAsia="宋体" w:cs="宋体"/>
                <w:kern w:val="0"/>
                <w:sz w:val="22"/>
              </w:rPr>
              <w:t>级为1</w:t>
            </w:r>
            <w:r>
              <w:rPr>
                <w:rFonts w:hint="eastAsia" w:ascii="宋体" w:hAnsi="宋体" w:eastAsia="宋体" w:cs="宋体"/>
                <w:color w:val="000000"/>
                <w:kern w:val="0"/>
                <w:sz w:val="22"/>
              </w:rPr>
              <w:t xml:space="preserve"> 级。</w:t>
            </w:r>
          </w:p>
        </w:tc>
        <w:tc>
          <w:tcPr>
            <w:tcW w:w="328" w:type="pct"/>
            <w:vAlign w:val="center"/>
          </w:tcPr>
          <w:p w14:paraId="1291111E">
            <w:pPr>
              <w:widowControl/>
              <w:jc w:val="center"/>
              <w:rPr>
                <w:rFonts w:hint="eastAsia" w:ascii="宋体" w:hAnsi="宋体" w:eastAsia="宋体" w:cs="宋体"/>
                <w:kern w:val="0"/>
                <w:sz w:val="22"/>
              </w:rPr>
            </w:pPr>
            <w:r>
              <w:rPr>
                <w:rFonts w:hint="eastAsia" w:ascii="宋体" w:hAnsi="宋体" w:eastAsia="宋体" w:cs="宋体"/>
                <w:kern w:val="0"/>
                <w:sz w:val="22"/>
              </w:rPr>
              <w:t>4</w:t>
            </w:r>
          </w:p>
        </w:tc>
        <w:tc>
          <w:tcPr>
            <w:tcW w:w="263" w:type="pct"/>
            <w:vAlign w:val="center"/>
          </w:tcPr>
          <w:p w14:paraId="478DBCFB">
            <w:pPr>
              <w:widowControl/>
              <w:jc w:val="center"/>
              <w:rPr>
                <w:rFonts w:hint="eastAsia" w:ascii="宋体" w:hAnsi="宋体" w:eastAsia="宋体" w:cs="宋体"/>
                <w:kern w:val="0"/>
                <w:sz w:val="22"/>
              </w:rPr>
            </w:pPr>
            <w:r>
              <w:rPr>
                <w:rFonts w:hint="eastAsia" w:ascii="宋体" w:hAnsi="宋体" w:eastAsia="宋体" w:cs="宋体"/>
                <w:kern w:val="0"/>
                <w:sz w:val="22"/>
              </w:rPr>
              <w:t>套</w:t>
            </w:r>
          </w:p>
        </w:tc>
      </w:tr>
      <w:tr w14:paraId="20CDD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263" w:type="pct"/>
            <w:vAlign w:val="center"/>
          </w:tcPr>
          <w:p w14:paraId="0F977EC7">
            <w:pPr>
              <w:widowControl/>
              <w:jc w:val="center"/>
              <w:rPr>
                <w:rFonts w:hint="eastAsia" w:ascii="宋体" w:hAnsi="宋体" w:eastAsia="宋体" w:cs="宋体"/>
                <w:kern w:val="0"/>
                <w:sz w:val="22"/>
              </w:rPr>
            </w:pPr>
            <w:r>
              <w:rPr>
                <w:rFonts w:hint="eastAsia" w:ascii="宋体" w:hAnsi="宋体" w:eastAsia="宋体" w:cs="宋体"/>
                <w:kern w:val="0"/>
                <w:sz w:val="22"/>
              </w:rPr>
              <w:t>19</w:t>
            </w:r>
          </w:p>
        </w:tc>
        <w:tc>
          <w:tcPr>
            <w:tcW w:w="661" w:type="pct"/>
            <w:noWrap/>
            <w:vAlign w:val="center"/>
          </w:tcPr>
          <w:p w14:paraId="1EBC6963">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环境改造</w:t>
            </w:r>
          </w:p>
        </w:tc>
        <w:tc>
          <w:tcPr>
            <w:tcW w:w="3484" w:type="pct"/>
          </w:tcPr>
          <w:p w14:paraId="5428C067">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1.技术指标及参数要求：</w:t>
            </w:r>
          </w:p>
          <w:p w14:paraId="65815106">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 xml:space="preserve">1)吊顶：定制造型吊顶。 </w:t>
            </w:r>
          </w:p>
          <w:p w14:paraId="5A00C3DC">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2)护眼灯：采用 LED 正白平板灯,光通量 3600-3800 （Lm），外壳材质铝+亚克力，寿命 50000（H）。</w:t>
            </w:r>
          </w:p>
          <w:p w14:paraId="79AAB6B9">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3)其他：教室门做隔音美观处理、窗户隔音降噪美观 处理、包暖气片、窗帘盒、配备面板插座及开关面板、灯、踢脚线处理及遮光窗帘等。</w:t>
            </w:r>
          </w:p>
          <w:p w14:paraId="796CF642">
            <w:pPr>
              <w:widowControl/>
              <w:jc w:val="left"/>
              <w:rPr>
                <w:rFonts w:hint="eastAsia" w:ascii="宋体" w:hAnsi="宋体" w:eastAsia="宋体" w:cs="宋体"/>
                <w:color w:val="000000"/>
                <w:kern w:val="0"/>
                <w:sz w:val="22"/>
              </w:rPr>
            </w:pPr>
            <w:r>
              <w:rPr>
                <w:rFonts w:hint="eastAsia" w:ascii="宋体" w:hAnsi="宋体" w:eastAsia="宋体" w:cs="宋体"/>
                <w:color w:val="000000"/>
                <w:kern w:val="0"/>
                <w:sz w:val="22"/>
              </w:rPr>
              <w:t>4)墙壁工程：根据吊顶设计墙壁、讲台背景墙和墙面吸音处理等。</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5)色调：墙面、地面、窗帘等着色配合协调，可提供不同色调材料搭配供选择。</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6)地面：铺设符合环保要求的高品质塑胶地板。</w:t>
            </w:r>
          </w:p>
        </w:tc>
        <w:tc>
          <w:tcPr>
            <w:tcW w:w="328" w:type="pct"/>
            <w:vAlign w:val="center"/>
          </w:tcPr>
          <w:p w14:paraId="7907E351">
            <w:pPr>
              <w:widowControl/>
              <w:jc w:val="center"/>
              <w:rPr>
                <w:rFonts w:hint="eastAsia" w:ascii="宋体" w:hAnsi="宋体" w:eastAsia="宋体" w:cs="宋体"/>
                <w:kern w:val="0"/>
                <w:sz w:val="22"/>
              </w:rPr>
            </w:pPr>
            <w:r>
              <w:rPr>
                <w:rFonts w:hint="eastAsia" w:ascii="宋体" w:hAnsi="宋体" w:eastAsia="宋体" w:cs="宋体"/>
                <w:kern w:val="0"/>
                <w:sz w:val="22"/>
              </w:rPr>
              <w:t>4</w:t>
            </w:r>
          </w:p>
        </w:tc>
        <w:tc>
          <w:tcPr>
            <w:tcW w:w="263" w:type="pct"/>
            <w:vAlign w:val="center"/>
          </w:tcPr>
          <w:p w14:paraId="46C00C49">
            <w:pPr>
              <w:widowControl/>
              <w:jc w:val="center"/>
              <w:rPr>
                <w:rFonts w:hint="eastAsia" w:ascii="宋体" w:hAnsi="宋体" w:eastAsia="宋体" w:cs="宋体"/>
                <w:kern w:val="0"/>
                <w:sz w:val="22"/>
              </w:rPr>
            </w:pPr>
            <w:r>
              <w:rPr>
                <w:rFonts w:hint="eastAsia" w:ascii="宋体" w:hAnsi="宋体" w:eastAsia="宋体" w:cs="宋体"/>
                <w:kern w:val="0"/>
                <w:sz w:val="22"/>
              </w:rPr>
              <w:t>套</w:t>
            </w:r>
          </w:p>
        </w:tc>
      </w:tr>
    </w:tbl>
    <w:p w14:paraId="1187D41C">
      <w:pPr>
        <w:spacing w:line="560" w:lineRule="exact"/>
        <w:ind w:firstLine="640" w:firstLineChars="200"/>
        <w:rPr>
          <w:rFonts w:hint="eastAsia" w:ascii="黑体" w:hAnsi="黑体" w:eastAsia="黑体"/>
          <w:sz w:val="32"/>
          <w:szCs w:val="32"/>
        </w:rPr>
      </w:pPr>
      <w:r>
        <w:rPr>
          <w:rFonts w:hint="eastAsia" w:ascii="黑体" w:hAnsi="黑体" w:eastAsia="黑体"/>
          <w:sz w:val="32"/>
          <w:szCs w:val="32"/>
        </w:rPr>
        <w:t>四、虚拟化平台维保</w:t>
      </w:r>
    </w:p>
    <w:tbl>
      <w:tblPr>
        <w:tblStyle w:val="35"/>
        <w:tblW w:w="5000" w:type="pct"/>
        <w:tblInd w:w="0" w:type="dxa"/>
        <w:tblLayout w:type="autofit"/>
        <w:tblCellMar>
          <w:top w:w="0" w:type="dxa"/>
          <w:left w:w="108" w:type="dxa"/>
          <w:bottom w:w="0" w:type="dxa"/>
          <w:right w:w="108" w:type="dxa"/>
        </w:tblCellMar>
      </w:tblPr>
      <w:tblGrid>
        <w:gridCol w:w="493"/>
        <w:gridCol w:w="1612"/>
        <w:gridCol w:w="6289"/>
        <w:gridCol w:w="494"/>
        <w:gridCol w:w="494"/>
      </w:tblGrid>
      <w:tr w14:paraId="29B83314">
        <w:tblPrEx>
          <w:tblCellMar>
            <w:top w:w="0" w:type="dxa"/>
            <w:left w:w="108" w:type="dxa"/>
            <w:bottom w:w="0" w:type="dxa"/>
            <w:right w:w="108" w:type="dxa"/>
          </w:tblCellMar>
        </w:tblPrEx>
        <w:trPr>
          <w:trHeight w:val="330" w:hRule="atLeast"/>
        </w:trPr>
        <w:tc>
          <w:tcPr>
            <w:tcW w:w="263" w:type="pct"/>
            <w:tcBorders>
              <w:top w:val="single" w:color="auto" w:sz="4" w:space="0"/>
              <w:left w:val="single" w:color="auto" w:sz="4" w:space="0"/>
              <w:bottom w:val="single" w:color="auto" w:sz="4" w:space="0"/>
              <w:right w:val="single" w:color="auto" w:sz="4" w:space="0"/>
            </w:tcBorders>
            <w:shd w:val="clear" w:color="auto" w:fill="auto"/>
            <w:vAlign w:val="center"/>
          </w:tcPr>
          <w:p w14:paraId="1490D3B4">
            <w:pPr>
              <w:widowControl/>
              <w:jc w:val="center"/>
              <w:rPr>
                <w:rFonts w:hint="eastAsia" w:ascii="宋体" w:hAnsi="宋体" w:eastAsia="宋体" w:cs="宋体"/>
                <w:b/>
                <w:bCs/>
                <w:color w:val="auto"/>
                <w:kern w:val="0"/>
                <w:sz w:val="22"/>
              </w:rPr>
            </w:pPr>
            <w:r>
              <w:rPr>
                <w:rFonts w:hint="eastAsia" w:ascii="宋体" w:hAnsi="宋体" w:eastAsia="宋体" w:cs="宋体"/>
                <w:b/>
                <w:bCs/>
                <w:color w:val="auto"/>
                <w:kern w:val="0"/>
                <w:sz w:val="22"/>
              </w:rPr>
              <w:t>序号</w:t>
            </w:r>
          </w:p>
        </w:tc>
        <w:tc>
          <w:tcPr>
            <w:tcW w:w="859" w:type="pct"/>
            <w:tcBorders>
              <w:top w:val="single" w:color="auto" w:sz="4" w:space="0"/>
              <w:left w:val="nil"/>
              <w:bottom w:val="single" w:color="auto" w:sz="4" w:space="0"/>
              <w:right w:val="single" w:color="auto" w:sz="4" w:space="0"/>
            </w:tcBorders>
            <w:shd w:val="clear" w:color="auto" w:fill="auto"/>
            <w:vAlign w:val="center"/>
          </w:tcPr>
          <w:p w14:paraId="1D73D20C">
            <w:pPr>
              <w:widowControl/>
              <w:jc w:val="center"/>
              <w:rPr>
                <w:rFonts w:hint="eastAsia" w:ascii="宋体" w:hAnsi="宋体" w:eastAsia="宋体" w:cs="宋体"/>
                <w:b/>
                <w:bCs/>
                <w:color w:val="auto"/>
                <w:kern w:val="0"/>
                <w:sz w:val="22"/>
              </w:rPr>
            </w:pPr>
            <w:r>
              <w:rPr>
                <w:rFonts w:hint="eastAsia" w:ascii="宋体" w:hAnsi="宋体" w:eastAsia="宋体" w:cs="宋体"/>
                <w:b/>
                <w:bCs/>
                <w:color w:val="auto"/>
                <w:kern w:val="0"/>
                <w:sz w:val="22"/>
              </w:rPr>
              <w:t>名称</w:t>
            </w:r>
          </w:p>
        </w:tc>
        <w:tc>
          <w:tcPr>
            <w:tcW w:w="3350" w:type="pct"/>
            <w:tcBorders>
              <w:top w:val="single" w:color="auto" w:sz="4" w:space="0"/>
              <w:left w:val="nil"/>
              <w:bottom w:val="single" w:color="auto" w:sz="4" w:space="0"/>
              <w:right w:val="single" w:color="auto" w:sz="4" w:space="0"/>
            </w:tcBorders>
            <w:shd w:val="clear" w:color="auto" w:fill="auto"/>
            <w:vAlign w:val="center"/>
          </w:tcPr>
          <w:p w14:paraId="7AD84BD7">
            <w:pPr>
              <w:widowControl/>
              <w:jc w:val="center"/>
              <w:rPr>
                <w:rFonts w:hint="eastAsia" w:ascii="宋体" w:hAnsi="宋体" w:eastAsia="宋体" w:cs="宋体"/>
                <w:b/>
                <w:bCs/>
                <w:color w:val="auto"/>
                <w:kern w:val="0"/>
                <w:sz w:val="22"/>
              </w:rPr>
            </w:pPr>
            <w:r>
              <w:rPr>
                <w:rFonts w:hint="eastAsia" w:ascii="宋体" w:hAnsi="宋体" w:eastAsia="宋体" w:cs="宋体"/>
                <w:b/>
                <w:bCs/>
                <w:color w:val="auto"/>
                <w:kern w:val="0"/>
                <w:sz w:val="22"/>
              </w:rPr>
              <w:t>描述</w:t>
            </w:r>
          </w:p>
        </w:tc>
        <w:tc>
          <w:tcPr>
            <w:tcW w:w="263" w:type="pct"/>
            <w:tcBorders>
              <w:top w:val="single" w:color="auto" w:sz="4" w:space="0"/>
              <w:left w:val="nil"/>
              <w:bottom w:val="single" w:color="auto" w:sz="4" w:space="0"/>
              <w:right w:val="single" w:color="auto" w:sz="4" w:space="0"/>
            </w:tcBorders>
            <w:shd w:val="clear" w:color="auto" w:fill="auto"/>
            <w:vAlign w:val="center"/>
          </w:tcPr>
          <w:p w14:paraId="36DC9AAF">
            <w:pPr>
              <w:widowControl/>
              <w:jc w:val="center"/>
              <w:rPr>
                <w:rFonts w:hint="eastAsia" w:ascii="宋体" w:hAnsi="宋体" w:eastAsia="宋体" w:cs="宋体"/>
                <w:b/>
                <w:bCs/>
                <w:color w:val="auto"/>
                <w:kern w:val="0"/>
                <w:sz w:val="22"/>
              </w:rPr>
            </w:pPr>
            <w:r>
              <w:rPr>
                <w:rFonts w:hint="eastAsia" w:ascii="宋体" w:hAnsi="宋体" w:eastAsia="宋体" w:cs="宋体"/>
                <w:b/>
                <w:bCs/>
                <w:color w:val="auto"/>
                <w:kern w:val="0"/>
                <w:sz w:val="22"/>
              </w:rPr>
              <w:t>数量</w:t>
            </w:r>
          </w:p>
        </w:tc>
        <w:tc>
          <w:tcPr>
            <w:tcW w:w="263" w:type="pct"/>
            <w:tcBorders>
              <w:top w:val="single" w:color="auto" w:sz="4" w:space="0"/>
              <w:left w:val="nil"/>
              <w:bottom w:val="single" w:color="auto" w:sz="4" w:space="0"/>
              <w:right w:val="single" w:color="auto" w:sz="4" w:space="0"/>
            </w:tcBorders>
            <w:shd w:val="clear" w:color="auto" w:fill="auto"/>
            <w:vAlign w:val="center"/>
          </w:tcPr>
          <w:p w14:paraId="4B733A4B">
            <w:pPr>
              <w:widowControl/>
              <w:jc w:val="center"/>
              <w:rPr>
                <w:rFonts w:hint="eastAsia" w:ascii="宋体" w:hAnsi="宋体" w:eastAsia="宋体" w:cs="宋体"/>
                <w:b/>
                <w:bCs/>
                <w:color w:val="auto"/>
                <w:kern w:val="0"/>
                <w:sz w:val="22"/>
              </w:rPr>
            </w:pPr>
            <w:r>
              <w:rPr>
                <w:rFonts w:hint="eastAsia" w:ascii="宋体" w:hAnsi="宋体" w:eastAsia="宋体" w:cs="宋体"/>
                <w:b/>
                <w:bCs/>
                <w:color w:val="auto"/>
                <w:kern w:val="0"/>
                <w:sz w:val="22"/>
              </w:rPr>
              <w:t>单位</w:t>
            </w:r>
          </w:p>
        </w:tc>
      </w:tr>
      <w:tr w14:paraId="3CF3574B">
        <w:tblPrEx>
          <w:tblCellMar>
            <w:top w:w="0" w:type="dxa"/>
            <w:left w:w="108" w:type="dxa"/>
            <w:bottom w:w="0" w:type="dxa"/>
            <w:right w:w="108" w:type="dxa"/>
          </w:tblCellMar>
        </w:tblPrEx>
        <w:trPr>
          <w:trHeight w:val="640" w:hRule="atLeast"/>
        </w:trPr>
        <w:tc>
          <w:tcPr>
            <w:tcW w:w="263" w:type="pct"/>
            <w:tcBorders>
              <w:top w:val="nil"/>
              <w:left w:val="single" w:color="auto" w:sz="4" w:space="0"/>
              <w:bottom w:val="single" w:color="auto" w:sz="4" w:space="0"/>
              <w:right w:val="single" w:color="auto" w:sz="4" w:space="0"/>
            </w:tcBorders>
            <w:shd w:val="clear" w:color="auto" w:fill="auto"/>
            <w:vAlign w:val="center"/>
          </w:tcPr>
          <w:p w14:paraId="611ED50A">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1</w:t>
            </w:r>
          </w:p>
        </w:tc>
        <w:tc>
          <w:tcPr>
            <w:tcW w:w="859" w:type="pct"/>
            <w:tcBorders>
              <w:top w:val="nil"/>
              <w:left w:val="nil"/>
              <w:bottom w:val="single" w:color="auto" w:sz="4" w:space="0"/>
              <w:right w:val="single" w:color="auto" w:sz="4" w:space="0"/>
            </w:tcBorders>
            <w:shd w:val="clear" w:color="auto" w:fill="auto"/>
            <w:vAlign w:val="center"/>
          </w:tcPr>
          <w:p w14:paraId="714372A7">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虚拟化及超融合</w:t>
            </w:r>
          </w:p>
        </w:tc>
        <w:tc>
          <w:tcPr>
            <w:tcW w:w="3350" w:type="pct"/>
            <w:tcBorders>
              <w:top w:val="nil"/>
              <w:left w:val="nil"/>
              <w:bottom w:val="single" w:color="auto" w:sz="4" w:space="0"/>
              <w:right w:val="single" w:color="auto" w:sz="4" w:space="0"/>
            </w:tcBorders>
            <w:shd w:val="clear" w:color="auto" w:fill="auto"/>
            <w:vAlign w:val="center"/>
          </w:tcPr>
          <w:p w14:paraId="603E026B">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H3C 云数软件一年7×24技术支持服务。</w:t>
            </w:r>
          </w:p>
        </w:tc>
        <w:tc>
          <w:tcPr>
            <w:tcW w:w="263" w:type="pct"/>
            <w:tcBorders>
              <w:top w:val="nil"/>
              <w:left w:val="nil"/>
              <w:bottom w:val="single" w:color="auto" w:sz="4" w:space="0"/>
              <w:right w:val="single" w:color="auto" w:sz="4" w:space="0"/>
            </w:tcBorders>
            <w:shd w:val="clear" w:color="auto" w:fill="auto"/>
            <w:vAlign w:val="center"/>
          </w:tcPr>
          <w:p w14:paraId="37BD10EC">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1</w:t>
            </w:r>
          </w:p>
        </w:tc>
        <w:tc>
          <w:tcPr>
            <w:tcW w:w="263" w:type="pct"/>
            <w:tcBorders>
              <w:top w:val="nil"/>
              <w:left w:val="nil"/>
              <w:bottom w:val="single" w:color="auto" w:sz="4" w:space="0"/>
              <w:right w:val="single" w:color="auto" w:sz="4" w:space="0"/>
            </w:tcBorders>
            <w:shd w:val="clear" w:color="auto" w:fill="auto"/>
            <w:vAlign w:val="center"/>
          </w:tcPr>
          <w:p w14:paraId="04A1EE6A">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年</w:t>
            </w:r>
          </w:p>
        </w:tc>
      </w:tr>
      <w:tr w14:paraId="54B48CFB">
        <w:tblPrEx>
          <w:tblCellMar>
            <w:top w:w="0" w:type="dxa"/>
            <w:left w:w="108" w:type="dxa"/>
            <w:bottom w:w="0" w:type="dxa"/>
            <w:right w:w="108" w:type="dxa"/>
          </w:tblCellMar>
        </w:tblPrEx>
        <w:trPr>
          <w:trHeight w:val="975" w:hRule="atLeast"/>
        </w:trPr>
        <w:tc>
          <w:tcPr>
            <w:tcW w:w="263" w:type="pct"/>
            <w:tcBorders>
              <w:top w:val="nil"/>
              <w:left w:val="single" w:color="auto" w:sz="4" w:space="0"/>
              <w:bottom w:val="single" w:color="auto" w:sz="4" w:space="0"/>
              <w:right w:val="single" w:color="auto" w:sz="4" w:space="0"/>
            </w:tcBorders>
            <w:shd w:val="clear" w:color="auto" w:fill="auto"/>
            <w:vAlign w:val="center"/>
          </w:tcPr>
          <w:p w14:paraId="13714592">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2</w:t>
            </w:r>
          </w:p>
        </w:tc>
        <w:tc>
          <w:tcPr>
            <w:tcW w:w="859" w:type="pct"/>
            <w:tcBorders>
              <w:top w:val="nil"/>
              <w:left w:val="nil"/>
              <w:bottom w:val="single" w:color="auto" w:sz="4" w:space="0"/>
              <w:right w:val="single" w:color="auto" w:sz="4" w:space="0"/>
            </w:tcBorders>
            <w:shd w:val="clear" w:color="auto" w:fill="auto"/>
            <w:vAlign w:val="center"/>
          </w:tcPr>
          <w:p w14:paraId="3E4CEBCA">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H3C UIS8000 ,统一基础架构系统</w:t>
            </w:r>
          </w:p>
        </w:tc>
        <w:tc>
          <w:tcPr>
            <w:tcW w:w="3350" w:type="pct"/>
            <w:tcBorders>
              <w:top w:val="nil"/>
              <w:left w:val="nil"/>
              <w:bottom w:val="single" w:color="auto" w:sz="4" w:space="0"/>
              <w:right w:val="single" w:color="auto" w:sz="4" w:space="0"/>
            </w:tcBorders>
            <w:shd w:val="clear" w:color="auto" w:fill="auto"/>
            <w:vAlign w:val="center"/>
          </w:tcPr>
          <w:p w14:paraId="418DBCD2">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单独维保-H3C云数产品-7×24四小时现场支持。</w:t>
            </w:r>
          </w:p>
        </w:tc>
        <w:tc>
          <w:tcPr>
            <w:tcW w:w="263" w:type="pct"/>
            <w:tcBorders>
              <w:top w:val="nil"/>
              <w:left w:val="nil"/>
              <w:bottom w:val="single" w:color="auto" w:sz="4" w:space="0"/>
              <w:right w:val="single" w:color="auto" w:sz="4" w:space="0"/>
            </w:tcBorders>
            <w:shd w:val="clear" w:color="auto" w:fill="auto"/>
            <w:vAlign w:val="center"/>
          </w:tcPr>
          <w:p w14:paraId="07FCD3F2">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1</w:t>
            </w:r>
          </w:p>
        </w:tc>
        <w:tc>
          <w:tcPr>
            <w:tcW w:w="263" w:type="pct"/>
            <w:tcBorders>
              <w:top w:val="nil"/>
              <w:left w:val="nil"/>
              <w:bottom w:val="single" w:color="auto" w:sz="4" w:space="0"/>
              <w:right w:val="single" w:color="auto" w:sz="4" w:space="0"/>
            </w:tcBorders>
            <w:shd w:val="clear" w:color="auto" w:fill="auto"/>
            <w:vAlign w:val="center"/>
          </w:tcPr>
          <w:p w14:paraId="0302CC86">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年</w:t>
            </w:r>
          </w:p>
        </w:tc>
      </w:tr>
      <w:tr w14:paraId="6E2A8DAB">
        <w:tblPrEx>
          <w:tblCellMar>
            <w:top w:w="0" w:type="dxa"/>
            <w:left w:w="108" w:type="dxa"/>
            <w:bottom w:w="0" w:type="dxa"/>
            <w:right w:w="108" w:type="dxa"/>
          </w:tblCellMar>
        </w:tblPrEx>
        <w:trPr>
          <w:trHeight w:val="980" w:hRule="atLeast"/>
        </w:trPr>
        <w:tc>
          <w:tcPr>
            <w:tcW w:w="263" w:type="pct"/>
            <w:tcBorders>
              <w:top w:val="single" w:color="auto" w:sz="4" w:space="0"/>
              <w:left w:val="single" w:color="auto" w:sz="4" w:space="0"/>
              <w:bottom w:val="single" w:color="auto" w:sz="4" w:space="0"/>
              <w:right w:val="single" w:color="auto" w:sz="4" w:space="0"/>
            </w:tcBorders>
            <w:shd w:val="clear" w:color="auto" w:fill="auto"/>
            <w:vAlign w:val="center"/>
          </w:tcPr>
          <w:p w14:paraId="370771A0">
            <w:pPr>
              <w:widowControl/>
              <w:rPr>
                <w:rFonts w:hint="eastAsia" w:ascii="宋体" w:hAnsi="宋体" w:eastAsia="宋体" w:cs="宋体"/>
                <w:color w:val="auto"/>
                <w:kern w:val="0"/>
                <w:sz w:val="22"/>
              </w:rPr>
            </w:pPr>
            <w:r>
              <w:rPr>
                <w:rFonts w:hint="eastAsia" w:ascii="宋体" w:hAnsi="宋体" w:eastAsia="宋体" w:cs="宋体"/>
                <w:color w:val="auto"/>
                <w:kern w:val="0"/>
                <w:sz w:val="22"/>
              </w:rPr>
              <w:t>3</w:t>
            </w:r>
          </w:p>
        </w:tc>
        <w:tc>
          <w:tcPr>
            <w:tcW w:w="859" w:type="pct"/>
            <w:tcBorders>
              <w:top w:val="single" w:color="auto" w:sz="4" w:space="0"/>
              <w:left w:val="nil"/>
              <w:bottom w:val="single" w:color="auto" w:sz="4" w:space="0"/>
              <w:right w:val="single" w:color="auto" w:sz="4" w:space="0"/>
            </w:tcBorders>
            <w:shd w:val="clear" w:color="auto" w:fill="auto"/>
            <w:vAlign w:val="center"/>
          </w:tcPr>
          <w:p w14:paraId="701D930E">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H3C UIS B390刀片服务器</w:t>
            </w:r>
          </w:p>
        </w:tc>
        <w:tc>
          <w:tcPr>
            <w:tcW w:w="3350" w:type="pct"/>
            <w:tcBorders>
              <w:top w:val="single" w:color="auto" w:sz="4" w:space="0"/>
              <w:left w:val="nil"/>
              <w:bottom w:val="single" w:color="auto" w:sz="4" w:space="0"/>
              <w:right w:val="single" w:color="auto" w:sz="4" w:space="0"/>
            </w:tcBorders>
            <w:shd w:val="clear" w:color="auto" w:fill="auto"/>
            <w:vAlign w:val="center"/>
          </w:tcPr>
          <w:p w14:paraId="7D78FD28">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单独维保-H3C云数产品-7×24四小时现场支持。</w:t>
            </w:r>
          </w:p>
        </w:tc>
        <w:tc>
          <w:tcPr>
            <w:tcW w:w="263" w:type="pct"/>
            <w:tcBorders>
              <w:top w:val="single" w:color="auto" w:sz="4" w:space="0"/>
              <w:left w:val="nil"/>
              <w:bottom w:val="single" w:color="auto" w:sz="4" w:space="0"/>
              <w:right w:val="single" w:color="auto" w:sz="4" w:space="0"/>
            </w:tcBorders>
            <w:shd w:val="clear" w:color="auto" w:fill="auto"/>
            <w:vAlign w:val="center"/>
          </w:tcPr>
          <w:p w14:paraId="05DC39E5">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1</w:t>
            </w:r>
          </w:p>
        </w:tc>
        <w:tc>
          <w:tcPr>
            <w:tcW w:w="263" w:type="pct"/>
            <w:tcBorders>
              <w:top w:val="single" w:color="auto" w:sz="4" w:space="0"/>
              <w:left w:val="nil"/>
              <w:bottom w:val="single" w:color="auto" w:sz="4" w:space="0"/>
              <w:right w:val="single" w:color="auto" w:sz="4" w:space="0"/>
            </w:tcBorders>
            <w:shd w:val="clear" w:color="auto" w:fill="auto"/>
            <w:vAlign w:val="center"/>
          </w:tcPr>
          <w:p w14:paraId="47DF28AA">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年</w:t>
            </w:r>
          </w:p>
        </w:tc>
      </w:tr>
      <w:tr w14:paraId="03C50E1C">
        <w:tblPrEx>
          <w:tblCellMar>
            <w:top w:w="0" w:type="dxa"/>
            <w:left w:w="108" w:type="dxa"/>
            <w:bottom w:w="0" w:type="dxa"/>
            <w:right w:w="108" w:type="dxa"/>
          </w:tblCellMar>
        </w:tblPrEx>
        <w:trPr>
          <w:trHeight w:val="980" w:hRule="atLeast"/>
        </w:trPr>
        <w:tc>
          <w:tcPr>
            <w:tcW w:w="263" w:type="pct"/>
            <w:tcBorders>
              <w:top w:val="single" w:color="auto" w:sz="4" w:space="0"/>
              <w:left w:val="single" w:color="auto" w:sz="4" w:space="0"/>
              <w:bottom w:val="single" w:color="auto" w:sz="4" w:space="0"/>
              <w:right w:val="single" w:color="auto" w:sz="4" w:space="0"/>
            </w:tcBorders>
            <w:shd w:val="clear" w:color="auto" w:fill="auto"/>
            <w:vAlign w:val="center"/>
          </w:tcPr>
          <w:p w14:paraId="0623D5B4">
            <w:pPr>
              <w:widowControl/>
              <w:rPr>
                <w:rFonts w:hint="eastAsia" w:ascii="宋体" w:hAnsi="宋体" w:eastAsia="宋体" w:cs="宋体"/>
                <w:color w:val="auto"/>
                <w:kern w:val="0"/>
                <w:sz w:val="22"/>
              </w:rPr>
            </w:pPr>
            <w:r>
              <w:rPr>
                <w:rFonts w:hint="eastAsia" w:ascii="宋体" w:hAnsi="宋体" w:eastAsia="宋体" w:cs="宋体"/>
                <w:color w:val="auto"/>
                <w:kern w:val="0"/>
                <w:sz w:val="22"/>
              </w:rPr>
              <w:t>4</w:t>
            </w:r>
          </w:p>
        </w:tc>
        <w:tc>
          <w:tcPr>
            <w:tcW w:w="859" w:type="pct"/>
            <w:tcBorders>
              <w:top w:val="single" w:color="auto" w:sz="4" w:space="0"/>
              <w:left w:val="nil"/>
              <w:bottom w:val="single" w:color="auto" w:sz="4" w:space="0"/>
              <w:right w:val="single" w:color="auto" w:sz="4" w:space="0"/>
            </w:tcBorders>
            <w:shd w:val="clear" w:color="auto" w:fill="auto"/>
            <w:vAlign w:val="center"/>
          </w:tcPr>
          <w:p w14:paraId="7FCE2535">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H3C FlexStorage D3000,刀片存储</w:t>
            </w:r>
          </w:p>
        </w:tc>
        <w:tc>
          <w:tcPr>
            <w:tcW w:w="3350" w:type="pct"/>
            <w:tcBorders>
              <w:top w:val="single" w:color="auto" w:sz="4" w:space="0"/>
              <w:left w:val="nil"/>
              <w:bottom w:val="single" w:color="auto" w:sz="4" w:space="0"/>
              <w:right w:val="single" w:color="auto" w:sz="4" w:space="0"/>
            </w:tcBorders>
            <w:shd w:val="clear" w:color="auto" w:fill="auto"/>
            <w:vAlign w:val="center"/>
          </w:tcPr>
          <w:p w14:paraId="6ED20CEA">
            <w:pPr>
              <w:widowControl/>
              <w:jc w:val="left"/>
              <w:rPr>
                <w:rFonts w:hint="eastAsia" w:ascii="宋体" w:hAnsi="宋体" w:eastAsia="宋体" w:cs="宋体"/>
                <w:color w:val="auto"/>
                <w:kern w:val="0"/>
                <w:sz w:val="22"/>
              </w:rPr>
            </w:pPr>
            <w:r>
              <w:rPr>
                <w:rFonts w:hint="eastAsia" w:ascii="宋体" w:hAnsi="宋体" w:eastAsia="宋体" w:cs="宋体"/>
                <w:color w:val="auto"/>
                <w:kern w:val="0"/>
                <w:sz w:val="22"/>
              </w:rPr>
              <w:t>单独维保-H3C云数产品-7×24四小时现场支持。</w:t>
            </w:r>
          </w:p>
        </w:tc>
        <w:tc>
          <w:tcPr>
            <w:tcW w:w="263" w:type="pct"/>
            <w:tcBorders>
              <w:top w:val="single" w:color="auto" w:sz="4" w:space="0"/>
              <w:left w:val="nil"/>
              <w:bottom w:val="single" w:color="auto" w:sz="4" w:space="0"/>
              <w:right w:val="single" w:color="auto" w:sz="4" w:space="0"/>
            </w:tcBorders>
            <w:shd w:val="clear" w:color="auto" w:fill="auto"/>
            <w:vAlign w:val="center"/>
          </w:tcPr>
          <w:p w14:paraId="3DD8A0BF">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1</w:t>
            </w:r>
          </w:p>
        </w:tc>
        <w:tc>
          <w:tcPr>
            <w:tcW w:w="263" w:type="pct"/>
            <w:tcBorders>
              <w:top w:val="single" w:color="auto" w:sz="4" w:space="0"/>
              <w:left w:val="nil"/>
              <w:bottom w:val="single" w:color="auto" w:sz="4" w:space="0"/>
              <w:right w:val="single" w:color="auto" w:sz="4" w:space="0"/>
            </w:tcBorders>
            <w:shd w:val="clear" w:color="auto" w:fill="auto"/>
            <w:vAlign w:val="center"/>
          </w:tcPr>
          <w:p w14:paraId="5BBF1B20">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年</w:t>
            </w:r>
          </w:p>
        </w:tc>
      </w:tr>
      <w:tr w14:paraId="5C657BAE">
        <w:tblPrEx>
          <w:tblCellMar>
            <w:top w:w="0" w:type="dxa"/>
            <w:left w:w="108" w:type="dxa"/>
            <w:bottom w:w="0" w:type="dxa"/>
            <w:right w:w="108" w:type="dxa"/>
          </w:tblCellMar>
        </w:tblPrEx>
        <w:trPr>
          <w:trHeight w:val="742" w:hRule="atLeast"/>
        </w:trPr>
        <w:tc>
          <w:tcPr>
            <w:tcW w:w="263" w:type="pct"/>
            <w:tcBorders>
              <w:top w:val="single" w:color="auto" w:sz="4" w:space="0"/>
              <w:left w:val="single" w:color="auto" w:sz="4" w:space="0"/>
              <w:bottom w:val="single" w:color="auto" w:sz="4" w:space="0"/>
              <w:right w:val="single" w:color="auto" w:sz="4" w:space="0"/>
            </w:tcBorders>
            <w:shd w:val="clear" w:color="auto" w:fill="auto"/>
            <w:vAlign w:val="center"/>
          </w:tcPr>
          <w:p w14:paraId="1E0F1978">
            <w:pPr>
              <w:widowControl/>
              <w:rPr>
                <w:rFonts w:hint="eastAsia" w:ascii="宋体" w:hAnsi="宋体" w:eastAsia="宋体" w:cs="宋体"/>
                <w:color w:val="auto"/>
                <w:kern w:val="0"/>
                <w:sz w:val="22"/>
              </w:rPr>
            </w:pPr>
            <w:r>
              <w:rPr>
                <w:rFonts w:hint="eastAsia" w:ascii="宋体" w:hAnsi="宋体" w:eastAsia="宋体" w:cs="宋体"/>
                <w:color w:val="auto"/>
                <w:kern w:val="0"/>
                <w:sz w:val="22"/>
              </w:rPr>
              <w:t>5</w:t>
            </w:r>
          </w:p>
        </w:tc>
        <w:tc>
          <w:tcPr>
            <w:tcW w:w="859" w:type="pct"/>
            <w:tcBorders>
              <w:top w:val="single" w:color="auto" w:sz="4" w:space="0"/>
              <w:left w:val="nil"/>
              <w:bottom w:val="single" w:color="auto" w:sz="4" w:space="0"/>
              <w:right w:val="single" w:color="auto" w:sz="4" w:space="0"/>
            </w:tcBorders>
            <w:shd w:val="clear" w:color="auto" w:fill="auto"/>
            <w:vAlign w:val="center"/>
          </w:tcPr>
          <w:p w14:paraId="7C1B1FB3">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服务内容</w:t>
            </w:r>
          </w:p>
        </w:tc>
        <w:tc>
          <w:tcPr>
            <w:tcW w:w="3350" w:type="pct"/>
            <w:tcBorders>
              <w:top w:val="single" w:color="auto" w:sz="4" w:space="0"/>
              <w:left w:val="nil"/>
              <w:bottom w:val="single" w:color="auto" w:sz="4" w:space="0"/>
              <w:right w:val="single" w:color="auto" w:sz="4" w:space="0"/>
            </w:tcBorders>
            <w:shd w:val="clear" w:color="auto" w:fill="auto"/>
          </w:tcPr>
          <w:p w14:paraId="48884EF1">
            <w:pPr>
              <w:widowControl/>
              <w:jc w:val="left"/>
              <w:rPr>
                <w:rFonts w:hint="eastAsia" w:ascii="宋体" w:hAnsi="宋体" w:eastAsia="宋体" w:cs="宋体"/>
                <w:color w:val="auto"/>
                <w:sz w:val="22"/>
              </w:rPr>
            </w:pPr>
            <w:r>
              <w:rPr>
                <w:rFonts w:hint="eastAsia" w:ascii="宋体" w:hAnsi="宋体" w:eastAsia="宋体" w:cs="宋体"/>
                <w:color w:val="auto"/>
                <w:sz w:val="22"/>
              </w:rPr>
              <w:t>1.对当前云平台与软件进行日常维护和例行监控，并提供操作指导，提供每月一次远程或现场设备巡检；</w:t>
            </w:r>
          </w:p>
          <w:p w14:paraId="43445A7F">
            <w:pPr>
              <w:widowControl/>
              <w:jc w:val="left"/>
              <w:rPr>
                <w:rFonts w:hint="eastAsia" w:ascii="宋体" w:hAnsi="宋体" w:eastAsia="宋体" w:cs="宋体"/>
                <w:color w:val="auto"/>
                <w:sz w:val="22"/>
              </w:rPr>
            </w:pPr>
            <w:r>
              <w:rPr>
                <w:rFonts w:hint="eastAsia" w:ascii="宋体" w:hAnsi="宋体" w:eastAsia="宋体" w:cs="宋体"/>
                <w:color w:val="auto"/>
                <w:sz w:val="22"/>
              </w:rPr>
              <w:t>2.快速分析、诊断、解决故障，跟踪问题的处理进展并定期回顾，提供维护建议。当一线技术人员无法快速定位故障时应及时进行问题升级到二线及研发团队；</w:t>
            </w:r>
          </w:p>
          <w:p w14:paraId="5A2AF1F3">
            <w:pPr>
              <w:widowControl/>
              <w:jc w:val="left"/>
              <w:rPr>
                <w:rFonts w:hint="eastAsia" w:ascii="宋体" w:hAnsi="宋体" w:eastAsia="宋体" w:cs="宋体"/>
                <w:color w:val="auto"/>
                <w:sz w:val="22"/>
              </w:rPr>
            </w:pPr>
            <w:r>
              <w:rPr>
                <w:rFonts w:hint="eastAsia" w:ascii="宋体" w:hAnsi="宋体" w:eastAsia="宋体" w:cs="宋体"/>
                <w:color w:val="auto"/>
                <w:sz w:val="22"/>
              </w:rPr>
              <w:t>3.基于现有版本及业务情况评估版本公告风险，对有影响的给公告预警；</w:t>
            </w:r>
          </w:p>
          <w:p w14:paraId="058475FC">
            <w:pPr>
              <w:widowControl/>
              <w:jc w:val="left"/>
              <w:rPr>
                <w:rFonts w:hint="eastAsia" w:ascii="宋体" w:hAnsi="宋体" w:eastAsia="宋体" w:cs="宋体"/>
                <w:color w:val="auto"/>
                <w:sz w:val="22"/>
              </w:rPr>
            </w:pPr>
            <w:r>
              <w:rPr>
                <w:rFonts w:hint="eastAsia" w:ascii="宋体" w:hAnsi="宋体" w:eastAsia="宋体" w:cs="宋体"/>
                <w:color w:val="auto"/>
                <w:sz w:val="22"/>
              </w:rPr>
              <w:t>4.为产品提供维护性软件版本、补丁及软件升级服务；</w:t>
            </w:r>
          </w:p>
          <w:p w14:paraId="576DB5C2">
            <w:pPr>
              <w:widowControl/>
              <w:jc w:val="left"/>
              <w:rPr>
                <w:rFonts w:hint="eastAsia" w:ascii="宋体" w:hAnsi="宋体" w:eastAsia="宋体" w:cs="宋体"/>
                <w:color w:val="auto"/>
                <w:sz w:val="22"/>
              </w:rPr>
            </w:pPr>
            <w:r>
              <w:rPr>
                <w:rFonts w:hint="eastAsia" w:ascii="宋体" w:hAnsi="宋体" w:eastAsia="宋体" w:cs="宋体"/>
                <w:color w:val="auto"/>
                <w:sz w:val="22"/>
              </w:rPr>
              <w:t>5.制定详细的变更实施方案，完成虚拟化及超融合产品变更需求；</w:t>
            </w:r>
          </w:p>
          <w:p w14:paraId="7DAD9730">
            <w:pPr>
              <w:widowControl/>
              <w:jc w:val="left"/>
              <w:rPr>
                <w:rFonts w:hint="eastAsia" w:ascii="宋体" w:hAnsi="宋体" w:eastAsia="宋体" w:cs="宋体"/>
                <w:color w:val="auto"/>
                <w:sz w:val="22"/>
              </w:rPr>
            </w:pPr>
            <w:r>
              <w:rPr>
                <w:rFonts w:hint="eastAsia" w:ascii="宋体" w:hAnsi="宋体" w:eastAsia="宋体" w:cs="宋体"/>
                <w:color w:val="auto"/>
                <w:sz w:val="22"/>
              </w:rPr>
              <w:t>6.在有变更需求时，运维人员制定详细的变更方案，从业务和管理运维角度进行风险分析，确认变更风险点、影响范围，并针对风险制定有效防范措施。审核变更实施操作的准确性、验证测试方案的完整性和应急回退预案的有效性。实施变更，完整记录每步操作，并完成变更完成后的验证测试工作；</w:t>
            </w:r>
          </w:p>
          <w:p w14:paraId="2568F816">
            <w:pPr>
              <w:widowControl/>
              <w:jc w:val="left"/>
              <w:rPr>
                <w:rFonts w:hint="eastAsia" w:ascii="宋体" w:hAnsi="宋体" w:eastAsia="宋体" w:cs="宋体"/>
                <w:color w:val="auto"/>
                <w:sz w:val="22"/>
              </w:rPr>
            </w:pPr>
            <w:r>
              <w:rPr>
                <w:rFonts w:hint="eastAsia" w:ascii="宋体" w:hAnsi="宋体" w:eastAsia="宋体" w:cs="宋体"/>
                <w:color w:val="auto"/>
                <w:sz w:val="22"/>
              </w:rPr>
              <w:t>7.对重大工程设计方案、实施方案、重大割接、变更方案进行技术审核，保障方案的健壮性和可靠性。对技术难度高的方案升级到总部三线专家团队进行综合评审，并视情况可以申请总部验证测试；</w:t>
            </w:r>
          </w:p>
          <w:p w14:paraId="0A0AF1AA">
            <w:pPr>
              <w:widowControl/>
              <w:jc w:val="left"/>
              <w:rPr>
                <w:rFonts w:hint="eastAsia" w:ascii="宋体" w:hAnsi="宋体" w:eastAsia="宋体" w:cs="宋体"/>
                <w:color w:val="auto"/>
                <w:sz w:val="22"/>
              </w:rPr>
            </w:pPr>
            <w:r>
              <w:rPr>
                <w:rFonts w:hint="eastAsia" w:ascii="宋体" w:hAnsi="宋体" w:eastAsia="宋体" w:cs="宋体"/>
                <w:color w:val="auto"/>
                <w:sz w:val="22"/>
              </w:rPr>
              <w:t>8.服务期满后10个工作日内，须提供年终总结报告；</w:t>
            </w:r>
          </w:p>
          <w:p w14:paraId="47D6634B">
            <w:pPr>
              <w:widowControl/>
              <w:rPr>
                <w:rFonts w:hint="eastAsia" w:ascii="宋体" w:hAnsi="宋体" w:eastAsia="宋体" w:cs="宋体"/>
                <w:color w:val="auto"/>
                <w:sz w:val="22"/>
              </w:rPr>
            </w:pPr>
            <w:r>
              <w:rPr>
                <w:rFonts w:hint="eastAsia" w:ascii="宋体" w:hAnsi="宋体" w:eastAsia="宋体" w:cs="宋体"/>
                <w:color w:val="auto"/>
                <w:sz w:val="22"/>
              </w:rPr>
              <w:t>9.在重大会议期间、网络重大割接后或其它任何可能对业务运营产生重大影响的时刻，提供专业系统、定制化的保障服务。协助完成涉及本项目产品相关工作，如对实施方给予必要的指导和配合等。</w:t>
            </w:r>
          </w:p>
          <w:p w14:paraId="30E51671">
            <w:pPr>
              <w:widowControl/>
              <w:rPr>
                <w:rFonts w:hint="eastAsia" w:ascii="宋体" w:hAnsi="宋体" w:eastAsia="宋体" w:cs="宋体"/>
                <w:color w:val="auto"/>
                <w:sz w:val="22"/>
              </w:rPr>
            </w:pPr>
            <w:r>
              <w:rPr>
                <w:rFonts w:hint="eastAsia" w:ascii="宋体" w:hAnsi="宋体" w:eastAsia="宋体" w:cs="宋体"/>
                <w:color w:val="auto"/>
                <w:sz w:val="22"/>
              </w:rPr>
              <w:t>10.服务商提供节假日保障工作。节假日包括国家规定的各项法定节假日及重大会议、活动。在此期间，服务商应提供保障接口人。并将接口人员的联系方式提前汇报给需求方。节假日期间，如遇到异常事件，服务商应具有足够的技术能力，在约定的时间范围内，快速处理故障，并将处理结果汇报给需求方。确保云平台系统在节假日期间稳定运行。</w:t>
            </w:r>
          </w:p>
          <w:p w14:paraId="59AC00D1">
            <w:pPr>
              <w:widowControl/>
              <w:rPr>
                <w:rFonts w:hint="eastAsia" w:ascii="宋体" w:hAnsi="宋体" w:eastAsia="宋体" w:cs="宋体"/>
                <w:color w:val="auto"/>
                <w:sz w:val="22"/>
              </w:rPr>
            </w:pPr>
            <w:r>
              <w:rPr>
                <w:rFonts w:hint="eastAsia" w:ascii="宋体" w:hAnsi="宋体" w:eastAsia="宋体" w:cs="宋体"/>
                <w:color w:val="auto"/>
                <w:sz w:val="22"/>
              </w:rPr>
              <w:t>11.为提升学院自身技术水平及运维管理能力，服务商运维团队需按照学院的培训需求，准备好培训教材，进行现场或远程专题培训。</w:t>
            </w:r>
          </w:p>
          <w:p w14:paraId="42D094E5">
            <w:pPr>
              <w:widowControl/>
              <w:rPr>
                <w:rFonts w:hint="eastAsia" w:ascii="宋体" w:hAnsi="宋体" w:eastAsia="宋体" w:cs="宋体"/>
                <w:color w:val="auto"/>
                <w:sz w:val="22"/>
              </w:rPr>
            </w:pPr>
            <w:r>
              <w:rPr>
                <w:rFonts w:hint="eastAsia" w:ascii="宋体" w:hAnsi="宋体" w:eastAsia="宋体" w:cs="宋体"/>
                <w:color w:val="auto"/>
                <w:sz w:val="22"/>
              </w:rPr>
              <w:t>12.培训内容包含，但不限于以下培训内容，具体培训需求可根据实际情况进行调整。1）CAS虚拟化平台日常维护及故障定位指导2）Onestore产品介绍、典型配置、日常维护及故障定位指导。</w:t>
            </w:r>
          </w:p>
        </w:tc>
        <w:tc>
          <w:tcPr>
            <w:tcW w:w="263" w:type="pct"/>
            <w:tcBorders>
              <w:top w:val="single" w:color="auto" w:sz="4" w:space="0"/>
              <w:left w:val="nil"/>
              <w:bottom w:val="single" w:color="auto" w:sz="4" w:space="0"/>
              <w:right w:val="single" w:color="auto" w:sz="4" w:space="0"/>
            </w:tcBorders>
            <w:shd w:val="clear" w:color="auto" w:fill="auto"/>
            <w:vAlign w:val="center"/>
          </w:tcPr>
          <w:p w14:paraId="3842331F">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1</w:t>
            </w:r>
          </w:p>
        </w:tc>
        <w:tc>
          <w:tcPr>
            <w:tcW w:w="263" w:type="pct"/>
            <w:tcBorders>
              <w:top w:val="single" w:color="auto" w:sz="4" w:space="0"/>
              <w:left w:val="nil"/>
              <w:bottom w:val="single" w:color="auto" w:sz="4" w:space="0"/>
              <w:right w:val="single" w:color="auto" w:sz="4" w:space="0"/>
            </w:tcBorders>
            <w:shd w:val="clear" w:color="auto" w:fill="auto"/>
            <w:vAlign w:val="center"/>
          </w:tcPr>
          <w:p w14:paraId="05F751DF">
            <w:pPr>
              <w:widowControl/>
              <w:rPr>
                <w:rFonts w:hint="eastAsia" w:ascii="宋体" w:hAnsi="宋体" w:eastAsia="宋体" w:cs="宋体"/>
                <w:color w:val="auto"/>
                <w:kern w:val="0"/>
                <w:sz w:val="22"/>
              </w:rPr>
            </w:pPr>
            <w:r>
              <w:rPr>
                <w:rFonts w:hint="eastAsia" w:ascii="宋体" w:hAnsi="宋体" w:eastAsia="宋体" w:cs="宋体"/>
                <w:color w:val="auto"/>
                <w:kern w:val="0"/>
                <w:sz w:val="22"/>
              </w:rPr>
              <w:t>年</w:t>
            </w:r>
          </w:p>
        </w:tc>
      </w:tr>
      <w:tr w14:paraId="47C2BD54">
        <w:tblPrEx>
          <w:tblCellMar>
            <w:top w:w="0" w:type="dxa"/>
            <w:left w:w="108" w:type="dxa"/>
            <w:bottom w:w="0" w:type="dxa"/>
            <w:right w:w="108" w:type="dxa"/>
          </w:tblCellMar>
        </w:tblPrEx>
        <w:trPr>
          <w:trHeight w:val="980" w:hRule="atLeast"/>
        </w:trPr>
        <w:tc>
          <w:tcPr>
            <w:tcW w:w="263" w:type="pct"/>
            <w:tcBorders>
              <w:top w:val="single" w:color="auto" w:sz="4" w:space="0"/>
              <w:left w:val="single" w:color="auto" w:sz="4" w:space="0"/>
              <w:bottom w:val="single" w:color="auto" w:sz="4" w:space="0"/>
              <w:right w:val="single" w:color="auto" w:sz="4" w:space="0"/>
            </w:tcBorders>
            <w:shd w:val="clear" w:color="auto" w:fill="auto"/>
            <w:vAlign w:val="center"/>
          </w:tcPr>
          <w:p w14:paraId="130B695F">
            <w:pPr>
              <w:widowControl/>
              <w:rPr>
                <w:rFonts w:hint="eastAsia" w:ascii="宋体" w:hAnsi="宋体" w:eastAsia="宋体" w:cs="宋体"/>
                <w:color w:val="auto"/>
                <w:kern w:val="0"/>
                <w:sz w:val="22"/>
              </w:rPr>
            </w:pPr>
            <w:r>
              <w:rPr>
                <w:rFonts w:hint="eastAsia" w:ascii="宋体" w:hAnsi="宋体" w:eastAsia="宋体" w:cs="宋体"/>
                <w:color w:val="auto"/>
                <w:kern w:val="0"/>
                <w:sz w:val="22"/>
              </w:rPr>
              <w:t>6</w:t>
            </w:r>
          </w:p>
        </w:tc>
        <w:tc>
          <w:tcPr>
            <w:tcW w:w="859" w:type="pct"/>
            <w:tcBorders>
              <w:top w:val="single" w:color="auto" w:sz="4" w:space="0"/>
              <w:left w:val="nil"/>
              <w:bottom w:val="single" w:color="auto" w:sz="4" w:space="0"/>
              <w:right w:val="single" w:color="auto" w:sz="4" w:space="0"/>
            </w:tcBorders>
            <w:shd w:val="clear" w:color="auto" w:fill="auto"/>
            <w:vAlign w:val="center"/>
          </w:tcPr>
          <w:p w14:paraId="46C3091F">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服务要求</w:t>
            </w:r>
          </w:p>
        </w:tc>
        <w:tc>
          <w:tcPr>
            <w:tcW w:w="3350" w:type="pct"/>
            <w:tcBorders>
              <w:top w:val="single" w:color="auto" w:sz="4" w:space="0"/>
              <w:left w:val="nil"/>
              <w:bottom w:val="single" w:color="auto" w:sz="4" w:space="0"/>
              <w:right w:val="single" w:color="auto" w:sz="4" w:space="0"/>
            </w:tcBorders>
            <w:shd w:val="clear" w:color="auto" w:fill="auto"/>
            <w:vAlign w:val="center"/>
          </w:tcPr>
          <w:p w14:paraId="48E55AD6">
            <w:pPr>
              <w:rPr>
                <w:rFonts w:hint="eastAsia" w:ascii="宋体" w:hAnsi="宋体" w:eastAsia="宋体" w:cs="宋体"/>
                <w:color w:val="auto"/>
                <w:kern w:val="0"/>
                <w:sz w:val="22"/>
              </w:rPr>
            </w:pPr>
            <w:r>
              <w:rPr>
                <w:rFonts w:hint="eastAsia" w:ascii="宋体" w:hAnsi="宋体" w:eastAsia="宋体" w:cs="宋体"/>
                <w:color w:val="auto"/>
                <w:kern w:val="0"/>
                <w:sz w:val="22"/>
              </w:rPr>
              <w:t>1.总体服务管理要求</w:t>
            </w:r>
          </w:p>
          <w:p w14:paraId="300E3B70">
            <w:pPr>
              <w:rPr>
                <w:rFonts w:hint="eastAsia" w:ascii="宋体" w:hAnsi="宋体" w:eastAsia="宋体" w:cs="宋体"/>
                <w:color w:val="auto"/>
                <w:kern w:val="0"/>
                <w:sz w:val="22"/>
              </w:rPr>
            </w:pPr>
            <w:r>
              <w:rPr>
                <w:rFonts w:hint="eastAsia" w:ascii="宋体" w:hAnsi="宋体" w:eastAsia="宋体" w:cs="宋体"/>
                <w:color w:val="auto"/>
                <w:kern w:val="0"/>
                <w:sz w:val="22"/>
              </w:rPr>
              <w:t>服务供应商应提供原厂服务，并提供相关证明材料，需技术实力强、具有专业服务资质的运维服务团队来承担我校信息系统运维工作，保障系统的正常工作及业务的可靠性和连续性。</w:t>
            </w:r>
          </w:p>
          <w:p w14:paraId="7CF3AC11">
            <w:pPr>
              <w:rPr>
                <w:rFonts w:hint="eastAsia" w:ascii="宋体" w:hAnsi="宋体" w:eastAsia="宋体" w:cs="宋体"/>
                <w:color w:val="auto"/>
                <w:kern w:val="0"/>
                <w:sz w:val="22"/>
              </w:rPr>
            </w:pPr>
            <w:r>
              <w:rPr>
                <w:rFonts w:hint="eastAsia" w:ascii="宋体" w:hAnsi="宋体" w:eastAsia="宋体" w:cs="宋体"/>
                <w:color w:val="auto"/>
                <w:kern w:val="0"/>
                <w:sz w:val="22"/>
              </w:rPr>
              <w:t>2.技术要求</w:t>
            </w:r>
          </w:p>
          <w:p w14:paraId="79A76ABA">
            <w:pPr>
              <w:rPr>
                <w:rFonts w:hint="eastAsia" w:ascii="宋体" w:hAnsi="宋体" w:eastAsia="宋体" w:cs="宋体"/>
                <w:color w:val="auto"/>
                <w:kern w:val="0"/>
                <w:sz w:val="22"/>
              </w:rPr>
            </w:pPr>
            <w:r>
              <w:rPr>
                <w:rFonts w:hint="eastAsia" w:ascii="宋体" w:hAnsi="宋体" w:eastAsia="宋体" w:cs="宋体"/>
                <w:color w:val="auto"/>
                <w:kern w:val="0"/>
                <w:sz w:val="22"/>
              </w:rPr>
              <w:t>熟悉系统、专业工程师+规范管理</w:t>
            </w:r>
          </w:p>
          <w:p w14:paraId="0C0B4EF1">
            <w:pPr>
              <w:rPr>
                <w:rFonts w:hint="eastAsia" w:ascii="宋体" w:hAnsi="宋体" w:eastAsia="宋体" w:cs="宋体"/>
                <w:color w:val="auto"/>
                <w:kern w:val="0"/>
                <w:sz w:val="22"/>
              </w:rPr>
            </w:pPr>
            <w:r>
              <w:rPr>
                <w:rFonts w:hint="eastAsia" w:ascii="宋体" w:hAnsi="宋体" w:eastAsia="宋体" w:cs="宋体"/>
                <w:color w:val="auto"/>
                <w:kern w:val="0"/>
                <w:sz w:val="22"/>
              </w:rPr>
              <w:t>3.服务团队要求</w:t>
            </w:r>
          </w:p>
          <w:p w14:paraId="1597C629">
            <w:pPr>
              <w:rPr>
                <w:rFonts w:hint="eastAsia" w:ascii="宋体" w:hAnsi="宋体" w:eastAsia="宋体" w:cs="宋体"/>
                <w:color w:val="auto"/>
                <w:kern w:val="0"/>
                <w:sz w:val="22"/>
              </w:rPr>
            </w:pPr>
            <w:r>
              <w:rPr>
                <w:rFonts w:hint="eastAsia" w:ascii="宋体" w:hAnsi="宋体" w:eastAsia="宋体" w:cs="宋体"/>
                <w:color w:val="auto"/>
                <w:kern w:val="0"/>
                <w:sz w:val="22"/>
              </w:rPr>
              <w:t>项目经理：</w:t>
            </w:r>
          </w:p>
          <w:p w14:paraId="705CE97A">
            <w:pPr>
              <w:rPr>
                <w:rFonts w:hint="eastAsia" w:ascii="宋体" w:hAnsi="宋体" w:eastAsia="宋体" w:cs="宋体"/>
                <w:color w:val="auto"/>
                <w:kern w:val="0"/>
                <w:sz w:val="22"/>
              </w:rPr>
            </w:pPr>
            <w:r>
              <w:rPr>
                <w:rFonts w:hint="eastAsia" w:ascii="宋体" w:hAnsi="宋体" w:eastAsia="宋体" w:cs="宋体"/>
                <w:color w:val="auto"/>
                <w:kern w:val="0"/>
                <w:sz w:val="22"/>
              </w:rPr>
              <w:t>提供专职项目经理，管理服务团队提供的日常运维服务，服务水平管理，事故管理，合同管理等。执行团队内部管理（流程优化、管理制度修正、奖惩执行、内部管理文档的修正与补充等工作）。</w:t>
            </w:r>
          </w:p>
          <w:p w14:paraId="6B2F5B33">
            <w:pPr>
              <w:rPr>
                <w:rFonts w:hint="eastAsia" w:ascii="宋体" w:hAnsi="宋体" w:eastAsia="宋体" w:cs="宋体"/>
                <w:color w:val="auto"/>
                <w:kern w:val="0"/>
                <w:sz w:val="22"/>
              </w:rPr>
            </w:pPr>
            <w:r>
              <w:rPr>
                <w:rFonts w:hint="eastAsia" w:ascii="宋体" w:hAnsi="宋体" w:eastAsia="宋体" w:cs="宋体"/>
                <w:color w:val="auto"/>
                <w:kern w:val="0"/>
                <w:sz w:val="22"/>
              </w:rPr>
              <w:t>二线技术团队:甲方如有突发事件或重大事项需二线团队到场支持,需在2小时内赶到甲方指定现场。</w:t>
            </w:r>
          </w:p>
        </w:tc>
        <w:tc>
          <w:tcPr>
            <w:tcW w:w="263" w:type="pct"/>
            <w:tcBorders>
              <w:top w:val="single" w:color="auto" w:sz="4" w:space="0"/>
              <w:left w:val="nil"/>
              <w:bottom w:val="single" w:color="auto" w:sz="4" w:space="0"/>
              <w:right w:val="single" w:color="auto" w:sz="4" w:space="0"/>
            </w:tcBorders>
            <w:shd w:val="clear" w:color="auto" w:fill="auto"/>
            <w:vAlign w:val="center"/>
          </w:tcPr>
          <w:p w14:paraId="3098287F">
            <w:pPr>
              <w:widowControl/>
              <w:jc w:val="center"/>
              <w:rPr>
                <w:rFonts w:hint="eastAsia" w:ascii="宋体" w:hAnsi="宋体" w:eastAsia="宋体" w:cs="宋体"/>
                <w:color w:val="auto"/>
                <w:kern w:val="0"/>
                <w:sz w:val="22"/>
              </w:rPr>
            </w:pPr>
            <w:r>
              <w:rPr>
                <w:rFonts w:hint="eastAsia" w:ascii="宋体" w:hAnsi="宋体" w:eastAsia="宋体" w:cs="宋体"/>
                <w:color w:val="auto"/>
                <w:kern w:val="0"/>
                <w:sz w:val="22"/>
              </w:rPr>
              <w:t>1</w:t>
            </w:r>
          </w:p>
        </w:tc>
        <w:tc>
          <w:tcPr>
            <w:tcW w:w="263" w:type="pct"/>
            <w:tcBorders>
              <w:top w:val="single" w:color="auto" w:sz="4" w:space="0"/>
              <w:left w:val="nil"/>
              <w:bottom w:val="single" w:color="auto" w:sz="4" w:space="0"/>
              <w:right w:val="single" w:color="auto" w:sz="4" w:space="0"/>
            </w:tcBorders>
            <w:shd w:val="clear" w:color="auto" w:fill="auto"/>
            <w:vAlign w:val="center"/>
          </w:tcPr>
          <w:p w14:paraId="362F6C90">
            <w:pPr>
              <w:widowControl/>
              <w:rPr>
                <w:rFonts w:hint="eastAsia" w:ascii="宋体" w:hAnsi="宋体" w:eastAsia="宋体" w:cs="宋体"/>
                <w:color w:val="auto"/>
                <w:kern w:val="0"/>
                <w:sz w:val="22"/>
              </w:rPr>
            </w:pPr>
            <w:r>
              <w:rPr>
                <w:rFonts w:hint="eastAsia" w:ascii="宋体" w:hAnsi="宋体" w:eastAsia="宋体" w:cs="宋体"/>
                <w:color w:val="auto"/>
                <w:kern w:val="0"/>
                <w:sz w:val="22"/>
              </w:rPr>
              <w:t>年</w:t>
            </w:r>
          </w:p>
        </w:tc>
      </w:tr>
    </w:tbl>
    <w:p w14:paraId="720359E8">
      <w:pPr>
        <w:ind w:firstLine="640" w:firstLineChars="200"/>
        <w:rPr>
          <w:rFonts w:hint="eastAsia" w:ascii="黑体" w:hAnsi="黑体" w:eastAsia="黑体" w:cs="宋体"/>
          <w:color w:val="auto"/>
          <w:kern w:val="0"/>
          <w:sz w:val="32"/>
          <w:szCs w:val="32"/>
        </w:rPr>
      </w:pPr>
    </w:p>
    <w:p w14:paraId="18B092CD">
      <w:pPr>
        <w:ind w:firstLine="640" w:firstLineChars="200"/>
        <w:rPr>
          <w:rFonts w:hint="eastAsia" w:ascii="黑体" w:hAnsi="黑体" w:eastAsia="黑体" w:cs="宋体"/>
          <w:color w:val="auto"/>
          <w:kern w:val="0"/>
          <w:sz w:val="32"/>
          <w:szCs w:val="32"/>
          <w:lang w:val="en-US" w:eastAsia="zh-CN"/>
        </w:rPr>
      </w:pPr>
      <w:r>
        <w:rPr>
          <w:rFonts w:hint="eastAsia" w:ascii="黑体" w:hAnsi="黑体" w:eastAsia="黑体" w:cs="宋体"/>
          <w:color w:val="auto"/>
          <w:kern w:val="0"/>
          <w:sz w:val="32"/>
          <w:szCs w:val="32"/>
          <w:lang w:val="en-US" w:eastAsia="zh-CN"/>
        </w:rPr>
        <w:t>五、商务要求</w:t>
      </w:r>
    </w:p>
    <w:p w14:paraId="2DCEC350">
      <w:pPr>
        <w:pStyle w:val="122"/>
        <w:ind w:left="0" w:firstLine="480" w:firstLineChars="200"/>
        <w:jc w:val="both"/>
        <w:outlineLvl w:val="9"/>
        <w:rPr>
          <w:rFonts w:hint="eastAsia" w:cs="宋体"/>
          <w:kern w:val="2"/>
          <w:sz w:val="24"/>
          <w:szCs w:val="24"/>
          <w:lang w:eastAsia="zh-CN"/>
        </w:rPr>
      </w:pPr>
      <w:r>
        <w:rPr>
          <w:rFonts w:hint="eastAsia" w:cs="宋体"/>
          <w:kern w:val="2"/>
          <w:sz w:val="24"/>
          <w:szCs w:val="24"/>
          <w:lang w:eastAsia="zh-CN"/>
        </w:rPr>
        <w:t>商务条款则是当事人自己需要权衡和决策的问题，主要是与经济利益密切相关的交易标的、价格、付款条件等条款。</w:t>
      </w:r>
    </w:p>
    <w:p w14:paraId="388FE248">
      <w:pPr>
        <w:pStyle w:val="122"/>
        <w:ind w:left="0" w:firstLine="480" w:firstLineChars="200"/>
        <w:jc w:val="both"/>
        <w:outlineLvl w:val="9"/>
        <w:rPr>
          <w:rFonts w:hint="eastAsia" w:cs="宋体"/>
          <w:kern w:val="2"/>
          <w:sz w:val="24"/>
          <w:szCs w:val="24"/>
          <w:lang w:val="en-US" w:eastAsia="zh-CN"/>
        </w:rPr>
      </w:pPr>
      <w:r>
        <w:rPr>
          <w:rFonts w:hint="eastAsia" w:cs="宋体"/>
          <w:kern w:val="2"/>
          <w:sz w:val="24"/>
          <w:szCs w:val="24"/>
          <w:lang w:val="en-US" w:eastAsia="zh-CN"/>
        </w:rPr>
        <w:t>交货期：合同签订后30个工作日内完成硬件的供货、安装、调试和验收及软件迁移。</w:t>
      </w:r>
    </w:p>
    <w:p w14:paraId="66C9A12F">
      <w:pPr>
        <w:pStyle w:val="122"/>
        <w:ind w:left="0" w:firstLine="480" w:firstLineChars="200"/>
        <w:jc w:val="both"/>
        <w:outlineLvl w:val="9"/>
        <w:rPr>
          <w:rFonts w:hint="default" w:cs="宋体"/>
          <w:kern w:val="2"/>
          <w:sz w:val="24"/>
          <w:szCs w:val="24"/>
          <w:lang w:val="en-US" w:eastAsia="zh-CN"/>
        </w:rPr>
      </w:pPr>
      <w:r>
        <w:rPr>
          <w:rFonts w:hint="eastAsia" w:cs="宋体"/>
          <w:kern w:val="2"/>
          <w:sz w:val="24"/>
          <w:szCs w:val="24"/>
          <w:lang w:val="en-US" w:eastAsia="zh-CN"/>
        </w:rPr>
        <w:t>质保期：5年</w:t>
      </w:r>
    </w:p>
    <w:p w14:paraId="45E77C93">
      <w:pPr>
        <w:ind w:firstLine="482" w:firstLineChars="200"/>
        <w:rPr>
          <w:rFonts w:ascii="宋体" w:hAnsi="宋体" w:cs="宋体"/>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付款方式：</w:t>
      </w:r>
      <w:r>
        <w:rPr>
          <w:rFonts w:hint="eastAsia" w:ascii="宋体" w:hAnsi="宋体" w:cs="宋体"/>
          <w:color w:val="000000" w:themeColor="text1"/>
          <w:sz w:val="24"/>
          <w:szCs w:val="24"/>
          <w14:textFill>
            <w14:solidFill>
              <w14:schemeClr w14:val="tx1"/>
            </w14:solidFill>
          </w14:textFill>
        </w:rPr>
        <w:t>合同签订后，供应商持履约保证金交纳凭证、合同、预付款发票，至采购方处办理合同总价款的40%预付款项。</w:t>
      </w:r>
    </w:p>
    <w:p w14:paraId="5100B4B4">
      <w:pPr>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项目完成并验收合格（达到使用标准）后，采购方在30日内支付供应商合同总价款的60％剩余款项。</w:t>
      </w:r>
    </w:p>
    <w:p w14:paraId="2E15FF5C">
      <w:pPr>
        <w:ind w:firstLine="480" w:firstLineChars="200"/>
        <w:rPr>
          <w:rFonts w:hint="eastAsia" w:ascii="黑体" w:hAnsi="黑体" w:eastAsia="黑体" w:cs="宋体"/>
          <w:color w:val="auto"/>
          <w:kern w:val="0"/>
          <w:sz w:val="24"/>
          <w:szCs w:val="24"/>
        </w:rPr>
      </w:pPr>
      <w:r>
        <w:rPr>
          <w:rFonts w:hint="eastAsia" w:ascii="宋体" w:hAnsi="宋体" w:cs="宋体"/>
          <w:color w:val="000000" w:themeColor="text1"/>
          <w:sz w:val="24"/>
          <w:szCs w:val="24"/>
          <w14:textFill>
            <w14:solidFill>
              <w14:schemeClr w14:val="tx1"/>
            </w14:solidFill>
          </w14:textFill>
        </w:rPr>
        <w:t>结算资料：验收合格后填写政府采购项目验收单（一式伍份），供应商持成交通知书、供货合同、发票、政府采购项目验收单，与采购人结算。</w:t>
      </w:r>
    </w:p>
    <w:p w14:paraId="3B384E1E">
      <w:pPr>
        <w:ind w:firstLine="640" w:firstLineChars="200"/>
        <w:rPr>
          <w:rFonts w:hint="eastAsia" w:ascii="黑体" w:hAnsi="黑体" w:eastAsia="黑体" w:cs="宋体"/>
          <w:color w:val="auto"/>
          <w:kern w:val="0"/>
          <w:sz w:val="32"/>
          <w:szCs w:val="32"/>
        </w:rPr>
      </w:pPr>
      <w:r>
        <w:rPr>
          <w:rFonts w:hint="eastAsia" w:ascii="黑体" w:hAnsi="黑体" w:eastAsia="黑体" w:cs="宋体"/>
          <w:color w:val="auto"/>
          <w:kern w:val="0"/>
          <w:sz w:val="32"/>
          <w:szCs w:val="32"/>
          <w:lang w:val="en-US" w:eastAsia="zh-CN"/>
        </w:rPr>
        <w:t>六</w:t>
      </w:r>
      <w:r>
        <w:rPr>
          <w:rFonts w:hint="eastAsia" w:ascii="黑体" w:hAnsi="黑体" w:eastAsia="黑体" w:cs="宋体"/>
          <w:color w:val="auto"/>
          <w:kern w:val="0"/>
          <w:sz w:val="32"/>
          <w:szCs w:val="32"/>
        </w:rPr>
        <w:t>、其他要求</w:t>
      </w:r>
    </w:p>
    <w:p w14:paraId="3A32F396">
      <w:pPr>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中标方需按照学校要求，将所有设施设备安装到指定位置，并调试达到学校正常使用标准。设备安装前，需按学校要求拆除原有黑板及线路等设施设备，并对破损墙面进行修复、刷白，对破损的讲台（地台）进行更换。安装完成后，教室墙面无破损状态。拆除的设备按照学校要求搬迁到指定地点。</w:t>
      </w:r>
    </w:p>
    <w:p w14:paraId="03E1DDCF">
      <w:pPr>
        <w:ind w:firstLine="480" w:firstLineChars="200"/>
        <w:rPr>
          <w:rFonts w:hint="eastAsia" w:ascii="宋体" w:hAnsi="宋体" w:eastAsia="宋体" w:cs="宋体"/>
          <w:color w:val="auto"/>
          <w:kern w:val="0"/>
          <w:sz w:val="24"/>
          <w:szCs w:val="24"/>
        </w:rPr>
      </w:pPr>
      <w:bookmarkStart w:id="219" w:name="_Hlk181018138"/>
      <w:r>
        <w:rPr>
          <w:rFonts w:hint="eastAsia" w:ascii="宋体" w:hAnsi="宋体" w:eastAsia="宋体" w:cs="宋体"/>
          <w:color w:val="auto"/>
          <w:kern w:val="0"/>
          <w:sz w:val="24"/>
          <w:szCs w:val="24"/>
        </w:rPr>
        <w:t>2.项目中需要的线材及辅料由中标方承担。中标方需按照学院后勤部门要求规范做好电路的连接。项目中所有的设备、线材、辅料需采用全新无损坏且符合国家质量标准的产品。网线质量不低于超六类网线，电线直径需大于等于4平方毫米，HDMI线缆需达到HDMI2.1版本以上，USB线缆及接口需支持USB3.0及以上规范</w:t>
      </w:r>
      <w:bookmarkEnd w:id="219"/>
      <w:r>
        <w:rPr>
          <w:rFonts w:hint="eastAsia" w:ascii="宋体" w:hAnsi="宋体" w:eastAsia="宋体" w:cs="宋体"/>
          <w:color w:val="auto"/>
          <w:kern w:val="0"/>
          <w:sz w:val="24"/>
          <w:szCs w:val="24"/>
        </w:rPr>
        <w:t>，音频线需采用100芯以上纯铜线。</w:t>
      </w:r>
    </w:p>
    <w:p w14:paraId="6CCA38D1">
      <w:pPr>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3.</w:t>
      </w:r>
      <w:bookmarkStart w:id="220" w:name="_Hlk181018186"/>
      <w:r>
        <w:rPr>
          <w:rFonts w:hint="eastAsia" w:ascii="宋体" w:hAnsi="宋体" w:eastAsia="宋体" w:cs="宋体"/>
          <w:color w:val="auto"/>
          <w:kern w:val="0"/>
          <w:sz w:val="24"/>
          <w:szCs w:val="24"/>
        </w:rPr>
        <w:t>所有线缆需按照学校后勤管理要求规范走线，并采用暗线开槽敷设，不得外露。强弱电走线需分开，必须同时走线的需要做有效的屏蔽处理。</w:t>
      </w:r>
      <w:bookmarkEnd w:id="220"/>
      <w:r>
        <w:rPr>
          <w:rFonts w:hint="eastAsia" w:ascii="宋体" w:hAnsi="宋体" w:eastAsia="宋体" w:cs="宋体"/>
          <w:color w:val="auto"/>
          <w:kern w:val="0"/>
          <w:sz w:val="24"/>
          <w:szCs w:val="24"/>
        </w:rPr>
        <w:t>所有线材及辅料需向学校预留5套备用。</w:t>
      </w:r>
    </w:p>
    <w:p w14:paraId="3CAC8F50">
      <w:pPr>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4.项目验收合格后，中标方需提供不少于5年免费维保服务，之后每年维保费用不高于中标价的5%。维保内容包含且不限于系统及设备的定期巡检、系统调试、个性化二次开发、版本升级、设备迁移、数据及功能集成、漏洞修补、故障修复（含故障硬件更换费用）等。</w:t>
      </w:r>
    </w:p>
    <w:p w14:paraId="5750863F">
      <w:pPr>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5.维保期内，中标方需提供7*24小时故障处理响应服务。若需产品返厂维修，中标方需提供备用设备，并承担设备维修、往返费用。</w:t>
      </w:r>
    </w:p>
    <w:p w14:paraId="4792F9FA">
      <w:pPr>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6.维保期内，中标方提供每季度一次的系统及设备日常维护巡检服务，并形成巡检报告。</w:t>
      </w:r>
    </w:p>
    <w:p w14:paraId="560D84F0">
      <w:pPr>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7.维保期内，中标方需安排至少1名技术人员提供驻场服务，为学校解决系统使用中出现的各类问题。</w:t>
      </w:r>
    </w:p>
    <w:p w14:paraId="59393E83">
      <w:pPr>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8.维保期内，中标方需为学校设备管理及使用老师制定培训计划，包括培训讲座、操作视频、使用文档等，保障每位老师能够熟练掌握使用。</w:t>
      </w:r>
    </w:p>
    <w:p w14:paraId="6ED94FBD">
      <w:pPr>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9.所有软件需在学校进行本地化部署。维保期内，中标方需根据学校需要，免费提供系统的信创适配服务，包括不限于操作系统、数据库、中间件的适配。</w:t>
      </w:r>
    </w:p>
    <w:p w14:paraId="7B24EBCF">
      <w:pPr>
        <w:ind w:firstLine="480" w:firstLineChars="200"/>
        <w:rPr>
          <w:rFonts w:hint="eastAsia" w:ascii="宋体" w:hAnsi="宋体" w:eastAsia="宋体" w:cs="宋体"/>
          <w:color w:val="FF0000"/>
          <w:kern w:val="0"/>
          <w:sz w:val="24"/>
          <w:szCs w:val="24"/>
        </w:rPr>
      </w:pPr>
      <w:r>
        <w:rPr>
          <w:rFonts w:hint="eastAsia" w:ascii="宋体" w:hAnsi="宋体" w:eastAsia="宋体" w:cs="宋体"/>
          <w:color w:val="auto"/>
          <w:kern w:val="0"/>
          <w:sz w:val="24"/>
          <w:szCs w:val="24"/>
        </w:rPr>
        <w:t>10.维保期内，建设方需确保提供的所有软硬件产品满足网络安全等级保护二级。</w:t>
      </w:r>
    </w:p>
    <w:p w14:paraId="446819A6">
      <w:pPr>
        <w:ind w:firstLine="480" w:firstLineChars="200"/>
        <w:rPr>
          <w:rFonts w:ascii="宋体" w:hAnsi="宋体" w:cs="宋体"/>
          <w:color w:val="000000" w:themeColor="text1"/>
          <w14:textFill>
            <w14:solidFill>
              <w14:schemeClr w14:val="tx1"/>
            </w14:solidFill>
          </w14:textFill>
        </w:rPr>
      </w:pPr>
    </w:p>
    <w:p w14:paraId="40161FF0">
      <w:pPr>
        <w:ind w:firstLine="640" w:firstLineChars="200"/>
        <w:rPr>
          <w:rFonts w:hint="eastAsia" w:ascii="黑体" w:hAnsi="黑体" w:eastAsia="黑体" w:cs="宋体"/>
          <w:color w:val="auto"/>
          <w:kern w:val="0"/>
          <w:sz w:val="32"/>
          <w:szCs w:val="32"/>
        </w:rPr>
      </w:pPr>
    </w:p>
    <w:p w14:paraId="2F260974">
      <w:pPr>
        <w:rPr>
          <w:rFonts w:hint="eastAsia" w:ascii="黑体" w:hAnsi="黑体" w:eastAsia="黑体" w:cs="宋体"/>
          <w:color w:val="FF0000"/>
          <w:kern w:val="0"/>
          <w:sz w:val="32"/>
          <w:szCs w:val="32"/>
        </w:rPr>
      </w:pPr>
    </w:p>
    <w:p w14:paraId="717A8AAC">
      <w:pPr>
        <w:ind w:firstLine="640" w:firstLineChars="200"/>
        <w:rPr>
          <w:rFonts w:hint="eastAsia" w:ascii="黑体" w:hAnsi="黑体" w:eastAsia="黑体" w:cs="宋体"/>
          <w:color w:val="FF0000"/>
          <w:kern w:val="0"/>
          <w:sz w:val="32"/>
          <w:szCs w:val="32"/>
        </w:rPr>
      </w:pPr>
    </w:p>
    <w:p w14:paraId="7A6843E5">
      <w:pPr>
        <w:pStyle w:val="5"/>
        <w:jc w:val="both"/>
        <w:rPr>
          <w:rFonts w:hint="eastAsia"/>
        </w:rPr>
      </w:pPr>
    </w:p>
    <w:p w14:paraId="1B173ECA">
      <w:pPr>
        <w:spacing w:line="360" w:lineRule="auto"/>
        <w:rPr>
          <w:rFonts w:hint="default" w:ascii="宋体" w:hAnsi="宋体" w:cs="宋体"/>
          <w:b/>
          <w:bCs/>
          <w:kern w:val="2"/>
          <w:sz w:val="24"/>
          <w:szCs w:val="24"/>
          <w:highlight w:val="yellow"/>
          <w:lang w:val="en-US" w:eastAsia="zh-CN"/>
        </w:rPr>
      </w:pPr>
    </w:p>
    <w:p w14:paraId="487ECC20">
      <w:pP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br w:type="page"/>
      </w:r>
    </w:p>
    <w:p w14:paraId="3EE75821">
      <w:pPr>
        <w:rPr>
          <w:rFonts w:hint="eastAsia" w:ascii="宋体" w:hAnsi="宋体" w:eastAsia="宋体" w:cs="宋体"/>
          <w:color w:val="000000" w:themeColor="text1"/>
          <w:highlight w:val="none"/>
          <w14:textFill>
            <w14:solidFill>
              <w14:schemeClr w14:val="tx1"/>
            </w14:solidFill>
          </w14:textFill>
        </w:rPr>
      </w:pPr>
    </w:p>
    <w:p w14:paraId="1034E73F">
      <w:pPr>
        <w:pStyle w:val="3"/>
        <w:bidi w:val="0"/>
      </w:pPr>
      <w:bookmarkStart w:id="221" w:name="_Toc21536"/>
      <w:r>
        <w:rPr>
          <w:rFonts w:hint="eastAsia"/>
        </w:rPr>
        <w:t>第四章  合同文本</w:t>
      </w:r>
      <w:bookmarkEnd w:id="217"/>
      <w:bookmarkEnd w:id="218"/>
      <w:bookmarkEnd w:id="221"/>
    </w:p>
    <w:p w14:paraId="4ED65CA2">
      <w:pPr>
        <w:spacing w:line="360" w:lineRule="auto"/>
        <w:jc w:val="right"/>
        <w:rPr>
          <w:rFonts w:hint="eastAsia" w:ascii="宋体" w:hAnsi="宋体" w:eastAsia="宋体" w:cs="宋体"/>
          <w:b/>
          <w:sz w:val="32"/>
          <w:szCs w:val="32"/>
          <w:bdr w:val="single" w:color="auto" w:sz="4" w:space="0"/>
          <w:shd w:val="pct10" w:color="auto" w:fill="FFFFFF"/>
        </w:rPr>
      </w:pPr>
      <w:bookmarkStart w:id="222" w:name="_Toc100219616"/>
      <w:r>
        <w:rPr>
          <w:rFonts w:hint="eastAsia" w:ascii="宋体" w:hAnsi="宋体" w:eastAsia="宋体" w:cs="宋体"/>
          <w:b/>
          <w:sz w:val="32"/>
          <w:szCs w:val="32"/>
          <w:bdr w:val="single" w:color="auto" w:sz="4" w:space="0"/>
          <w:shd w:val="pct10" w:color="auto" w:fill="FFFFFF"/>
        </w:rPr>
        <w:t>政府采购项目</w:t>
      </w:r>
    </w:p>
    <w:p w14:paraId="46E34ED0">
      <w:pPr>
        <w:spacing w:line="360" w:lineRule="auto"/>
        <w:jc w:val="both"/>
        <w:rPr>
          <w:rFonts w:hint="eastAsia" w:ascii="宋体" w:hAnsi="宋体" w:eastAsia="宋体" w:cs="宋体"/>
          <w:sz w:val="44"/>
          <w:szCs w:val="44"/>
        </w:rPr>
      </w:pPr>
    </w:p>
    <w:p w14:paraId="608545A9">
      <w:pPr>
        <w:spacing w:line="360" w:lineRule="auto"/>
        <w:jc w:val="center"/>
        <w:rPr>
          <w:rFonts w:hint="eastAsia" w:ascii="宋体" w:hAnsi="宋体" w:eastAsia="宋体" w:cs="宋体"/>
          <w:b/>
          <w:spacing w:val="-42"/>
          <w:sz w:val="52"/>
          <w:szCs w:val="52"/>
        </w:rPr>
      </w:pPr>
      <w:r>
        <w:rPr>
          <w:rFonts w:hint="eastAsia" w:ascii="宋体" w:hAnsi="宋体" w:eastAsia="宋体" w:cs="宋体"/>
          <w:b/>
          <w:spacing w:val="42"/>
          <w:kern w:val="0"/>
          <w:sz w:val="52"/>
          <w:szCs w:val="52"/>
          <w:fitText w:val="5957" w:id="37513339"/>
        </w:rPr>
        <w:t>西安铁路职业技术学</w:t>
      </w:r>
      <w:r>
        <w:rPr>
          <w:rFonts w:hint="eastAsia" w:ascii="宋体" w:hAnsi="宋体" w:eastAsia="宋体" w:cs="宋体"/>
          <w:b/>
          <w:spacing w:val="0"/>
          <w:kern w:val="0"/>
          <w:sz w:val="52"/>
          <w:szCs w:val="52"/>
          <w:fitText w:val="5957" w:id="37513339"/>
        </w:rPr>
        <w:t>院</w:t>
      </w:r>
    </w:p>
    <w:p w14:paraId="603C6495">
      <w:pPr>
        <w:spacing w:line="360" w:lineRule="auto"/>
        <w:jc w:val="center"/>
        <w:rPr>
          <w:rFonts w:hint="eastAsia" w:ascii="宋体" w:hAnsi="宋体" w:eastAsia="宋体" w:cs="宋体"/>
          <w:b/>
          <w:spacing w:val="-42"/>
          <w:sz w:val="52"/>
          <w:szCs w:val="52"/>
        </w:rPr>
      </w:pPr>
      <w:r>
        <w:rPr>
          <w:rFonts w:hint="eastAsia" w:ascii="宋体" w:hAnsi="宋体" w:eastAsia="宋体" w:cs="宋体"/>
          <w:b/>
          <w:spacing w:val="-42"/>
          <w:sz w:val="52"/>
          <w:szCs w:val="52"/>
          <w:u w:val="single"/>
        </w:rPr>
        <w:t xml:space="preserve"> </w:t>
      </w:r>
      <w:r>
        <w:rPr>
          <w:rFonts w:hint="eastAsia" w:ascii="宋体" w:hAnsi="宋体" w:eastAsia="宋体" w:cs="宋体"/>
          <w:b/>
          <w:spacing w:val="-42"/>
          <w:sz w:val="52"/>
          <w:szCs w:val="52"/>
          <w:u w:val="single"/>
          <w:lang w:val="en-US" w:eastAsia="zh-CN"/>
        </w:rPr>
        <w:t xml:space="preserve">  </w:t>
      </w:r>
      <w:r>
        <w:rPr>
          <w:rFonts w:hint="eastAsia" w:ascii="宋体" w:hAnsi="宋体" w:cs="宋体"/>
          <w:b/>
          <w:spacing w:val="-42"/>
          <w:sz w:val="52"/>
          <w:szCs w:val="52"/>
          <w:u w:val="single"/>
          <w:lang w:val="en-US" w:eastAsia="zh-CN"/>
        </w:rPr>
        <w:t>教学及管理服务系统改造</w:t>
      </w:r>
      <w:r>
        <w:rPr>
          <w:rFonts w:hint="eastAsia" w:ascii="宋体" w:hAnsi="宋体" w:eastAsia="宋体" w:cs="宋体"/>
          <w:b/>
          <w:spacing w:val="-42"/>
          <w:sz w:val="52"/>
          <w:szCs w:val="52"/>
          <w:u w:val="single"/>
          <w:lang w:val="en-US" w:eastAsia="zh-CN"/>
        </w:rPr>
        <w:t xml:space="preserve">  </w:t>
      </w:r>
      <w:r>
        <w:rPr>
          <w:rFonts w:hint="eastAsia" w:ascii="宋体" w:hAnsi="宋体" w:eastAsia="宋体" w:cs="宋体"/>
          <w:b/>
          <w:spacing w:val="-42"/>
          <w:sz w:val="52"/>
          <w:szCs w:val="52"/>
          <w:u w:val="single"/>
        </w:rPr>
        <w:t xml:space="preserve"> </w:t>
      </w:r>
      <w:r>
        <w:rPr>
          <w:rFonts w:hint="eastAsia" w:ascii="宋体" w:hAnsi="宋体" w:eastAsia="宋体" w:cs="宋体"/>
          <w:b/>
          <w:spacing w:val="-42"/>
          <w:sz w:val="52"/>
          <w:szCs w:val="52"/>
        </w:rPr>
        <w:t>项目</w:t>
      </w:r>
    </w:p>
    <w:p w14:paraId="7F3F405F">
      <w:pPr>
        <w:spacing w:line="360" w:lineRule="auto"/>
        <w:ind w:left="-1026" w:leftChars="-428" w:hanging="1"/>
        <w:jc w:val="center"/>
        <w:rPr>
          <w:rFonts w:hint="eastAsia" w:ascii="宋体" w:hAnsi="宋体" w:eastAsia="宋体" w:cs="宋体"/>
          <w:b/>
          <w:sz w:val="36"/>
          <w:szCs w:val="36"/>
        </w:rPr>
      </w:pPr>
    </w:p>
    <w:p w14:paraId="423ABCCE">
      <w:pPr>
        <w:tabs>
          <w:tab w:val="left" w:pos="7815"/>
        </w:tabs>
        <w:spacing w:line="360" w:lineRule="auto"/>
        <w:jc w:val="left"/>
        <w:rPr>
          <w:rFonts w:hint="eastAsia" w:ascii="宋体" w:hAnsi="宋体" w:eastAsia="宋体" w:cs="宋体"/>
          <w:b/>
          <w:sz w:val="36"/>
          <w:szCs w:val="36"/>
        </w:rPr>
      </w:pPr>
    </w:p>
    <w:p w14:paraId="6BA5A05F">
      <w:pPr>
        <w:spacing w:line="360" w:lineRule="auto"/>
        <w:jc w:val="center"/>
        <w:rPr>
          <w:rFonts w:hint="eastAsia" w:ascii="宋体" w:hAnsi="宋体" w:eastAsia="宋体" w:cs="宋体"/>
          <w:b/>
          <w:sz w:val="72"/>
          <w:szCs w:val="72"/>
        </w:rPr>
      </w:pPr>
      <w:r>
        <w:rPr>
          <w:rFonts w:hint="eastAsia" w:ascii="宋体" w:hAnsi="宋体" w:eastAsia="宋体" w:cs="宋体"/>
          <w:b/>
          <w:spacing w:val="243"/>
          <w:kern w:val="0"/>
          <w:sz w:val="72"/>
          <w:szCs w:val="72"/>
          <w:fitText w:val="4338" w:id="871322540"/>
        </w:rPr>
        <w:t>供货合</w:t>
      </w:r>
      <w:r>
        <w:rPr>
          <w:rFonts w:hint="eastAsia" w:ascii="宋体" w:hAnsi="宋体" w:eastAsia="宋体" w:cs="宋体"/>
          <w:b/>
          <w:spacing w:val="0"/>
          <w:kern w:val="0"/>
          <w:sz w:val="72"/>
          <w:szCs w:val="72"/>
          <w:fitText w:val="4338" w:id="871322540"/>
        </w:rPr>
        <w:t>同</w:t>
      </w:r>
    </w:p>
    <w:p w14:paraId="0BBC0379">
      <w:pPr>
        <w:pStyle w:val="83"/>
        <w:spacing w:line="360" w:lineRule="auto"/>
        <w:rPr>
          <w:rFonts w:hint="eastAsia" w:ascii="宋体" w:hAnsi="宋体" w:eastAsia="宋体" w:cs="宋体"/>
          <w:b/>
          <w:sz w:val="21"/>
          <w:szCs w:val="21"/>
        </w:rPr>
      </w:pPr>
    </w:p>
    <w:p w14:paraId="6A1B8730">
      <w:pPr>
        <w:spacing w:line="360" w:lineRule="auto"/>
        <w:rPr>
          <w:rFonts w:hint="eastAsia" w:ascii="宋体" w:hAnsi="宋体" w:eastAsia="宋体" w:cs="宋体"/>
          <w:b/>
          <w:sz w:val="21"/>
          <w:szCs w:val="21"/>
        </w:rPr>
      </w:pPr>
    </w:p>
    <w:p w14:paraId="08FB6FB8">
      <w:pPr>
        <w:spacing w:line="360" w:lineRule="auto"/>
        <w:rPr>
          <w:rFonts w:hint="eastAsia" w:ascii="宋体" w:hAnsi="宋体" w:eastAsia="宋体" w:cs="宋体"/>
          <w:b/>
          <w:sz w:val="21"/>
          <w:szCs w:val="21"/>
        </w:rPr>
      </w:pPr>
    </w:p>
    <w:p w14:paraId="3ECA799C">
      <w:pPr>
        <w:spacing w:line="360" w:lineRule="auto"/>
        <w:ind w:firstLine="1928" w:firstLineChars="600"/>
        <w:rPr>
          <w:rFonts w:hint="eastAsia" w:ascii="宋体" w:hAnsi="宋体" w:eastAsia="宋体" w:cs="宋体"/>
          <w:b/>
          <w:sz w:val="32"/>
          <w:szCs w:val="32"/>
          <w:lang w:val="en-US" w:eastAsia="zh-CN"/>
        </w:rPr>
      </w:pPr>
      <w:r>
        <w:rPr>
          <w:rFonts w:hint="eastAsia" w:ascii="宋体" w:hAnsi="宋体" w:eastAsia="宋体" w:cs="宋体"/>
          <w:b/>
          <w:sz w:val="32"/>
          <w:szCs w:val="32"/>
        </w:rPr>
        <w:t>项目编号：</w:t>
      </w:r>
      <w:r>
        <w:rPr>
          <w:rFonts w:hint="eastAsia" w:ascii="宋体" w:hAnsi="宋体" w:eastAsia="宋体" w:cs="宋体"/>
          <w:b/>
          <w:sz w:val="32"/>
          <w:szCs w:val="32"/>
          <w:lang w:val="zh-CN" w:eastAsia="zh-CN"/>
        </w:rPr>
        <w:t>ZHPM-ZC-</w:t>
      </w:r>
      <w:r>
        <w:rPr>
          <w:rFonts w:hint="eastAsia" w:ascii="宋体" w:hAnsi="宋体" w:cs="宋体"/>
          <w:b/>
          <w:sz w:val="32"/>
          <w:szCs w:val="32"/>
          <w:lang w:val="zh-CN" w:eastAsia="zh-CN"/>
        </w:rPr>
        <w:t>24746</w:t>
      </w:r>
    </w:p>
    <w:p w14:paraId="618A6630">
      <w:pPr>
        <w:spacing w:line="360" w:lineRule="auto"/>
        <w:jc w:val="center"/>
        <w:rPr>
          <w:rFonts w:hint="eastAsia" w:ascii="宋体" w:hAnsi="宋体" w:eastAsia="宋体" w:cs="宋体"/>
          <w:b/>
          <w:sz w:val="32"/>
          <w:szCs w:val="32"/>
        </w:rPr>
      </w:pPr>
      <w:r>
        <w:rPr>
          <w:rFonts w:hint="eastAsia" w:ascii="宋体" w:hAnsi="宋体" w:cs="宋体"/>
          <w:b/>
          <w:sz w:val="32"/>
          <w:szCs w:val="32"/>
          <w:lang w:val="en-US" w:eastAsia="zh-CN"/>
        </w:rPr>
        <w:t xml:space="preserve"> </w:t>
      </w:r>
      <w:r>
        <w:rPr>
          <w:rFonts w:hint="eastAsia" w:ascii="宋体" w:hAnsi="宋体" w:eastAsia="宋体" w:cs="宋体"/>
          <w:b/>
          <w:sz w:val="32"/>
          <w:szCs w:val="32"/>
        </w:rPr>
        <w:t>合同编号：政采-西安市-202</w:t>
      </w:r>
      <w:r>
        <w:rPr>
          <w:rFonts w:hint="eastAsia" w:ascii="宋体" w:hAnsi="宋体" w:eastAsia="宋体" w:cs="宋体"/>
          <w:b/>
          <w:sz w:val="32"/>
          <w:szCs w:val="32"/>
          <w:lang w:val="en-US" w:eastAsia="zh-CN"/>
        </w:rPr>
        <w:t>3</w:t>
      </w:r>
      <w:r>
        <w:rPr>
          <w:rFonts w:hint="eastAsia" w:ascii="宋体" w:hAnsi="宋体" w:eastAsia="宋体" w:cs="宋体"/>
          <w:b/>
          <w:sz w:val="32"/>
          <w:szCs w:val="32"/>
        </w:rPr>
        <w:t>-</w:t>
      </w:r>
      <w:r>
        <w:rPr>
          <w:rFonts w:hint="eastAsia" w:ascii="宋体" w:hAnsi="宋体" w:cs="宋体"/>
          <w:b/>
          <w:sz w:val="32"/>
          <w:szCs w:val="32"/>
          <w:lang w:val="en-US" w:eastAsia="zh-CN"/>
        </w:rPr>
        <w:t>05000</w:t>
      </w:r>
      <w:r>
        <w:rPr>
          <w:rFonts w:hint="eastAsia" w:ascii="宋体" w:hAnsi="宋体" w:eastAsia="宋体" w:cs="宋体"/>
          <w:b/>
          <w:sz w:val="32"/>
          <w:szCs w:val="32"/>
        </w:rPr>
        <w:t>号</w:t>
      </w:r>
    </w:p>
    <w:p w14:paraId="65CD3F8F">
      <w:pPr>
        <w:spacing w:line="360" w:lineRule="auto"/>
        <w:ind w:firstLine="1928" w:firstLineChars="600"/>
        <w:rPr>
          <w:rFonts w:hint="eastAsia" w:ascii="宋体" w:hAnsi="宋体" w:eastAsia="宋体" w:cs="宋体"/>
          <w:b/>
          <w:sz w:val="32"/>
          <w:szCs w:val="32"/>
        </w:rPr>
      </w:pPr>
      <w:r>
        <w:rPr>
          <w:rFonts w:hint="eastAsia" w:ascii="宋体" w:hAnsi="宋体" w:eastAsia="宋体" w:cs="宋体"/>
          <w:b/>
          <w:sz w:val="32"/>
          <w:szCs w:val="32"/>
        </w:rPr>
        <w:t>项目名称：</w:t>
      </w:r>
    </w:p>
    <w:p w14:paraId="78187B04">
      <w:pPr>
        <w:spacing w:line="360" w:lineRule="auto"/>
        <w:ind w:firstLine="1928" w:firstLineChars="600"/>
        <w:rPr>
          <w:rFonts w:hint="eastAsia" w:ascii="宋体" w:hAnsi="宋体" w:eastAsia="宋体" w:cs="宋体"/>
          <w:b/>
          <w:sz w:val="32"/>
          <w:szCs w:val="32"/>
        </w:rPr>
      </w:pPr>
      <w:r>
        <w:rPr>
          <w:rFonts w:hint="eastAsia" w:ascii="宋体" w:hAnsi="宋体" w:eastAsia="宋体" w:cs="宋体"/>
          <w:b/>
          <w:sz w:val="32"/>
          <w:szCs w:val="32"/>
        </w:rPr>
        <w:t>买    方：西安铁路职业技术学院</w:t>
      </w:r>
    </w:p>
    <w:p w14:paraId="1BAB2124">
      <w:pPr>
        <w:spacing w:line="360" w:lineRule="auto"/>
        <w:ind w:firstLine="1928" w:firstLineChars="600"/>
        <w:rPr>
          <w:rFonts w:hint="eastAsia" w:ascii="宋体" w:hAnsi="宋体" w:eastAsia="宋体" w:cs="宋体"/>
          <w:b/>
          <w:sz w:val="32"/>
          <w:szCs w:val="32"/>
        </w:rPr>
      </w:pPr>
      <w:r>
        <w:rPr>
          <w:rFonts w:hint="eastAsia" w:ascii="宋体" w:hAnsi="宋体" w:eastAsia="宋体" w:cs="宋体"/>
          <w:b/>
          <w:sz w:val="32"/>
          <w:szCs w:val="32"/>
        </w:rPr>
        <w:t>卖    方：</w:t>
      </w:r>
    </w:p>
    <w:p w14:paraId="5D544893">
      <w:pPr>
        <w:widowControl w:val="0"/>
        <w:spacing w:line="360" w:lineRule="auto"/>
        <w:jc w:val="both"/>
        <w:rPr>
          <w:rFonts w:hint="eastAsia" w:ascii="宋体" w:hAnsi="宋体" w:eastAsia="宋体" w:cs="宋体"/>
          <w:kern w:val="2"/>
          <w:sz w:val="21"/>
          <w:szCs w:val="22"/>
          <w:lang w:val="en-US" w:eastAsia="zh-CN" w:bidi="ar-SA"/>
        </w:rPr>
      </w:pPr>
    </w:p>
    <w:p w14:paraId="1703D7D4">
      <w:pPr>
        <w:widowControl w:val="0"/>
        <w:spacing w:line="360" w:lineRule="auto"/>
        <w:ind w:firstLine="3534" w:firstLineChars="1100"/>
        <w:jc w:val="both"/>
        <w:rPr>
          <w:rFonts w:hint="eastAsia" w:ascii="宋体" w:hAnsi="宋体" w:eastAsia="宋体" w:cs="宋体"/>
          <w:kern w:val="2"/>
          <w:sz w:val="21"/>
          <w:szCs w:val="22"/>
          <w:lang w:val="en-US" w:eastAsia="zh-CN" w:bidi="ar-SA"/>
        </w:rPr>
      </w:pPr>
      <w:r>
        <w:rPr>
          <w:rFonts w:hint="eastAsia" w:ascii="宋体" w:hAnsi="宋体" w:eastAsia="宋体" w:cs="宋体"/>
          <w:b/>
          <w:sz w:val="32"/>
          <w:szCs w:val="32"/>
          <w:u w:val="single"/>
        </w:rPr>
        <w:t xml:space="preserve">     </w:t>
      </w:r>
      <w:r>
        <w:rPr>
          <w:rFonts w:hint="eastAsia" w:ascii="宋体" w:hAnsi="宋体" w:eastAsia="宋体" w:cs="宋体"/>
          <w:b/>
          <w:sz w:val="32"/>
          <w:szCs w:val="32"/>
        </w:rPr>
        <w:t>年</w:t>
      </w:r>
      <w:r>
        <w:rPr>
          <w:rFonts w:hint="eastAsia" w:ascii="宋体" w:hAnsi="宋体" w:eastAsia="宋体" w:cs="宋体"/>
          <w:b/>
          <w:sz w:val="32"/>
          <w:szCs w:val="32"/>
          <w:u w:val="single"/>
        </w:rPr>
        <w:t xml:space="preserve">    </w:t>
      </w:r>
      <w:r>
        <w:rPr>
          <w:rFonts w:hint="eastAsia" w:ascii="宋体" w:hAnsi="宋体" w:eastAsia="宋体" w:cs="宋体"/>
          <w:b/>
          <w:sz w:val="32"/>
          <w:szCs w:val="32"/>
        </w:rPr>
        <w:t>月</w:t>
      </w:r>
    </w:p>
    <w:p w14:paraId="6254B36B">
      <w:pPr>
        <w:spacing w:line="360" w:lineRule="auto"/>
        <w:jc w:val="center"/>
        <w:rPr>
          <w:rFonts w:hint="eastAsia" w:ascii="宋体" w:hAnsi="宋体" w:eastAsia="宋体" w:cs="宋体"/>
          <w:b/>
          <w:sz w:val="32"/>
          <w:szCs w:val="32"/>
        </w:rPr>
        <w:sectPr>
          <w:headerReference r:id="rId8" w:type="default"/>
          <w:footerReference r:id="rId9" w:type="default"/>
          <w:pgSz w:w="11906" w:h="16838"/>
          <w:pgMar w:top="1418" w:right="1418" w:bottom="1418" w:left="755" w:header="907" w:footer="1021" w:gutter="567"/>
          <w:pgBorders>
            <w:top w:val="none" w:sz="0" w:space="0"/>
            <w:left w:val="none" w:sz="0" w:space="0"/>
            <w:bottom w:val="none" w:sz="0" w:space="0"/>
            <w:right w:val="none" w:sz="0" w:space="0"/>
          </w:pgBorders>
          <w:pgNumType w:fmt="decimal" w:start="1"/>
          <w:cols w:space="720" w:num="1"/>
          <w:docGrid w:linePitch="312" w:charSpace="0"/>
        </w:sectPr>
      </w:pPr>
      <w:r>
        <w:rPr>
          <w:rFonts w:hint="eastAsia" w:ascii="宋体" w:hAnsi="宋体" w:eastAsia="宋体" w:cs="宋体"/>
          <w:b/>
          <w:sz w:val="32"/>
          <w:szCs w:val="32"/>
        </w:rPr>
        <w:t xml:space="preserve"> </w:t>
      </w:r>
    </w:p>
    <w:p w14:paraId="16FF8164">
      <w:pPr>
        <w:spacing w:line="480" w:lineRule="exact"/>
        <w:ind w:firstLine="3534" w:firstLineChars="800"/>
        <w:rPr>
          <w:rFonts w:hint="eastAsia" w:ascii="宋体" w:hAnsi="宋体" w:cs="仿宋"/>
          <w:b/>
          <w:sz w:val="44"/>
          <w:szCs w:val="44"/>
        </w:rPr>
      </w:pPr>
      <w:r>
        <w:rPr>
          <w:rFonts w:hint="eastAsia" w:ascii="宋体" w:hAnsi="宋体" w:cs="仿宋"/>
          <w:b/>
          <w:sz w:val="44"/>
          <w:szCs w:val="44"/>
        </w:rPr>
        <w:t>供货合同</w:t>
      </w:r>
    </w:p>
    <w:p w14:paraId="602B1D86">
      <w:pPr>
        <w:pStyle w:val="45"/>
      </w:pPr>
    </w:p>
    <w:p w14:paraId="63139B90">
      <w:pPr>
        <w:numPr>
          <w:ilvl w:val="0"/>
          <w:numId w:val="10"/>
        </w:numPr>
        <w:spacing w:line="480" w:lineRule="exact"/>
        <w:ind w:firstLine="480" w:firstLineChars="200"/>
        <w:rPr>
          <w:rFonts w:hint="eastAsia" w:ascii="宋体" w:hAnsi="宋体" w:cs="宋体"/>
          <w:sz w:val="24"/>
        </w:rPr>
      </w:pPr>
      <w:r>
        <w:rPr>
          <w:rFonts w:hint="eastAsia" w:ascii="宋体" w:hAnsi="宋体" w:cs="宋体"/>
          <w:sz w:val="24"/>
        </w:rPr>
        <w:t>供货合同格式</w:t>
      </w:r>
    </w:p>
    <w:p w14:paraId="0243D309">
      <w:pPr>
        <w:spacing w:line="480" w:lineRule="exact"/>
        <w:rPr>
          <w:rFonts w:hint="eastAsia" w:ascii="宋体" w:hAnsi="宋体" w:cs="宋体"/>
          <w:spacing w:val="-2"/>
          <w:kern w:val="0"/>
          <w:sz w:val="24"/>
          <w:highlight w:val="none"/>
        </w:rPr>
      </w:pPr>
      <w:r>
        <w:rPr>
          <w:rFonts w:hint="eastAsia" w:ascii="宋体" w:hAnsi="宋体" w:cs="宋体"/>
          <w:kern w:val="0"/>
          <w:sz w:val="24"/>
        </w:rPr>
        <w:t xml:space="preserve">    西安铁路职业技术学院</w:t>
      </w:r>
      <w:r>
        <w:rPr>
          <w:rFonts w:hint="eastAsia" w:ascii="宋体" w:hAnsi="宋体" w:cs="宋体"/>
          <w:kern w:val="0"/>
          <w:sz w:val="24"/>
          <w:u w:val="single"/>
        </w:rPr>
        <w:t xml:space="preserve">                   </w:t>
      </w:r>
      <w:r>
        <w:rPr>
          <w:rFonts w:hint="eastAsia" w:ascii="宋体" w:hAnsi="宋体" w:cs="宋体"/>
          <w:kern w:val="0"/>
          <w:sz w:val="24"/>
        </w:rPr>
        <w:t>项目</w:t>
      </w:r>
      <w:r>
        <w:rPr>
          <w:rFonts w:hint="eastAsia" w:ascii="宋体" w:hAnsi="宋体" w:cs="宋体"/>
          <w:spacing w:val="-2"/>
          <w:kern w:val="0"/>
          <w:sz w:val="24"/>
        </w:rPr>
        <w:t>(项目编号：</w:t>
      </w:r>
      <w:r>
        <w:rPr>
          <w:rFonts w:hint="eastAsia" w:ascii="宋体" w:hAnsi="宋体" w:cs="宋体"/>
          <w:spacing w:val="-2"/>
          <w:kern w:val="0"/>
          <w:sz w:val="24"/>
          <w:u w:val="single"/>
        </w:rPr>
        <w:t xml:space="preserve">            </w:t>
      </w:r>
      <w:r>
        <w:rPr>
          <w:rFonts w:hint="eastAsia" w:ascii="宋体" w:hAnsi="宋体" w:cs="宋体"/>
          <w:spacing w:val="-2"/>
          <w:kern w:val="0"/>
          <w:sz w:val="24"/>
        </w:rPr>
        <w:t>)，在西安市财政局政府采购管理处的监督管理下，由</w:t>
      </w:r>
      <w:r>
        <w:rPr>
          <w:rFonts w:hint="eastAsia" w:ascii="宋体" w:hAnsi="宋体" w:cs="宋体"/>
          <w:spacing w:val="-2"/>
          <w:kern w:val="0"/>
          <w:sz w:val="24"/>
          <w:u w:val="single"/>
        </w:rPr>
        <w:t xml:space="preserve">                </w:t>
      </w:r>
      <w:r>
        <w:rPr>
          <w:rFonts w:hint="eastAsia" w:ascii="宋体" w:hAnsi="宋体" w:cs="宋体"/>
          <w:spacing w:val="-2"/>
          <w:kern w:val="0"/>
          <w:sz w:val="24"/>
        </w:rPr>
        <w:t>组织依法招标。</w:t>
      </w:r>
      <w:r>
        <w:rPr>
          <w:rFonts w:hint="eastAsia" w:ascii="宋体" w:hAnsi="宋体" w:cs="宋体"/>
          <w:spacing w:val="-2"/>
          <w:kern w:val="0"/>
          <w:sz w:val="24"/>
          <w:u w:val="single"/>
        </w:rPr>
        <w:t>西安铁路职业技术学院</w:t>
      </w:r>
      <w:r>
        <w:rPr>
          <w:rFonts w:hint="eastAsia" w:ascii="宋体" w:hAnsi="宋体" w:cs="宋体"/>
          <w:spacing w:val="-2"/>
          <w:kern w:val="0"/>
          <w:sz w:val="24"/>
        </w:rPr>
        <w:t>(以下简称“买方”)确定</w:t>
      </w:r>
      <w:r>
        <w:rPr>
          <w:rFonts w:hint="eastAsia" w:ascii="宋体" w:hAnsi="宋体" w:cs="宋体"/>
          <w:sz w:val="24"/>
          <w:u w:val="single"/>
        </w:rPr>
        <w:t xml:space="preserve">                        </w:t>
      </w:r>
      <w:r>
        <w:rPr>
          <w:rFonts w:hint="eastAsia" w:ascii="宋体" w:hAnsi="宋体" w:cs="宋体"/>
          <w:spacing w:val="-2"/>
          <w:kern w:val="0"/>
          <w:sz w:val="24"/>
        </w:rPr>
        <w:t>（以下简称“卖方”）为成交供应</w:t>
      </w:r>
      <w:r>
        <w:rPr>
          <w:rFonts w:hint="eastAsia" w:ascii="宋体" w:hAnsi="宋体" w:cs="宋体"/>
          <w:spacing w:val="-2"/>
          <w:kern w:val="0"/>
          <w:sz w:val="24"/>
          <w:highlight w:val="none"/>
        </w:rPr>
        <w:t>商</w:t>
      </w:r>
      <w:r>
        <w:rPr>
          <w:rFonts w:hint="eastAsia" w:ascii="宋体" w:hAnsi="宋体" w:cs="宋体"/>
          <w:sz w:val="24"/>
          <w:highlight w:val="none"/>
        </w:rPr>
        <w:t>，其规模为</w:t>
      </w:r>
      <w:r>
        <w:rPr>
          <w:rFonts w:hint="eastAsia" w:ascii="宋体" w:hAnsi="宋体" w:cs="宋体"/>
          <w:sz w:val="24"/>
          <w:highlight w:val="none"/>
          <w:u w:val="single"/>
        </w:rPr>
        <w:t>大型企业、中型企业、小型企业、小微企业</w:t>
      </w:r>
      <w:r>
        <w:rPr>
          <w:rFonts w:hint="eastAsia" w:ascii="宋体" w:hAnsi="宋体" w:cs="宋体"/>
          <w:sz w:val="24"/>
          <w:highlight w:val="none"/>
        </w:rPr>
        <w:t>，供应商拥有者性别为</w:t>
      </w:r>
      <w:r>
        <w:rPr>
          <w:rFonts w:hint="eastAsia" w:ascii="宋体" w:hAnsi="宋体" w:cs="宋体"/>
          <w:sz w:val="24"/>
          <w:highlight w:val="none"/>
          <w:u w:val="single"/>
        </w:rPr>
        <w:t>男/女</w:t>
      </w:r>
      <w:r>
        <w:rPr>
          <w:rFonts w:hint="eastAsia" w:ascii="宋体" w:hAnsi="宋体" w:cs="宋体"/>
          <w:sz w:val="24"/>
          <w:highlight w:val="none"/>
        </w:rPr>
        <w:t>。</w:t>
      </w:r>
      <w:r>
        <w:rPr>
          <w:rFonts w:hint="eastAsia" w:ascii="宋体" w:hAnsi="宋体" w:cs="宋体"/>
          <w:spacing w:val="-2"/>
          <w:kern w:val="0"/>
          <w:sz w:val="24"/>
          <w:highlight w:val="none"/>
        </w:rPr>
        <w:t xml:space="preserve"> </w:t>
      </w:r>
    </w:p>
    <w:p w14:paraId="7F03AD13">
      <w:pPr>
        <w:spacing w:line="480" w:lineRule="exact"/>
        <w:ind w:firstLine="472" w:firstLineChars="200"/>
        <w:rPr>
          <w:rFonts w:hint="eastAsia" w:ascii="宋体" w:hAnsi="宋体" w:cs="宋体"/>
          <w:spacing w:val="-2"/>
          <w:kern w:val="0"/>
          <w:sz w:val="24"/>
        </w:rPr>
      </w:pPr>
      <w:r>
        <w:rPr>
          <w:rFonts w:hint="eastAsia" w:ascii="宋体" w:hAnsi="宋体" w:cs="宋体"/>
          <w:spacing w:val="-2"/>
          <w:kern w:val="0"/>
          <w:sz w:val="24"/>
          <w:highlight w:val="none"/>
        </w:rPr>
        <w:t>依据《中华人民共和国民法</w:t>
      </w:r>
      <w:r>
        <w:rPr>
          <w:rFonts w:hint="eastAsia" w:ascii="宋体" w:hAnsi="宋体" w:cs="宋体"/>
          <w:spacing w:val="-2"/>
          <w:kern w:val="0"/>
          <w:sz w:val="24"/>
        </w:rPr>
        <w:t>典》和《中华人民共和国政府采购法》等规定，买方通过依法采购接受了卖方以价格（大写）：人民币</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spacing w:val="-2"/>
          <w:kern w:val="0"/>
          <w:sz w:val="24"/>
        </w:rPr>
        <w:t>(以下简称“合同价”)提供的货物及配套服务、施工</w:t>
      </w:r>
      <w:r>
        <w:rPr>
          <w:rFonts w:hint="eastAsia" w:ascii="宋体" w:hAnsi="宋体" w:cs="宋体"/>
          <w:sz w:val="24"/>
        </w:rPr>
        <w:t>，买方经办人</w:t>
      </w:r>
      <w:r>
        <w:rPr>
          <w:rFonts w:hint="eastAsia" w:ascii="宋体" w:hAnsi="宋体" w:cs="宋体"/>
          <w:sz w:val="24"/>
          <w:u w:val="single"/>
        </w:rPr>
        <w:t>____         __</w:t>
      </w:r>
      <w:r>
        <w:rPr>
          <w:rFonts w:hint="eastAsia" w:ascii="宋体" w:hAnsi="宋体" w:cs="宋体"/>
          <w:sz w:val="24"/>
        </w:rPr>
        <w:t>,联系电话_</w:t>
      </w:r>
      <w:r>
        <w:rPr>
          <w:rFonts w:hint="eastAsia" w:ascii="宋体" w:hAnsi="宋体" w:cs="宋体"/>
          <w:sz w:val="24"/>
          <w:u w:val="single"/>
        </w:rPr>
        <w:t>___      __</w:t>
      </w:r>
      <w:r>
        <w:rPr>
          <w:rFonts w:hint="eastAsia" w:ascii="宋体" w:hAnsi="宋体" w:cs="宋体"/>
          <w:sz w:val="24"/>
        </w:rPr>
        <w:t>_；卖方经办人_______,联系电话___</w:t>
      </w:r>
      <w:r>
        <w:rPr>
          <w:rFonts w:hint="eastAsia" w:ascii="宋体" w:hAnsi="宋体" w:cs="宋体"/>
          <w:sz w:val="24"/>
          <w:u w:val="single"/>
        </w:rPr>
        <w:t>__   _</w:t>
      </w:r>
      <w:r>
        <w:rPr>
          <w:rFonts w:hint="eastAsia" w:ascii="宋体" w:hAnsi="宋体" w:cs="宋体"/>
          <w:sz w:val="24"/>
        </w:rPr>
        <w:t>____。</w:t>
      </w:r>
    </w:p>
    <w:p w14:paraId="4B13A392">
      <w:pPr>
        <w:spacing w:line="480" w:lineRule="exact"/>
        <w:ind w:firstLine="480" w:firstLineChars="200"/>
        <w:rPr>
          <w:rFonts w:hint="eastAsia" w:ascii="宋体" w:hAnsi="宋体" w:cs="宋体"/>
          <w:sz w:val="24"/>
        </w:rPr>
      </w:pPr>
      <w:r>
        <w:rPr>
          <w:rFonts w:hint="eastAsia" w:ascii="宋体" w:hAnsi="宋体" w:cs="宋体"/>
          <w:sz w:val="24"/>
        </w:rPr>
        <w:t>本合同在此声明如下：</w:t>
      </w:r>
    </w:p>
    <w:p w14:paraId="4B76F792">
      <w:pPr>
        <w:spacing w:line="480" w:lineRule="exact"/>
        <w:ind w:firstLine="480" w:firstLineChars="200"/>
        <w:rPr>
          <w:rFonts w:hint="eastAsia" w:ascii="宋体" w:hAnsi="宋体" w:cs="宋体"/>
          <w:sz w:val="24"/>
        </w:rPr>
      </w:pPr>
      <w:r>
        <w:rPr>
          <w:rFonts w:hint="eastAsia" w:ascii="宋体" w:hAnsi="宋体" w:cs="宋体"/>
          <w:sz w:val="24"/>
        </w:rPr>
        <w:t>1、本合同中的词语和术语的含义与合同条款中定义的相同。</w:t>
      </w:r>
    </w:p>
    <w:p w14:paraId="2E048C95">
      <w:pPr>
        <w:spacing w:line="480" w:lineRule="exact"/>
        <w:ind w:firstLine="480" w:firstLineChars="200"/>
        <w:rPr>
          <w:rFonts w:hint="eastAsia" w:ascii="宋体" w:hAnsi="宋体" w:cs="宋体"/>
          <w:sz w:val="24"/>
        </w:rPr>
      </w:pPr>
      <w:r>
        <w:rPr>
          <w:rFonts w:hint="eastAsia" w:ascii="宋体" w:hAnsi="宋体" w:cs="宋体"/>
          <w:sz w:val="24"/>
        </w:rPr>
        <w:t>2、下述文件是本合同的一部分，并与本合同一起阅读和解释：</w:t>
      </w:r>
    </w:p>
    <w:p w14:paraId="7F920339">
      <w:pPr>
        <w:spacing w:line="480" w:lineRule="exact"/>
        <w:ind w:firstLine="480" w:firstLineChars="200"/>
        <w:rPr>
          <w:rFonts w:hint="eastAsia" w:ascii="宋体" w:hAnsi="宋体" w:cs="宋体"/>
          <w:sz w:val="24"/>
        </w:rPr>
      </w:pPr>
      <w:r>
        <w:rPr>
          <w:rFonts w:hint="eastAsia" w:ascii="宋体" w:hAnsi="宋体" w:cs="宋体"/>
          <w:sz w:val="24"/>
        </w:rPr>
        <w:t>1）合同条款</w:t>
      </w:r>
    </w:p>
    <w:p w14:paraId="1F928C68">
      <w:pPr>
        <w:spacing w:line="480" w:lineRule="exact"/>
        <w:ind w:firstLine="480" w:firstLineChars="200"/>
        <w:rPr>
          <w:rFonts w:hint="eastAsia" w:ascii="宋体" w:hAnsi="宋体" w:cs="宋体"/>
          <w:sz w:val="24"/>
        </w:rPr>
      </w:pPr>
      <w:r>
        <w:rPr>
          <w:rFonts w:hint="eastAsia" w:ascii="宋体" w:hAnsi="宋体" w:cs="宋体"/>
          <w:sz w:val="24"/>
        </w:rPr>
        <w:t>2）合同条款附件</w:t>
      </w:r>
    </w:p>
    <w:p w14:paraId="54213E6F">
      <w:pPr>
        <w:spacing w:line="480" w:lineRule="exact"/>
        <w:ind w:firstLine="840" w:firstLineChars="350"/>
        <w:rPr>
          <w:rFonts w:hint="eastAsia" w:ascii="宋体" w:hAnsi="宋体" w:cs="宋体"/>
          <w:sz w:val="24"/>
        </w:rPr>
      </w:pPr>
      <w:r>
        <w:rPr>
          <w:rFonts w:hint="eastAsia" w:ascii="宋体" w:hAnsi="宋体" w:cs="宋体"/>
          <w:sz w:val="24"/>
        </w:rPr>
        <w:t>附件1—货物清单（必须提供）</w:t>
      </w:r>
    </w:p>
    <w:p w14:paraId="1A64FB33">
      <w:pPr>
        <w:spacing w:line="480" w:lineRule="exact"/>
        <w:ind w:firstLine="840" w:firstLineChars="350"/>
        <w:rPr>
          <w:rFonts w:hint="eastAsia" w:ascii="宋体" w:hAnsi="宋体" w:cs="宋体"/>
          <w:sz w:val="24"/>
        </w:rPr>
      </w:pPr>
      <w:r>
        <w:rPr>
          <w:rFonts w:hint="eastAsia" w:ascii="宋体" w:hAnsi="宋体" w:cs="宋体"/>
          <w:sz w:val="24"/>
        </w:rPr>
        <w:t>附件2—质量保证承诺（必须提供）</w:t>
      </w:r>
    </w:p>
    <w:p w14:paraId="2F0582F5">
      <w:pPr>
        <w:spacing w:line="480" w:lineRule="exact"/>
        <w:ind w:firstLine="840" w:firstLineChars="350"/>
        <w:rPr>
          <w:rFonts w:hint="eastAsia" w:ascii="宋体" w:hAnsi="宋体" w:cs="宋体"/>
          <w:sz w:val="24"/>
        </w:rPr>
      </w:pPr>
      <w:r>
        <w:rPr>
          <w:rFonts w:hint="eastAsia" w:ascii="宋体" w:hAnsi="宋体" w:cs="宋体"/>
          <w:sz w:val="24"/>
        </w:rPr>
        <w:t>附件3—售后服务方案（必须提供）</w:t>
      </w:r>
    </w:p>
    <w:p w14:paraId="017DCA06">
      <w:pPr>
        <w:spacing w:line="480" w:lineRule="exact"/>
        <w:ind w:firstLine="840" w:firstLineChars="350"/>
        <w:rPr>
          <w:sz w:val="24"/>
        </w:rPr>
      </w:pPr>
      <w:r>
        <w:rPr>
          <w:rFonts w:hint="eastAsia" w:ascii="宋体" w:hAnsi="宋体" w:cs="宋体"/>
          <w:sz w:val="24"/>
        </w:rPr>
        <w:t>附件4—培训计划（若需培训，必须提供）</w:t>
      </w:r>
    </w:p>
    <w:p w14:paraId="51BBF390">
      <w:pPr>
        <w:spacing w:line="480" w:lineRule="exact"/>
        <w:ind w:firstLine="480" w:firstLineChars="200"/>
        <w:rPr>
          <w:rFonts w:hint="eastAsia" w:ascii="宋体" w:hAnsi="宋体" w:cs="宋体"/>
          <w:sz w:val="24"/>
        </w:rPr>
      </w:pPr>
      <w:r>
        <w:rPr>
          <w:rFonts w:hint="eastAsia" w:ascii="宋体" w:hAnsi="宋体" w:cs="宋体"/>
          <w:sz w:val="24"/>
        </w:rPr>
        <w:t>3）成交通知书</w:t>
      </w:r>
    </w:p>
    <w:p w14:paraId="327BBBAC">
      <w:pPr>
        <w:spacing w:line="480" w:lineRule="exact"/>
        <w:ind w:firstLine="480" w:firstLineChars="200"/>
        <w:rPr>
          <w:rFonts w:hint="eastAsia" w:ascii="宋体" w:hAnsi="宋体" w:cs="宋体"/>
          <w:sz w:val="24"/>
        </w:rPr>
      </w:pPr>
      <w:r>
        <w:rPr>
          <w:rFonts w:hint="eastAsia" w:ascii="宋体" w:hAnsi="宋体" w:cs="宋体"/>
          <w:sz w:val="24"/>
        </w:rPr>
        <w:t>4）买方招标文件</w:t>
      </w:r>
    </w:p>
    <w:p w14:paraId="4FDB8B0D">
      <w:pPr>
        <w:spacing w:line="480" w:lineRule="exact"/>
        <w:ind w:firstLine="480" w:firstLineChars="200"/>
        <w:rPr>
          <w:rFonts w:hint="eastAsia" w:ascii="宋体" w:hAnsi="宋体" w:cs="宋体"/>
          <w:sz w:val="24"/>
        </w:rPr>
      </w:pPr>
      <w:r>
        <w:rPr>
          <w:rFonts w:hint="eastAsia" w:ascii="宋体" w:hAnsi="宋体" w:cs="宋体"/>
          <w:sz w:val="24"/>
        </w:rPr>
        <w:t>5）卖方投标文件</w:t>
      </w:r>
    </w:p>
    <w:p w14:paraId="34725C32">
      <w:pPr>
        <w:spacing w:line="480" w:lineRule="exact"/>
        <w:ind w:firstLine="480" w:firstLineChars="200"/>
        <w:rPr>
          <w:rFonts w:hint="eastAsia" w:ascii="宋体" w:hAnsi="宋体" w:cs="宋体"/>
          <w:sz w:val="24"/>
        </w:rPr>
      </w:pPr>
      <w:r>
        <w:rPr>
          <w:rFonts w:hint="eastAsia" w:ascii="宋体" w:hAnsi="宋体" w:cs="宋体"/>
          <w:sz w:val="24"/>
        </w:rPr>
        <w:t>3、考虑到买方将按照本合同向卖方支付货款，卖方在此保证全部按照合同的规定向买方提供货物和服务，并修补缺陷。</w:t>
      </w:r>
    </w:p>
    <w:p w14:paraId="2247C847">
      <w:pPr>
        <w:spacing w:line="480" w:lineRule="exact"/>
        <w:ind w:firstLine="480" w:firstLineChars="200"/>
        <w:rPr>
          <w:rFonts w:hint="eastAsia" w:ascii="宋体" w:hAnsi="宋体" w:cs="宋体"/>
          <w:sz w:val="24"/>
        </w:rPr>
      </w:pPr>
      <w:r>
        <w:rPr>
          <w:rFonts w:hint="eastAsia" w:ascii="宋体" w:hAnsi="宋体" w:cs="宋体"/>
          <w:sz w:val="24"/>
        </w:rPr>
        <w:t>4、考虑到卖方提供的货物和服务并修补缺陷，买方在此保证按照合同规定时间和方式向卖方支付合同价或其他按合同规定应支付的金额。</w:t>
      </w:r>
    </w:p>
    <w:p w14:paraId="36DB04AA">
      <w:pPr>
        <w:spacing w:line="480" w:lineRule="exact"/>
        <w:ind w:firstLine="480" w:firstLineChars="200"/>
        <w:rPr>
          <w:rFonts w:hint="eastAsia" w:ascii="宋体" w:hAnsi="宋体" w:cs="宋体"/>
          <w:sz w:val="24"/>
        </w:rPr>
      </w:pPr>
      <w:r>
        <w:rPr>
          <w:rFonts w:hint="eastAsia" w:ascii="宋体" w:hAnsi="宋体" w:cs="宋体"/>
          <w:sz w:val="24"/>
        </w:rPr>
        <w:t>5、履约保证金</w:t>
      </w:r>
    </w:p>
    <w:p w14:paraId="0B4EC26E">
      <w:pPr>
        <w:spacing w:line="480" w:lineRule="exact"/>
        <w:ind w:firstLine="480" w:firstLineChars="200"/>
        <w:rPr>
          <w:rFonts w:hint="eastAsia" w:ascii="宋体" w:hAnsi="宋体" w:cs="宋体"/>
          <w:sz w:val="24"/>
        </w:rPr>
      </w:pPr>
      <w:r>
        <w:rPr>
          <w:rFonts w:hint="eastAsia" w:ascii="宋体" w:hAnsi="宋体" w:cs="宋体"/>
          <w:sz w:val="24"/>
        </w:rPr>
        <w:t>5-1 卖方在签订合同前须向买方交纳合同总金额5%的履约保证金。</w:t>
      </w:r>
    </w:p>
    <w:p w14:paraId="6785B32D">
      <w:pPr>
        <w:spacing w:line="480" w:lineRule="exact"/>
        <w:ind w:firstLine="480" w:firstLineChars="200"/>
        <w:rPr>
          <w:rFonts w:hint="eastAsia" w:ascii="宋体" w:hAnsi="宋体" w:cs="宋体"/>
          <w:sz w:val="24"/>
        </w:rPr>
      </w:pPr>
      <w:r>
        <w:rPr>
          <w:rFonts w:hint="eastAsia" w:ascii="宋体" w:hAnsi="宋体" w:cs="宋体"/>
          <w:sz w:val="24"/>
        </w:rPr>
        <w:t>5-2 卖方无正当理由不与买方订立合同，在签订合同时向买方提出附加条件，或者不按照招标文件要求提交履约保证金的，取消其成交资格，投标保证金（若有）不予退还。</w:t>
      </w:r>
    </w:p>
    <w:p w14:paraId="0F37AE8D">
      <w:pPr>
        <w:spacing w:line="480" w:lineRule="exact"/>
        <w:ind w:firstLine="480" w:firstLineChars="200"/>
        <w:rPr>
          <w:rFonts w:hint="eastAsia" w:ascii="宋体" w:hAnsi="宋体" w:cs="宋体"/>
          <w:sz w:val="24"/>
        </w:rPr>
      </w:pPr>
      <w:r>
        <w:rPr>
          <w:rFonts w:hint="eastAsia" w:ascii="宋体" w:hAnsi="宋体" w:cs="宋体"/>
          <w:sz w:val="24"/>
        </w:rPr>
        <w:t>5-3 项目验收合格后，卖方持《申请支付履约保证金的函》到买方办理相关手续后，买方向卖方30天内无息退还。</w:t>
      </w:r>
    </w:p>
    <w:p w14:paraId="66300B98">
      <w:pPr>
        <w:spacing w:line="480" w:lineRule="exact"/>
        <w:ind w:firstLine="480" w:firstLineChars="200"/>
        <w:rPr>
          <w:rFonts w:hint="eastAsia" w:ascii="宋体" w:hAnsi="宋体" w:cs="宋体"/>
          <w:sz w:val="24"/>
        </w:rPr>
      </w:pPr>
      <w:r>
        <w:rPr>
          <w:rFonts w:hint="eastAsia" w:ascii="宋体" w:hAnsi="宋体" w:cs="宋体"/>
          <w:sz w:val="24"/>
        </w:rPr>
        <w:t>注：履约保证金转账信息</w:t>
      </w:r>
    </w:p>
    <w:p w14:paraId="5C39C525">
      <w:pPr>
        <w:spacing w:line="480" w:lineRule="exact"/>
        <w:ind w:firstLine="480" w:firstLineChars="200"/>
        <w:rPr>
          <w:rFonts w:hint="eastAsia" w:ascii="宋体" w:hAnsi="宋体" w:cs="宋体"/>
          <w:sz w:val="24"/>
        </w:rPr>
      </w:pPr>
      <w:r>
        <w:rPr>
          <w:rFonts w:hint="eastAsia" w:ascii="宋体" w:hAnsi="宋体" w:cs="宋体"/>
          <w:sz w:val="24"/>
        </w:rPr>
        <w:t>名称：西安铁路职业技术学院</w:t>
      </w:r>
    </w:p>
    <w:p w14:paraId="2F4D111B">
      <w:pPr>
        <w:spacing w:line="480" w:lineRule="exact"/>
        <w:ind w:firstLine="480" w:firstLineChars="200"/>
        <w:rPr>
          <w:rFonts w:hint="eastAsia" w:ascii="宋体" w:hAnsi="宋体" w:cs="宋体"/>
          <w:sz w:val="24"/>
        </w:rPr>
      </w:pPr>
      <w:r>
        <w:rPr>
          <w:rFonts w:hint="eastAsia" w:ascii="宋体" w:hAnsi="宋体" w:cs="宋体"/>
          <w:sz w:val="24"/>
        </w:rPr>
        <w:t>纳税人识别号：12610100437202545W</w:t>
      </w:r>
    </w:p>
    <w:p w14:paraId="3A960B88">
      <w:pPr>
        <w:spacing w:line="480" w:lineRule="exact"/>
        <w:ind w:firstLine="480" w:firstLineChars="200"/>
        <w:rPr>
          <w:rFonts w:hint="eastAsia" w:ascii="宋体" w:hAnsi="宋体" w:cs="宋体"/>
          <w:sz w:val="24"/>
        </w:rPr>
      </w:pPr>
      <w:r>
        <w:rPr>
          <w:rFonts w:hint="eastAsia" w:ascii="宋体" w:hAnsi="宋体" w:cs="宋体"/>
          <w:sz w:val="24"/>
        </w:rPr>
        <w:t>地址、电话：西安国际港务区港务大道396号   029-88092201</w:t>
      </w:r>
    </w:p>
    <w:p w14:paraId="29452844">
      <w:pPr>
        <w:spacing w:line="480" w:lineRule="exact"/>
        <w:ind w:firstLine="480" w:firstLineChars="200"/>
        <w:rPr>
          <w:rFonts w:hint="eastAsia" w:ascii="宋体" w:hAnsi="宋体" w:cs="宋体"/>
          <w:sz w:val="24"/>
        </w:rPr>
      </w:pPr>
      <w:r>
        <w:rPr>
          <w:rFonts w:hint="eastAsia" w:ascii="宋体" w:hAnsi="宋体" w:cs="宋体"/>
          <w:sz w:val="24"/>
        </w:rPr>
        <w:t>开户行及账号：中国建设银行 西安经济技术开发区支行 61001930041052515973</w:t>
      </w:r>
    </w:p>
    <w:p w14:paraId="5D267398">
      <w:pPr>
        <w:spacing w:line="480" w:lineRule="exact"/>
        <w:ind w:firstLine="480" w:firstLineChars="200"/>
        <w:rPr>
          <w:rFonts w:hint="eastAsia" w:ascii="宋体" w:hAnsi="宋体" w:cs="宋体"/>
          <w:sz w:val="24"/>
        </w:rPr>
      </w:pPr>
      <w:r>
        <w:rPr>
          <w:rFonts w:hint="eastAsia" w:ascii="宋体" w:hAnsi="宋体" w:cs="宋体"/>
          <w:sz w:val="24"/>
        </w:rPr>
        <w:t>6、付款方式：设备安装调试完毕并经验收合格后30天内，卖方持《验收合格单》原件及全额发票在买方处办理全部货款的支付手续。</w:t>
      </w:r>
    </w:p>
    <w:p w14:paraId="272D8595">
      <w:pPr>
        <w:spacing w:line="480" w:lineRule="exact"/>
        <w:ind w:firstLine="480" w:firstLineChars="200"/>
        <w:rPr>
          <w:rFonts w:hint="eastAsia" w:ascii="宋体" w:hAnsi="宋体" w:cs="宋体"/>
          <w:sz w:val="24"/>
        </w:rPr>
      </w:pPr>
      <w:r>
        <w:rPr>
          <w:rFonts w:hint="eastAsia" w:ascii="宋体" w:hAnsi="宋体" w:cs="宋体"/>
          <w:sz w:val="24"/>
        </w:rPr>
        <w:t>7、交货期：自合同签订后</w:t>
      </w:r>
      <w:r>
        <w:rPr>
          <w:rFonts w:hint="eastAsia" w:ascii="宋体" w:hAnsi="宋体" w:cs="宋体"/>
          <w:sz w:val="24"/>
          <w:u w:val="single"/>
        </w:rPr>
        <w:t xml:space="preserve">          </w:t>
      </w:r>
      <w:r>
        <w:rPr>
          <w:rFonts w:hint="eastAsia" w:ascii="宋体" w:hAnsi="宋体" w:cs="宋体"/>
          <w:sz w:val="24"/>
        </w:rPr>
        <w:t>个日历日。</w:t>
      </w:r>
    </w:p>
    <w:p w14:paraId="186A662B">
      <w:pPr>
        <w:spacing w:line="480" w:lineRule="exact"/>
        <w:ind w:firstLine="480" w:firstLineChars="200"/>
        <w:rPr>
          <w:rFonts w:hint="eastAsia" w:ascii="宋体" w:hAnsi="宋体" w:cs="宋体"/>
          <w:sz w:val="24"/>
        </w:rPr>
      </w:pPr>
      <w:r>
        <w:rPr>
          <w:rFonts w:hint="eastAsia" w:ascii="宋体" w:hAnsi="宋体" w:cs="宋体"/>
          <w:sz w:val="24"/>
        </w:rPr>
        <w:t xml:space="preserve">   交货地点：西安铁路职业技术学院指定地点</w:t>
      </w:r>
    </w:p>
    <w:p w14:paraId="44DE4C93">
      <w:pPr>
        <w:spacing w:line="480" w:lineRule="exact"/>
        <w:ind w:firstLine="480" w:firstLineChars="200"/>
        <w:rPr>
          <w:rFonts w:hint="eastAsia" w:ascii="宋体" w:hAnsi="宋体" w:cs="宋体"/>
          <w:sz w:val="24"/>
        </w:rPr>
      </w:pPr>
      <w:r>
        <w:rPr>
          <w:rFonts w:hint="eastAsia" w:ascii="宋体" w:hAnsi="宋体" w:cs="宋体"/>
          <w:sz w:val="24"/>
        </w:rPr>
        <w:t>8、本合同一式柒份，其中，买方伍份，卖方壹份，代理机构壹份每份均具有同等法律效力。</w:t>
      </w:r>
    </w:p>
    <w:p w14:paraId="71654807">
      <w:pPr>
        <w:spacing w:line="480" w:lineRule="exact"/>
        <w:ind w:firstLine="480" w:firstLineChars="200"/>
        <w:rPr>
          <w:rFonts w:hint="eastAsia" w:ascii="宋体" w:hAnsi="宋体" w:cs="宋体"/>
          <w:sz w:val="24"/>
        </w:rPr>
      </w:pPr>
      <w:r>
        <w:rPr>
          <w:rFonts w:hint="eastAsia" w:ascii="宋体" w:hAnsi="宋体" w:cs="宋体"/>
          <w:sz w:val="24"/>
        </w:rPr>
        <w:t>9、本合同由买卖双方法定代表人/授权代表共同签字并加盖公章/合同专用章之日起生效。</w:t>
      </w:r>
    </w:p>
    <w:tbl>
      <w:tblPr>
        <w:tblStyle w:val="35"/>
        <w:tblpPr w:leftFromText="180" w:rightFromText="180" w:vertAnchor="text" w:horzAnchor="margin" w:tblpX="-209" w:tblpY="58"/>
        <w:tblOverlap w:val="never"/>
        <w:tblW w:w="9418" w:type="dxa"/>
        <w:tblInd w:w="0" w:type="dxa"/>
        <w:tblLayout w:type="fixed"/>
        <w:tblCellMar>
          <w:top w:w="0" w:type="dxa"/>
          <w:left w:w="108" w:type="dxa"/>
          <w:bottom w:w="0" w:type="dxa"/>
          <w:right w:w="108" w:type="dxa"/>
        </w:tblCellMar>
      </w:tblPr>
      <w:tblGrid>
        <w:gridCol w:w="4803"/>
        <w:gridCol w:w="4615"/>
      </w:tblGrid>
      <w:tr w14:paraId="359261C8">
        <w:tblPrEx>
          <w:tblCellMar>
            <w:top w:w="0" w:type="dxa"/>
            <w:left w:w="108" w:type="dxa"/>
            <w:bottom w:w="0" w:type="dxa"/>
            <w:right w:w="108" w:type="dxa"/>
          </w:tblCellMar>
        </w:tblPrEx>
        <w:trPr>
          <w:trHeight w:val="3561" w:hRule="atLeast"/>
        </w:trPr>
        <w:tc>
          <w:tcPr>
            <w:tcW w:w="4803" w:type="dxa"/>
            <w:tcMar>
              <w:top w:w="113" w:type="dxa"/>
              <w:left w:w="113" w:type="dxa"/>
              <w:bottom w:w="113" w:type="dxa"/>
              <w:right w:w="113" w:type="dxa"/>
            </w:tcMar>
          </w:tcPr>
          <w:p w14:paraId="55891E91">
            <w:pPr>
              <w:spacing w:line="480" w:lineRule="exact"/>
              <w:ind w:firstLine="240" w:firstLineChars="100"/>
              <w:rPr>
                <w:rFonts w:hint="eastAsia" w:ascii="宋体" w:hAnsi="宋体" w:cs="宋体"/>
                <w:sz w:val="24"/>
              </w:rPr>
            </w:pPr>
            <w:r>
              <w:rPr>
                <w:rFonts w:hint="eastAsia" w:ascii="宋体" w:hAnsi="宋体" w:cs="宋体"/>
                <w:sz w:val="24"/>
              </w:rPr>
              <w:t xml:space="preserve">买方名称：西安铁路职业技术学院 </w:t>
            </w:r>
          </w:p>
          <w:p w14:paraId="5DAFB697">
            <w:pPr>
              <w:spacing w:line="480" w:lineRule="exact"/>
              <w:ind w:firstLine="240" w:firstLineChars="100"/>
              <w:rPr>
                <w:rFonts w:hint="eastAsia" w:ascii="宋体" w:hAnsi="宋体" w:cs="宋体"/>
                <w:sz w:val="24"/>
              </w:rPr>
            </w:pPr>
            <w:r>
              <w:rPr>
                <w:rFonts w:hint="eastAsia" w:ascii="宋体" w:hAnsi="宋体" w:cs="宋体"/>
                <w:sz w:val="24"/>
              </w:rPr>
              <w:t xml:space="preserve">地址：西安市国际港务区港务大道396号 </w:t>
            </w:r>
          </w:p>
          <w:p w14:paraId="2E843A37">
            <w:pPr>
              <w:spacing w:line="480" w:lineRule="exact"/>
              <w:ind w:firstLine="240" w:firstLineChars="100"/>
              <w:rPr>
                <w:rFonts w:hint="eastAsia" w:ascii="宋体" w:hAnsi="宋体" w:cs="宋体"/>
                <w:sz w:val="24"/>
              </w:rPr>
            </w:pPr>
          </w:p>
          <w:p w14:paraId="79B8BEF0">
            <w:pPr>
              <w:spacing w:line="480" w:lineRule="exact"/>
              <w:ind w:firstLine="240" w:firstLineChars="100"/>
              <w:rPr>
                <w:rFonts w:hint="eastAsia" w:ascii="宋体" w:hAnsi="宋体" w:cs="宋体"/>
                <w:sz w:val="24"/>
              </w:rPr>
            </w:pPr>
          </w:p>
          <w:p w14:paraId="77F9E19F">
            <w:pPr>
              <w:spacing w:line="480" w:lineRule="exact"/>
              <w:ind w:firstLine="240" w:firstLineChars="100"/>
              <w:rPr>
                <w:rFonts w:hint="eastAsia" w:ascii="宋体" w:hAnsi="宋体" w:cs="宋体"/>
                <w:sz w:val="24"/>
              </w:rPr>
            </w:pPr>
          </w:p>
          <w:p w14:paraId="14B77417">
            <w:pPr>
              <w:spacing w:line="480" w:lineRule="exact"/>
              <w:ind w:firstLine="240" w:firstLineChars="100"/>
              <w:rPr>
                <w:rFonts w:hint="eastAsia" w:ascii="宋体" w:hAnsi="宋体" w:cs="宋体"/>
                <w:sz w:val="24"/>
              </w:rPr>
            </w:pPr>
            <w:r>
              <w:rPr>
                <w:rFonts w:hint="eastAsia" w:ascii="宋体" w:hAnsi="宋体" w:cs="宋体"/>
                <w:sz w:val="24"/>
              </w:rPr>
              <w:t>法定代表人/授权代表签字：</w:t>
            </w:r>
          </w:p>
          <w:p w14:paraId="5CED4123">
            <w:pPr>
              <w:spacing w:line="480" w:lineRule="exact"/>
              <w:ind w:firstLine="240" w:firstLineChars="100"/>
              <w:rPr>
                <w:rFonts w:hint="eastAsia" w:ascii="宋体" w:hAnsi="宋体" w:cs="宋体"/>
                <w:sz w:val="24"/>
              </w:rPr>
            </w:pPr>
            <w:r>
              <w:rPr>
                <w:rFonts w:hint="eastAsia" w:ascii="宋体" w:hAnsi="宋体" w:cs="宋体"/>
                <w:sz w:val="24"/>
              </w:rPr>
              <w:t>盖章：</w:t>
            </w:r>
          </w:p>
          <w:p w14:paraId="14E8D10E">
            <w:pPr>
              <w:spacing w:line="480" w:lineRule="exact"/>
              <w:ind w:firstLine="480" w:firstLineChars="200"/>
              <w:rPr>
                <w:rFonts w:hint="eastAsia" w:ascii="宋体" w:hAnsi="宋体" w:cs="宋体"/>
                <w:sz w:val="24"/>
              </w:rPr>
            </w:pPr>
            <w:r>
              <w:rPr>
                <w:rFonts w:hint="eastAsia" w:ascii="宋体" w:hAnsi="宋体" w:cs="宋体"/>
                <w:sz w:val="24"/>
              </w:rPr>
              <w:t xml:space="preserve">               </w:t>
            </w:r>
          </w:p>
          <w:p w14:paraId="42A8CACC">
            <w:pPr>
              <w:spacing w:line="480" w:lineRule="exact"/>
              <w:ind w:firstLine="240" w:firstLineChars="100"/>
            </w:pP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 xml:space="preserve">日     </w:t>
            </w:r>
          </w:p>
        </w:tc>
        <w:tc>
          <w:tcPr>
            <w:tcW w:w="4615" w:type="dxa"/>
            <w:tcMar>
              <w:top w:w="113" w:type="dxa"/>
              <w:left w:w="113" w:type="dxa"/>
              <w:bottom w:w="113" w:type="dxa"/>
              <w:right w:w="113" w:type="dxa"/>
            </w:tcMar>
          </w:tcPr>
          <w:p w14:paraId="6078BD3D">
            <w:pPr>
              <w:spacing w:line="480" w:lineRule="exact"/>
              <w:ind w:firstLine="720" w:firstLineChars="300"/>
              <w:rPr>
                <w:rFonts w:hint="eastAsia" w:ascii="宋体" w:hAnsi="宋体" w:cs="宋体"/>
                <w:sz w:val="24"/>
              </w:rPr>
            </w:pPr>
            <w:r>
              <w:rPr>
                <w:rFonts w:hint="eastAsia" w:ascii="宋体" w:hAnsi="宋体" w:cs="宋体"/>
                <w:sz w:val="24"/>
              </w:rPr>
              <w:t xml:space="preserve">卖方名称： </w:t>
            </w:r>
          </w:p>
          <w:p w14:paraId="653D95E1">
            <w:pPr>
              <w:spacing w:line="480" w:lineRule="exact"/>
              <w:ind w:firstLine="720" w:firstLineChars="300"/>
              <w:rPr>
                <w:rFonts w:hint="eastAsia" w:ascii="宋体" w:hAnsi="宋体" w:cs="宋体"/>
                <w:sz w:val="24"/>
              </w:rPr>
            </w:pPr>
            <w:r>
              <w:rPr>
                <w:rFonts w:hint="eastAsia" w:ascii="宋体" w:hAnsi="宋体" w:cs="宋体"/>
                <w:sz w:val="24"/>
              </w:rPr>
              <w:t>地址：</w:t>
            </w:r>
          </w:p>
          <w:p w14:paraId="5D3E3C21">
            <w:pPr>
              <w:spacing w:line="480" w:lineRule="exact"/>
              <w:ind w:firstLine="720" w:firstLineChars="300"/>
              <w:rPr>
                <w:rFonts w:hint="eastAsia" w:ascii="宋体" w:hAnsi="宋体" w:cs="宋体"/>
                <w:sz w:val="24"/>
              </w:rPr>
            </w:pPr>
            <w:r>
              <w:rPr>
                <w:rFonts w:hint="eastAsia" w:ascii="宋体" w:hAnsi="宋体" w:cs="宋体"/>
                <w:sz w:val="24"/>
              </w:rPr>
              <w:t>电话：</w:t>
            </w:r>
          </w:p>
          <w:p w14:paraId="0186CAD6">
            <w:pPr>
              <w:spacing w:line="480" w:lineRule="exact"/>
              <w:ind w:firstLine="720" w:firstLineChars="300"/>
              <w:rPr>
                <w:rFonts w:hint="eastAsia" w:ascii="宋体" w:hAnsi="宋体" w:cs="宋体"/>
                <w:sz w:val="24"/>
              </w:rPr>
            </w:pPr>
            <w:r>
              <w:rPr>
                <w:rFonts w:hint="eastAsia" w:ascii="宋体" w:hAnsi="宋体" w:cs="宋体"/>
                <w:sz w:val="24"/>
              </w:rPr>
              <w:t xml:space="preserve">开户银行： </w:t>
            </w:r>
          </w:p>
          <w:p w14:paraId="2B203289">
            <w:pPr>
              <w:spacing w:line="480" w:lineRule="exact"/>
              <w:ind w:firstLine="720" w:firstLineChars="300"/>
              <w:rPr>
                <w:rFonts w:hint="eastAsia" w:ascii="宋体" w:hAnsi="宋体" w:cs="宋体"/>
                <w:sz w:val="24"/>
              </w:rPr>
            </w:pPr>
            <w:r>
              <w:rPr>
                <w:rFonts w:hint="eastAsia" w:ascii="宋体" w:hAnsi="宋体" w:cs="宋体"/>
                <w:sz w:val="24"/>
              </w:rPr>
              <w:t xml:space="preserve">账号： </w:t>
            </w:r>
          </w:p>
          <w:p w14:paraId="0D3F6D7E">
            <w:pPr>
              <w:spacing w:line="480" w:lineRule="exact"/>
              <w:ind w:firstLine="720" w:firstLineChars="300"/>
              <w:rPr>
                <w:rFonts w:hint="eastAsia" w:ascii="宋体" w:hAnsi="宋体" w:cs="宋体"/>
                <w:sz w:val="24"/>
              </w:rPr>
            </w:pPr>
            <w:r>
              <w:rPr>
                <w:rFonts w:hint="eastAsia" w:ascii="宋体" w:hAnsi="宋体" w:cs="宋体"/>
                <w:sz w:val="24"/>
              </w:rPr>
              <w:t>法定代表人/授权代表签字：</w:t>
            </w:r>
          </w:p>
          <w:p w14:paraId="555830D5">
            <w:pPr>
              <w:spacing w:line="480" w:lineRule="exact"/>
              <w:ind w:firstLine="720" w:firstLineChars="300"/>
              <w:rPr>
                <w:rFonts w:hint="eastAsia" w:ascii="宋体" w:hAnsi="宋体" w:cs="宋体"/>
                <w:sz w:val="24"/>
              </w:rPr>
            </w:pPr>
            <w:r>
              <w:rPr>
                <w:rFonts w:hint="eastAsia" w:ascii="宋体" w:hAnsi="宋体" w:cs="宋体"/>
                <w:sz w:val="24"/>
              </w:rPr>
              <w:t>盖章：</w:t>
            </w:r>
          </w:p>
          <w:p w14:paraId="33564A76">
            <w:pPr>
              <w:spacing w:line="480" w:lineRule="exact"/>
              <w:ind w:firstLine="480" w:firstLineChars="200"/>
              <w:rPr>
                <w:rFonts w:hint="eastAsia" w:ascii="宋体" w:hAnsi="宋体" w:cs="宋体"/>
                <w:sz w:val="24"/>
              </w:rPr>
            </w:pPr>
            <w:r>
              <w:rPr>
                <w:rFonts w:hint="eastAsia" w:ascii="宋体" w:hAnsi="宋体" w:cs="宋体"/>
                <w:sz w:val="24"/>
              </w:rPr>
              <w:t xml:space="preserve">          </w:t>
            </w:r>
          </w:p>
          <w:p w14:paraId="10736264">
            <w:pPr>
              <w:spacing w:line="480" w:lineRule="exact"/>
              <w:ind w:firstLine="720" w:firstLineChars="300"/>
              <w:rPr>
                <w:rFonts w:hint="eastAsia" w:ascii="宋体" w:hAnsi="宋体" w:cs="宋体"/>
                <w:sz w:val="24"/>
              </w:rPr>
            </w:pP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tc>
      </w:tr>
    </w:tbl>
    <w:p w14:paraId="6F8AB124">
      <w:pPr>
        <w:autoSpaceDE w:val="0"/>
        <w:autoSpaceDN w:val="0"/>
        <w:spacing w:line="480" w:lineRule="exact"/>
        <w:rPr>
          <w:rFonts w:hint="eastAsia" w:ascii="宋体" w:hAnsi="宋体" w:cs="宋体"/>
          <w:sz w:val="24"/>
        </w:rPr>
      </w:pPr>
      <w:r>
        <w:rPr>
          <w:rFonts w:hint="eastAsia" w:ascii="宋体" w:hAnsi="宋体" w:cs="宋体"/>
          <w:sz w:val="24"/>
        </w:rPr>
        <w:t>二、合同条款</w:t>
      </w:r>
    </w:p>
    <w:p w14:paraId="36BAB5F4">
      <w:pPr>
        <w:autoSpaceDE w:val="0"/>
        <w:autoSpaceDN w:val="0"/>
        <w:adjustRightInd w:val="0"/>
        <w:snapToGrid w:val="0"/>
        <w:spacing w:line="480" w:lineRule="exact"/>
        <w:ind w:firstLine="480" w:firstLineChars="200"/>
        <w:rPr>
          <w:rFonts w:hint="eastAsia" w:ascii="宋体" w:hAnsi="宋体" w:cs="宋体"/>
          <w:kern w:val="0"/>
          <w:sz w:val="24"/>
        </w:rPr>
      </w:pPr>
      <w:r>
        <w:rPr>
          <w:rFonts w:hint="eastAsia" w:ascii="宋体" w:hAnsi="宋体" w:cs="宋体"/>
          <w:kern w:val="0"/>
          <w:sz w:val="24"/>
        </w:rPr>
        <w:t>1、定义</w:t>
      </w:r>
    </w:p>
    <w:p w14:paraId="33E31F7E">
      <w:pPr>
        <w:autoSpaceDE w:val="0"/>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本合同下列术语应解释为：</w:t>
      </w:r>
    </w:p>
    <w:p w14:paraId="2B3BF40D">
      <w:pPr>
        <w:spacing w:line="480" w:lineRule="exact"/>
        <w:ind w:firstLine="480" w:firstLineChars="200"/>
        <w:rPr>
          <w:rFonts w:hint="eastAsia" w:ascii="宋体" w:hAnsi="宋体" w:cs="宋体"/>
          <w:sz w:val="24"/>
        </w:rPr>
      </w:pPr>
      <w:r>
        <w:rPr>
          <w:rFonts w:hint="eastAsia" w:ascii="宋体" w:hAnsi="宋体" w:cs="宋体"/>
          <w:sz w:val="24"/>
        </w:rPr>
        <w:t>1-1、“合同”系指买卖双方及鉴证方签署的、合同格式中载明的买卖双方所达成的协议，包括所有的附件、附录和招、投标文件所提到的构成合同的所有文件。</w:t>
      </w:r>
    </w:p>
    <w:p w14:paraId="360E50F1">
      <w:pPr>
        <w:spacing w:line="480" w:lineRule="exact"/>
        <w:ind w:firstLine="480" w:firstLineChars="200"/>
        <w:rPr>
          <w:rFonts w:hint="eastAsia" w:ascii="宋体" w:hAnsi="宋体" w:cs="宋体"/>
          <w:sz w:val="24"/>
        </w:rPr>
      </w:pPr>
      <w:r>
        <w:rPr>
          <w:rFonts w:hint="eastAsia" w:ascii="宋体" w:hAnsi="宋体" w:cs="宋体"/>
          <w:sz w:val="24"/>
        </w:rPr>
        <w:t>1-2、“合同价”系指根据本合同规定卖方在正确地完全履行合同义务后买方应支付给卖方的价款。</w:t>
      </w:r>
    </w:p>
    <w:p w14:paraId="5E440C8F">
      <w:pPr>
        <w:adjustRightInd w:val="0"/>
        <w:spacing w:line="480" w:lineRule="exact"/>
        <w:ind w:firstLine="480" w:firstLineChars="200"/>
        <w:rPr>
          <w:rFonts w:hint="eastAsia" w:ascii="宋体" w:hAnsi="宋体" w:cs="宋体"/>
          <w:sz w:val="24"/>
        </w:rPr>
      </w:pPr>
      <w:r>
        <w:rPr>
          <w:rFonts w:hint="eastAsia" w:ascii="宋体" w:hAnsi="宋体" w:cs="宋体"/>
          <w:sz w:val="24"/>
        </w:rPr>
        <w:t>1-3、“货物”系指卖方根据本合同规定须向买方提供的一切产品、部件或其它材料。</w:t>
      </w:r>
    </w:p>
    <w:p w14:paraId="73A2B013">
      <w:pPr>
        <w:adjustRightInd w:val="0"/>
        <w:spacing w:line="480" w:lineRule="exact"/>
        <w:ind w:firstLine="480" w:firstLineChars="200"/>
        <w:rPr>
          <w:rFonts w:hint="eastAsia" w:ascii="宋体" w:hAnsi="宋体" w:cs="宋体"/>
          <w:sz w:val="24"/>
        </w:rPr>
      </w:pPr>
      <w:r>
        <w:rPr>
          <w:rFonts w:hint="eastAsia" w:ascii="宋体" w:hAnsi="宋体" w:cs="宋体"/>
          <w:sz w:val="24"/>
        </w:rPr>
        <w:t>1-4、“配套服务”系指根据本合同规定卖方承担与供货有关的辅助服务如运输、保险以及其它的伴随服务，例如调试、提供技术援助、培训和合同中规定卖方应承担的其它义务。</w:t>
      </w:r>
    </w:p>
    <w:p w14:paraId="4349B8D8">
      <w:pPr>
        <w:adjustRightInd w:val="0"/>
        <w:spacing w:line="480" w:lineRule="exact"/>
        <w:ind w:firstLine="480" w:firstLineChars="200"/>
      </w:pPr>
      <w:r>
        <w:rPr>
          <w:rFonts w:hint="eastAsia" w:ascii="宋体" w:hAnsi="宋体" w:cs="宋体"/>
          <w:sz w:val="24"/>
        </w:rPr>
        <w:t>1-5、“配套施工”系指根据本合同规定卖方承担与供货有关的辅助施工，例如布线、装饰装修、修缮和合同中规定卖方应承担的其它义务。</w:t>
      </w:r>
    </w:p>
    <w:p w14:paraId="7E451EB1">
      <w:pPr>
        <w:adjustRightInd w:val="0"/>
        <w:spacing w:line="480" w:lineRule="exact"/>
        <w:ind w:firstLine="480" w:firstLineChars="200"/>
        <w:rPr>
          <w:rFonts w:hint="eastAsia" w:ascii="宋体" w:hAnsi="宋体" w:cs="宋体"/>
          <w:sz w:val="24"/>
        </w:rPr>
      </w:pPr>
      <w:r>
        <w:rPr>
          <w:rFonts w:hint="eastAsia" w:ascii="宋体" w:hAnsi="宋体" w:cs="宋体"/>
          <w:sz w:val="24"/>
        </w:rPr>
        <w:t>1-6、“项目现场”系指本合同项下货物安装、运行的场地。</w:t>
      </w:r>
    </w:p>
    <w:p w14:paraId="3CB75F8B">
      <w:pPr>
        <w:spacing w:line="480" w:lineRule="exact"/>
        <w:ind w:firstLine="480" w:firstLineChars="200"/>
        <w:rPr>
          <w:rFonts w:hint="eastAsia" w:ascii="宋体" w:hAnsi="宋体" w:cs="宋体"/>
          <w:sz w:val="24"/>
        </w:rPr>
      </w:pPr>
      <w:r>
        <w:rPr>
          <w:rFonts w:hint="eastAsia" w:ascii="宋体" w:hAnsi="宋体" w:cs="宋体"/>
          <w:sz w:val="24"/>
        </w:rPr>
        <w:t>1-7、“合同条款”系指本合同条款。</w:t>
      </w:r>
    </w:p>
    <w:p w14:paraId="61D9190E">
      <w:pPr>
        <w:spacing w:line="480" w:lineRule="exact"/>
        <w:ind w:firstLine="480" w:firstLineChars="200"/>
        <w:rPr>
          <w:rFonts w:hint="eastAsia" w:ascii="宋体" w:hAnsi="宋体" w:cs="宋体"/>
          <w:sz w:val="24"/>
        </w:rPr>
      </w:pPr>
      <w:r>
        <w:rPr>
          <w:rFonts w:hint="eastAsia" w:ascii="宋体" w:hAnsi="宋体" w:cs="宋体"/>
          <w:sz w:val="24"/>
        </w:rPr>
        <w:t>1-8、“买方”是指购买货物及配套服务的单位即</w:t>
      </w:r>
      <w:r>
        <w:rPr>
          <w:rFonts w:hint="eastAsia" w:ascii="宋体" w:hAnsi="宋体" w:cs="宋体"/>
          <w:kern w:val="0"/>
          <w:sz w:val="24"/>
        </w:rPr>
        <w:t>西安铁路职业技术学院</w:t>
      </w:r>
      <w:r>
        <w:rPr>
          <w:rFonts w:hint="eastAsia" w:ascii="宋体" w:hAnsi="宋体" w:cs="宋体"/>
          <w:sz w:val="24"/>
        </w:rPr>
        <w:t>。</w:t>
      </w:r>
    </w:p>
    <w:p w14:paraId="60A32BD0">
      <w:pPr>
        <w:spacing w:line="480" w:lineRule="exact"/>
        <w:ind w:firstLine="480" w:firstLineChars="200"/>
        <w:rPr>
          <w:rFonts w:hint="eastAsia" w:ascii="宋体" w:hAnsi="宋体" w:cs="宋体"/>
          <w:sz w:val="24"/>
        </w:rPr>
      </w:pPr>
      <w:r>
        <w:rPr>
          <w:rFonts w:hint="eastAsia" w:ascii="宋体" w:hAnsi="宋体" w:cs="宋体"/>
          <w:sz w:val="24"/>
        </w:rPr>
        <w:t>1-9、“卖方”是指提供本合同内的货物及配套服务的公司或其它实体即</w:t>
      </w:r>
      <w:r>
        <w:rPr>
          <w:rFonts w:hint="eastAsia" w:ascii="宋体" w:hAnsi="宋体" w:cs="宋体"/>
          <w:b/>
          <w:bCs/>
          <w:sz w:val="24"/>
          <w:u w:val="single"/>
        </w:rPr>
        <w:t xml:space="preserve">          </w:t>
      </w:r>
      <w:r>
        <w:rPr>
          <w:rFonts w:hint="eastAsia" w:ascii="宋体" w:hAnsi="宋体" w:cs="宋体"/>
          <w:sz w:val="24"/>
        </w:rPr>
        <w:t>。</w:t>
      </w:r>
    </w:p>
    <w:p w14:paraId="6ED4C2D2">
      <w:pPr>
        <w:spacing w:line="480" w:lineRule="exact"/>
        <w:ind w:firstLine="480" w:firstLineChars="200"/>
        <w:rPr>
          <w:rFonts w:hint="eastAsia" w:ascii="宋体" w:hAnsi="宋体" w:cs="宋体"/>
          <w:sz w:val="24"/>
        </w:rPr>
      </w:pPr>
      <w:r>
        <w:rPr>
          <w:rFonts w:hint="eastAsia" w:ascii="宋体" w:hAnsi="宋体" w:cs="宋体"/>
          <w:sz w:val="24"/>
        </w:rPr>
        <w:t>1-10、“天”指日历天数。</w:t>
      </w:r>
    </w:p>
    <w:p w14:paraId="7342E095">
      <w:pPr>
        <w:spacing w:line="480" w:lineRule="exact"/>
        <w:ind w:firstLine="480" w:firstLineChars="200"/>
        <w:rPr>
          <w:rFonts w:hint="eastAsia" w:ascii="宋体" w:hAnsi="宋体" w:cs="宋体"/>
          <w:sz w:val="24"/>
        </w:rPr>
      </w:pPr>
      <w:r>
        <w:rPr>
          <w:rFonts w:hint="eastAsia" w:ascii="宋体" w:hAnsi="宋体" w:cs="宋体"/>
          <w:kern w:val="0"/>
          <w:sz w:val="24"/>
        </w:rPr>
        <w:t>2、</w:t>
      </w:r>
      <w:r>
        <w:rPr>
          <w:rFonts w:hint="eastAsia" w:ascii="宋体" w:hAnsi="宋体" w:cs="宋体"/>
          <w:sz w:val="24"/>
        </w:rPr>
        <w:t>使用合同文件和资料</w:t>
      </w:r>
    </w:p>
    <w:p w14:paraId="67AE9C5A">
      <w:pPr>
        <w:spacing w:line="480" w:lineRule="exact"/>
        <w:ind w:firstLine="480" w:firstLineChars="200"/>
        <w:rPr>
          <w:rFonts w:hint="eastAsia" w:ascii="宋体" w:hAnsi="宋体" w:cs="宋体"/>
          <w:sz w:val="24"/>
        </w:rPr>
      </w:pPr>
      <w:r>
        <w:rPr>
          <w:rFonts w:hint="eastAsia" w:ascii="宋体" w:hAnsi="宋体" w:cs="宋体"/>
          <w:sz w:val="24"/>
        </w:rPr>
        <w:t>2-1、没有买方事先书面同意，卖方不得将买方或代表买方提供的有关合同或任何合同条文、规格、计划、图纸、模型、资料提供给与履行本合同无关的任何其他人，即使向与履行本合同有关的人员提供，也应注意保密并限于履行合同必须的范围。</w:t>
      </w:r>
    </w:p>
    <w:p w14:paraId="30B11C03">
      <w:pPr>
        <w:spacing w:line="480" w:lineRule="exact"/>
        <w:ind w:firstLine="480" w:firstLineChars="200"/>
        <w:rPr>
          <w:rFonts w:hint="eastAsia" w:ascii="宋体" w:hAnsi="宋体" w:cs="宋体"/>
          <w:sz w:val="24"/>
        </w:rPr>
      </w:pPr>
      <w:r>
        <w:rPr>
          <w:rFonts w:hint="eastAsia" w:ascii="宋体" w:hAnsi="宋体" w:cs="宋体"/>
          <w:sz w:val="24"/>
        </w:rPr>
        <w:t>2-2、没有买方事先书面同意，除了履行本合同之外，卖方不应使用合同条款第2-1条所列举的任何文件和资料。</w:t>
      </w:r>
    </w:p>
    <w:p w14:paraId="158C6779">
      <w:pPr>
        <w:spacing w:line="480" w:lineRule="exact"/>
        <w:ind w:firstLine="480" w:firstLineChars="200"/>
        <w:rPr>
          <w:rFonts w:hint="eastAsia" w:ascii="宋体" w:hAnsi="宋体" w:cs="宋体"/>
          <w:sz w:val="24"/>
        </w:rPr>
      </w:pPr>
      <w:r>
        <w:rPr>
          <w:rFonts w:hint="eastAsia" w:ascii="宋体" w:hAnsi="宋体" w:cs="宋体"/>
          <w:sz w:val="24"/>
        </w:rPr>
        <w:t>2-3、除了合同本身以外，合同条款第2-1条所列举的任何文件是买方的财产。如果买方有要求，卖方在完成合同后应将这些文件及全部复制件还给买方。</w:t>
      </w:r>
    </w:p>
    <w:p w14:paraId="466A5244">
      <w:pPr>
        <w:spacing w:line="480" w:lineRule="exact"/>
        <w:ind w:firstLine="480" w:firstLineChars="200"/>
        <w:rPr>
          <w:rFonts w:hint="eastAsia" w:ascii="宋体" w:hAnsi="宋体" w:cs="宋体"/>
          <w:sz w:val="24"/>
        </w:rPr>
      </w:pPr>
      <w:r>
        <w:rPr>
          <w:rFonts w:hint="eastAsia" w:ascii="宋体" w:hAnsi="宋体" w:cs="宋体"/>
          <w:sz w:val="24"/>
        </w:rPr>
        <w:t>3、专利权</w:t>
      </w:r>
    </w:p>
    <w:p w14:paraId="77E2D537">
      <w:pPr>
        <w:spacing w:line="480" w:lineRule="exact"/>
        <w:ind w:firstLine="480" w:firstLineChars="200"/>
        <w:rPr>
          <w:rFonts w:hint="eastAsia" w:ascii="宋体" w:hAnsi="宋体" w:cs="宋体"/>
          <w:sz w:val="24"/>
        </w:rPr>
      </w:pPr>
      <w:r>
        <w:rPr>
          <w:rFonts w:hint="eastAsia" w:ascii="宋体" w:hAnsi="宋体" w:cs="宋体"/>
          <w:sz w:val="24"/>
        </w:rPr>
        <w:t>卖方应保证，买方在使用该货物或货物的任何一部分，免受第三方提出的侵犯（其专利权）、商标权、著作权或其它知识产权的起诉。</w:t>
      </w:r>
    </w:p>
    <w:p w14:paraId="541A8901">
      <w:pPr>
        <w:spacing w:line="480" w:lineRule="exact"/>
        <w:ind w:firstLine="480" w:firstLineChars="200"/>
        <w:rPr>
          <w:rFonts w:hint="eastAsia" w:ascii="宋体" w:hAnsi="宋体" w:cs="宋体"/>
          <w:sz w:val="24"/>
        </w:rPr>
      </w:pPr>
      <w:r>
        <w:rPr>
          <w:rFonts w:hint="eastAsia" w:ascii="宋体" w:hAnsi="宋体" w:cs="宋体"/>
          <w:sz w:val="24"/>
        </w:rPr>
        <w:t>4、技术规格</w:t>
      </w:r>
    </w:p>
    <w:p w14:paraId="1906C61B">
      <w:pPr>
        <w:spacing w:line="480" w:lineRule="exact"/>
        <w:ind w:firstLine="480" w:firstLineChars="200"/>
        <w:rPr>
          <w:rFonts w:hint="eastAsia" w:ascii="宋体" w:hAnsi="宋体" w:cs="宋体"/>
          <w:sz w:val="24"/>
        </w:rPr>
      </w:pPr>
      <w:r>
        <w:rPr>
          <w:rFonts w:hint="eastAsia" w:ascii="宋体" w:hAnsi="宋体" w:cs="宋体"/>
          <w:sz w:val="24"/>
        </w:rPr>
        <w:t>本合同下交付的产品必须等同或优于本项目招标文件《技术规格与要求》所述的标准。若卖方在其投标文件中承诺的技术标准优于本项目招标文件《技术规格与要求》所述标准的，按投标文件的承诺执行。</w:t>
      </w:r>
    </w:p>
    <w:p w14:paraId="33EAAC03">
      <w:pPr>
        <w:autoSpaceDE w:val="0"/>
        <w:autoSpaceDN w:val="0"/>
        <w:spacing w:line="480" w:lineRule="exact"/>
        <w:rPr>
          <w:rFonts w:hint="eastAsia" w:ascii="宋体" w:hAnsi="宋体" w:cs="宋体"/>
          <w:sz w:val="24"/>
        </w:rPr>
      </w:pPr>
      <w:r>
        <w:rPr>
          <w:rFonts w:hint="eastAsia" w:ascii="宋体" w:hAnsi="宋体" w:cs="宋体"/>
          <w:sz w:val="24"/>
        </w:rPr>
        <w:t xml:space="preserve">   5、检验和测试</w:t>
      </w:r>
    </w:p>
    <w:p w14:paraId="4CD5BD64">
      <w:pPr>
        <w:autoSpaceDE w:val="0"/>
        <w:autoSpaceDN w:val="0"/>
        <w:spacing w:line="480" w:lineRule="exact"/>
        <w:rPr>
          <w:rFonts w:hint="eastAsia" w:ascii="宋体" w:hAnsi="宋体" w:cs="宋体"/>
          <w:sz w:val="24"/>
        </w:rPr>
      </w:pPr>
      <w:r>
        <w:rPr>
          <w:rFonts w:hint="eastAsia" w:ascii="宋体" w:hAnsi="宋体" w:cs="宋体"/>
          <w:sz w:val="24"/>
        </w:rPr>
        <w:t xml:space="preserve">    5-1、买方或其代表应有权检验和测试货物及其部件，以确认所供货物是否符合合同规格的要求，并且不承担额外的费用。买方要求进行的检验和测试，以及在何处进行这些检验和测试，以书面形式通知卖方。</w:t>
      </w:r>
    </w:p>
    <w:p w14:paraId="3ECF780D">
      <w:pPr>
        <w:autoSpaceDE w:val="0"/>
        <w:autoSpaceDN w:val="0"/>
        <w:spacing w:line="480" w:lineRule="exact"/>
        <w:rPr>
          <w:rFonts w:hint="eastAsia" w:ascii="宋体" w:hAnsi="宋体" w:cs="宋体"/>
          <w:sz w:val="24"/>
        </w:rPr>
      </w:pPr>
      <w:r>
        <w:rPr>
          <w:rFonts w:hint="eastAsia" w:ascii="宋体" w:hAnsi="宋体" w:cs="宋体"/>
          <w:sz w:val="24"/>
        </w:rPr>
        <w:t xml:space="preserve">    5-2、检验和测试在买方指定的交货地点进行。</w:t>
      </w:r>
    </w:p>
    <w:p w14:paraId="383D5294">
      <w:pPr>
        <w:autoSpaceDE w:val="0"/>
        <w:autoSpaceDN w:val="0"/>
        <w:spacing w:line="480" w:lineRule="exact"/>
        <w:rPr>
          <w:rFonts w:hint="eastAsia" w:ascii="宋体" w:hAnsi="宋体" w:cs="宋体"/>
          <w:sz w:val="24"/>
        </w:rPr>
      </w:pPr>
      <w:r>
        <w:rPr>
          <w:rFonts w:hint="eastAsia" w:ascii="宋体" w:hAnsi="宋体" w:cs="宋体"/>
          <w:sz w:val="24"/>
        </w:rPr>
        <w:t xml:space="preserve">    5-3、如果任何被检验或测试的货物或部件不能满足招标文件及合同的要求，买方可以拒绝接受该货物或部件，卖方应更换被拒绝的货物或部件，或者免费进行必要的修改以满足规格的要求。</w:t>
      </w:r>
    </w:p>
    <w:p w14:paraId="2395D906">
      <w:pPr>
        <w:autoSpaceDE w:val="0"/>
        <w:autoSpaceDN w:val="0"/>
        <w:spacing w:line="480" w:lineRule="exact"/>
        <w:rPr>
          <w:rFonts w:hint="eastAsia" w:ascii="宋体" w:hAnsi="宋体" w:cs="宋体"/>
          <w:sz w:val="24"/>
        </w:rPr>
      </w:pPr>
      <w:r>
        <w:rPr>
          <w:rFonts w:hint="eastAsia" w:ascii="宋体" w:hAnsi="宋体" w:cs="宋体"/>
          <w:sz w:val="24"/>
        </w:rPr>
        <w:t xml:space="preserve">    5-4、在交货前，卖方应让制造商对货物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46B38C2D">
      <w:pPr>
        <w:autoSpaceDE w:val="0"/>
        <w:autoSpaceDN w:val="0"/>
        <w:spacing w:line="480" w:lineRule="exact"/>
        <w:rPr>
          <w:rFonts w:hint="eastAsia" w:ascii="宋体" w:hAnsi="宋体" w:cs="宋体"/>
          <w:sz w:val="24"/>
        </w:rPr>
      </w:pPr>
      <w:r>
        <w:rPr>
          <w:rFonts w:hint="eastAsia" w:ascii="宋体" w:hAnsi="宋体" w:cs="宋体"/>
          <w:sz w:val="24"/>
        </w:rPr>
        <w:t xml:space="preserve">     5-5、如果在货物使用寿命期内，根据检验结果，发现货物的质量或规格与合同要求不符，或被证实有缺陷，包含潜在的缺陷或使用不合适的材料，买方应向卖方提出索赔。</w:t>
      </w:r>
    </w:p>
    <w:p w14:paraId="711581BF">
      <w:pPr>
        <w:autoSpaceDE w:val="0"/>
        <w:autoSpaceDN w:val="0"/>
        <w:spacing w:line="480" w:lineRule="exact"/>
        <w:rPr>
          <w:rFonts w:hint="eastAsia" w:ascii="宋体" w:hAnsi="宋体" w:cs="宋体"/>
          <w:sz w:val="24"/>
        </w:rPr>
      </w:pPr>
      <w:r>
        <w:rPr>
          <w:rFonts w:hint="eastAsia" w:ascii="宋体" w:hAnsi="宋体" w:cs="宋体"/>
          <w:sz w:val="24"/>
        </w:rPr>
        <w:t xml:space="preserve">     6、包装及运输</w:t>
      </w:r>
    </w:p>
    <w:p w14:paraId="611F6FB3">
      <w:pPr>
        <w:autoSpaceDE w:val="0"/>
        <w:autoSpaceDN w:val="0"/>
        <w:spacing w:line="480" w:lineRule="exact"/>
        <w:rPr>
          <w:rFonts w:hint="eastAsia" w:ascii="宋体" w:hAnsi="宋体" w:cs="宋体"/>
          <w:sz w:val="24"/>
        </w:rPr>
      </w:pPr>
      <w:r>
        <w:rPr>
          <w:rFonts w:hint="eastAsia" w:ascii="宋体" w:hAnsi="宋体" w:cs="宋体"/>
          <w:sz w:val="24"/>
        </w:rPr>
        <w:t xml:space="preserve">     6-1、卖方负责货物到达交货地点前的所有包装、运输、装卸及保险事项，相关费用应包括在合同总价中。</w:t>
      </w:r>
    </w:p>
    <w:p w14:paraId="0E0D14DA">
      <w:pPr>
        <w:autoSpaceDE w:val="0"/>
        <w:autoSpaceDN w:val="0"/>
        <w:spacing w:line="480" w:lineRule="exact"/>
        <w:rPr>
          <w:rFonts w:hint="eastAsia" w:ascii="宋体" w:hAnsi="宋体" w:cs="宋体"/>
          <w:sz w:val="24"/>
        </w:rPr>
      </w:pPr>
      <w:r>
        <w:rPr>
          <w:rFonts w:hint="eastAsia" w:ascii="宋体" w:hAnsi="宋体" w:cs="宋体"/>
          <w:sz w:val="24"/>
        </w:rPr>
        <w:t xml:space="preserve">     6-2、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14:paraId="26E5951C">
      <w:pPr>
        <w:autoSpaceDE w:val="0"/>
        <w:autoSpaceDN w:val="0"/>
        <w:spacing w:line="480" w:lineRule="exact"/>
        <w:rPr>
          <w:rFonts w:hint="eastAsia" w:ascii="宋体" w:hAnsi="宋体" w:cs="宋体"/>
          <w:sz w:val="24"/>
        </w:rPr>
      </w:pPr>
      <w:r>
        <w:rPr>
          <w:rFonts w:hint="eastAsia" w:ascii="宋体" w:hAnsi="宋体" w:cs="宋体"/>
          <w:sz w:val="24"/>
        </w:rPr>
        <w:t xml:space="preserve">     6-3、货物的运输方式由卖方自行选择，但包装必须满足货物运输和装卸的要求，保证买方收到的是无任何损伤的货物。否则，因此造成的损失由卖方自行承担。 </w:t>
      </w:r>
    </w:p>
    <w:p w14:paraId="50962990">
      <w:pPr>
        <w:autoSpaceDE w:val="0"/>
        <w:autoSpaceDN w:val="0"/>
        <w:spacing w:line="480" w:lineRule="exact"/>
        <w:rPr>
          <w:rFonts w:hint="eastAsia" w:ascii="宋体" w:hAnsi="宋体" w:cs="宋体"/>
          <w:sz w:val="24"/>
        </w:rPr>
      </w:pPr>
      <w:r>
        <w:rPr>
          <w:rFonts w:hint="eastAsia" w:ascii="宋体" w:hAnsi="宋体" w:cs="宋体"/>
          <w:sz w:val="24"/>
        </w:rPr>
        <w:t xml:space="preserve">     7、伴随服务</w:t>
      </w:r>
    </w:p>
    <w:p w14:paraId="2BC563B6">
      <w:pPr>
        <w:autoSpaceDE w:val="0"/>
        <w:autoSpaceDN w:val="0"/>
        <w:spacing w:line="480" w:lineRule="exact"/>
        <w:rPr>
          <w:rFonts w:hint="eastAsia" w:ascii="宋体" w:hAnsi="宋体" w:cs="宋体"/>
          <w:sz w:val="24"/>
        </w:rPr>
      </w:pPr>
      <w:r>
        <w:rPr>
          <w:rFonts w:hint="eastAsia" w:ascii="宋体" w:hAnsi="宋体" w:cs="宋体"/>
          <w:sz w:val="24"/>
        </w:rPr>
        <w:t xml:space="preserve">     7-1、卖方必须在合同生效后三十 (30)天内向买方提交所供货物的技术文件（中文技术文件），例如：货物说明、图纸、操作手册、使用说明、维护手册和／或服务指南等。</w:t>
      </w:r>
    </w:p>
    <w:p w14:paraId="4E8F1442">
      <w:pPr>
        <w:autoSpaceDE w:val="0"/>
        <w:autoSpaceDN w:val="0"/>
        <w:spacing w:line="480" w:lineRule="exact"/>
        <w:rPr>
          <w:rFonts w:hint="eastAsia" w:ascii="宋体" w:hAnsi="宋体" w:cs="宋体"/>
          <w:sz w:val="24"/>
        </w:rPr>
      </w:pPr>
      <w:r>
        <w:rPr>
          <w:rFonts w:hint="eastAsia" w:ascii="宋体" w:hAnsi="宋体" w:cs="宋体"/>
          <w:sz w:val="24"/>
        </w:rPr>
        <w:t xml:space="preserve">     7-2、卖方应向买方提供下列所有服务，包括本项目招标文件“商务条款”与“技术规格与要求”中规定的附加服务（如果有的话）：</w:t>
      </w:r>
    </w:p>
    <w:p w14:paraId="62090B54">
      <w:pPr>
        <w:autoSpaceDE w:val="0"/>
        <w:autoSpaceDN w:val="0"/>
        <w:spacing w:line="480" w:lineRule="exact"/>
        <w:rPr>
          <w:rFonts w:hint="eastAsia" w:ascii="宋体" w:hAnsi="宋体" w:cs="宋体"/>
          <w:sz w:val="24"/>
        </w:rPr>
      </w:pPr>
      <w:r>
        <w:rPr>
          <w:rFonts w:hint="eastAsia" w:ascii="宋体" w:hAnsi="宋体" w:cs="宋体"/>
          <w:sz w:val="24"/>
        </w:rPr>
        <w:t xml:space="preserve">    （1）实施或监督所供货物的现场组装和试运行；</w:t>
      </w:r>
    </w:p>
    <w:p w14:paraId="1004902D">
      <w:pPr>
        <w:autoSpaceDE w:val="0"/>
        <w:autoSpaceDN w:val="0"/>
        <w:spacing w:line="480" w:lineRule="exact"/>
        <w:rPr>
          <w:rFonts w:hint="eastAsia" w:ascii="宋体" w:hAnsi="宋体" w:cs="宋体"/>
          <w:sz w:val="24"/>
        </w:rPr>
      </w:pPr>
      <w:r>
        <w:rPr>
          <w:rFonts w:hint="eastAsia" w:ascii="宋体" w:hAnsi="宋体" w:cs="宋体"/>
          <w:sz w:val="24"/>
        </w:rPr>
        <w:t xml:space="preserve">    （2）提供货物组装和维修所需的工具；</w:t>
      </w:r>
    </w:p>
    <w:p w14:paraId="1A1BCF17">
      <w:pPr>
        <w:autoSpaceDE w:val="0"/>
        <w:autoSpaceDN w:val="0"/>
        <w:spacing w:line="480" w:lineRule="exact"/>
        <w:rPr>
          <w:rFonts w:hint="eastAsia" w:ascii="宋体" w:hAnsi="宋体" w:cs="宋体"/>
          <w:sz w:val="24"/>
        </w:rPr>
      </w:pPr>
      <w:r>
        <w:rPr>
          <w:rFonts w:hint="eastAsia" w:ascii="宋体" w:hAnsi="宋体" w:cs="宋体"/>
          <w:sz w:val="24"/>
        </w:rPr>
        <w:t xml:space="preserve">    （3）为所供货物的每一适当的单台货物提供详细的操作和维护手册；</w:t>
      </w:r>
    </w:p>
    <w:p w14:paraId="37E4566F">
      <w:pPr>
        <w:autoSpaceDE w:val="0"/>
        <w:autoSpaceDN w:val="0"/>
        <w:spacing w:line="480" w:lineRule="exact"/>
        <w:rPr>
          <w:rFonts w:hint="eastAsia" w:ascii="宋体" w:hAnsi="宋体" w:cs="宋体"/>
          <w:sz w:val="24"/>
        </w:rPr>
      </w:pPr>
      <w:r>
        <w:rPr>
          <w:rFonts w:hint="eastAsia" w:ascii="宋体" w:hAnsi="宋体" w:cs="宋体"/>
          <w:sz w:val="24"/>
        </w:rPr>
        <w:t xml:space="preserve">    （4）在双方商定的一定期限内对所供货物实施运行进行监督、维护、修理，但前提条件是该服务并不能免除卖方在合同保证期内所承担的义务；  </w:t>
      </w:r>
    </w:p>
    <w:p w14:paraId="4DD4B930">
      <w:pPr>
        <w:autoSpaceDE w:val="0"/>
        <w:autoSpaceDN w:val="0"/>
        <w:spacing w:line="480" w:lineRule="exact"/>
        <w:rPr>
          <w:rFonts w:hint="eastAsia" w:ascii="宋体" w:hAnsi="宋体" w:cs="宋体"/>
          <w:sz w:val="24"/>
        </w:rPr>
      </w:pPr>
      <w:r>
        <w:rPr>
          <w:rFonts w:hint="eastAsia" w:ascii="宋体" w:hAnsi="宋体" w:cs="宋体"/>
          <w:sz w:val="24"/>
        </w:rPr>
        <w:t xml:space="preserve">    （5）卖方或制造厂在项目现场就所供货物的组装、试运行、运行、维护和修理、软硬件升级对买方人员进行培训。</w:t>
      </w:r>
    </w:p>
    <w:p w14:paraId="74D1509C">
      <w:pPr>
        <w:autoSpaceDE w:val="0"/>
        <w:autoSpaceDN w:val="0"/>
        <w:spacing w:line="480" w:lineRule="exact"/>
        <w:rPr>
          <w:rFonts w:hint="eastAsia" w:ascii="宋体" w:hAnsi="宋体" w:cs="宋体"/>
          <w:sz w:val="24"/>
        </w:rPr>
      </w:pPr>
      <w:r>
        <w:rPr>
          <w:rFonts w:hint="eastAsia" w:ascii="宋体" w:hAnsi="宋体" w:cs="宋体"/>
          <w:sz w:val="24"/>
        </w:rPr>
        <w:t xml:space="preserve">    7-3、卖方应提供本项目招标文件“商务条款”和“技术规格与要求”中规定的所有服务。为履行要求的伴随服务的报价或双方商定的费用应包括在合同价中。</w:t>
      </w:r>
    </w:p>
    <w:p w14:paraId="1D0E5946">
      <w:pPr>
        <w:autoSpaceDE w:val="0"/>
        <w:autoSpaceDN w:val="0"/>
        <w:spacing w:line="480" w:lineRule="exact"/>
        <w:rPr>
          <w:rFonts w:hint="eastAsia" w:ascii="宋体" w:hAnsi="宋体" w:cs="宋体"/>
          <w:sz w:val="24"/>
        </w:rPr>
      </w:pPr>
      <w:r>
        <w:rPr>
          <w:rFonts w:hint="eastAsia" w:ascii="宋体" w:hAnsi="宋体" w:cs="宋体"/>
          <w:sz w:val="24"/>
        </w:rPr>
        <w:t xml:space="preserve">    7-4、如果卖方或制造厂提供的伴随服务的费用未含在货物的合同价中，双方应事先就其达成协议，但其费用单价不应超过卖方向其他人提供类似服务所收取的现行市场价。</w:t>
      </w:r>
    </w:p>
    <w:p w14:paraId="4A839BC9">
      <w:pPr>
        <w:autoSpaceDE w:val="0"/>
        <w:autoSpaceDN w:val="0"/>
        <w:spacing w:line="480" w:lineRule="exact"/>
        <w:rPr>
          <w:rFonts w:hint="eastAsia" w:ascii="宋体" w:hAnsi="宋体" w:cs="宋体"/>
          <w:sz w:val="24"/>
        </w:rPr>
      </w:pPr>
      <w:r>
        <w:rPr>
          <w:rFonts w:hint="eastAsia" w:ascii="宋体" w:hAnsi="宋体" w:cs="宋体"/>
          <w:sz w:val="24"/>
        </w:rPr>
        <w:t xml:space="preserve">     8、备品备件</w:t>
      </w:r>
    </w:p>
    <w:p w14:paraId="35FC4131">
      <w:pPr>
        <w:autoSpaceDE w:val="0"/>
        <w:autoSpaceDN w:val="0"/>
        <w:spacing w:line="480" w:lineRule="exact"/>
        <w:rPr>
          <w:rFonts w:hint="eastAsia" w:ascii="宋体" w:hAnsi="宋体" w:cs="宋体"/>
          <w:sz w:val="24"/>
        </w:rPr>
      </w:pPr>
      <w:r>
        <w:rPr>
          <w:rFonts w:hint="eastAsia" w:ascii="宋体" w:hAnsi="宋体" w:cs="宋体"/>
          <w:sz w:val="24"/>
        </w:rPr>
        <w:t xml:space="preserve">     8-1、卖方可能被要求提供下列与备品备件有关的材料、通知和资料：</w:t>
      </w:r>
    </w:p>
    <w:p w14:paraId="295DC01B">
      <w:pPr>
        <w:autoSpaceDE w:val="0"/>
        <w:autoSpaceDN w:val="0"/>
        <w:spacing w:line="480" w:lineRule="exact"/>
        <w:rPr>
          <w:rFonts w:hint="eastAsia" w:ascii="宋体" w:hAnsi="宋体" w:cs="宋体"/>
          <w:sz w:val="24"/>
        </w:rPr>
      </w:pPr>
      <w:r>
        <w:rPr>
          <w:rFonts w:hint="eastAsia" w:ascii="宋体" w:hAnsi="宋体" w:cs="宋体"/>
          <w:sz w:val="24"/>
        </w:rPr>
        <w:t xml:space="preserve">   （1）买方从卖方选购备品备件，但前提条件是该选择并不能免除卖方在合同保证期内所承担的义务；</w:t>
      </w:r>
    </w:p>
    <w:p w14:paraId="0C9F9458">
      <w:pPr>
        <w:autoSpaceDE w:val="0"/>
        <w:autoSpaceDN w:val="0"/>
        <w:spacing w:line="480" w:lineRule="exact"/>
        <w:rPr>
          <w:rFonts w:hint="eastAsia" w:ascii="宋体" w:hAnsi="宋体" w:cs="宋体"/>
          <w:sz w:val="24"/>
        </w:rPr>
      </w:pPr>
      <w:r>
        <w:rPr>
          <w:rFonts w:hint="eastAsia" w:ascii="宋体" w:hAnsi="宋体" w:cs="宋体"/>
          <w:sz w:val="24"/>
        </w:rPr>
        <w:t xml:space="preserve">   （2）在备品备件停止生产的情况下，卖方应事先将要停止生产的计划通知买方使买方有足够的时间采购所需的备品备件；</w:t>
      </w:r>
    </w:p>
    <w:p w14:paraId="610AA0D9">
      <w:pPr>
        <w:autoSpaceDE w:val="0"/>
        <w:autoSpaceDN w:val="0"/>
        <w:spacing w:line="480" w:lineRule="exact"/>
        <w:rPr>
          <w:rFonts w:hint="eastAsia" w:ascii="宋体" w:hAnsi="宋体" w:cs="宋体"/>
          <w:sz w:val="24"/>
        </w:rPr>
      </w:pPr>
      <w:r>
        <w:rPr>
          <w:rFonts w:hint="eastAsia" w:ascii="宋体" w:hAnsi="宋体" w:cs="宋体"/>
          <w:sz w:val="24"/>
        </w:rPr>
        <w:t xml:space="preserve">   （3）在备品备件停止生产后，如果买方要求，卖方应免费向买方提供备品备件的蓝图、图纸和规格。</w:t>
      </w:r>
    </w:p>
    <w:p w14:paraId="6FC99D77">
      <w:pPr>
        <w:autoSpaceDE w:val="0"/>
        <w:autoSpaceDN w:val="0"/>
        <w:spacing w:line="480" w:lineRule="exact"/>
        <w:rPr>
          <w:rFonts w:hint="eastAsia" w:ascii="宋体" w:hAnsi="宋体" w:cs="宋体"/>
          <w:sz w:val="24"/>
        </w:rPr>
      </w:pPr>
      <w:r>
        <w:rPr>
          <w:rFonts w:hint="eastAsia" w:ascii="宋体" w:hAnsi="宋体" w:cs="宋体"/>
          <w:sz w:val="24"/>
        </w:rPr>
        <w:t xml:space="preserve">    8-2、卖方应按照本项目招标文件“商务条款”和“技术规格与要求”中的规定提供所需的备品备件。</w:t>
      </w:r>
    </w:p>
    <w:p w14:paraId="24AAC901">
      <w:pPr>
        <w:autoSpaceDE w:val="0"/>
        <w:autoSpaceDN w:val="0"/>
        <w:spacing w:line="480" w:lineRule="exact"/>
        <w:rPr>
          <w:rFonts w:hint="eastAsia" w:ascii="宋体" w:hAnsi="宋体" w:cs="宋体"/>
          <w:sz w:val="24"/>
        </w:rPr>
      </w:pPr>
      <w:r>
        <w:rPr>
          <w:rFonts w:hint="eastAsia" w:ascii="宋体" w:hAnsi="宋体" w:cs="宋体"/>
          <w:sz w:val="24"/>
        </w:rPr>
        <w:t xml:space="preserve">     9、质量保证</w:t>
      </w:r>
    </w:p>
    <w:p w14:paraId="46EDFF0F">
      <w:pPr>
        <w:autoSpaceDE w:val="0"/>
        <w:autoSpaceDN w:val="0"/>
        <w:spacing w:line="480" w:lineRule="exact"/>
        <w:rPr>
          <w:rFonts w:hint="eastAsia" w:ascii="宋体" w:hAnsi="宋体" w:cs="宋体"/>
          <w:sz w:val="24"/>
        </w:rPr>
      </w:pPr>
      <w:r>
        <w:rPr>
          <w:rFonts w:hint="eastAsia" w:ascii="宋体" w:hAnsi="宋体" w:cs="宋体"/>
          <w:sz w:val="24"/>
        </w:rPr>
        <w:t xml:space="preserve">    9-1、质量保证期为终验合格之日起</w:t>
      </w:r>
      <w:r>
        <w:rPr>
          <w:rFonts w:hint="eastAsia" w:ascii="宋体" w:hAnsi="宋体" w:cs="宋体"/>
          <w:sz w:val="24"/>
          <w:u w:val="single"/>
        </w:rPr>
        <w:t xml:space="preserve">     </w:t>
      </w:r>
      <w:r>
        <w:rPr>
          <w:rFonts w:hint="eastAsia" w:ascii="宋体" w:hAnsi="宋体" w:cs="宋体"/>
          <w:sz w:val="24"/>
        </w:rPr>
        <w:t>个月。</w:t>
      </w:r>
    </w:p>
    <w:p w14:paraId="335EB82B">
      <w:pPr>
        <w:autoSpaceDE w:val="0"/>
        <w:autoSpaceDN w:val="0"/>
        <w:spacing w:line="480" w:lineRule="exact"/>
        <w:rPr>
          <w:rFonts w:hint="eastAsia" w:ascii="宋体" w:hAnsi="宋体" w:cs="宋体"/>
          <w:sz w:val="24"/>
        </w:rPr>
      </w:pPr>
      <w:r>
        <w:rPr>
          <w:rFonts w:hint="eastAsia" w:ascii="宋体" w:hAnsi="宋体" w:cs="宋体"/>
          <w:sz w:val="24"/>
        </w:rPr>
        <w:t xml:space="preserve">    9-2、卖方应保证合同项下所供货物是合同规定厂家制造的、全新的、未使用过的，并完全符合合同规定的质量、规格和性能要求的合格货物。卖方应保证其货物在正确安装、正常使用和保养条件下，在其使用寿命期内应具有满意的性能。在货物的质量保证期内，卖方对由于设计、工艺或材料等的缺陷而产生的故障负责。</w:t>
      </w:r>
    </w:p>
    <w:p w14:paraId="53CC1BAB">
      <w:pPr>
        <w:autoSpaceDE w:val="0"/>
        <w:autoSpaceDN w:val="0"/>
        <w:spacing w:line="480" w:lineRule="exact"/>
        <w:rPr>
          <w:rFonts w:hint="eastAsia" w:ascii="宋体" w:hAnsi="宋体" w:cs="宋体"/>
          <w:sz w:val="24"/>
        </w:rPr>
      </w:pPr>
      <w:r>
        <w:rPr>
          <w:rFonts w:hint="eastAsia" w:ascii="宋体" w:hAnsi="宋体" w:cs="宋体"/>
          <w:sz w:val="24"/>
        </w:rPr>
        <w:t xml:space="preserve">    9-3、根据检验结果或者在质量保证期内，如果货物的数量、质量或规格与合同不符，或证实货物是有缺陷的，包括潜在的缺陷，买方应尽快以书面形式向卖方提出所发现的缺陷。</w:t>
      </w:r>
    </w:p>
    <w:p w14:paraId="584E44FD">
      <w:pPr>
        <w:autoSpaceDE w:val="0"/>
        <w:autoSpaceDN w:val="0"/>
        <w:spacing w:line="480" w:lineRule="exact"/>
        <w:rPr>
          <w:rFonts w:hint="eastAsia" w:ascii="宋体" w:hAnsi="宋体" w:cs="宋体"/>
          <w:sz w:val="24"/>
        </w:rPr>
      </w:pPr>
      <w:r>
        <w:rPr>
          <w:rFonts w:hint="eastAsia" w:ascii="宋体" w:hAnsi="宋体" w:cs="宋体"/>
          <w:sz w:val="24"/>
        </w:rPr>
        <w:t xml:space="preserve">    9-4、卖方收到通知后应在招标文件规定的时间内以合理的速度免费维修或更换有缺陷的货物或部件。</w:t>
      </w:r>
    </w:p>
    <w:p w14:paraId="4DB97DE5">
      <w:pPr>
        <w:autoSpaceDE w:val="0"/>
        <w:autoSpaceDN w:val="0"/>
        <w:spacing w:line="480" w:lineRule="exact"/>
        <w:rPr>
          <w:rFonts w:hint="eastAsia" w:ascii="宋体" w:hAnsi="宋体" w:cs="宋体"/>
          <w:sz w:val="24"/>
        </w:rPr>
      </w:pPr>
      <w:r>
        <w:rPr>
          <w:rFonts w:hint="eastAsia" w:ascii="宋体" w:hAnsi="宋体" w:cs="宋体"/>
          <w:sz w:val="24"/>
        </w:rPr>
        <w:t xml:space="preserve">    9-5、如果卖方收到通知后在招标文件规定的时间内没有及时修补缺陷，买方可提出索赔，并可采取必要的补救措施，但其风险和费用将由卖方承担，买方根据合同规定对卖方行使的其他权力不受影响。</w:t>
      </w:r>
    </w:p>
    <w:p w14:paraId="601F87D1">
      <w:pPr>
        <w:autoSpaceDE w:val="0"/>
        <w:autoSpaceDN w:val="0"/>
        <w:spacing w:line="480" w:lineRule="exact"/>
        <w:rPr>
          <w:rFonts w:hint="eastAsia" w:ascii="宋体" w:hAnsi="宋体" w:cs="宋体"/>
          <w:sz w:val="24"/>
        </w:rPr>
      </w:pPr>
      <w:r>
        <w:rPr>
          <w:rFonts w:hint="eastAsia" w:ascii="宋体" w:hAnsi="宋体" w:cs="宋体"/>
          <w:sz w:val="24"/>
        </w:rPr>
        <w:t xml:space="preserve">    10、索赔</w:t>
      </w:r>
    </w:p>
    <w:p w14:paraId="34AA3DA9">
      <w:pPr>
        <w:autoSpaceDE w:val="0"/>
        <w:autoSpaceDN w:val="0"/>
        <w:spacing w:line="480" w:lineRule="exact"/>
        <w:rPr>
          <w:rFonts w:hint="eastAsia" w:ascii="宋体" w:hAnsi="宋体" w:cs="宋体"/>
          <w:sz w:val="24"/>
        </w:rPr>
      </w:pPr>
      <w:r>
        <w:rPr>
          <w:rFonts w:hint="eastAsia" w:ascii="宋体" w:hAnsi="宋体" w:cs="宋体"/>
          <w:sz w:val="24"/>
        </w:rPr>
        <w:t xml:space="preserve">    10-1、如果卖方对偏差负有责任，而买方在安装、调试、验收和质量保证期内提出了索赔，卖方应按照买方同意的下列一种或几种方式结合起来解决索赔事宜：</w:t>
      </w:r>
    </w:p>
    <w:p w14:paraId="020C42FB">
      <w:pPr>
        <w:autoSpaceDE w:val="0"/>
        <w:autoSpaceDN w:val="0"/>
        <w:spacing w:line="480" w:lineRule="exact"/>
        <w:rPr>
          <w:rFonts w:hint="eastAsia" w:ascii="宋体" w:hAnsi="宋体" w:cs="宋体"/>
          <w:sz w:val="24"/>
        </w:rPr>
      </w:pPr>
      <w:r>
        <w:rPr>
          <w:rFonts w:hint="eastAsia" w:ascii="宋体" w:hAnsi="宋体" w:cs="宋体"/>
          <w:sz w:val="24"/>
        </w:rPr>
        <w:t xml:space="preserve">   （1）卖方同意退货并用合同规定的货币将货款退还给买方，并承担由此发生的一切损失和费用，包括利息、银行手续费、运费、保险费、检验费、仓储费、装卸费以及为看管和保护退回货物所需的其它必要费用。</w:t>
      </w:r>
    </w:p>
    <w:p w14:paraId="2B724EB5">
      <w:pPr>
        <w:autoSpaceDE w:val="0"/>
        <w:autoSpaceDN w:val="0"/>
        <w:spacing w:line="480" w:lineRule="exact"/>
        <w:rPr>
          <w:rFonts w:hint="eastAsia" w:ascii="宋体" w:hAnsi="宋体" w:cs="宋体"/>
          <w:sz w:val="24"/>
        </w:rPr>
      </w:pPr>
      <w:r>
        <w:rPr>
          <w:rFonts w:hint="eastAsia" w:ascii="宋体" w:hAnsi="宋体" w:cs="宋体"/>
          <w:sz w:val="24"/>
        </w:rPr>
        <w:t xml:space="preserve">   （2）根据货物的偏差情况、损坏程度、以及买方所遭受损失的金额，经买卖双方商定降低货物的价格。</w:t>
      </w:r>
    </w:p>
    <w:p w14:paraId="5B424015">
      <w:pPr>
        <w:autoSpaceDE w:val="0"/>
        <w:autoSpaceDN w:val="0"/>
        <w:spacing w:line="480" w:lineRule="exact"/>
        <w:rPr>
          <w:rFonts w:hint="eastAsia" w:ascii="宋体" w:hAnsi="宋体" w:cs="宋体"/>
          <w:sz w:val="24"/>
        </w:rPr>
      </w:pPr>
      <w:r>
        <w:rPr>
          <w:rFonts w:hint="eastAsia" w:ascii="宋体" w:hAnsi="宋体" w:cs="宋体"/>
          <w:sz w:val="24"/>
        </w:rPr>
        <w:t xml:space="preserve">   （3）用符合合同规定的规格、质量和性能要求的新零件、部件和/或货物来更换有缺陷的部分和/或修补缺陷部分，卖方应承担一切费用和风险并负担买方蒙受的全部直接损失费用。同时，卖方应按合同条款第9-1条规定，相应延长所更换货物的质量保证期。</w:t>
      </w:r>
    </w:p>
    <w:p w14:paraId="17A15DAB">
      <w:pPr>
        <w:autoSpaceDE w:val="0"/>
        <w:autoSpaceDN w:val="0"/>
        <w:spacing w:line="480" w:lineRule="exact"/>
        <w:rPr>
          <w:rFonts w:hint="eastAsia" w:ascii="宋体" w:hAnsi="宋体" w:cs="宋体"/>
          <w:sz w:val="24"/>
        </w:rPr>
      </w:pPr>
      <w:r>
        <w:rPr>
          <w:rFonts w:hint="eastAsia" w:ascii="宋体" w:hAnsi="宋体" w:cs="宋体"/>
          <w:sz w:val="24"/>
        </w:rPr>
        <w:t xml:space="preserve">    10-2、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从卖方交纳的履约保证金中扣回索赔金额。若索赔金额超过未付货款或履约保证金的，卖方必须用已收货款进行弥补。</w:t>
      </w:r>
    </w:p>
    <w:p w14:paraId="24931C26">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11、变更指令</w:t>
      </w:r>
    </w:p>
    <w:p w14:paraId="3AABAC08">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11-1、买方可以在任何时候书面向卖方发出指令，在本合同的一般范围内变更下述一项或几项：</w:t>
      </w:r>
    </w:p>
    <w:p w14:paraId="66F37AA8">
      <w:pPr>
        <w:autoSpaceDN w:val="0"/>
        <w:adjustRightInd w:val="0"/>
        <w:spacing w:line="480" w:lineRule="exact"/>
        <w:ind w:firstLine="480" w:firstLineChars="200"/>
        <w:rPr>
          <w:rFonts w:hint="eastAsia" w:ascii="宋体" w:hAnsi="宋体" w:cs="宋体"/>
          <w:spacing w:val="-4"/>
          <w:kern w:val="0"/>
          <w:sz w:val="24"/>
        </w:rPr>
      </w:pPr>
      <w:r>
        <w:rPr>
          <w:rFonts w:hint="eastAsia" w:ascii="宋体" w:hAnsi="宋体" w:cs="宋体"/>
          <w:kern w:val="0"/>
          <w:sz w:val="24"/>
        </w:rPr>
        <w:t>（1）</w:t>
      </w:r>
      <w:r>
        <w:rPr>
          <w:rFonts w:hint="eastAsia" w:ascii="宋体" w:hAnsi="宋体" w:cs="宋体"/>
          <w:spacing w:val="-4"/>
          <w:kern w:val="0"/>
          <w:sz w:val="24"/>
        </w:rPr>
        <w:t>本合同项下提供的货物是专为买方制造时，变更图纸、设计或规格；</w:t>
      </w:r>
    </w:p>
    <w:p w14:paraId="25B57160">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（2）运输或包装的方法；</w:t>
      </w:r>
    </w:p>
    <w:p w14:paraId="3CCB2A65">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（3）交货地点；</w:t>
      </w:r>
    </w:p>
    <w:p w14:paraId="59263936">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（4）卖方提供的服务。</w:t>
      </w:r>
    </w:p>
    <w:p w14:paraId="2A6DA243">
      <w:pPr>
        <w:autoSpaceDN w:val="0"/>
        <w:adjustRightInd w:val="0"/>
        <w:spacing w:line="480" w:lineRule="exact"/>
        <w:ind w:firstLine="464" w:firstLineChars="200"/>
        <w:rPr>
          <w:rFonts w:hint="eastAsia" w:ascii="宋体" w:hAnsi="宋体" w:cs="宋体"/>
          <w:spacing w:val="-4"/>
          <w:kern w:val="0"/>
          <w:sz w:val="24"/>
        </w:rPr>
      </w:pPr>
      <w:r>
        <w:rPr>
          <w:rFonts w:hint="eastAsia" w:ascii="宋体" w:hAnsi="宋体" w:cs="宋体"/>
          <w:spacing w:val="-4"/>
          <w:kern w:val="0"/>
          <w:sz w:val="24"/>
        </w:rPr>
        <w:t>11-2、</w:t>
      </w:r>
      <w:r>
        <w:rPr>
          <w:rFonts w:hint="eastAsia" w:ascii="宋体" w:hAnsi="宋体" w:cs="宋体"/>
          <w:kern w:val="0"/>
          <w:sz w:val="24"/>
        </w:rPr>
        <w:t>如果上述变更使卖方履行合同义务的费用或时间增加或减少，将对合同价或交货时间或两者进行公平的调整，同时相应修改合同。卖方根据本条进行调整的要求必须在收到买方的变更指令后七（7）天内提出。</w:t>
      </w:r>
    </w:p>
    <w:p w14:paraId="4AF6AF6B">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12、合同修改</w:t>
      </w:r>
    </w:p>
    <w:p w14:paraId="74B475DB">
      <w:pPr>
        <w:autoSpaceDN w:val="0"/>
        <w:spacing w:line="480" w:lineRule="exact"/>
        <w:ind w:firstLine="480" w:firstLineChars="200"/>
        <w:rPr>
          <w:rFonts w:hint="eastAsia" w:ascii="宋体" w:hAnsi="宋体" w:cs="宋体"/>
          <w:kern w:val="0"/>
          <w:sz w:val="24"/>
        </w:rPr>
      </w:pPr>
      <w:r>
        <w:rPr>
          <w:rFonts w:hint="eastAsia" w:ascii="宋体" w:hAnsi="宋体" w:cs="宋体"/>
          <w:kern w:val="0"/>
          <w:sz w:val="24"/>
        </w:rPr>
        <w:t>除了合同条款第11条的情况，不应对合同条款进行任何变更或修改，除非双方同意并签订书面的合同修改书。</w:t>
      </w:r>
    </w:p>
    <w:p w14:paraId="4A1A5888">
      <w:pPr>
        <w:autoSpaceDN w:val="0"/>
        <w:spacing w:line="480" w:lineRule="exact"/>
        <w:ind w:firstLine="480" w:firstLineChars="200"/>
        <w:rPr>
          <w:rFonts w:hint="eastAsia" w:ascii="宋体" w:hAnsi="宋体" w:cs="宋体"/>
          <w:kern w:val="0"/>
          <w:sz w:val="24"/>
        </w:rPr>
      </w:pPr>
      <w:r>
        <w:rPr>
          <w:rFonts w:hint="eastAsia" w:ascii="宋体" w:hAnsi="宋体" w:cs="宋体"/>
          <w:kern w:val="0"/>
          <w:sz w:val="24"/>
        </w:rPr>
        <w:t>13、转让</w:t>
      </w:r>
    </w:p>
    <w:p w14:paraId="6FC32A8D">
      <w:pPr>
        <w:autoSpaceDN w:val="0"/>
        <w:spacing w:line="480" w:lineRule="exact"/>
        <w:ind w:firstLine="480" w:firstLineChars="200"/>
        <w:rPr>
          <w:rFonts w:hint="eastAsia" w:ascii="宋体" w:hAnsi="宋体" w:cs="宋体"/>
          <w:kern w:val="0"/>
          <w:sz w:val="24"/>
        </w:rPr>
      </w:pPr>
      <w:r>
        <w:rPr>
          <w:rFonts w:hint="eastAsia" w:ascii="宋体" w:hAnsi="宋体" w:cs="宋体"/>
          <w:kern w:val="0"/>
          <w:sz w:val="24"/>
        </w:rPr>
        <w:t>未经买方事先书面同意，卖方不得部分转让或全部转让其应履行的合同义务。</w:t>
      </w:r>
    </w:p>
    <w:p w14:paraId="2D445890">
      <w:pPr>
        <w:autoSpaceDN w:val="0"/>
        <w:spacing w:line="480" w:lineRule="exact"/>
        <w:ind w:firstLine="480" w:firstLineChars="200"/>
        <w:rPr>
          <w:rFonts w:hint="eastAsia" w:ascii="宋体" w:hAnsi="宋体" w:cs="宋体"/>
          <w:kern w:val="0"/>
          <w:sz w:val="24"/>
        </w:rPr>
      </w:pPr>
      <w:r>
        <w:rPr>
          <w:rFonts w:hint="eastAsia" w:ascii="宋体" w:hAnsi="宋体" w:cs="宋体"/>
          <w:kern w:val="0"/>
          <w:sz w:val="24"/>
        </w:rPr>
        <w:t>14、卖方履约延误</w:t>
      </w:r>
    </w:p>
    <w:p w14:paraId="3206512C">
      <w:pPr>
        <w:autoSpaceDN w:val="0"/>
        <w:spacing w:line="480" w:lineRule="exact"/>
        <w:ind w:firstLine="480" w:firstLineChars="200"/>
        <w:rPr>
          <w:rFonts w:hint="eastAsia" w:ascii="宋体" w:hAnsi="宋体" w:cs="宋体"/>
          <w:kern w:val="0"/>
          <w:sz w:val="24"/>
        </w:rPr>
      </w:pPr>
      <w:r>
        <w:rPr>
          <w:rFonts w:hint="eastAsia" w:ascii="宋体" w:hAnsi="宋体" w:cs="宋体"/>
          <w:kern w:val="0"/>
          <w:sz w:val="24"/>
        </w:rPr>
        <w:t>14-1、卖方应按照本项目招标文件“商务条款”中规定的交货时间交货和提供服务。</w:t>
      </w:r>
    </w:p>
    <w:p w14:paraId="3764DC0D">
      <w:pPr>
        <w:autoSpaceDN w:val="0"/>
        <w:spacing w:line="480" w:lineRule="exact"/>
        <w:ind w:firstLine="480" w:firstLineChars="200"/>
        <w:rPr>
          <w:rFonts w:hint="eastAsia" w:ascii="宋体" w:hAnsi="宋体" w:cs="宋体"/>
          <w:kern w:val="0"/>
          <w:sz w:val="24"/>
        </w:rPr>
      </w:pPr>
      <w:r>
        <w:rPr>
          <w:rFonts w:hint="eastAsia" w:ascii="宋体" w:hAnsi="宋体" w:cs="宋体"/>
          <w:kern w:val="0"/>
          <w:sz w:val="24"/>
        </w:rPr>
        <w:t>14-2、在履行合同过程中，如果卖方遇到妨碍按时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335ABB1C">
      <w:pPr>
        <w:autoSpaceDN w:val="0"/>
        <w:spacing w:line="480" w:lineRule="exact"/>
        <w:ind w:firstLine="480" w:firstLineChars="200"/>
        <w:rPr>
          <w:rFonts w:hint="eastAsia" w:ascii="宋体" w:hAnsi="宋体" w:cs="宋体"/>
          <w:kern w:val="0"/>
          <w:sz w:val="24"/>
        </w:rPr>
      </w:pPr>
      <w:r>
        <w:rPr>
          <w:rFonts w:hint="eastAsia" w:ascii="宋体" w:hAnsi="宋体" w:cs="宋体"/>
          <w:kern w:val="0"/>
          <w:sz w:val="24"/>
        </w:rPr>
        <w:t>14-3、除合同条款第19条规定的情况外,除非拖延是根据合同条款第14-2条的规定取得同意而不收取误期赔偿费之外，卖方延误交货，将按合同条款第16条的规定被收取误期赔偿费。</w:t>
      </w:r>
    </w:p>
    <w:p w14:paraId="3AC8F997">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15、验收</w:t>
      </w:r>
    </w:p>
    <w:p w14:paraId="4B1BD638">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15-1、项目验收分初验和终验:</w:t>
      </w:r>
    </w:p>
    <w:p w14:paraId="05F5FD50">
      <w:pPr>
        <w:spacing w:line="500" w:lineRule="exact"/>
        <w:ind w:firstLine="480" w:firstLineChars="200"/>
        <w:rPr>
          <w:rFonts w:hint="eastAsia" w:ascii="宋体" w:hAnsi="宋体" w:cs="宋体"/>
          <w:sz w:val="24"/>
        </w:rPr>
      </w:pPr>
      <w:r>
        <w:rPr>
          <w:rFonts w:hint="eastAsia" w:ascii="宋体" w:hAnsi="宋体" w:cs="宋体"/>
          <w:sz w:val="24"/>
        </w:rPr>
        <w:t>初验：货物到达交货地点后，由使用单位（买方）根据合同对货物的名称、品牌、规格、型号、产地、数量进行检查。</w:t>
      </w:r>
    </w:p>
    <w:p w14:paraId="490386CE">
      <w:pPr>
        <w:spacing w:line="500" w:lineRule="exact"/>
        <w:ind w:firstLine="480" w:firstLineChars="200"/>
        <w:rPr>
          <w:rFonts w:hint="eastAsia" w:ascii="宋体" w:hAnsi="宋体" w:cs="宋体"/>
          <w:sz w:val="24"/>
        </w:rPr>
      </w:pPr>
      <w:r>
        <w:rPr>
          <w:rFonts w:hint="eastAsia" w:ascii="宋体" w:hAnsi="宋体" w:cs="宋体"/>
          <w:sz w:val="24"/>
        </w:rPr>
        <w:t>终验：所有货物安装完</w:t>
      </w:r>
      <w:r>
        <w:rPr>
          <w:rFonts w:hint="eastAsia" w:ascii="宋体" w:hAnsi="宋体" w:cs="宋体"/>
          <w:sz w:val="24"/>
          <w:highlight w:val="none"/>
        </w:rPr>
        <w:t>毕，正常使用</w:t>
      </w:r>
      <w:r>
        <w:rPr>
          <w:rFonts w:hint="eastAsia" w:ascii="宋体" w:hAnsi="宋体" w:cs="宋体"/>
          <w:sz w:val="24"/>
          <w:highlight w:val="none"/>
          <w:lang w:val="en-US" w:eastAsia="zh-CN"/>
        </w:rPr>
        <w:t>2</w:t>
      </w:r>
      <w:r>
        <w:rPr>
          <w:rFonts w:hint="eastAsia" w:ascii="宋体" w:hAnsi="宋体" w:cs="宋体"/>
          <w:sz w:val="24"/>
          <w:highlight w:val="none"/>
        </w:rPr>
        <w:t>0个日历日后，由</w:t>
      </w:r>
      <w:r>
        <w:rPr>
          <w:rFonts w:hint="eastAsia" w:ascii="宋体" w:hAnsi="宋体" w:cs="宋体"/>
          <w:sz w:val="24"/>
        </w:rPr>
        <w:t>采购人（买方）、使用单位进行验收，合格后签发《验收合格单》。</w:t>
      </w:r>
      <w:r>
        <w:rPr>
          <w:rFonts w:hint="eastAsia" w:ascii="宋体" w:hAnsi="宋体" w:cs="宋体"/>
          <w:sz w:val="24"/>
        </w:rPr>
        <w:cr/>
      </w:r>
      <w:r>
        <w:rPr>
          <w:rFonts w:hint="eastAsia" w:ascii="宋体" w:hAnsi="宋体" w:cs="宋体"/>
          <w:sz w:val="24"/>
        </w:rPr>
        <w:t xml:space="preserve">    15-2、验收不合格的成交供应商，必须在接到通知后7个日历日内确保货物通过验收。如接到通知后7个日历日内验收仍不合格，采购人（买方）可提出索赔或取消其供货合同。采购代理机构将把成交资格授予评审排序下一名的成交供应商，或终止合同。</w:t>
      </w:r>
    </w:p>
    <w:p w14:paraId="27577523">
      <w:pPr>
        <w:adjustRightInd w:val="0"/>
        <w:snapToGrid w:val="0"/>
        <w:spacing w:line="500" w:lineRule="exact"/>
        <w:ind w:firstLine="470" w:firstLineChars="196"/>
        <w:rPr>
          <w:rFonts w:hint="eastAsia" w:ascii="宋体" w:hAnsi="宋体" w:cs="宋体"/>
          <w:sz w:val="24"/>
        </w:rPr>
      </w:pPr>
      <w:r>
        <w:rPr>
          <w:rFonts w:hint="eastAsia" w:ascii="宋体" w:hAnsi="宋体" w:cs="宋体"/>
          <w:sz w:val="24"/>
        </w:rPr>
        <w:t>15-3、验收依据</w:t>
      </w:r>
    </w:p>
    <w:p w14:paraId="6135938F">
      <w:pPr>
        <w:adjustRightInd w:val="0"/>
        <w:snapToGrid w:val="0"/>
        <w:spacing w:line="500" w:lineRule="exact"/>
        <w:ind w:firstLine="470" w:firstLineChars="196"/>
        <w:rPr>
          <w:rFonts w:hint="eastAsia" w:ascii="宋体" w:hAnsi="宋体" w:cs="宋体"/>
          <w:sz w:val="24"/>
        </w:rPr>
      </w:pPr>
      <w:r>
        <w:rPr>
          <w:rFonts w:hint="eastAsia" w:ascii="宋体" w:hAnsi="宋体" w:cs="宋体"/>
          <w:sz w:val="24"/>
        </w:rPr>
        <w:t xml:space="preserve">（1）合同文本及合同补充文件（条款）。 </w:t>
      </w:r>
    </w:p>
    <w:p w14:paraId="5F6AB89A">
      <w:pPr>
        <w:adjustRightInd w:val="0"/>
        <w:snapToGrid w:val="0"/>
        <w:spacing w:line="500" w:lineRule="exact"/>
        <w:ind w:firstLine="470" w:firstLineChars="196"/>
        <w:rPr>
          <w:rFonts w:hint="eastAsia" w:ascii="宋体" w:hAnsi="宋体" w:cs="宋体"/>
          <w:sz w:val="24"/>
        </w:rPr>
      </w:pPr>
      <w:r>
        <w:rPr>
          <w:rFonts w:hint="eastAsia" w:ascii="宋体" w:hAnsi="宋体" w:cs="宋体"/>
          <w:sz w:val="24"/>
        </w:rPr>
        <w:t>（2）产品的合法来源渠道证明文件。</w:t>
      </w:r>
    </w:p>
    <w:p w14:paraId="1C38DC1E">
      <w:pPr>
        <w:adjustRightInd w:val="0"/>
        <w:snapToGrid w:val="0"/>
        <w:spacing w:line="500" w:lineRule="exact"/>
        <w:ind w:firstLine="470" w:firstLineChars="196"/>
        <w:rPr>
          <w:rFonts w:hint="eastAsia" w:ascii="宋体" w:hAnsi="宋体" w:cs="宋体"/>
          <w:sz w:val="24"/>
        </w:rPr>
      </w:pPr>
      <w:r>
        <w:rPr>
          <w:rFonts w:hint="eastAsia" w:ascii="宋体" w:hAnsi="宋体" w:cs="宋体"/>
          <w:sz w:val="24"/>
        </w:rPr>
        <w:t>（3）买方招标文件。</w:t>
      </w:r>
    </w:p>
    <w:p w14:paraId="4C611B27">
      <w:pPr>
        <w:adjustRightInd w:val="0"/>
        <w:snapToGrid w:val="0"/>
        <w:spacing w:line="500" w:lineRule="exact"/>
        <w:ind w:firstLine="470" w:firstLineChars="196"/>
        <w:rPr>
          <w:rFonts w:hint="eastAsia" w:ascii="宋体" w:hAnsi="宋体" w:cs="宋体"/>
          <w:sz w:val="24"/>
        </w:rPr>
      </w:pPr>
      <w:r>
        <w:rPr>
          <w:rFonts w:hint="eastAsia" w:ascii="宋体" w:hAnsi="宋体" w:cs="宋体"/>
          <w:sz w:val="24"/>
        </w:rPr>
        <w:t>（4）成交供应商的投标文件。</w:t>
      </w:r>
    </w:p>
    <w:p w14:paraId="445B801C">
      <w:pPr>
        <w:adjustRightInd w:val="0"/>
        <w:snapToGrid w:val="0"/>
        <w:spacing w:line="500" w:lineRule="exact"/>
        <w:ind w:firstLine="470" w:firstLineChars="196"/>
        <w:rPr>
          <w:rFonts w:hint="eastAsia" w:ascii="宋体" w:hAnsi="宋体" w:cs="宋体"/>
          <w:sz w:val="24"/>
        </w:rPr>
      </w:pPr>
      <w:r>
        <w:rPr>
          <w:rFonts w:hint="eastAsia" w:ascii="宋体" w:hAnsi="宋体" w:cs="宋体"/>
          <w:sz w:val="24"/>
        </w:rPr>
        <w:t>（5）合同货物清单。</w:t>
      </w:r>
    </w:p>
    <w:p w14:paraId="054E7CF4">
      <w:pPr>
        <w:adjustRightInd w:val="0"/>
        <w:snapToGrid w:val="0"/>
        <w:spacing w:line="500" w:lineRule="exact"/>
        <w:ind w:firstLine="470" w:firstLineChars="196"/>
        <w:rPr>
          <w:rFonts w:hint="eastAsia" w:ascii="宋体" w:hAnsi="宋体" w:cs="宋体"/>
          <w:sz w:val="24"/>
        </w:rPr>
      </w:pPr>
      <w:r>
        <w:rPr>
          <w:rFonts w:hint="eastAsia" w:ascii="宋体" w:hAnsi="宋体" w:cs="宋体"/>
          <w:sz w:val="24"/>
        </w:rPr>
        <w:t>（6）生产厂家的企业资质、货物的执行标准。</w:t>
      </w:r>
    </w:p>
    <w:p w14:paraId="2F1C5AC2">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16、误期赔偿费</w:t>
      </w:r>
    </w:p>
    <w:p w14:paraId="6DD28E34">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sz w:val="24"/>
        </w:rPr>
        <w:t>除合同条款第19条规定的情况外，如果卖方没有按照合同规定的时间交货和提供服务，买方应在不影响</w:t>
      </w:r>
      <w:r>
        <w:rPr>
          <w:rFonts w:hint="eastAsia" w:ascii="宋体" w:hAnsi="宋体" w:cs="宋体"/>
          <w:kern w:val="0"/>
          <w:sz w:val="24"/>
        </w:rPr>
        <w:t>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18条的规定终止合同。</w:t>
      </w:r>
    </w:p>
    <w:p w14:paraId="41A656E7">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17、违约终止合同</w:t>
      </w:r>
    </w:p>
    <w:p w14:paraId="2560B90E">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17-1、在买方对卖方违约而采取的任何补救措施不受影响的情况下，买方可向卖方发出书面违约通知书，提出终止部分或全部合同：</w:t>
      </w:r>
    </w:p>
    <w:p w14:paraId="0AA81F76">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（1）如果卖方未能在合同规定的期限内或买方根据合同条款第14-2条的规定同意延长的期限内提供部分或全部货物；或</w:t>
      </w:r>
      <w:r>
        <w:rPr>
          <w:rFonts w:hint="eastAsia" w:ascii="宋体" w:hAnsi="宋体" w:cs="宋体"/>
          <w:sz w:val="24"/>
        </w:rPr>
        <w:t>误期赔偿费达到最高限额。</w:t>
      </w:r>
    </w:p>
    <w:p w14:paraId="6ECBAF61">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（2）如果卖方未能履行合同规定的其它任何义务，则应承担合同约定价20%的违约金。</w:t>
      </w:r>
    </w:p>
    <w:p w14:paraId="17142150">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（3）如果买方认为卖方在本合同的竞争和实施过程中有腐败和欺诈行为。为此目的，定义下述条件：</w:t>
      </w:r>
    </w:p>
    <w:p w14:paraId="7A4EC450">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“腐败行为”是指提供、给予、接受或索取任何有价值的物品来影响买方在采购过程或合同实施过程中的行为。</w:t>
      </w:r>
    </w:p>
    <w:p w14:paraId="3ACE317E">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“欺诈行为”是指为了影响采购过程或合同实施过程而谎报或隐瞒事实，损害买方利益的行为。</w:t>
      </w:r>
    </w:p>
    <w:p w14:paraId="134D6F24">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17-2、如果买方根据上述第17-1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1CAD6CAE">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18、不可抗力</w:t>
      </w:r>
    </w:p>
    <w:p w14:paraId="442F1651">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18-1、签约买卖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5D7809B9">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18-2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6119F86A">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18-3、因合同一方迟延履行合同后发生不可抗力的，不能免除迟延履行方的相应责任。</w:t>
      </w:r>
    </w:p>
    <w:p w14:paraId="3C5BDE2A">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19、因破产而终止合同</w:t>
      </w:r>
    </w:p>
    <w:p w14:paraId="2B66BB10">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如果卖方破产或无清偿能力，买方可在任何时候以书面形式通知卖方，提出终止合同而不给卖方补偿。该合同的终止将不损害或影响买方已经采取或将要采取的任何行动或补救措施的权力。</w:t>
      </w:r>
    </w:p>
    <w:p w14:paraId="1F232B6F">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20、因买方的便利而终止合同</w:t>
      </w:r>
    </w:p>
    <w:p w14:paraId="2345F3E7">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20-1、买方可在任何时候出于自身的便利向卖方发出书面通知全部或部分终止合同，终止通知应明确该终止合同是出于买方的便利，并明确合同终止的程度，以及终止的生效日期。</w:t>
      </w:r>
    </w:p>
    <w:p w14:paraId="4DAAAFB2">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20-2、对卖方收到终止通知后十（10）天内已完成并准备装运的货物，买方应按原合同价格和条款予以接收，对于剩下的货物，买方可：</w:t>
      </w:r>
    </w:p>
    <w:p w14:paraId="28232425">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（1）仅对部分货物按照原来的合同价格和条款予以接受；</w:t>
      </w:r>
    </w:p>
    <w:p w14:paraId="672E692B">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（2）取消对所剩货物的采购，并按双方商定的金额向卖方支付部分完成的货物和服务以及卖方以前已采购的材料和部件的费用。</w:t>
      </w:r>
    </w:p>
    <w:p w14:paraId="7A858CA1">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21、争议的解决</w:t>
      </w:r>
    </w:p>
    <w:p w14:paraId="7070FFE9">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因执行本合同所发生的或与本合同有关的一切争议,双方应通过友好协商解决。如果协商开始后三十（30）天还不能解决，任意一方均可向买方有管辖权的人民法院提起诉讼。</w:t>
      </w:r>
    </w:p>
    <w:p w14:paraId="3A167E90">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22、适用法律</w:t>
      </w:r>
    </w:p>
    <w:p w14:paraId="0C0229F7">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本合同应按照中华人民共和国的现行法律进行解释。</w:t>
      </w:r>
    </w:p>
    <w:p w14:paraId="4A109F6E">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23、通知</w:t>
      </w:r>
    </w:p>
    <w:p w14:paraId="7AC1095D">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23-1、本合同一方给对方的通知应用书面形式送到合同专用条款中规定的对方的地址。传真要经书面确认。</w:t>
      </w:r>
    </w:p>
    <w:p w14:paraId="5A911CC9">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23-2、通知以送到日期或通知书的生效日期为生效日期，两者中以晚的一个日期为准。</w:t>
      </w:r>
    </w:p>
    <w:p w14:paraId="0C0A295C">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24、税款</w:t>
      </w:r>
    </w:p>
    <w:p w14:paraId="7CE155D5">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24-1、按照中华人民共和国税法和有关部门的规定，买方需交纳的与本合同有关的一切税费均应由买方负担。</w:t>
      </w:r>
    </w:p>
    <w:p w14:paraId="6BA6BB0C">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24-2、按照中华人民共和国税法和有关部门的规定，卖方需交纳的与本合同有关的一切税费均应由卖方负担。</w:t>
      </w:r>
    </w:p>
    <w:p w14:paraId="7662A023">
      <w:pPr>
        <w:autoSpaceDN w:val="0"/>
        <w:adjustRightInd w:val="0"/>
        <w:spacing w:line="480" w:lineRule="exact"/>
        <w:ind w:firstLine="480" w:firstLineChars="200"/>
        <w:rPr>
          <w:rFonts w:hint="eastAsia" w:ascii="宋体" w:hAnsi="宋体" w:cs="宋体"/>
          <w:kern w:val="0"/>
          <w:sz w:val="24"/>
        </w:rPr>
      </w:pPr>
      <w:r>
        <w:rPr>
          <w:rFonts w:hint="eastAsia" w:ascii="宋体" w:hAnsi="宋体" w:cs="宋体"/>
          <w:kern w:val="0"/>
          <w:sz w:val="24"/>
        </w:rPr>
        <w:t>25、合同生效</w:t>
      </w:r>
    </w:p>
    <w:p w14:paraId="40A64465">
      <w:pPr>
        <w:spacing w:line="480" w:lineRule="exact"/>
        <w:ind w:firstLine="424" w:firstLineChars="177"/>
        <w:rPr>
          <w:rFonts w:hint="eastAsia" w:ascii="宋体" w:hAnsi="宋体" w:cs="宋体"/>
          <w:kern w:val="0"/>
          <w:sz w:val="24"/>
        </w:rPr>
      </w:pPr>
      <w:r>
        <w:rPr>
          <w:rFonts w:hint="eastAsia" w:ascii="宋体" w:hAnsi="宋体" w:cs="宋体"/>
          <w:kern w:val="0"/>
          <w:sz w:val="24"/>
        </w:rPr>
        <w:t>本合同由买卖双方法定代表人/授权代表及鉴证方共同签字并加盖公章/合同专用章之日起生效。</w:t>
      </w:r>
    </w:p>
    <w:p w14:paraId="459A9CE6">
      <w:pPr>
        <w:pStyle w:val="45"/>
        <w:rPr>
          <w:rFonts w:hint="eastAsia" w:ascii="宋体" w:hAnsi="宋体" w:cs="宋体"/>
          <w:kern w:val="0"/>
          <w:sz w:val="24"/>
        </w:rPr>
      </w:pPr>
    </w:p>
    <w:p w14:paraId="578204F6">
      <w:pPr>
        <w:pStyle w:val="45"/>
        <w:rPr>
          <w:rFonts w:hint="eastAsia" w:ascii="宋体" w:hAnsi="宋体" w:cs="宋体"/>
          <w:kern w:val="0"/>
          <w:sz w:val="24"/>
        </w:rPr>
      </w:pPr>
    </w:p>
    <w:p w14:paraId="3205304D">
      <w:pPr>
        <w:pStyle w:val="45"/>
        <w:rPr>
          <w:rFonts w:hint="eastAsia" w:ascii="宋体" w:hAnsi="宋体" w:cs="宋体"/>
          <w:kern w:val="0"/>
          <w:sz w:val="24"/>
        </w:rPr>
      </w:pPr>
    </w:p>
    <w:p w14:paraId="0C1AD923">
      <w:pPr>
        <w:pStyle w:val="45"/>
        <w:rPr>
          <w:rFonts w:hint="eastAsia" w:ascii="宋体" w:hAnsi="宋体" w:cs="宋体"/>
          <w:kern w:val="0"/>
          <w:sz w:val="24"/>
        </w:rPr>
      </w:pPr>
    </w:p>
    <w:p w14:paraId="1AD1582D">
      <w:pPr>
        <w:pStyle w:val="45"/>
        <w:rPr>
          <w:rFonts w:hint="eastAsia" w:ascii="宋体" w:hAnsi="宋体" w:cs="宋体"/>
          <w:kern w:val="0"/>
          <w:sz w:val="24"/>
        </w:rPr>
        <w:sectPr>
          <w:headerReference r:id="rId10" w:type="default"/>
          <w:pgSz w:w="11906" w:h="16838"/>
          <w:pgMar w:top="1418" w:right="1418" w:bottom="1418" w:left="1134" w:header="907" w:footer="1021" w:gutter="567"/>
          <w:pgNumType w:fmt="decimal"/>
          <w:cols w:space="720" w:num="1"/>
          <w:docGrid w:linePitch="312" w:charSpace="0"/>
        </w:sectPr>
      </w:pPr>
    </w:p>
    <w:p w14:paraId="52FCC96C">
      <w:pPr>
        <w:spacing w:line="480" w:lineRule="exact"/>
        <w:rPr>
          <w:rFonts w:hint="eastAsia" w:ascii="宋体" w:hAnsi="宋体" w:cs="宋体"/>
          <w:b/>
          <w:bCs/>
          <w:sz w:val="24"/>
        </w:rPr>
      </w:pPr>
      <w:r>
        <w:rPr>
          <w:rFonts w:hint="eastAsia" w:ascii="宋体" w:hAnsi="宋体" w:cs="宋体"/>
          <w:b/>
          <w:bCs/>
          <w:sz w:val="24"/>
        </w:rPr>
        <w:t>附件1—货物清单</w:t>
      </w:r>
    </w:p>
    <w:p w14:paraId="46C81D0F">
      <w:pPr>
        <w:pStyle w:val="45"/>
      </w:pPr>
    </w:p>
    <w:tbl>
      <w:tblPr>
        <w:tblStyle w:val="35"/>
        <w:tblW w:w="14965" w:type="dxa"/>
        <w:tblInd w:w="-536" w:type="dxa"/>
        <w:tblLayout w:type="fixed"/>
        <w:tblCellMar>
          <w:top w:w="0" w:type="dxa"/>
          <w:left w:w="0" w:type="dxa"/>
          <w:bottom w:w="0" w:type="dxa"/>
          <w:right w:w="0" w:type="dxa"/>
        </w:tblCellMar>
      </w:tblPr>
      <w:tblGrid>
        <w:gridCol w:w="824"/>
        <w:gridCol w:w="1380"/>
        <w:gridCol w:w="1211"/>
        <w:gridCol w:w="1207"/>
        <w:gridCol w:w="4389"/>
        <w:gridCol w:w="1073"/>
        <w:gridCol w:w="774"/>
        <w:gridCol w:w="911"/>
        <w:gridCol w:w="1765"/>
        <w:gridCol w:w="1431"/>
      </w:tblGrid>
      <w:tr w14:paraId="25B8576B">
        <w:tblPrEx>
          <w:tblCellMar>
            <w:top w:w="0" w:type="dxa"/>
            <w:left w:w="0" w:type="dxa"/>
            <w:bottom w:w="0" w:type="dxa"/>
            <w:right w:w="0" w:type="dxa"/>
          </w:tblCellMar>
        </w:tblPrEx>
        <w:trPr>
          <w:trHeight w:val="510"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0FA6B6">
            <w:pPr>
              <w:widowControl/>
              <w:jc w:val="center"/>
              <w:textAlignment w:val="center"/>
              <w:rPr>
                <w:rFonts w:hint="eastAsia" w:ascii="宋体" w:hAnsi="宋体" w:cs="宋体"/>
                <w:b/>
                <w:sz w:val="24"/>
              </w:rPr>
            </w:pPr>
            <w:r>
              <w:rPr>
                <w:rFonts w:hint="eastAsia" w:ascii="宋体" w:hAnsi="宋体" w:cs="宋体"/>
                <w:b/>
                <w:kern w:val="0"/>
                <w:sz w:val="24"/>
                <w:lang w:bidi="ar"/>
              </w:rPr>
              <w:t>序号</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7B5AED">
            <w:pPr>
              <w:widowControl/>
              <w:jc w:val="center"/>
              <w:textAlignment w:val="center"/>
              <w:rPr>
                <w:rFonts w:hint="eastAsia" w:ascii="宋体" w:hAnsi="宋体" w:cs="宋体"/>
                <w:b/>
                <w:sz w:val="24"/>
              </w:rPr>
            </w:pPr>
            <w:r>
              <w:rPr>
                <w:rFonts w:hint="eastAsia" w:ascii="宋体" w:hAnsi="宋体" w:cs="宋体"/>
                <w:b/>
                <w:kern w:val="0"/>
                <w:sz w:val="24"/>
                <w:lang w:bidi="ar"/>
              </w:rPr>
              <w:t>名 称</w:t>
            </w: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5C0287">
            <w:pPr>
              <w:widowControl/>
              <w:jc w:val="center"/>
              <w:textAlignment w:val="center"/>
              <w:rPr>
                <w:rFonts w:hint="eastAsia" w:ascii="宋体" w:hAnsi="宋体" w:cs="宋体"/>
                <w:b/>
                <w:sz w:val="24"/>
              </w:rPr>
            </w:pPr>
            <w:r>
              <w:rPr>
                <w:rFonts w:hint="eastAsia" w:ascii="宋体" w:hAnsi="宋体" w:cs="宋体"/>
                <w:b/>
                <w:kern w:val="0"/>
                <w:sz w:val="24"/>
                <w:lang w:bidi="ar"/>
              </w:rPr>
              <w:t>品牌/型号</w:t>
            </w: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8D9B303">
            <w:pPr>
              <w:widowControl/>
              <w:jc w:val="center"/>
              <w:textAlignment w:val="center"/>
              <w:rPr>
                <w:rFonts w:hint="eastAsia" w:ascii="宋体" w:hAnsi="宋体" w:cs="宋体"/>
                <w:b/>
                <w:sz w:val="24"/>
              </w:rPr>
            </w:pPr>
            <w:r>
              <w:rPr>
                <w:rFonts w:hint="eastAsia" w:ascii="宋体" w:hAnsi="宋体" w:cs="宋体"/>
                <w:b/>
                <w:kern w:val="0"/>
                <w:sz w:val="24"/>
                <w:lang w:bidi="ar"/>
              </w:rPr>
              <w:t>制造厂家</w:t>
            </w: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B535E2">
            <w:pPr>
              <w:widowControl/>
              <w:jc w:val="center"/>
              <w:textAlignment w:val="center"/>
              <w:rPr>
                <w:rFonts w:hint="eastAsia" w:ascii="宋体" w:hAnsi="宋体" w:cs="宋体"/>
                <w:b/>
                <w:sz w:val="24"/>
              </w:rPr>
            </w:pPr>
            <w:r>
              <w:rPr>
                <w:rFonts w:hint="eastAsia" w:ascii="宋体" w:hAnsi="宋体" w:cs="宋体"/>
                <w:b/>
                <w:kern w:val="0"/>
                <w:sz w:val="24"/>
                <w:lang w:bidi="ar"/>
              </w:rPr>
              <w:t>规格和说明</w:t>
            </w: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E0F6FE">
            <w:pPr>
              <w:widowControl/>
              <w:jc w:val="center"/>
              <w:textAlignment w:val="center"/>
              <w:rPr>
                <w:rFonts w:hint="eastAsia" w:ascii="宋体" w:hAnsi="宋体" w:cs="宋体"/>
                <w:b/>
                <w:sz w:val="24"/>
              </w:rPr>
            </w:pPr>
            <w:r>
              <w:rPr>
                <w:rFonts w:hint="eastAsia" w:ascii="宋体" w:hAnsi="宋体" w:cs="宋体"/>
                <w:b/>
                <w:kern w:val="0"/>
                <w:sz w:val="24"/>
                <w:lang w:bidi="ar"/>
              </w:rPr>
              <w:t>单位</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D704A96">
            <w:pPr>
              <w:widowControl/>
              <w:jc w:val="center"/>
              <w:textAlignment w:val="center"/>
              <w:rPr>
                <w:rFonts w:hint="eastAsia" w:ascii="宋体" w:hAnsi="宋体" w:cs="宋体"/>
                <w:b/>
                <w:sz w:val="24"/>
              </w:rPr>
            </w:pPr>
            <w:r>
              <w:rPr>
                <w:rFonts w:hint="eastAsia" w:ascii="宋体" w:hAnsi="宋体" w:cs="宋体"/>
                <w:b/>
                <w:kern w:val="0"/>
                <w:sz w:val="24"/>
                <w:lang w:bidi="ar"/>
              </w:rPr>
              <w:t>数量</w:t>
            </w: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EA2DF0">
            <w:pPr>
              <w:widowControl/>
              <w:jc w:val="center"/>
              <w:textAlignment w:val="center"/>
              <w:rPr>
                <w:rFonts w:hint="eastAsia" w:ascii="宋体" w:hAnsi="宋体" w:cs="宋体"/>
                <w:b/>
                <w:kern w:val="0"/>
                <w:sz w:val="24"/>
                <w:lang w:bidi="ar"/>
              </w:rPr>
            </w:pPr>
            <w:r>
              <w:rPr>
                <w:rFonts w:hint="eastAsia" w:ascii="宋体" w:hAnsi="宋体" w:cs="宋体"/>
                <w:b/>
                <w:kern w:val="0"/>
                <w:sz w:val="24"/>
                <w:lang w:bidi="ar"/>
              </w:rPr>
              <w:t>单价</w:t>
            </w:r>
          </w:p>
          <w:p w14:paraId="6DF13B08">
            <w:pPr>
              <w:widowControl/>
              <w:jc w:val="center"/>
              <w:textAlignment w:val="center"/>
              <w:rPr>
                <w:rFonts w:hint="eastAsia" w:ascii="宋体" w:hAnsi="宋体" w:cs="宋体"/>
                <w:b/>
                <w:sz w:val="24"/>
              </w:rPr>
            </w:pPr>
            <w:r>
              <w:rPr>
                <w:rFonts w:hint="eastAsia" w:ascii="宋体" w:hAnsi="宋体" w:cs="宋体"/>
                <w:b/>
                <w:kern w:val="0"/>
                <w:sz w:val="24"/>
                <w:lang w:bidi="ar"/>
              </w:rPr>
              <w:t>（人民币元）</w:t>
            </w: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A72A302">
            <w:pPr>
              <w:widowControl/>
              <w:jc w:val="center"/>
              <w:textAlignment w:val="center"/>
              <w:rPr>
                <w:rFonts w:hint="eastAsia" w:ascii="宋体" w:hAnsi="宋体" w:cs="宋体"/>
                <w:b/>
                <w:kern w:val="0"/>
                <w:sz w:val="24"/>
                <w:lang w:bidi="ar"/>
              </w:rPr>
            </w:pPr>
            <w:r>
              <w:rPr>
                <w:rFonts w:hint="eastAsia" w:ascii="宋体" w:hAnsi="宋体" w:cs="宋体"/>
                <w:b/>
                <w:kern w:val="0"/>
                <w:sz w:val="24"/>
                <w:lang w:bidi="ar"/>
              </w:rPr>
              <w:t>总价</w:t>
            </w:r>
          </w:p>
          <w:p w14:paraId="7AE45C5D">
            <w:pPr>
              <w:widowControl/>
              <w:jc w:val="center"/>
              <w:textAlignment w:val="center"/>
              <w:rPr>
                <w:rFonts w:hint="eastAsia" w:ascii="宋体" w:hAnsi="宋体" w:cs="宋体"/>
                <w:b/>
                <w:sz w:val="24"/>
              </w:rPr>
            </w:pPr>
            <w:r>
              <w:rPr>
                <w:rFonts w:hint="eastAsia" w:ascii="宋体" w:hAnsi="宋体" w:cs="宋体"/>
                <w:b/>
                <w:kern w:val="0"/>
                <w:sz w:val="24"/>
                <w:lang w:bidi="ar"/>
              </w:rPr>
              <w:t>（人民币元）</w:t>
            </w:r>
          </w:p>
        </w:tc>
      </w:tr>
      <w:tr w14:paraId="3E45902F">
        <w:tblPrEx>
          <w:tblCellMar>
            <w:top w:w="0" w:type="dxa"/>
            <w:left w:w="0" w:type="dxa"/>
            <w:bottom w:w="0" w:type="dxa"/>
            <w:right w:w="0" w:type="dxa"/>
          </w:tblCellMar>
        </w:tblPrEx>
        <w:trPr>
          <w:trHeight w:val="327"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FE729F">
            <w:pPr>
              <w:widowControl/>
              <w:jc w:val="center"/>
              <w:textAlignment w:val="center"/>
              <w:rPr>
                <w:rFonts w:hint="eastAsia" w:ascii="宋体" w:hAnsi="宋体" w:cs="宋体"/>
                <w:sz w:val="24"/>
              </w:rPr>
            </w:pPr>
            <w:r>
              <w:rPr>
                <w:rFonts w:hint="eastAsia" w:ascii="宋体" w:hAnsi="宋体" w:cs="宋体"/>
                <w:kern w:val="0"/>
                <w:sz w:val="24"/>
                <w:lang w:bidi="ar"/>
              </w:rPr>
              <w:t>1</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8013EE">
            <w:pPr>
              <w:widowControl/>
              <w:jc w:val="center"/>
              <w:textAlignment w:val="center"/>
              <w:rPr>
                <w:rFonts w:hint="eastAsia" w:ascii="宋体" w:hAnsi="宋体" w:cs="宋体"/>
                <w:sz w:val="24"/>
              </w:rPr>
            </w:pP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B8966F4">
            <w:pPr>
              <w:widowControl/>
              <w:jc w:val="center"/>
              <w:textAlignment w:val="center"/>
              <w:rPr>
                <w:rFonts w:hint="eastAsia" w:ascii="宋体" w:hAnsi="宋体" w:cs="宋体"/>
                <w:sz w:val="24"/>
              </w:rPr>
            </w:pP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13F8225">
            <w:pPr>
              <w:widowControl/>
              <w:jc w:val="center"/>
              <w:textAlignment w:val="center"/>
              <w:rPr>
                <w:rFonts w:hint="eastAsia" w:ascii="宋体" w:hAnsi="宋体" w:cs="宋体"/>
                <w:sz w:val="24"/>
              </w:rPr>
            </w:pP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70A7AC">
            <w:pPr>
              <w:widowControl/>
              <w:textAlignment w:val="center"/>
              <w:rPr>
                <w:rFonts w:hint="eastAsia" w:ascii="宋体" w:hAnsi="宋体" w:cs="宋体"/>
                <w:kern w:val="0"/>
                <w:sz w:val="24"/>
                <w:lang w:bidi="ar"/>
              </w:rPr>
            </w:pP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8DD5058">
            <w:pPr>
              <w:widowControl/>
              <w:jc w:val="center"/>
              <w:textAlignment w:val="center"/>
              <w:rPr>
                <w:rFonts w:hint="eastAsia" w:ascii="宋体" w:hAnsi="宋体" w:cs="宋体"/>
                <w:sz w:val="24"/>
              </w:rPr>
            </w:pP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601828">
            <w:pPr>
              <w:widowControl/>
              <w:jc w:val="center"/>
              <w:textAlignment w:val="center"/>
              <w:rPr>
                <w:rFonts w:hint="eastAsia" w:ascii="宋体" w:hAnsi="宋体" w:cs="宋体"/>
                <w:sz w:val="24"/>
              </w:rPr>
            </w:pP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A8BAEB8">
            <w:pPr>
              <w:widowControl/>
              <w:jc w:val="center"/>
              <w:textAlignment w:val="center"/>
              <w:rPr>
                <w:rFonts w:hint="eastAsia" w:ascii="宋体" w:hAnsi="宋体" w:cs="宋体"/>
                <w:sz w:val="24"/>
              </w:rPr>
            </w:pP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BBA89CE">
            <w:pPr>
              <w:rPr>
                <w:rFonts w:hint="eastAsia" w:ascii="宋体" w:hAnsi="宋体" w:cs="宋体"/>
                <w:sz w:val="24"/>
              </w:rPr>
            </w:pPr>
          </w:p>
        </w:tc>
      </w:tr>
      <w:tr w14:paraId="41698756">
        <w:tblPrEx>
          <w:tblCellMar>
            <w:top w:w="0" w:type="dxa"/>
            <w:left w:w="0" w:type="dxa"/>
            <w:bottom w:w="0" w:type="dxa"/>
            <w:right w:w="0" w:type="dxa"/>
          </w:tblCellMar>
        </w:tblPrEx>
        <w:trPr>
          <w:trHeight w:val="502"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B927BB">
            <w:pPr>
              <w:widowControl/>
              <w:jc w:val="center"/>
              <w:textAlignment w:val="center"/>
              <w:rPr>
                <w:rFonts w:hint="eastAsia" w:ascii="宋体" w:hAnsi="宋体" w:cs="宋体"/>
                <w:sz w:val="24"/>
              </w:rPr>
            </w:pPr>
            <w:r>
              <w:rPr>
                <w:rFonts w:hint="eastAsia" w:ascii="宋体" w:hAnsi="宋体" w:cs="宋体"/>
                <w:kern w:val="0"/>
                <w:sz w:val="24"/>
                <w:lang w:bidi="ar"/>
              </w:rPr>
              <w:t>2</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335DD72">
            <w:pPr>
              <w:widowControl/>
              <w:jc w:val="center"/>
              <w:textAlignment w:val="center"/>
              <w:rPr>
                <w:rFonts w:hint="eastAsia" w:ascii="宋体" w:hAnsi="宋体" w:cs="宋体"/>
                <w:sz w:val="24"/>
              </w:rPr>
            </w:pP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7D0DD9">
            <w:pPr>
              <w:widowControl/>
              <w:jc w:val="center"/>
              <w:textAlignment w:val="center"/>
              <w:rPr>
                <w:rFonts w:hint="eastAsia" w:ascii="宋体" w:hAnsi="宋体" w:cs="宋体"/>
                <w:sz w:val="24"/>
              </w:rPr>
            </w:pP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C88F07C">
            <w:pPr>
              <w:widowControl/>
              <w:jc w:val="center"/>
              <w:textAlignment w:val="center"/>
              <w:rPr>
                <w:rFonts w:hint="eastAsia" w:ascii="宋体" w:hAnsi="宋体" w:cs="宋体"/>
                <w:sz w:val="24"/>
              </w:rPr>
            </w:pP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C7E96CB">
            <w:pPr>
              <w:widowControl/>
              <w:textAlignment w:val="center"/>
              <w:rPr>
                <w:rFonts w:hint="eastAsia" w:ascii="宋体" w:hAnsi="宋体" w:cs="宋体"/>
                <w:kern w:val="0"/>
                <w:sz w:val="24"/>
                <w:lang w:bidi="ar"/>
              </w:rPr>
            </w:pP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F6BCA1B">
            <w:pPr>
              <w:widowControl/>
              <w:jc w:val="center"/>
              <w:textAlignment w:val="center"/>
              <w:rPr>
                <w:rFonts w:hint="eastAsia" w:ascii="宋体" w:hAnsi="宋体" w:cs="宋体"/>
                <w:sz w:val="24"/>
              </w:rPr>
            </w:pP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3537E9">
            <w:pPr>
              <w:widowControl/>
              <w:jc w:val="center"/>
              <w:textAlignment w:val="center"/>
              <w:rPr>
                <w:rFonts w:hint="eastAsia" w:ascii="宋体" w:hAnsi="宋体" w:cs="宋体"/>
                <w:sz w:val="24"/>
              </w:rPr>
            </w:pP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AED822">
            <w:pPr>
              <w:widowControl/>
              <w:jc w:val="center"/>
              <w:textAlignment w:val="center"/>
              <w:rPr>
                <w:rFonts w:hint="eastAsia" w:ascii="宋体" w:hAnsi="宋体" w:cs="宋体"/>
                <w:sz w:val="24"/>
              </w:rPr>
            </w:pP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FA67F2B">
            <w:pPr>
              <w:rPr>
                <w:rFonts w:hint="eastAsia" w:ascii="宋体" w:hAnsi="宋体" w:cs="宋体"/>
                <w:sz w:val="24"/>
              </w:rPr>
            </w:pPr>
          </w:p>
        </w:tc>
      </w:tr>
      <w:tr w14:paraId="0B630947">
        <w:tblPrEx>
          <w:tblCellMar>
            <w:top w:w="0" w:type="dxa"/>
            <w:left w:w="0" w:type="dxa"/>
            <w:bottom w:w="0" w:type="dxa"/>
            <w:right w:w="0" w:type="dxa"/>
          </w:tblCellMar>
        </w:tblPrEx>
        <w:trPr>
          <w:trHeight w:val="510"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879CB9B">
            <w:pPr>
              <w:widowControl/>
              <w:jc w:val="center"/>
              <w:textAlignment w:val="center"/>
              <w:rPr>
                <w:rFonts w:hint="eastAsia" w:ascii="宋体" w:hAnsi="宋体" w:cs="宋体"/>
                <w:sz w:val="24"/>
              </w:rPr>
            </w:pPr>
            <w:r>
              <w:rPr>
                <w:rFonts w:hint="eastAsia" w:ascii="宋体" w:hAnsi="宋体" w:cs="宋体"/>
                <w:kern w:val="0"/>
                <w:sz w:val="24"/>
                <w:lang w:bidi="ar"/>
              </w:rPr>
              <w:t>3</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84B939">
            <w:pPr>
              <w:widowControl/>
              <w:jc w:val="center"/>
              <w:textAlignment w:val="center"/>
              <w:rPr>
                <w:rFonts w:hint="eastAsia" w:ascii="宋体" w:hAnsi="宋体" w:cs="宋体"/>
                <w:sz w:val="24"/>
              </w:rPr>
            </w:pP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C29739">
            <w:pPr>
              <w:widowControl/>
              <w:jc w:val="center"/>
              <w:textAlignment w:val="center"/>
              <w:rPr>
                <w:rFonts w:hint="eastAsia" w:ascii="宋体" w:hAnsi="宋体" w:cs="宋体"/>
                <w:sz w:val="24"/>
              </w:rPr>
            </w:pP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530458B">
            <w:pPr>
              <w:widowControl/>
              <w:jc w:val="center"/>
              <w:textAlignment w:val="center"/>
              <w:rPr>
                <w:rFonts w:hint="eastAsia" w:ascii="宋体" w:hAnsi="宋体" w:cs="宋体"/>
                <w:sz w:val="24"/>
              </w:rPr>
            </w:pP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7E8A52F">
            <w:pPr>
              <w:widowControl/>
              <w:textAlignment w:val="center"/>
              <w:rPr>
                <w:rFonts w:hint="eastAsia" w:ascii="宋体" w:hAnsi="宋体" w:cs="宋体"/>
                <w:sz w:val="24"/>
              </w:rPr>
            </w:pP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15E50D">
            <w:pPr>
              <w:widowControl/>
              <w:jc w:val="center"/>
              <w:textAlignment w:val="center"/>
              <w:rPr>
                <w:rFonts w:hint="eastAsia" w:ascii="宋体" w:hAnsi="宋体" w:cs="宋体"/>
                <w:sz w:val="24"/>
              </w:rPr>
            </w:pP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A00E98E">
            <w:pPr>
              <w:widowControl/>
              <w:jc w:val="center"/>
              <w:textAlignment w:val="center"/>
              <w:rPr>
                <w:rFonts w:hint="eastAsia" w:ascii="宋体" w:hAnsi="宋体" w:cs="宋体"/>
                <w:sz w:val="24"/>
              </w:rPr>
            </w:pP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00CD184">
            <w:pPr>
              <w:widowControl/>
              <w:jc w:val="center"/>
              <w:textAlignment w:val="center"/>
              <w:rPr>
                <w:rFonts w:hint="eastAsia" w:ascii="宋体" w:hAnsi="宋体" w:cs="宋体"/>
                <w:sz w:val="24"/>
              </w:rPr>
            </w:pP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6CE8222">
            <w:pPr>
              <w:rPr>
                <w:rFonts w:hint="eastAsia" w:ascii="宋体" w:hAnsi="宋体" w:cs="宋体"/>
                <w:sz w:val="24"/>
              </w:rPr>
            </w:pPr>
          </w:p>
        </w:tc>
      </w:tr>
      <w:tr w14:paraId="6C9DB0A1">
        <w:tblPrEx>
          <w:tblCellMar>
            <w:top w:w="0" w:type="dxa"/>
            <w:left w:w="0" w:type="dxa"/>
            <w:bottom w:w="0" w:type="dxa"/>
            <w:right w:w="0" w:type="dxa"/>
          </w:tblCellMar>
        </w:tblPrEx>
        <w:trPr>
          <w:trHeight w:val="632"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B0D9174">
            <w:pPr>
              <w:widowControl/>
              <w:jc w:val="center"/>
              <w:textAlignment w:val="center"/>
              <w:rPr>
                <w:rFonts w:hint="eastAsia" w:ascii="宋体" w:hAnsi="宋体" w:cs="宋体"/>
                <w:sz w:val="24"/>
              </w:rPr>
            </w:pPr>
            <w:r>
              <w:rPr>
                <w:rFonts w:hint="eastAsia" w:ascii="宋体" w:hAnsi="宋体" w:cs="宋体"/>
                <w:kern w:val="0"/>
                <w:sz w:val="24"/>
                <w:lang w:bidi="ar"/>
              </w:rPr>
              <w:t>货物合计（人民币元）</w:t>
            </w:r>
          </w:p>
        </w:tc>
        <w:tc>
          <w:tcPr>
            <w:tcW w:w="11330"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291C431">
            <w:pPr>
              <w:widowControl/>
              <w:jc w:val="center"/>
              <w:textAlignment w:val="center"/>
              <w:rPr>
                <w:rFonts w:hint="eastAsia" w:ascii="宋体" w:hAnsi="宋体" w:cs="宋体"/>
                <w:sz w:val="24"/>
              </w:rPr>
            </w:pPr>
            <w:r>
              <w:rPr>
                <w:rFonts w:hint="eastAsia" w:ascii="宋体" w:hAnsi="宋体" w:cs="宋体"/>
                <w:kern w:val="0"/>
                <w:sz w:val="24"/>
                <w:lang w:bidi="ar"/>
              </w:rPr>
              <w:t xml:space="preserve"> 元整</w:t>
            </w: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D20565B">
            <w:pPr>
              <w:widowControl/>
              <w:textAlignment w:val="center"/>
              <w:rPr>
                <w:rFonts w:hint="eastAsia" w:ascii="宋体" w:hAnsi="宋体" w:cs="宋体"/>
                <w:sz w:val="24"/>
              </w:rPr>
            </w:pPr>
            <w:r>
              <w:rPr>
                <w:rFonts w:hint="eastAsia" w:ascii="宋体" w:hAnsi="宋体" w:cs="宋体"/>
                <w:kern w:val="0"/>
                <w:sz w:val="24"/>
                <w:lang w:bidi="ar"/>
              </w:rPr>
              <w:t>￥：</w:t>
            </w:r>
          </w:p>
        </w:tc>
      </w:tr>
      <w:tr w14:paraId="61D2AFB7">
        <w:tblPrEx>
          <w:tblCellMar>
            <w:top w:w="0" w:type="dxa"/>
            <w:left w:w="0" w:type="dxa"/>
            <w:bottom w:w="0" w:type="dxa"/>
            <w:right w:w="0" w:type="dxa"/>
          </w:tblCellMar>
        </w:tblPrEx>
        <w:trPr>
          <w:trHeight w:val="510"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8E0CF1">
            <w:pPr>
              <w:widowControl/>
              <w:jc w:val="center"/>
              <w:textAlignment w:val="center"/>
              <w:rPr>
                <w:rFonts w:hint="eastAsia" w:ascii="宋体" w:hAnsi="宋体" w:cs="宋体"/>
                <w:sz w:val="24"/>
              </w:rPr>
            </w:pPr>
            <w:r>
              <w:rPr>
                <w:rFonts w:hint="eastAsia" w:ascii="宋体" w:hAnsi="宋体" w:cs="宋体"/>
                <w:kern w:val="0"/>
                <w:sz w:val="24"/>
                <w:lang w:bidi="ar"/>
              </w:rPr>
              <w:t>安装调试费</w:t>
            </w:r>
          </w:p>
        </w:tc>
        <w:tc>
          <w:tcPr>
            <w:tcW w:w="6807"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C936E83">
            <w:pPr>
              <w:widowControl/>
              <w:jc w:val="center"/>
              <w:textAlignment w:val="center"/>
              <w:rPr>
                <w:rFonts w:hint="eastAsia" w:ascii="宋体" w:hAnsi="宋体" w:cs="宋体"/>
                <w:sz w:val="24"/>
              </w:rPr>
            </w:pPr>
            <w:r>
              <w:rPr>
                <w:rFonts w:hint="eastAsia" w:ascii="宋体" w:hAnsi="宋体" w:cs="宋体"/>
                <w:kern w:val="0"/>
                <w:sz w:val="24"/>
                <w:lang w:bidi="ar"/>
              </w:rPr>
              <w:t>0</w:t>
            </w:r>
          </w:p>
        </w:tc>
        <w:tc>
          <w:tcPr>
            <w:tcW w:w="27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038642">
            <w:pPr>
              <w:widowControl/>
              <w:textAlignment w:val="center"/>
              <w:rPr>
                <w:rFonts w:hint="eastAsia" w:ascii="宋体" w:hAnsi="宋体" w:cs="宋体"/>
                <w:sz w:val="24"/>
              </w:rPr>
            </w:pPr>
            <w:r>
              <w:rPr>
                <w:rFonts w:hint="eastAsia" w:ascii="宋体" w:hAnsi="宋体" w:cs="宋体"/>
                <w:kern w:val="0"/>
                <w:sz w:val="24"/>
                <w:lang w:bidi="ar"/>
              </w:rPr>
              <w:t>售后服务费</w:t>
            </w:r>
          </w:p>
        </w:tc>
        <w:tc>
          <w:tcPr>
            <w:tcW w:w="319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54276C2">
            <w:pPr>
              <w:widowControl/>
              <w:jc w:val="center"/>
              <w:textAlignment w:val="center"/>
              <w:rPr>
                <w:rFonts w:hint="eastAsia" w:ascii="宋体" w:hAnsi="宋体" w:cs="宋体"/>
                <w:sz w:val="24"/>
              </w:rPr>
            </w:pPr>
            <w:r>
              <w:rPr>
                <w:rFonts w:hint="eastAsia" w:ascii="宋体" w:hAnsi="宋体" w:cs="宋体"/>
                <w:kern w:val="0"/>
                <w:sz w:val="24"/>
                <w:lang w:bidi="ar"/>
              </w:rPr>
              <w:t>0</w:t>
            </w:r>
          </w:p>
        </w:tc>
      </w:tr>
      <w:tr w14:paraId="6853F634">
        <w:tblPrEx>
          <w:tblCellMar>
            <w:top w:w="0" w:type="dxa"/>
            <w:left w:w="0" w:type="dxa"/>
            <w:bottom w:w="0" w:type="dxa"/>
            <w:right w:w="0" w:type="dxa"/>
          </w:tblCellMar>
        </w:tblPrEx>
        <w:trPr>
          <w:trHeight w:val="510"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AABE502">
            <w:pPr>
              <w:widowControl/>
              <w:jc w:val="center"/>
              <w:textAlignment w:val="center"/>
              <w:rPr>
                <w:rFonts w:hint="eastAsia" w:ascii="宋体" w:hAnsi="宋体" w:cs="宋体"/>
                <w:sz w:val="24"/>
              </w:rPr>
            </w:pPr>
            <w:r>
              <w:rPr>
                <w:rFonts w:hint="eastAsia" w:ascii="宋体" w:hAnsi="宋体" w:cs="宋体"/>
                <w:kern w:val="0"/>
                <w:sz w:val="24"/>
                <w:lang w:bidi="ar"/>
              </w:rPr>
              <w:t>运输费（含保险）</w:t>
            </w:r>
          </w:p>
        </w:tc>
        <w:tc>
          <w:tcPr>
            <w:tcW w:w="6807"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F7D5C49">
            <w:pPr>
              <w:widowControl/>
              <w:jc w:val="center"/>
              <w:textAlignment w:val="center"/>
              <w:rPr>
                <w:rFonts w:hint="eastAsia" w:ascii="宋体" w:hAnsi="宋体" w:cs="宋体"/>
                <w:sz w:val="24"/>
              </w:rPr>
            </w:pPr>
            <w:r>
              <w:rPr>
                <w:rFonts w:hint="eastAsia" w:ascii="宋体" w:hAnsi="宋体" w:cs="宋体"/>
                <w:kern w:val="0"/>
                <w:sz w:val="24"/>
                <w:lang w:bidi="ar"/>
              </w:rPr>
              <w:t>0</w:t>
            </w:r>
          </w:p>
        </w:tc>
        <w:tc>
          <w:tcPr>
            <w:tcW w:w="27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74A3F33">
            <w:pPr>
              <w:widowControl/>
              <w:textAlignment w:val="center"/>
              <w:rPr>
                <w:rFonts w:hint="eastAsia" w:ascii="宋体" w:hAnsi="宋体" w:cs="宋体"/>
                <w:sz w:val="24"/>
              </w:rPr>
            </w:pPr>
            <w:r>
              <w:rPr>
                <w:rFonts w:hint="eastAsia" w:ascii="宋体" w:hAnsi="宋体" w:cs="宋体"/>
                <w:kern w:val="0"/>
                <w:sz w:val="24"/>
                <w:lang w:bidi="ar"/>
              </w:rPr>
              <w:t>技术培训费</w:t>
            </w:r>
          </w:p>
        </w:tc>
        <w:tc>
          <w:tcPr>
            <w:tcW w:w="319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6769D6">
            <w:pPr>
              <w:widowControl/>
              <w:jc w:val="center"/>
              <w:textAlignment w:val="center"/>
              <w:rPr>
                <w:rFonts w:hint="eastAsia" w:ascii="宋体" w:hAnsi="宋体" w:cs="宋体"/>
                <w:sz w:val="24"/>
              </w:rPr>
            </w:pPr>
            <w:r>
              <w:rPr>
                <w:rFonts w:hint="eastAsia" w:ascii="宋体" w:hAnsi="宋体" w:cs="宋体"/>
                <w:kern w:val="0"/>
                <w:sz w:val="24"/>
                <w:lang w:bidi="ar"/>
              </w:rPr>
              <w:t>0</w:t>
            </w:r>
          </w:p>
        </w:tc>
      </w:tr>
      <w:tr w14:paraId="2B5005A4">
        <w:tblPrEx>
          <w:tblCellMar>
            <w:top w:w="0" w:type="dxa"/>
            <w:left w:w="0" w:type="dxa"/>
            <w:bottom w:w="0" w:type="dxa"/>
            <w:right w:w="0" w:type="dxa"/>
          </w:tblCellMar>
        </w:tblPrEx>
        <w:trPr>
          <w:trHeight w:val="510"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192352">
            <w:pPr>
              <w:widowControl/>
              <w:jc w:val="center"/>
              <w:textAlignment w:val="center"/>
              <w:rPr>
                <w:rFonts w:hint="eastAsia" w:ascii="宋体" w:hAnsi="宋体" w:cs="宋体"/>
                <w:sz w:val="24"/>
              </w:rPr>
            </w:pPr>
            <w:r>
              <w:rPr>
                <w:rFonts w:hint="eastAsia" w:ascii="宋体" w:hAnsi="宋体" w:cs="宋体"/>
                <w:kern w:val="0"/>
                <w:sz w:val="24"/>
                <w:lang w:bidi="ar"/>
              </w:rPr>
              <w:t>税费</w:t>
            </w:r>
          </w:p>
        </w:tc>
        <w:tc>
          <w:tcPr>
            <w:tcW w:w="6807"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76CF958">
            <w:pPr>
              <w:widowControl/>
              <w:jc w:val="center"/>
              <w:textAlignment w:val="center"/>
              <w:rPr>
                <w:rFonts w:hint="eastAsia" w:ascii="宋体" w:hAnsi="宋体" w:cs="宋体"/>
                <w:sz w:val="24"/>
              </w:rPr>
            </w:pPr>
            <w:r>
              <w:rPr>
                <w:rFonts w:hint="eastAsia" w:ascii="宋体" w:hAnsi="宋体" w:cs="宋体"/>
                <w:kern w:val="0"/>
                <w:sz w:val="24"/>
                <w:lang w:bidi="ar"/>
              </w:rPr>
              <w:t>0</w:t>
            </w:r>
          </w:p>
        </w:tc>
        <w:tc>
          <w:tcPr>
            <w:tcW w:w="27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AA6AF37">
            <w:pPr>
              <w:widowControl/>
              <w:textAlignment w:val="center"/>
              <w:rPr>
                <w:rFonts w:hint="eastAsia" w:ascii="宋体" w:hAnsi="宋体" w:cs="宋体"/>
                <w:sz w:val="24"/>
              </w:rPr>
            </w:pPr>
            <w:r>
              <w:rPr>
                <w:rFonts w:hint="eastAsia" w:ascii="宋体" w:hAnsi="宋体" w:cs="宋体"/>
                <w:kern w:val="0"/>
                <w:sz w:val="24"/>
                <w:lang w:bidi="ar"/>
              </w:rPr>
              <w:t>伴随费用等</w:t>
            </w:r>
          </w:p>
        </w:tc>
        <w:tc>
          <w:tcPr>
            <w:tcW w:w="319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9C8966">
            <w:pPr>
              <w:widowControl/>
              <w:jc w:val="center"/>
              <w:textAlignment w:val="center"/>
              <w:rPr>
                <w:rFonts w:hint="eastAsia" w:ascii="宋体" w:hAnsi="宋体" w:cs="宋体"/>
                <w:sz w:val="24"/>
              </w:rPr>
            </w:pPr>
            <w:r>
              <w:rPr>
                <w:rFonts w:hint="eastAsia" w:ascii="宋体" w:hAnsi="宋体" w:cs="宋体"/>
                <w:kern w:val="0"/>
                <w:sz w:val="24"/>
                <w:lang w:bidi="ar"/>
              </w:rPr>
              <w:t>0</w:t>
            </w:r>
          </w:p>
        </w:tc>
      </w:tr>
      <w:tr w14:paraId="516BC125">
        <w:tblPrEx>
          <w:tblCellMar>
            <w:top w:w="0" w:type="dxa"/>
            <w:left w:w="0" w:type="dxa"/>
            <w:bottom w:w="0" w:type="dxa"/>
            <w:right w:w="0" w:type="dxa"/>
          </w:tblCellMar>
        </w:tblPrEx>
        <w:trPr>
          <w:trHeight w:val="632"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7F53A86">
            <w:pPr>
              <w:widowControl/>
              <w:jc w:val="center"/>
              <w:textAlignment w:val="center"/>
              <w:rPr>
                <w:rFonts w:hint="eastAsia" w:ascii="宋体" w:hAnsi="宋体" w:cs="宋体"/>
                <w:sz w:val="24"/>
              </w:rPr>
            </w:pPr>
            <w:r>
              <w:rPr>
                <w:rFonts w:hint="eastAsia" w:ascii="宋体" w:hAnsi="宋体" w:cs="宋体"/>
                <w:kern w:val="0"/>
                <w:sz w:val="24"/>
                <w:lang w:bidi="ar"/>
              </w:rPr>
              <w:t>总 计（人民币元）</w:t>
            </w:r>
          </w:p>
        </w:tc>
        <w:tc>
          <w:tcPr>
            <w:tcW w:w="11330"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D2E744">
            <w:pPr>
              <w:widowControl/>
              <w:jc w:val="center"/>
              <w:textAlignment w:val="center"/>
              <w:rPr>
                <w:rFonts w:hint="eastAsia" w:ascii="宋体" w:hAnsi="宋体" w:cs="宋体"/>
                <w:sz w:val="24"/>
              </w:rPr>
            </w:pPr>
            <w:r>
              <w:rPr>
                <w:rFonts w:hint="eastAsia" w:ascii="宋体" w:hAnsi="宋体" w:cs="宋体"/>
                <w:kern w:val="0"/>
                <w:sz w:val="24"/>
                <w:lang w:bidi="ar"/>
              </w:rPr>
              <w:t xml:space="preserve"> 元整</w:t>
            </w: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6FF0B93">
            <w:pPr>
              <w:widowControl/>
              <w:textAlignment w:val="center"/>
              <w:rPr>
                <w:rFonts w:hint="eastAsia" w:ascii="宋体" w:hAnsi="宋体" w:cs="宋体"/>
                <w:sz w:val="24"/>
              </w:rPr>
            </w:pPr>
            <w:r>
              <w:rPr>
                <w:rFonts w:hint="eastAsia" w:ascii="宋体" w:hAnsi="宋体" w:cs="宋体"/>
                <w:kern w:val="0"/>
                <w:sz w:val="24"/>
                <w:lang w:bidi="ar"/>
              </w:rPr>
              <w:t xml:space="preserve">￥： </w:t>
            </w:r>
          </w:p>
        </w:tc>
      </w:tr>
      <w:tr w14:paraId="2831BAEE">
        <w:tblPrEx>
          <w:tblCellMar>
            <w:top w:w="0" w:type="dxa"/>
            <w:left w:w="0" w:type="dxa"/>
            <w:bottom w:w="0" w:type="dxa"/>
            <w:right w:w="0" w:type="dxa"/>
          </w:tblCellMar>
        </w:tblPrEx>
        <w:trPr>
          <w:trHeight w:val="285" w:hRule="atLeast"/>
        </w:trPr>
        <w:tc>
          <w:tcPr>
            <w:tcW w:w="14965"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DDD91DE">
            <w:pPr>
              <w:widowControl/>
              <w:jc w:val="center"/>
              <w:textAlignment w:val="center"/>
              <w:rPr>
                <w:rFonts w:hint="eastAsia" w:ascii="宋体" w:hAnsi="宋体" w:cs="宋体"/>
                <w:b/>
                <w:sz w:val="24"/>
              </w:rPr>
            </w:pPr>
            <w:r>
              <w:rPr>
                <w:rFonts w:hint="eastAsia" w:ascii="宋体" w:hAnsi="宋体" w:cs="宋体"/>
                <w:b/>
                <w:kern w:val="0"/>
                <w:sz w:val="24"/>
                <w:lang w:bidi="ar"/>
              </w:rPr>
              <w:t>总报价含（安装调试、运输费、税费、售后服务费、技术培训费、伴随费用等）</w:t>
            </w:r>
          </w:p>
        </w:tc>
      </w:tr>
    </w:tbl>
    <w:p w14:paraId="16DD08AA">
      <w:pPr>
        <w:adjustRightInd w:val="0"/>
        <w:snapToGrid w:val="0"/>
        <w:spacing w:line="480" w:lineRule="exact"/>
        <w:rPr>
          <w:rFonts w:hint="eastAsia" w:ascii="宋体" w:hAnsi="宋体" w:cs="宋体"/>
          <w:b/>
          <w:bCs/>
          <w:kern w:val="0"/>
          <w:sz w:val="24"/>
        </w:rPr>
      </w:pPr>
      <w:r>
        <w:rPr>
          <w:rFonts w:hint="eastAsia" w:ascii="宋体" w:hAnsi="宋体" w:cs="宋体"/>
          <w:b/>
          <w:bCs/>
          <w:kern w:val="0"/>
          <w:sz w:val="24"/>
        </w:rPr>
        <w:t>交货期：自合同签订</w:t>
      </w:r>
      <w:r>
        <w:rPr>
          <w:rFonts w:hint="eastAsia" w:ascii="宋体" w:hAnsi="宋体"/>
          <w:b/>
          <w:bCs/>
          <w:kern w:val="0"/>
          <w:sz w:val="24"/>
        </w:rPr>
        <w:t>后</w:t>
      </w:r>
      <w:r>
        <w:rPr>
          <w:rFonts w:hint="eastAsia" w:ascii="宋体" w:hAnsi="宋体"/>
          <w:b/>
          <w:bCs/>
          <w:kern w:val="0"/>
          <w:sz w:val="24"/>
          <w:u w:val="single"/>
        </w:rPr>
        <w:t xml:space="preserve">            </w:t>
      </w:r>
      <w:r>
        <w:rPr>
          <w:rFonts w:hint="eastAsia" w:ascii="宋体" w:hAnsi="宋体"/>
          <w:b/>
          <w:bCs/>
          <w:kern w:val="0"/>
          <w:sz w:val="24"/>
        </w:rPr>
        <w:t>个日历日</w:t>
      </w:r>
      <w:r>
        <w:rPr>
          <w:rFonts w:hint="eastAsia" w:ascii="宋体" w:hAnsi="宋体" w:cs="宋体"/>
          <w:b/>
          <w:bCs/>
          <w:kern w:val="0"/>
          <w:sz w:val="24"/>
        </w:rPr>
        <w:t>内</w:t>
      </w:r>
    </w:p>
    <w:p w14:paraId="38A2312F">
      <w:pPr>
        <w:adjustRightInd w:val="0"/>
        <w:snapToGrid w:val="0"/>
        <w:spacing w:line="480" w:lineRule="exact"/>
        <w:rPr>
          <w:rFonts w:hint="eastAsia" w:ascii="宋体" w:hAnsi="宋体"/>
          <w:b/>
          <w:bCs/>
          <w:kern w:val="0"/>
          <w:sz w:val="24"/>
        </w:rPr>
      </w:pPr>
      <w:r>
        <w:rPr>
          <w:rFonts w:hint="eastAsia" w:ascii="宋体" w:hAnsi="宋体"/>
          <w:b/>
          <w:bCs/>
          <w:kern w:val="0"/>
          <w:sz w:val="24"/>
        </w:rPr>
        <w:t>注：该项目招、投标文件为本合同的附件：详细技术参数详见该项目招、投标文件。</w:t>
      </w:r>
    </w:p>
    <w:p w14:paraId="4EE23756">
      <w:pPr>
        <w:pStyle w:val="45"/>
        <w:sectPr>
          <w:pgSz w:w="16838" w:h="11906" w:orient="landscape"/>
          <w:pgMar w:top="1134" w:right="1418" w:bottom="1418" w:left="1418" w:header="907" w:footer="1021" w:gutter="567"/>
          <w:pgNumType w:fmt="decimal"/>
          <w:cols w:space="720" w:num="1"/>
          <w:docGrid w:linePitch="312" w:charSpace="0"/>
        </w:sectPr>
      </w:pPr>
    </w:p>
    <w:p w14:paraId="2720CE34">
      <w:pPr>
        <w:spacing w:line="480" w:lineRule="exact"/>
        <w:rPr>
          <w:rFonts w:hint="eastAsia" w:ascii="宋体" w:hAnsi="宋体" w:cs="宋体"/>
          <w:b/>
          <w:bCs/>
          <w:sz w:val="24"/>
        </w:rPr>
      </w:pPr>
      <w:r>
        <w:rPr>
          <w:rFonts w:hint="eastAsia" w:ascii="宋体" w:hAnsi="宋体" w:cs="宋体"/>
          <w:b/>
          <w:bCs/>
          <w:sz w:val="24"/>
        </w:rPr>
        <w:t>附件2—质量保证承诺（参考模板）</w:t>
      </w:r>
    </w:p>
    <w:p w14:paraId="30936168">
      <w:pPr>
        <w:spacing w:line="480" w:lineRule="exact"/>
        <w:ind w:firstLine="496" w:firstLineChars="200"/>
        <w:rPr>
          <w:rFonts w:hint="eastAsia" w:ascii="宋体" w:hAnsi="宋体" w:cs="宋体"/>
          <w:sz w:val="24"/>
        </w:rPr>
      </w:pPr>
      <w:r>
        <w:rPr>
          <w:rFonts w:hint="eastAsia" w:ascii="宋体" w:hAnsi="宋体" w:cs="宋体"/>
          <w:sz w:val="24"/>
        </w:rPr>
        <w:t>我公司对所提供的货物及服务做出如下承诺：</w:t>
      </w:r>
    </w:p>
    <w:p w14:paraId="210C9552">
      <w:pPr>
        <w:spacing w:line="480" w:lineRule="exact"/>
        <w:ind w:firstLine="496" w:firstLineChars="200"/>
        <w:rPr>
          <w:rFonts w:hint="eastAsia" w:ascii="宋体" w:hAnsi="宋体" w:cs="宋体"/>
          <w:sz w:val="24"/>
        </w:rPr>
      </w:pPr>
      <w:r>
        <w:rPr>
          <w:rFonts w:hint="eastAsia" w:ascii="宋体" w:hAnsi="宋体" w:cs="宋体"/>
          <w:sz w:val="24"/>
        </w:rPr>
        <w:t>1、保证设备包装符合防潮、防雨、防锈、防腐及防震要求，标识清晰无误，使物品安全、及时运抵现场。</w:t>
      </w:r>
    </w:p>
    <w:p w14:paraId="7AC929A7">
      <w:pPr>
        <w:spacing w:line="480" w:lineRule="exact"/>
        <w:ind w:firstLine="496" w:firstLineChars="200"/>
        <w:rPr>
          <w:rFonts w:hint="eastAsia" w:ascii="宋体" w:hAnsi="宋体" w:cs="宋体"/>
          <w:sz w:val="24"/>
        </w:rPr>
      </w:pPr>
      <w:r>
        <w:rPr>
          <w:rFonts w:hint="eastAsia" w:ascii="宋体" w:hAnsi="宋体" w:cs="宋体"/>
          <w:sz w:val="24"/>
        </w:rPr>
        <w:t>2、优质、快捷的技术服务</w:t>
      </w:r>
    </w:p>
    <w:p w14:paraId="124FD4B8">
      <w:pPr>
        <w:spacing w:line="480" w:lineRule="exact"/>
        <w:ind w:firstLine="496" w:firstLineChars="200"/>
        <w:rPr>
          <w:rFonts w:hint="eastAsia" w:ascii="宋体" w:hAnsi="宋体" w:cs="宋体"/>
          <w:sz w:val="24"/>
        </w:rPr>
      </w:pPr>
      <w:r>
        <w:rPr>
          <w:rFonts w:hint="eastAsia" w:ascii="宋体" w:hAnsi="宋体" w:cs="宋体"/>
          <w:sz w:val="24"/>
        </w:rPr>
        <w:t>为更好地保证设备的正常运行，及时解答用户提出的疑问，帮助用户解决问题，公司的售后中心，负责各地的维护和技术咨询等服务。售后中心由专职工程师负责随时为客户免费提供技术咨询服务。</w:t>
      </w:r>
    </w:p>
    <w:p w14:paraId="1BA063CC">
      <w:pPr>
        <w:spacing w:line="480" w:lineRule="exact"/>
        <w:ind w:firstLine="496" w:firstLineChars="200"/>
        <w:rPr>
          <w:rFonts w:hint="eastAsia" w:ascii="宋体" w:hAnsi="宋体" w:cs="宋体"/>
          <w:sz w:val="24"/>
        </w:rPr>
      </w:pPr>
      <w:r>
        <w:rPr>
          <w:rFonts w:hint="eastAsia" w:ascii="宋体" w:hAnsi="宋体" w:cs="宋体"/>
          <w:sz w:val="24"/>
        </w:rPr>
        <w:t>3、定期巡检</w:t>
      </w:r>
    </w:p>
    <w:p w14:paraId="7321517D">
      <w:pPr>
        <w:spacing w:line="480" w:lineRule="exact"/>
        <w:ind w:firstLine="496" w:firstLineChars="200"/>
        <w:rPr>
          <w:rFonts w:hint="eastAsia" w:ascii="宋体" w:hAnsi="宋体" w:cs="宋体"/>
          <w:sz w:val="24"/>
        </w:rPr>
      </w:pPr>
      <w:r>
        <w:rPr>
          <w:rFonts w:hint="eastAsia" w:ascii="宋体" w:hAnsi="宋体" w:cs="宋体"/>
          <w:sz w:val="24"/>
        </w:rPr>
        <w:t>公司组织每年对运行的设备巡检不少于两次。公司巡检工程技术人员为主，有设计人员参与。并听取用户维护人员反映的问题及建议。</w:t>
      </w:r>
    </w:p>
    <w:p w14:paraId="60401415">
      <w:pPr>
        <w:spacing w:line="480" w:lineRule="exact"/>
        <w:ind w:firstLine="496" w:firstLineChars="200"/>
        <w:rPr>
          <w:rFonts w:hint="eastAsia" w:ascii="宋体" w:hAnsi="宋体" w:cs="宋体"/>
          <w:sz w:val="24"/>
        </w:rPr>
      </w:pPr>
      <w:r>
        <w:rPr>
          <w:rFonts w:hint="eastAsia" w:ascii="宋体" w:hAnsi="宋体" w:cs="宋体"/>
          <w:sz w:val="24"/>
        </w:rPr>
        <w:t>4、质保期</w:t>
      </w:r>
    </w:p>
    <w:p w14:paraId="154F4438">
      <w:pPr>
        <w:spacing w:line="480" w:lineRule="exact"/>
        <w:ind w:firstLine="496" w:firstLineChars="200"/>
        <w:rPr>
          <w:rFonts w:hint="eastAsia" w:ascii="宋体" w:hAnsi="宋体" w:cs="宋体"/>
          <w:sz w:val="24"/>
        </w:rPr>
      </w:pPr>
      <w:r>
        <w:rPr>
          <w:rFonts w:hint="eastAsia" w:ascii="宋体" w:hAnsi="宋体" w:cs="宋体"/>
          <w:sz w:val="24"/>
        </w:rPr>
        <w:t>质保期：合同项下所有设备保修期为终验合格后</w:t>
      </w:r>
      <w:r>
        <w:rPr>
          <w:rFonts w:hint="eastAsia" w:ascii="宋体" w:hAnsi="宋体" w:cs="宋体"/>
          <w:sz w:val="24"/>
          <w:u w:val="single"/>
        </w:rPr>
        <w:t xml:space="preserve">     </w:t>
      </w:r>
      <w:r>
        <w:rPr>
          <w:rFonts w:hint="eastAsia" w:ascii="宋体" w:hAnsi="宋体" w:cs="宋体"/>
          <w:sz w:val="24"/>
        </w:rPr>
        <w:t>个月保修期内(除天灾及人为损害外)部件、原件费用、出差费用均由供方承担。</w:t>
      </w:r>
    </w:p>
    <w:p w14:paraId="1CF8E2FA">
      <w:pPr>
        <w:spacing w:line="480" w:lineRule="exact"/>
        <w:ind w:firstLine="496" w:firstLineChars="200"/>
        <w:rPr>
          <w:rFonts w:hint="eastAsia" w:ascii="宋体" w:hAnsi="宋体" w:cs="宋体"/>
          <w:sz w:val="24"/>
        </w:rPr>
      </w:pPr>
      <w:r>
        <w:rPr>
          <w:rFonts w:hint="eastAsia" w:ascii="宋体" w:hAnsi="宋体" w:cs="宋体"/>
          <w:sz w:val="24"/>
        </w:rPr>
        <w:t>5、建立用户档案，完善产品质量</w:t>
      </w:r>
    </w:p>
    <w:p w14:paraId="13284101">
      <w:pPr>
        <w:spacing w:line="480" w:lineRule="exact"/>
        <w:ind w:firstLine="496" w:firstLineChars="200"/>
        <w:rPr>
          <w:rFonts w:hint="eastAsia" w:ascii="宋体" w:hAnsi="宋体" w:cs="宋体"/>
          <w:sz w:val="24"/>
        </w:rPr>
      </w:pPr>
      <w:r>
        <w:rPr>
          <w:rFonts w:hint="eastAsia" w:ascii="宋体" w:hAnsi="宋体" w:cs="宋体"/>
          <w:sz w:val="24"/>
        </w:rPr>
        <w:t>公司售后中心除开展用户技术咨询服务外，还负责受理和收集用户投诉咨询信息，保证用户提出的问题和要求能得到及时处理，并对处理情况进行跟踪和验证。同时建立用户档案记录产品使用情况，为今后产品的质量改进提供依据。我们将不断努力，精益求精，为顾客提供最满意的服务。</w:t>
      </w:r>
    </w:p>
    <w:p w14:paraId="0A526EFA">
      <w:pPr>
        <w:pStyle w:val="45"/>
      </w:pPr>
    </w:p>
    <w:p w14:paraId="1778155C">
      <w:pPr>
        <w:pStyle w:val="45"/>
      </w:pPr>
    </w:p>
    <w:p w14:paraId="74D82829">
      <w:pPr>
        <w:pStyle w:val="45"/>
      </w:pPr>
    </w:p>
    <w:p w14:paraId="2389A083">
      <w:pPr>
        <w:pStyle w:val="45"/>
      </w:pPr>
    </w:p>
    <w:p w14:paraId="71DF7F8E">
      <w:pPr>
        <w:pStyle w:val="45"/>
      </w:pPr>
    </w:p>
    <w:p w14:paraId="262D4CBE">
      <w:pPr>
        <w:pStyle w:val="45"/>
      </w:pPr>
    </w:p>
    <w:p w14:paraId="32E5ED11">
      <w:pPr>
        <w:pStyle w:val="45"/>
      </w:pPr>
    </w:p>
    <w:p w14:paraId="39C46910">
      <w:pPr>
        <w:pStyle w:val="45"/>
      </w:pPr>
    </w:p>
    <w:p w14:paraId="3EFF5405">
      <w:pPr>
        <w:pStyle w:val="45"/>
      </w:pPr>
    </w:p>
    <w:p w14:paraId="6447090C">
      <w:pPr>
        <w:pStyle w:val="45"/>
      </w:pPr>
    </w:p>
    <w:p w14:paraId="14330B45">
      <w:pPr>
        <w:pStyle w:val="45"/>
      </w:pPr>
    </w:p>
    <w:p w14:paraId="221BBCC1">
      <w:pPr>
        <w:pStyle w:val="45"/>
      </w:pPr>
    </w:p>
    <w:p w14:paraId="1D24F089">
      <w:pPr>
        <w:spacing w:line="480" w:lineRule="exact"/>
        <w:rPr>
          <w:rFonts w:hint="eastAsia" w:ascii="宋体" w:hAnsi="宋体" w:cs="宋体"/>
          <w:b/>
          <w:bCs/>
          <w:sz w:val="24"/>
        </w:rPr>
      </w:pPr>
      <w:r>
        <w:rPr>
          <w:rFonts w:hint="eastAsia" w:ascii="宋体" w:hAnsi="宋体" w:cs="宋体"/>
          <w:b/>
          <w:bCs/>
          <w:sz w:val="24"/>
        </w:rPr>
        <w:t>附件3—售后服务方案（参考模板）</w:t>
      </w:r>
    </w:p>
    <w:p w14:paraId="2D2C88FE">
      <w:pPr>
        <w:spacing w:line="480" w:lineRule="exact"/>
        <w:rPr>
          <w:rFonts w:hint="eastAsia" w:ascii="宋体" w:hAnsi="宋体" w:cs="宋体"/>
          <w:b/>
          <w:bCs/>
          <w:sz w:val="24"/>
        </w:rPr>
      </w:pPr>
      <w:bookmarkStart w:id="223" w:name="_Toc6840912"/>
      <w:bookmarkStart w:id="224" w:name="_Toc4751267"/>
      <w:bookmarkStart w:id="225" w:name="_Toc5281084"/>
      <w:bookmarkStart w:id="226" w:name="_Toc24535"/>
      <w:bookmarkStart w:id="227" w:name="_Toc13928"/>
      <w:bookmarkStart w:id="228" w:name="_Toc12169"/>
      <w:bookmarkStart w:id="229" w:name="_Toc5819"/>
      <w:bookmarkStart w:id="230" w:name="_Toc3972"/>
      <w:r>
        <w:rPr>
          <w:rFonts w:hint="eastAsia" w:ascii="宋体" w:hAnsi="宋体" w:cs="宋体"/>
          <w:b/>
          <w:bCs/>
          <w:sz w:val="24"/>
        </w:rPr>
        <w:t>一、产品售后服务承诺及有关说明</w:t>
      </w:r>
      <w:bookmarkEnd w:id="223"/>
      <w:bookmarkEnd w:id="224"/>
      <w:bookmarkEnd w:id="225"/>
      <w:bookmarkEnd w:id="226"/>
      <w:bookmarkEnd w:id="227"/>
      <w:bookmarkEnd w:id="228"/>
      <w:bookmarkEnd w:id="229"/>
      <w:bookmarkEnd w:id="230"/>
    </w:p>
    <w:p w14:paraId="20904E38">
      <w:pPr>
        <w:spacing w:line="480" w:lineRule="exact"/>
        <w:ind w:firstLine="496" w:firstLineChars="200"/>
        <w:rPr>
          <w:rFonts w:hint="eastAsia" w:ascii="宋体" w:hAnsi="宋体" w:cs="宋体"/>
          <w:sz w:val="24"/>
        </w:rPr>
      </w:pPr>
      <w:r>
        <w:rPr>
          <w:rFonts w:hint="eastAsia" w:ascii="宋体" w:hAnsi="宋体" w:cs="宋体"/>
          <w:sz w:val="24"/>
        </w:rPr>
        <w:t>1、对产品售后服务在规定质保期内属本公司制造、安装质量问题，公司负责无偿维修或退换。</w:t>
      </w:r>
    </w:p>
    <w:p w14:paraId="5B157AEE">
      <w:pPr>
        <w:spacing w:line="480" w:lineRule="exact"/>
        <w:ind w:firstLine="496" w:firstLineChars="200"/>
        <w:rPr>
          <w:rFonts w:hint="eastAsia" w:ascii="宋体" w:hAnsi="宋体" w:cs="宋体"/>
          <w:sz w:val="24"/>
        </w:rPr>
      </w:pPr>
      <w:r>
        <w:rPr>
          <w:rFonts w:hint="eastAsia" w:ascii="宋体" w:hAnsi="宋体" w:cs="宋体"/>
          <w:sz w:val="24"/>
        </w:rPr>
        <w:t>2、保修期为终验合格后</w:t>
      </w:r>
      <w:r>
        <w:rPr>
          <w:rFonts w:hint="eastAsia" w:ascii="宋体" w:hAnsi="宋体" w:cs="宋体"/>
          <w:sz w:val="24"/>
          <w:u w:val="single"/>
        </w:rPr>
        <w:t xml:space="preserve">       </w:t>
      </w:r>
      <w:r>
        <w:rPr>
          <w:rFonts w:hint="eastAsia" w:ascii="宋体" w:hAnsi="宋体" w:cs="宋体"/>
          <w:sz w:val="24"/>
        </w:rPr>
        <w:t>个月</w:t>
      </w:r>
    </w:p>
    <w:p w14:paraId="6219EC54">
      <w:pPr>
        <w:spacing w:line="480" w:lineRule="exact"/>
        <w:ind w:firstLine="496" w:firstLineChars="200"/>
        <w:rPr>
          <w:rFonts w:hint="eastAsia" w:ascii="宋体" w:hAnsi="宋体" w:cs="宋体"/>
          <w:sz w:val="24"/>
        </w:rPr>
      </w:pPr>
      <w:r>
        <w:rPr>
          <w:rFonts w:hint="eastAsia" w:ascii="宋体" w:hAnsi="宋体" w:cs="宋体"/>
          <w:sz w:val="24"/>
        </w:rPr>
        <w:t>3、货物交付使用后，我公司将对产品进行跟踪服务。商务处专门设立了顾客档案卡和投诉电话，以更好地为顾客提供满意的服务。我公司在每季度派专业维修服务人员到用户方进行回访并协助用户进行产品检修和维修。</w:t>
      </w:r>
    </w:p>
    <w:p w14:paraId="178C33A0">
      <w:pPr>
        <w:spacing w:line="480" w:lineRule="exact"/>
        <w:ind w:firstLine="496" w:firstLineChars="200"/>
        <w:rPr>
          <w:rFonts w:hint="eastAsia" w:ascii="宋体" w:hAnsi="宋体" w:cs="宋体"/>
          <w:sz w:val="24"/>
        </w:rPr>
      </w:pPr>
      <w:r>
        <w:rPr>
          <w:rFonts w:hint="eastAsia" w:ascii="宋体" w:hAnsi="宋体" w:cs="宋体"/>
          <w:sz w:val="24"/>
        </w:rPr>
        <w:t>4、由于顾客使用不当等原因造成的产品损坏，由公司当事销售人员与顾客签订维修合同，根据维修合同，技术维修组负责如期完成维修任务。</w:t>
      </w:r>
    </w:p>
    <w:p w14:paraId="78A5442F">
      <w:pPr>
        <w:spacing w:line="480" w:lineRule="exact"/>
        <w:ind w:firstLine="496" w:firstLineChars="200"/>
        <w:rPr>
          <w:rFonts w:hint="eastAsia" w:ascii="宋体" w:hAnsi="宋体" w:cs="宋体"/>
          <w:sz w:val="24"/>
        </w:rPr>
      </w:pPr>
      <w:r>
        <w:rPr>
          <w:rFonts w:hint="eastAsia" w:ascii="宋体" w:hAnsi="宋体" w:cs="宋体"/>
          <w:sz w:val="24"/>
        </w:rPr>
        <w:t>5、除质保期内的售后服务外，本公司同时负责质保期后的设备维修工作，但其售后服务费用由需方承担。</w:t>
      </w:r>
    </w:p>
    <w:p w14:paraId="7735AEB7">
      <w:pPr>
        <w:spacing w:line="480" w:lineRule="exact"/>
        <w:rPr>
          <w:rFonts w:hint="eastAsia" w:ascii="宋体" w:hAnsi="宋体" w:cs="宋体"/>
          <w:b/>
          <w:bCs/>
          <w:sz w:val="24"/>
        </w:rPr>
      </w:pPr>
      <w:bookmarkStart w:id="231" w:name="_Toc387660032"/>
      <w:bookmarkStart w:id="232" w:name="_Toc357397591"/>
      <w:bookmarkStart w:id="233" w:name="_Toc245883665"/>
      <w:bookmarkStart w:id="234" w:name="_Toc415087029"/>
      <w:bookmarkStart w:id="235" w:name="_Toc277248385"/>
      <w:bookmarkStart w:id="236" w:name="_Toc444423909"/>
      <w:bookmarkStart w:id="237" w:name="_Toc217571392"/>
      <w:bookmarkStart w:id="238" w:name="_Toc6940"/>
      <w:bookmarkStart w:id="239" w:name="_Toc6840913"/>
      <w:bookmarkStart w:id="240" w:name="_Toc22846"/>
      <w:bookmarkStart w:id="241" w:name="_Toc366082471"/>
      <w:bookmarkStart w:id="242" w:name="_Toc4747813"/>
      <w:bookmarkStart w:id="243" w:name="_Toc4751268"/>
      <w:bookmarkStart w:id="244" w:name="_Toc219621656"/>
      <w:bookmarkStart w:id="245" w:name="_Toc15269"/>
      <w:bookmarkStart w:id="246" w:name="_Toc22073"/>
      <w:bookmarkStart w:id="247" w:name="_Toc6322"/>
      <w:bookmarkStart w:id="248" w:name="_Toc370999357"/>
      <w:r>
        <w:rPr>
          <w:rFonts w:hint="eastAsia" w:ascii="宋体" w:hAnsi="宋体" w:cs="宋体"/>
          <w:b/>
          <w:bCs/>
          <w:sz w:val="24"/>
        </w:rPr>
        <w:t>二、现场技术服务</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617C9532">
      <w:pPr>
        <w:spacing w:line="480" w:lineRule="exact"/>
        <w:ind w:firstLine="496" w:firstLineChars="200"/>
        <w:rPr>
          <w:rFonts w:hint="eastAsia" w:ascii="宋体" w:hAnsi="宋体" w:cs="宋体"/>
          <w:sz w:val="24"/>
        </w:rPr>
      </w:pPr>
      <w:r>
        <w:rPr>
          <w:rFonts w:hint="eastAsia" w:ascii="宋体" w:hAnsi="宋体" w:cs="宋体"/>
          <w:sz w:val="24"/>
        </w:rPr>
        <w:t>投标设备最终验收前，我公司向招标人提供下列现场技术服务：</w:t>
      </w:r>
    </w:p>
    <w:p w14:paraId="03747C9B">
      <w:pPr>
        <w:spacing w:line="480" w:lineRule="exact"/>
        <w:rPr>
          <w:rFonts w:hint="eastAsia" w:ascii="宋体" w:hAnsi="宋体" w:cs="宋体"/>
          <w:b/>
          <w:bCs/>
          <w:sz w:val="24"/>
        </w:rPr>
      </w:pPr>
      <w:bookmarkStart w:id="249" w:name="_Toc219621657"/>
      <w:bookmarkStart w:id="250" w:name="_Toc243980082"/>
      <w:bookmarkStart w:id="251" w:name="_Toc217571393"/>
      <w:r>
        <w:rPr>
          <w:rFonts w:hint="eastAsia" w:ascii="宋体" w:hAnsi="宋体" w:cs="宋体"/>
          <w:b/>
          <w:bCs/>
          <w:sz w:val="24"/>
        </w:rPr>
        <w:t>安装督导</w:t>
      </w:r>
      <w:bookmarkEnd w:id="249"/>
      <w:bookmarkEnd w:id="250"/>
      <w:bookmarkEnd w:id="251"/>
    </w:p>
    <w:p w14:paraId="26DCE6D4">
      <w:pPr>
        <w:spacing w:line="480" w:lineRule="exact"/>
        <w:ind w:firstLine="496" w:firstLineChars="200"/>
        <w:rPr>
          <w:rFonts w:hint="eastAsia" w:ascii="宋体" w:hAnsi="宋体" w:cs="宋体"/>
          <w:sz w:val="24"/>
        </w:rPr>
      </w:pPr>
      <w:bookmarkStart w:id="252" w:name="_Toc219621658"/>
      <w:r>
        <w:rPr>
          <w:rFonts w:hint="eastAsia" w:ascii="宋体" w:hAnsi="宋体" w:cs="宋体"/>
          <w:sz w:val="24"/>
        </w:rPr>
        <w:t>设备安装的准备工作</w:t>
      </w:r>
      <w:bookmarkEnd w:id="252"/>
    </w:p>
    <w:p w14:paraId="0390266A">
      <w:pPr>
        <w:spacing w:line="480" w:lineRule="exact"/>
        <w:ind w:firstLine="496" w:firstLineChars="200"/>
        <w:rPr>
          <w:rFonts w:hint="eastAsia" w:ascii="宋体" w:hAnsi="宋体" w:cs="宋体"/>
          <w:sz w:val="24"/>
        </w:rPr>
      </w:pPr>
      <w:r>
        <w:rPr>
          <w:rFonts w:hint="eastAsia" w:ascii="宋体" w:hAnsi="宋体" w:cs="宋体"/>
          <w:sz w:val="24"/>
        </w:rPr>
        <w:t>我公司负责提供相应的设备安装文件。我公司负责设备的安装督导，安装前应保证人员到位，并具备督导必须的条件。</w:t>
      </w:r>
    </w:p>
    <w:p w14:paraId="4C1E6A5A">
      <w:pPr>
        <w:spacing w:line="480" w:lineRule="exact"/>
        <w:ind w:firstLine="496" w:firstLineChars="200"/>
        <w:rPr>
          <w:rFonts w:hint="eastAsia" w:ascii="宋体" w:hAnsi="宋体" w:cs="宋体"/>
          <w:sz w:val="24"/>
        </w:rPr>
      </w:pPr>
      <w:bookmarkStart w:id="253" w:name="_Toc219621659"/>
      <w:r>
        <w:rPr>
          <w:rFonts w:hint="eastAsia" w:ascii="宋体" w:hAnsi="宋体" w:cs="宋体"/>
          <w:sz w:val="24"/>
        </w:rPr>
        <w:t>安装和开通期间</w:t>
      </w:r>
      <w:bookmarkEnd w:id="253"/>
    </w:p>
    <w:p w14:paraId="45E2E13A">
      <w:pPr>
        <w:spacing w:line="480" w:lineRule="exact"/>
        <w:ind w:firstLine="496" w:firstLineChars="200"/>
        <w:rPr>
          <w:rFonts w:hint="eastAsia" w:ascii="宋体" w:hAnsi="宋体" w:cs="宋体"/>
          <w:sz w:val="24"/>
        </w:rPr>
      </w:pPr>
      <w:r>
        <w:rPr>
          <w:rFonts w:hint="eastAsia" w:ascii="宋体" w:hAnsi="宋体" w:cs="宋体"/>
          <w:sz w:val="24"/>
        </w:rPr>
        <w:t>我公司会按照已获招标人确认的工程所有工作的实施方法和措施，在合同规定的竣工日期前完成工程的施工安装督导、调试和验收。</w:t>
      </w:r>
    </w:p>
    <w:p w14:paraId="2BE74271">
      <w:pPr>
        <w:spacing w:line="480" w:lineRule="exact"/>
        <w:ind w:firstLine="496" w:firstLineChars="200"/>
        <w:rPr>
          <w:rFonts w:hint="eastAsia" w:ascii="宋体" w:hAnsi="宋体" w:cs="宋体"/>
          <w:sz w:val="24"/>
        </w:rPr>
      </w:pPr>
      <w:r>
        <w:rPr>
          <w:rFonts w:hint="eastAsia" w:ascii="宋体" w:hAnsi="宋体" w:cs="宋体"/>
          <w:sz w:val="24"/>
        </w:rPr>
        <w:t>我公司派遣足够的、具有适当资质和经验的人员到现场完成施工安装督导、调试和验收的工作。</w:t>
      </w:r>
    </w:p>
    <w:p w14:paraId="61ECB0C1">
      <w:pPr>
        <w:spacing w:line="480" w:lineRule="exact"/>
        <w:ind w:firstLine="496" w:firstLineChars="200"/>
        <w:rPr>
          <w:rFonts w:hint="eastAsia" w:ascii="宋体" w:hAnsi="宋体" w:cs="宋体"/>
          <w:sz w:val="24"/>
        </w:rPr>
      </w:pPr>
      <w:r>
        <w:rPr>
          <w:rFonts w:hint="eastAsia" w:ascii="宋体" w:hAnsi="宋体" w:cs="宋体"/>
          <w:sz w:val="24"/>
        </w:rPr>
        <w:t>在安装、调试和验收期间，我公司建立每日现场记录制度，并每周向招标人递交报告，报告包含工作内容、工程进度、事故、存在的不利因素、可能的延误及补救方法的建议等内容。对紧急情况，我公司一定随时向招标人通报。</w:t>
      </w:r>
    </w:p>
    <w:p w14:paraId="5045D5CC">
      <w:pPr>
        <w:spacing w:line="480" w:lineRule="exact"/>
        <w:ind w:firstLine="496" w:firstLineChars="200"/>
        <w:rPr>
          <w:rFonts w:hint="eastAsia" w:ascii="宋体" w:hAnsi="宋体" w:cs="宋体"/>
          <w:sz w:val="24"/>
        </w:rPr>
      </w:pPr>
      <w:bookmarkStart w:id="254" w:name="_Toc219621660"/>
      <w:r>
        <w:rPr>
          <w:rFonts w:hint="eastAsia" w:ascii="宋体" w:hAnsi="宋体" w:cs="宋体"/>
          <w:sz w:val="24"/>
        </w:rPr>
        <w:t>人员</w:t>
      </w:r>
      <w:bookmarkEnd w:id="254"/>
    </w:p>
    <w:p w14:paraId="2227CC5A">
      <w:pPr>
        <w:spacing w:line="480" w:lineRule="exact"/>
        <w:ind w:firstLine="496" w:firstLineChars="200"/>
        <w:rPr>
          <w:rFonts w:hint="eastAsia" w:ascii="宋体" w:hAnsi="宋体" w:cs="宋体"/>
          <w:sz w:val="24"/>
        </w:rPr>
      </w:pPr>
      <w:r>
        <w:rPr>
          <w:rFonts w:hint="eastAsia" w:ascii="宋体" w:hAnsi="宋体" w:cs="宋体"/>
          <w:sz w:val="24"/>
        </w:rPr>
        <w:t>执行安装督导的项目经理具有项目管理经验，具有较强的沟通协调与现场工程管理能力，确保工程实施的进度与质量。</w:t>
      </w:r>
    </w:p>
    <w:p w14:paraId="6BD758FB">
      <w:pPr>
        <w:spacing w:line="480" w:lineRule="exact"/>
        <w:ind w:firstLine="496" w:firstLineChars="200"/>
        <w:rPr>
          <w:rFonts w:hint="eastAsia" w:ascii="宋体" w:hAnsi="宋体" w:cs="宋体"/>
          <w:sz w:val="24"/>
        </w:rPr>
      </w:pPr>
      <w:r>
        <w:rPr>
          <w:rFonts w:hint="eastAsia" w:ascii="宋体" w:hAnsi="宋体" w:cs="宋体"/>
          <w:sz w:val="24"/>
        </w:rPr>
        <w:t>执行安装督导技术人员是受过我公司专业培训的工程师，负责项目建设中所分派的由其执行的安装、指导和测试工作，并且和招标人一起参与开通程序，并根据进度表，达到工程要求和质量标准。</w:t>
      </w:r>
    </w:p>
    <w:p w14:paraId="3F7D8F8B">
      <w:pPr>
        <w:spacing w:line="480" w:lineRule="exact"/>
        <w:ind w:firstLine="496" w:firstLineChars="200"/>
        <w:rPr>
          <w:rFonts w:hint="eastAsia" w:ascii="宋体" w:hAnsi="宋体" w:cs="宋体"/>
          <w:sz w:val="24"/>
        </w:rPr>
      </w:pPr>
      <w:bookmarkStart w:id="255" w:name="_Toc219621661"/>
      <w:r>
        <w:rPr>
          <w:rFonts w:hint="eastAsia" w:ascii="宋体" w:hAnsi="宋体" w:cs="宋体"/>
          <w:sz w:val="24"/>
        </w:rPr>
        <w:t>施工安装督导工作描述</w:t>
      </w:r>
      <w:bookmarkEnd w:id="255"/>
    </w:p>
    <w:p w14:paraId="4EF892CC">
      <w:pPr>
        <w:spacing w:line="480" w:lineRule="exact"/>
        <w:ind w:firstLine="496" w:firstLineChars="200"/>
        <w:rPr>
          <w:rFonts w:hint="eastAsia" w:ascii="宋体" w:hAnsi="宋体" w:cs="宋体"/>
          <w:sz w:val="24"/>
        </w:rPr>
      </w:pPr>
      <w:r>
        <w:rPr>
          <w:rFonts w:hint="eastAsia" w:ascii="宋体" w:hAnsi="宋体" w:cs="宋体"/>
          <w:sz w:val="24"/>
        </w:rPr>
        <w:t>（1）根据进度表确保所提供系统的安装工作并保证达到质量标准，遵守相关的安装指导原则及经济原则，并对现场的安装人员进行安全指导；</w:t>
      </w:r>
    </w:p>
    <w:p w14:paraId="31248B01">
      <w:pPr>
        <w:spacing w:line="480" w:lineRule="exact"/>
        <w:ind w:firstLine="496" w:firstLineChars="200"/>
        <w:rPr>
          <w:rFonts w:hint="eastAsia" w:ascii="宋体" w:hAnsi="宋体" w:cs="宋体"/>
          <w:sz w:val="24"/>
        </w:rPr>
      </w:pPr>
      <w:r>
        <w:rPr>
          <w:rFonts w:hint="eastAsia" w:ascii="宋体" w:hAnsi="宋体" w:cs="宋体"/>
          <w:sz w:val="24"/>
        </w:rPr>
        <w:t>（2）根据工程进度完成测试和开通工作，达到工程和质量要求；</w:t>
      </w:r>
    </w:p>
    <w:p w14:paraId="61F5789B">
      <w:pPr>
        <w:spacing w:line="480" w:lineRule="exact"/>
        <w:ind w:firstLine="496" w:firstLineChars="200"/>
        <w:rPr>
          <w:rFonts w:hint="eastAsia" w:ascii="宋体" w:hAnsi="宋体" w:cs="宋体"/>
          <w:sz w:val="24"/>
        </w:rPr>
      </w:pPr>
      <w:r>
        <w:rPr>
          <w:rFonts w:hint="eastAsia" w:ascii="宋体" w:hAnsi="宋体" w:cs="宋体"/>
          <w:sz w:val="24"/>
        </w:rPr>
        <w:t>（3）协调与内部的特定部门，外部的公司，业主或业主委托的公司的关系；</w:t>
      </w:r>
    </w:p>
    <w:p w14:paraId="2120CAF2">
      <w:pPr>
        <w:spacing w:line="480" w:lineRule="exact"/>
        <w:ind w:firstLine="496" w:firstLineChars="200"/>
        <w:rPr>
          <w:rFonts w:hint="eastAsia" w:ascii="宋体" w:hAnsi="宋体" w:cs="宋体"/>
          <w:sz w:val="24"/>
        </w:rPr>
      </w:pPr>
      <w:r>
        <w:rPr>
          <w:rFonts w:hint="eastAsia" w:ascii="宋体" w:hAnsi="宋体" w:cs="宋体"/>
          <w:sz w:val="24"/>
        </w:rPr>
        <w:t>（4）指出工程的障碍；</w:t>
      </w:r>
    </w:p>
    <w:p w14:paraId="02166A54">
      <w:pPr>
        <w:spacing w:line="480" w:lineRule="exact"/>
        <w:ind w:firstLine="496" w:firstLineChars="200"/>
        <w:rPr>
          <w:rFonts w:hint="eastAsia" w:ascii="宋体" w:hAnsi="宋体" w:cs="宋体"/>
          <w:sz w:val="24"/>
        </w:rPr>
      </w:pPr>
      <w:r>
        <w:rPr>
          <w:rFonts w:hint="eastAsia" w:ascii="宋体" w:hAnsi="宋体" w:cs="宋体"/>
          <w:sz w:val="24"/>
        </w:rPr>
        <w:t>（5）与招标人共同参与有关问题的会议/讨论，澄清；</w:t>
      </w:r>
    </w:p>
    <w:p w14:paraId="30F9C5C6">
      <w:pPr>
        <w:spacing w:line="480" w:lineRule="exact"/>
        <w:ind w:firstLine="496" w:firstLineChars="200"/>
        <w:rPr>
          <w:rFonts w:hint="eastAsia" w:ascii="宋体" w:hAnsi="宋体" w:cs="宋体"/>
          <w:sz w:val="24"/>
        </w:rPr>
      </w:pPr>
      <w:r>
        <w:rPr>
          <w:rFonts w:hint="eastAsia" w:ascii="宋体" w:hAnsi="宋体" w:cs="宋体"/>
          <w:sz w:val="24"/>
        </w:rPr>
        <w:t>（6）根据时间进度表，协调安装工作；</w:t>
      </w:r>
    </w:p>
    <w:p w14:paraId="79250BAE">
      <w:pPr>
        <w:spacing w:line="480" w:lineRule="exact"/>
        <w:ind w:firstLine="496" w:firstLineChars="200"/>
        <w:rPr>
          <w:rFonts w:hint="eastAsia" w:ascii="宋体" w:hAnsi="宋体" w:cs="宋体"/>
          <w:sz w:val="24"/>
        </w:rPr>
      </w:pPr>
      <w:r>
        <w:rPr>
          <w:rFonts w:hint="eastAsia" w:ascii="宋体" w:hAnsi="宋体" w:cs="宋体"/>
          <w:sz w:val="24"/>
        </w:rPr>
        <w:t>（7）参与技术问题的澄清；</w:t>
      </w:r>
    </w:p>
    <w:p w14:paraId="1D3DFF62">
      <w:pPr>
        <w:spacing w:line="480" w:lineRule="exact"/>
        <w:ind w:firstLine="496" w:firstLineChars="200"/>
        <w:rPr>
          <w:rFonts w:hint="eastAsia" w:ascii="宋体" w:hAnsi="宋体" w:cs="宋体"/>
          <w:sz w:val="24"/>
        </w:rPr>
      </w:pPr>
      <w:r>
        <w:rPr>
          <w:rFonts w:hint="eastAsia" w:ascii="宋体" w:hAnsi="宋体" w:cs="宋体"/>
          <w:sz w:val="24"/>
        </w:rPr>
        <w:t>（8）负责相关的测试和验收工作；</w:t>
      </w:r>
    </w:p>
    <w:p w14:paraId="6E7B1F1A">
      <w:pPr>
        <w:spacing w:line="480" w:lineRule="exact"/>
        <w:ind w:firstLine="496" w:firstLineChars="200"/>
        <w:rPr>
          <w:rFonts w:hint="eastAsia" w:ascii="宋体" w:hAnsi="宋体" w:cs="宋体"/>
          <w:sz w:val="24"/>
        </w:rPr>
      </w:pPr>
      <w:r>
        <w:rPr>
          <w:rFonts w:hint="eastAsia" w:ascii="宋体" w:hAnsi="宋体" w:cs="宋体"/>
          <w:sz w:val="24"/>
        </w:rPr>
        <w:t>（9）工作文件的保存；</w:t>
      </w:r>
    </w:p>
    <w:p w14:paraId="046513BF">
      <w:pPr>
        <w:spacing w:line="480" w:lineRule="exact"/>
        <w:ind w:firstLine="496" w:firstLineChars="200"/>
        <w:rPr>
          <w:rFonts w:hint="eastAsia" w:ascii="宋体" w:hAnsi="宋体" w:cs="宋体"/>
          <w:sz w:val="24"/>
        </w:rPr>
      </w:pPr>
      <w:r>
        <w:rPr>
          <w:rFonts w:hint="eastAsia" w:ascii="宋体" w:hAnsi="宋体" w:cs="宋体"/>
          <w:sz w:val="24"/>
        </w:rPr>
        <w:t>（10）遵守法律规章和内部指导原则；</w:t>
      </w:r>
    </w:p>
    <w:p w14:paraId="34B33E0F">
      <w:pPr>
        <w:spacing w:line="480" w:lineRule="exact"/>
        <w:ind w:firstLine="496" w:firstLineChars="200"/>
        <w:rPr>
          <w:rFonts w:hint="eastAsia" w:ascii="宋体" w:hAnsi="宋体" w:cs="宋体"/>
          <w:sz w:val="24"/>
        </w:rPr>
      </w:pPr>
      <w:r>
        <w:rPr>
          <w:rFonts w:hint="eastAsia" w:ascii="宋体" w:hAnsi="宋体" w:cs="宋体"/>
          <w:sz w:val="24"/>
        </w:rPr>
        <w:t>（11）工程现场设备安装指导、安装检查；</w:t>
      </w:r>
    </w:p>
    <w:p w14:paraId="5B609DB7">
      <w:pPr>
        <w:spacing w:line="480" w:lineRule="exact"/>
        <w:ind w:firstLine="496" w:firstLineChars="200"/>
        <w:rPr>
          <w:rFonts w:hint="eastAsia" w:ascii="宋体" w:hAnsi="宋体" w:cs="宋体"/>
          <w:sz w:val="24"/>
        </w:rPr>
      </w:pPr>
      <w:r>
        <w:rPr>
          <w:rFonts w:hint="eastAsia" w:ascii="宋体" w:hAnsi="宋体" w:cs="宋体"/>
          <w:sz w:val="24"/>
        </w:rPr>
        <w:t>（12）设备单机加电调试</w:t>
      </w:r>
    </w:p>
    <w:p w14:paraId="248F4E46">
      <w:pPr>
        <w:spacing w:line="480" w:lineRule="exact"/>
        <w:ind w:firstLine="496" w:firstLineChars="200"/>
        <w:rPr>
          <w:rFonts w:hint="eastAsia" w:ascii="宋体" w:hAnsi="宋体" w:cs="宋体"/>
          <w:b/>
          <w:bCs/>
          <w:sz w:val="24"/>
        </w:rPr>
      </w:pPr>
      <w:bookmarkStart w:id="256" w:name="_Toc243980083"/>
      <w:bookmarkStart w:id="257" w:name="_Toc217571394"/>
      <w:bookmarkStart w:id="258" w:name="_Toc219621663"/>
      <w:r>
        <w:rPr>
          <w:rFonts w:hint="eastAsia" w:ascii="宋体" w:hAnsi="宋体" w:cs="宋体"/>
          <w:b/>
          <w:bCs/>
          <w:sz w:val="24"/>
        </w:rPr>
        <w:t>系统调试</w:t>
      </w:r>
      <w:bookmarkEnd w:id="256"/>
      <w:bookmarkEnd w:id="257"/>
      <w:bookmarkEnd w:id="258"/>
    </w:p>
    <w:p w14:paraId="28BA9046">
      <w:pPr>
        <w:spacing w:line="480" w:lineRule="exact"/>
        <w:ind w:firstLine="496" w:firstLineChars="200"/>
        <w:rPr>
          <w:rFonts w:hint="eastAsia" w:ascii="宋体" w:hAnsi="宋体" w:cs="宋体"/>
          <w:sz w:val="24"/>
        </w:rPr>
      </w:pPr>
      <w:r>
        <w:rPr>
          <w:rFonts w:hint="eastAsia" w:ascii="宋体" w:hAnsi="宋体" w:cs="宋体"/>
          <w:sz w:val="24"/>
        </w:rPr>
        <w:t>我公司向招标人提出所供系统调试开通方案、调试仪表和工具清单，经招标人进行确认后实施，配合招标人的自验收工作，并对执行系统验收测试提供技术支持。</w:t>
      </w:r>
    </w:p>
    <w:p w14:paraId="183D93CA">
      <w:pPr>
        <w:spacing w:line="480" w:lineRule="exact"/>
        <w:ind w:firstLine="496" w:firstLineChars="200"/>
        <w:rPr>
          <w:rFonts w:hint="eastAsia" w:ascii="宋体" w:hAnsi="宋体" w:cs="宋体"/>
          <w:sz w:val="24"/>
        </w:rPr>
      </w:pPr>
      <w:r>
        <w:rPr>
          <w:rFonts w:hint="eastAsia" w:ascii="宋体" w:hAnsi="宋体" w:cs="宋体"/>
          <w:sz w:val="24"/>
        </w:rPr>
        <w:t>我公司所供系统调试开通并经招标人确认后，我公司向招标人提供所共系统调试开通文件,包括：</w:t>
      </w:r>
    </w:p>
    <w:p w14:paraId="0D5B755E">
      <w:pPr>
        <w:spacing w:line="480" w:lineRule="exact"/>
        <w:ind w:firstLine="496" w:firstLineChars="200"/>
        <w:rPr>
          <w:rFonts w:hint="eastAsia" w:ascii="宋体" w:hAnsi="宋体" w:cs="宋体"/>
          <w:sz w:val="24"/>
        </w:rPr>
      </w:pPr>
      <w:r>
        <w:rPr>
          <w:rFonts w:hint="eastAsia" w:ascii="宋体" w:hAnsi="宋体" w:cs="宋体"/>
          <w:sz w:val="24"/>
        </w:rPr>
        <w:t>（1）供货设备清单；</w:t>
      </w:r>
    </w:p>
    <w:p w14:paraId="08B2477B">
      <w:pPr>
        <w:spacing w:line="480" w:lineRule="exact"/>
        <w:ind w:firstLine="496" w:firstLineChars="200"/>
        <w:rPr>
          <w:rFonts w:hint="eastAsia" w:ascii="宋体" w:hAnsi="宋体" w:cs="宋体"/>
          <w:sz w:val="24"/>
        </w:rPr>
      </w:pPr>
      <w:r>
        <w:rPr>
          <w:rFonts w:hint="eastAsia" w:ascii="宋体" w:hAnsi="宋体" w:cs="宋体"/>
          <w:sz w:val="24"/>
        </w:rPr>
        <w:t>（2）设备缺陷处理记录；</w:t>
      </w:r>
    </w:p>
    <w:p w14:paraId="3A6CF33B">
      <w:pPr>
        <w:spacing w:line="480" w:lineRule="exact"/>
        <w:ind w:firstLine="496" w:firstLineChars="200"/>
        <w:rPr>
          <w:rFonts w:hint="eastAsia" w:ascii="宋体" w:hAnsi="宋体" w:cs="宋体"/>
          <w:sz w:val="24"/>
        </w:rPr>
      </w:pPr>
      <w:r>
        <w:rPr>
          <w:rFonts w:hint="eastAsia" w:ascii="宋体" w:hAnsi="宋体" w:cs="宋体"/>
          <w:sz w:val="24"/>
        </w:rPr>
        <w:t>（3）系统的测试记录及分析报告；</w:t>
      </w:r>
    </w:p>
    <w:p w14:paraId="00BBE518">
      <w:pPr>
        <w:spacing w:line="480" w:lineRule="exact"/>
        <w:ind w:firstLine="496" w:firstLineChars="200"/>
        <w:rPr>
          <w:rFonts w:hint="eastAsia" w:ascii="宋体" w:hAnsi="宋体" w:cs="宋体"/>
          <w:b/>
          <w:bCs/>
          <w:sz w:val="24"/>
        </w:rPr>
      </w:pPr>
      <w:bookmarkStart w:id="259" w:name="_Toc219621667"/>
      <w:bookmarkStart w:id="260" w:name="_Toc217571395"/>
      <w:bookmarkStart w:id="261" w:name="_Toc243980084"/>
      <w:r>
        <w:rPr>
          <w:rFonts w:hint="eastAsia" w:ascii="宋体" w:hAnsi="宋体" w:cs="宋体"/>
          <w:b/>
          <w:bCs/>
          <w:sz w:val="24"/>
        </w:rPr>
        <w:t>故障处理</w:t>
      </w:r>
      <w:bookmarkEnd w:id="259"/>
      <w:bookmarkEnd w:id="260"/>
      <w:bookmarkEnd w:id="261"/>
    </w:p>
    <w:p w14:paraId="43508836">
      <w:pPr>
        <w:spacing w:line="480" w:lineRule="exact"/>
        <w:ind w:firstLine="496" w:firstLineChars="200"/>
        <w:rPr>
          <w:rFonts w:hint="eastAsia" w:ascii="宋体" w:hAnsi="宋体" w:cs="宋体"/>
          <w:sz w:val="24"/>
        </w:rPr>
      </w:pPr>
      <w:r>
        <w:rPr>
          <w:rFonts w:hint="eastAsia" w:ascii="宋体" w:hAnsi="宋体" w:cs="宋体"/>
          <w:sz w:val="24"/>
        </w:rPr>
        <w:t>在设备最终验收前，我公司免费提供任何由于系统设计、设备制造、安装等缺陷引起的更换设备及所需工具。</w:t>
      </w:r>
    </w:p>
    <w:p w14:paraId="038645D5">
      <w:pPr>
        <w:spacing w:line="480" w:lineRule="exact"/>
        <w:ind w:firstLine="496" w:firstLineChars="200"/>
        <w:rPr>
          <w:rFonts w:hint="eastAsia" w:ascii="宋体" w:hAnsi="宋体" w:cs="宋体"/>
          <w:sz w:val="24"/>
        </w:rPr>
      </w:pPr>
      <w:r>
        <w:rPr>
          <w:rFonts w:hint="eastAsia" w:ascii="宋体" w:hAnsi="宋体" w:cs="宋体"/>
          <w:sz w:val="24"/>
        </w:rPr>
        <w:t>在设备最终验收前，我公司在招标人发出设备故障通知后到达设备安装现场并处理好故障设备，我公司在招标人发出设备故障通知后2日内向招标人提供故障设备测试报告、设备故障分析报告及设备整改方案，整改方案经招标人批准后实施。</w:t>
      </w:r>
    </w:p>
    <w:p w14:paraId="51319C86">
      <w:pPr>
        <w:spacing w:line="480" w:lineRule="exact"/>
        <w:ind w:firstLine="496" w:firstLineChars="200"/>
        <w:rPr>
          <w:rFonts w:hint="eastAsia" w:ascii="宋体" w:hAnsi="宋体" w:cs="宋体"/>
          <w:b/>
          <w:bCs/>
          <w:sz w:val="24"/>
        </w:rPr>
      </w:pPr>
      <w:bookmarkStart w:id="262" w:name="_Toc219621668"/>
      <w:bookmarkStart w:id="263" w:name="_Toc217571396"/>
      <w:bookmarkStart w:id="264" w:name="_Toc243980085"/>
      <w:bookmarkStart w:id="265" w:name="_Toc180248773"/>
      <w:r>
        <w:rPr>
          <w:rFonts w:hint="eastAsia" w:ascii="宋体" w:hAnsi="宋体" w:cs="宋体"/>
          <w:b/>
          <w:bCs/>
          <w:sz w:val="24"/>
        </w:rPr>
        <w:t>现场巡检服务</w:t>
      </w:r>
      <w:bookmarkEnd w:id="262"/>
      <w:bookmarkEnd w:id="263"/>
      <w:bookmarkEnd w:id="264"/>
      <w:bookmarkEnd w:id="265"/>
    </w:p>
    <w:p w14:paraId="774E9798">
      <w:pPr>
        <w:spacing w:line="480" w:lineRule="exact"/>
        <w:ind w:firstLine="496" w:firstLineChars="200"/>
        <w:rPr>
          <w:rFonts w:hint="eastAsia" w:ascii="宋体" w:hAnsi="宋体" w:cs="宋体"/>
          <w:sz w:val="24"/>
        </w:rPr>
      </w:pPr>
      <w:r>
        <w:rPr>
          <w:rFonts w:hint="eastAsia" w:ascii="宋体" w:hAnsi="宋体" w:cs="宋体"/>
          <w:sz w:val="24"/>
        </w:rPr>
        <w:t>我公司针对设备运行情况进行定期或不定期的巡回检查（包括电话回访与现场回访），了解招标人设备的运行情况，及时处理存在的问题，并进行有关技术指导。</w:t>
      </w:r>
    </w:p>
    <w:p w14:paraId="1D1A9709">
      <w:pPr>
        <w:spacing w:line="480" w:lineRule="exact"/>
        <w:ind w:firstLine="496" w:firstLineChars="200"/>
        <w:rPr>
          <w:rFonts w:hint="eastAsia" w:ascii="宋体" w:hAnsi="宋体" w:cs="宋体"/>
          <w:sz w:val="24"/>
        </w:rPr>
      </w:pPr>
      <w:r>
        <w:rPr>
          <w:rFonts w:hint="eastAsia" w:ascii="宋体" w:hAnsi="宋体" w:cs="宋体"/>
          <w:sz w:val="24"/>
        </w:rPr>
        <w:t>现场巡检服务包括我公司设备系统检查、一般检查、遗留问题处理等三项内容。产品在售销并在现场开通运行后的一星期内，我公司售后服务部将致电招标人，了解招标人对产品的使用情况，及时掌握招标人对我公司工程人员的工作是否满意，并记录在案。</w:t>
      </w:r>
    </w:p>
    <w:p w14:paraId="2020EEA4">
      <w:pPr>
        <w:spacing w:line="480" w:lineRule="exact"/>
        <w:ind w:firstLine="496" w:firstLineChars="200"/>
        <w:rPr>
          <w:rFonts w:hint="eastAsia" w:ascii="宋体" w:hAnsi="宋体" w:cs="宋体"/>
          <w:sz w:val="24"/>
        </w:rPr>
      </w:pPr>
      <w:r>
        <w:rPr>
          <w:rFonts w:hint="eastAsia" w:ascii="宋体" w:hAnsi="宋体" w:cs="宋体"/>
          <w:sz w:val="24"/>
        </w:rPr>
        <w:t>产品在招标人现场使用3个月后将再次进行电话回访，了解设备的使用状况，同时售后服务人员将重新说明设备的特点，及相关注意事项。</w:t>
      </w:r>
    </w:p>
    <w:p w14:paraId="2A6FD02A">
      <w:pPr>
        <w:spacing w:line="480" w:lineRule="exact"/>
        <w:ind w:firstLine="496" w:firstLineChars="200"/>
        <w:rPr>
          <w:rFonts w:hint="eastAsia" w:ascii="宋体" w:hAnsi="宋体" w:cs="宋体"/>
          <w:sz w:val="24"/>
        </w:rPr>
      </w:pPr>
      <w:r>
        <w:rPr>
          <w:rFonts w:hint="eastAsia" w:ascii="宋体" w:hAnsi="宋体" w:cs="宋体"/>
          <w:sz w:val="24"/>
        </w:rPr>
        <w:t>每年定期进行招标人现场回访。彻底检查设备关键部位，及时发现设备运行隐患，为招标人免费升级软件，并将新功能告知招标人。</w:t>
      </w:r>
    </w:p>
    <w:p w14:paraId="1E9192C8">
      <w:pPr>
        <w:spacing w:line="480" w:lineRule="exact"/>
        <w:ind w:firstLine="496" w:firstLineChars="200"/>
        <w:rPr>
          <w:rFonts w:hint="eastAsia" w:ascii="宋体" w:hAnsi="宋体" w:cs="宋体"/>
          <w:sz w:val="24"/>
        </w:rPr>
      </w:pPr>
      <w:r>
        <w:rPr>
          <w:rFonts w:hint="eastAsia" w:ascii="宋体" w:hAnsi="宋体" w:cs="宋体"/>
          <w:sz w:val="24"/>
        </w:rPr>
        <w:t>我公司为招标人对系统的巡检提供7*24小时专家电话支持。</w:t>
      </w:r>
    </w:p>
    <w:p w14:paraId="51B8CCFC">
      <w:pPr>
        <w:spacing w:line="480" w:lineRule="exact"/>
        <w:ind w:firstLine="496" w:firstLineChars="200"/>
        <w:rPr>
          <w:rFonts w:hint="eastAsia" w:ascii="宋体" w:hAnsi="宋体" w:cs="宋体"/>
          <w:b/>
          <w:bCs/>
          <w:sz w:val="24"/>
        </w:rPr>
      </w:pPr>
      <w:r>
        <w:rPr>
          <w:rFonts w:hint="eastAsia" w:ascii="宋体" w:hAnsi="宋体" w:cs="宋体"/>
          <w:b/>
          <w:bCs/>
          <w:sz w:val="24"/>
        </w:rPr>
        <w:t>资料服务</w:t>
      </w:r>
    </w:p>
    <w:p w14:paraId="399CC094">
      <w:pPr>
        <w:spacing w:line="480" w:lineRule="exact"/>
        <w:ind w:firstLine="496" w:firstLineChars="200"/>
        <w:rPr>
          <w:rFonts w:hint="eastAsia" w:ascii="宋体" w:hAnsi="宋体" w:cs="宋体"/>
          <w:sz w:val="24"/>
        </w:rPr>
      </w:pPr>
      <w:r>
        <w:rPr>
          <w:rFonts w:hint="eastAsia" w:ascii="宋体" w:hAnsi="宋体" w:cs="宋体"/>
          <w:sz w:val="24"/>
        </w:rPr>
        <w:t>用户可以通过设备厂商的技术支持网站或者通过发放的纸面文档、电子邮件、磁盘、光盘等形式，获得我方的有关产品知识、设备运行、维护经验和技巧等方面的资料。资料服务包括以下服务内容：网上资料服务和资料索取服务等。</w:t>
      </w:r>
    </w:p>
    <w:p w14:paraId="4D94D039">
      <w:pPr>
        <w:spacing w:line="480" w:lineRule="exact"/>
        <w:ind w:firstLine="496" w:firstLineChars="200"/>
        <w:rPr>
          <w:rFonts w:hint="eastAsia" w:ascii="宋体" w:hAnsi="宋体" w:cs="宋体"/>
          <w:b/>
          <w:bCs/>
          <w:sz w:val="24"/>
        </w:rPr>
      </w:pPr>
      <w:r>
        <w:rPr>
          <w:rFonts w:hint="eastAsia" w:ascii="宋体" w:hAnsi="宋体" w:cs="宋体"/>
          <w:b/>
          <w:bCs/>
          <w:sz w:val="24"/>
        </w:rPr>
        <w:t>故障件维修服务</w:t>
      </w:r>
    </w:p>
    <w:p w14:paraId="6104E81B">
      <w:pPr>
        <w:spacing w:line="480" w:lineRule="exact"/>
        <w:ind w:firstLine="496" w:firstLineChars="200"/>
        <w:rPr>
          <w:rFonts w:hint="eastAsia" w:ascii="宋体" w:hAnsi="宋体" w:cs="宋体"/>
          <w:sz w:val="24"/>
        </w:rPr>
      </w:pPr>
      <w:r>
        <w:rPr>
          <w:rFonts w:hint="eastAsia" w:ascii="宋体" w:hAnsi="宋体" w:cs="宋体"/>
          <w:sz w:val="24"/>
        </w:rPr>
        <w:t>我方对用户在使用过程中出现的故障板件进行修复以保证设备持续可用的服务。</w:t>
      </w:r>
    </w:p>
    <w:p w14:paraId="14494601">
      <w:pPr>
        <w:spacing w:line="480" w:lineRule="exact"/>
        <w:ind w:firstLine="496" w:firstLineChars="200"/>
        <w:rPr>
          <w:rFonts w:hint="eastAsia" w:ascii="宋体" w:hAnsi="宋体" w:cs="宋体"/>
          <w:b/>
          <w:bCs/>
          <w:sz w:val="24"/>
        </w:rPr>
      </w:pPr>
      <w:r>
        <w:rPr>
          <w:rFonts w:hint="eastAsia" w:ascii="宋体" w:hAnsi="宋体" w:cs="宋体"/>
          <w:b/>
          <w:bCs/>
          <w:sz w:val="24"/>
        </w:rPr>
        <w:t>备件同步升级服务</w:t>
      </w:r>
    </w:p>
    <w:p w14:paraId="5A0F40F2">
      <w:pPr>
        <w:spacing w:line="480" w:lineRule="exact"/>
        <w:ind w:firstLine="496" w:firstLineChars="200"/>
        <w:rPr>
          <w:rFonts w:hint="eastAsia" w:ascii="宋体" w:hAnsi="宋体" w:cs="宋体"/>
          <w:sz w:val="24"/>
        </w:rPr>
      </w:pPr>
      <w:r>
        <w:rPr>
          <w:rFonts w:hint="eastAsia" w:ascii="宋体" w:hAnsi="宋体" w:cs="宋体"/>
          <w:sz w:val="24"/>
        </w:rPr>
        <w:t>网络设备升级后，投标方应提供备件的同步升级服务，使备件与在用系统设备相一致。</w:t>
      </w:r>
    </w:p>
    <w:p w14:paraId="163B60AE">
      <w:pPr>
        <w:spacing w:line="480" w:lineRule="exact"/>
        <w:ind w:firstLine="496" w:firstLineChars="200"/>
        <w:rPr>
          <w:rFonts w:hint="eastAsia" w:ascii="宋体" w:hAnsi="宋体" w:cs="宋体"/>
          <w:b/>
          <w:bCs/>
          <w:sz w:val="24"/>
        </w:rPr>
      </w:pPr>
      <w:r>
        <w:rPr>
          <w:rFonts w:hint="eastAsia" w:ascii="宋体" w:hAnsi="宋体" w:cs="宋体"/>
          <w:b/>
          <w:bCs/>
          <w:sz w:val="24"/>
        </w:rPr>
        <w:t>设备巡检及健康检查服务</w:t>
      </w:r>
    </w:p>
    <w:p w14:paraId="7EF8A1BD">
      <w:pPr>
        <w:spacing w:line="480" w:lineRule="exact"/>
        <w:ind w:firstLine="496" w:firstLineChars="200"/>
        <w:rPr>
          <w:rFonts w:hint="eastAsia" w:ascii="宋体" w:hAnsi="宋体" w:cs="宋体"/>
          <w:sz w:val="24"/>
        </w:rPr>
      </w:pPr>
      <w:r>
        <w:rPr>
          <w:rFonts w:hint="eastAsia" w:ascii="宋体" w:hAnsi="宋体" w:cs="宋体"/>
          <w:sz w:val="24"/>
        </w:rPr>
        <w:t>每年一次对系统设备进行巡检服务，并提出健康检查项目，经用户认可后执行健康检查，检查结束提交健康检查报告。</w:t>
      </w:r>
    </w:p>
    <w:p w14:paraId="2361C826">
      <w:pPr>
        <w:spacing w:line="480" w:lineRule="exact"/>
        <w:ind w:firstLine="496" w:firstLineChars="200"/>
        <w:rPr>
          <w:rFonts w:hint="eastAsia" w:ascii="宋体" w:hAnsi="宋体" w:cs="宋体"/>
          <w:b/>
          <w:bCs/>
          <w:sz w:val="24"/>
        </w:rPr>
      </w:pPr>
      <w:r>
        <w:rPr>
          <w:rFonts w:hint="eastAsia" w:ascii="宋体" w:hAnsi="宋体" w:cs="宋体"/>
          <w:b/>
          <w:bCs/>
          <w:sz w:val="24"/>
        </w:rPr>
        <w:t>第三方设备技术支持服务</w:t>
      </w:r>
    </w:p>
    <w:p w14:paraId="79481046">
      <w:pPr>
        <w:spacing w:line="480" w:lineRule="exact"/>
        <w:ind w:firstLine="496" w:firstLineChars="200"/>
        <w:rPr>
          <w:rFonts w:hint="eastAsia" w:ascii="宋体" w:hAnsi="宋体" w:cs="宋体"/>
          <w:sz w:val="24"/>
        </w:rPr>
      </w:pPr>
      <w:r>
        <w:rPr>
          <w:rFonts w:hint="eastAsia" w:ascii="宋体" w:hAnsi="宋体" w:cs="宋体"/>
          <w:sz w:val="24"/>
        </w:rPr>
        <w:t>我方统一受理系统中的第三方设备的技术支持，包括第三方设备的技术咨询、故障处理、备件升级等。</w:t>
      </w:r>
    </w:p>
    <w:p w14:paraId="5CA54FA7">
      <w:pPr>
        <w:spacing w:line="480" w:lineRule="exact"/>
        <w:ind w:firstLine="496" w:firstLineChars="200"/>
        <w:rPr>
          <w:rFonts w:hint="eastAsia" w:ascii="宋体" w:hAnsi="宋体" w:cs="宋体"/>
          <w:b/>
          <w:bCs/>
          <w:sz w:val="24"/>
        </w:rPr>
      </w:pPr>
      <w:r>
        <w:rPr>
          <w:rFonts w:hint="eastAsia" w:ascii="宋体" w:hAnsi="宋体" w:cs="宋体"/>
          <w:b/>
          <w:bCs/>
          <w:sz w:val="24"/>
        </w:rPr>
        <w:t>质保期内（</w:t>
      </w:r>
      <w:r>
        <w:rPr>
          <w:rFonts w:hint="eastAsia" w:ascii="宋体" w:hAnsi="宋体" w:cs="宋体"/>
          <w:b/>
          <w:bCs/>
          <w:sz w:val="24"/>
          <w:u w:val="single"/>
        </w:rPr>
        <w:t xml:space="preserve">     </w:t>
      </w:r>
      <w:r>
        <w:rPr>
          <w:rFonts w:hint="eastAsia" w:ascii="宋体" w:hAnsi="宋体" w:cs="宋体"/>
          <w:b/>
          <w:bCs/>
          <w:sz w:val="24"/>
        </w:rPr>
        <w:t>个月）技术支持服务</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30"/>
        <w:gridCol w:w="1490"/>
        <w:gridCol w:w="1961"/>
        <w:gridCol w:w="2804"/>
      </w:tblGrid>
      <w:tr w14:paraId="55400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5" w:type="dxa"/>
            <w:gridSpan w:val="4"/>
            <w:vAlign w:val="center"/>
          </w:tcPr>
          <w:p w14:paraId="4CEDAE2E">
            <w:pPr>
              <w:spacing w:line="360" w:lineRule="auto"/>
              <w:jc w:val="center"/>
              <w:rPr>
                <w:rFonts w:hint="eastAsia" w:ascii="宋体" w:hAnsi="宋体" w:cs="宋体"/>
                <w:sz w:val="24"/>
              </w:rPr>
            </w:pPr>
            <w:r>
              <w:rPr>
                <w:rFonts w:hint="eastAsia" w:ascii="宋体" w:hAnsi="宋体" w:cs="宋体"/>
                <w:sz w:val="24"/>
              </w:rPr>
              <w:t>一、缺陷通知期</w:t>
            </w:r>
            <w:r>
              <w:rPr>
                <w:rFonts w:hint="eastAsia" w:ascii="宋体" w:hAnsi="宋体" w:cs="宋体"/>
                <w:sz w:val="24"/>
                <w:u w:val="single"/>
              </w:rPr>
              <w:t xml:space="preserve">     </w:t>
            </w:r>
            <w:r>
              <w:rPr>
                <w:rFonts w:hint="eastAsia" w:ascii="宋体" w:hAnsi="宋体" w:cs="宋体"/>
                <w:sz w:val="24"/>
              </w:rPr>
              <w:t>个月内技术服务</w:t>
            </w:r>
          </w:p>
        </w:tc>
      </w:tr>
      <w:tr w14:paraId="1A454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0" w:type="dxa"/>
            <w:vAlign w:val="center"/>
          </w:tcPr>
          <w:p w14:paraId="142D9906">
            <w:pPr>
              <w:spacing w:line="360" w:lineRule="auto"/>
              <w:jc w:val="center"/>
              <w:rPr>
                <w:rFonts w:hint="eastAsia" w:ascii="宋体" w:hAnsi="宋体" w:cs="宋体"/>
                <w:sz w:val="24"/>
              </w:rPr>
            </w:pPr>
            <w:r>
              <w:rPr>
                <w:rFonts w:hint="eastAsia" w:ascii="宋体" w:hAnsi="宋体" w:cs="宋体"/>
                <w:sz w:val="24"/>
              </w:rPr>
              <w:t>服务项目内容及服务地点</w:t>
            </w:r>
          </w:p>
        </w:tc>
        <w:tc>
          <w:tcPr>
            <w:tcW w:w="1490" w:type="dxa"/>
            <w:vAlign w:val="center"/>
          </w:tcPr>
          <w:p w14:paraId="34543553">
            <w:pPr>
              <w:spacing w:line="360" w:lineRule="auto"/>
              <w:jc w:val="center"/>
              <w:rPr>
                <w:rFonts w:hint="eastAsia" w:ascii="宋体" w:hAnsi="宋体" w:cs="宋体"/>
                <w:sz w:val="24"/>
              </w:rPr>
            </w:pPr>
            <w:r>
              <w:rPr>
                <w:rFonts w:hint="eastAsia" w:ascii="宋体" w:hAnsi="宋体" w:cs="宋体"/>
                <w:sz w:val="24"/>
              </w:rPr>
              <w:t>响应时间</w:t>
            </w:r>
          </w:p>
        </w:tc>
        <w:tc>
          <w:tcPr>
            <w:tcW w:w="1961" w:type="dxa"/>
            <w:vAlign w:val="center"/>
          </w:tcPr>
          <w:p w14:paraId="1D8E8932">
            <w:pPr>
              <w:spacing w:line="360" w:lineRule="auto"/>
              <w:jc w:val="center"/>
              <w:rPr>
                <w:rFonts w:hint="eastAsia" w:ascii="宋体" w:hAnsi="宋体" w:cs="宋体"/>
                <w:sz w:val="24"/>
              </w:rPr>
            </w:pPr>
            <w:r>
              <w:rPr>
                <w:rFonts w:hint="eastAsia" w:ascii="宋体" w:hAnsi="宋体" w:cs="宋体"/>
                <w:sz w:val="24"/>
              </w:rPr>
              <w:t>人员数量</w:t>
            </w:r>
          </w:p>
        </w:tc>
        <w:tc>
          <w:tcPr>
            <w:tcW w:w="2804" w:type="dxa"/>
            <w:vAlign w:val="center"/>
          </w:tcPr>
          <w:p w14:paraId="0032070E">
            <w:pPr>
              <w:spacing w:line="360" w:lineRule="auto"/>
              <w:jc w:val="center"/>
              <w:rPr>
                <w:rFonts w:hint="eastAsia" w:ascii="宋体" w:hAnsi="宋体" w:cs="宋体"/>
                <w:sz w:val="24"/>
              </w:rPr>
            </w:pPr>
            <w:r>
              <w:rPr>
                <w:rFonts w:hint="eastAsia" w:ascii="宋体" w:hAnsi="宋体" w:cs="宋体"/>
                <w:sz w:val="24"/>
              </w:rPr>
              <w:t>人员资质</w:t>
            </w:r>
          </w:p>
        </w:tc>
      </w:tr>
      <w:tr w14:paraId="5B086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0" w:type="dxa"/>
            <w:vAlign w:val="center"/>
          </w:tcPr>
          <w:p w14:paraId="6EBEDDB2">
            <w:pPr>
              <w:spacing w:line="360" w:lineRule="auto"/>
              <w:jc w:val="center"/>
              <w:rPr>
                <w:rFonts w:hint="eastAsia" w:ascii="宋体" w:hAnsi="宋体" w:cs="宋体"/>
                <w:sz w:val="24"/>
              </w:rPr>
            </w:pPr>
            <w:r>
              <w:rPr>
                <w:rFonts w:hint="eastAsia" w:ascii="宋体" w:hAnsi="宋体" w:cs="宋体"/>
                <w:sz w:val="24"/>
              </w:rPr>
              <w:t>远程-电话支持</w:t>
            </w:r>
          </w:p>
        </w:tc>
        <w:tc>
          <w:tcPr>
            <w:tcW w:w="1490" w:type="dxa"/>
            <w:vAlign w:val="center"/>
          </w:tcPr>
          <w:p w14:paraId="2B4BD794">
            <w:pPr>
              <w:spacing w:line="360" w:lineRule="auto"/>
              <w:jc w:val="center"/>
              <w:rPr>
                <w:rFonts w:hint="eastAsia" w:ascii="宋体" w:hAnsi="宋体" w:cs="宋体"/>
                <w:sz w:val="24"/>
              </w:rPr>
            </w:pPr>
            <w:r>
              <w:rPr>
                <w:rFonts w:hint="eastAsia" w:ascii="宋体" w:hAnsi="宋体" w:cs="宋体"/>
                <w:sz w:val="24"/>
              </w:rPr>
              <w:t>1小时内</w:t>
            </w:r>
          </w:p>
        </w:tc>
        <w:tc>
          <w:tcPr>
            <w:tcW w:w="1961" w:type="dxa"/>
            <w:vAlign w:val="center"/>
          </w:tcPr>
          <w:p w14:paraId="179A139F">
            <w:pPr>
              <w:spacing w:line="360" w:lineRule="auto"/>
              <w:jc w:val="center"/>
              <w:rPr>
                <w:rFonts w:hint="eastAsia" w:ascii="宋体" w:hAnsi="宋体" w:cs="宋体"/>
                <w:sz w:val="24"/>
              </w:rPr>
            </w:pPr>
            <w:r>
              <w:rPr>
                <w:rFonts w:hint="eastAsia" w:ascii="宋体" w:hAnsi="宋体" w:cs="宋体"/>
                <w:sz w:val="24"/>
              </w:rPr>
              <w:t>2</w:t>
            </w:r>
          </w:p>
        </w:tc>
        <w:tc>
          <w:tcPr>
            <w:tcW w:w="2804" w:type="dxa"/>
            <w:vAlign w:val="center"/>
          </w:tcPr>
          <w:p w14:paraId="0CEF7FD9">
            <w:pPr>
              <w:spacing w:line="360" w:lineRule="auto"/>
              <w:jc w:val="center"/>
              <w:rPr>
                <w:rFonts w:hint="eastAsia" w:ascii="宋体" w:hAnsi="宋体" w:cs="宋体"/>
                <w:sz w:val="24"/>
              </w:rPr>
            </w:pPr>
            <w:r>
              <w:rPr>
                <w:rFonts w:hint="eastAsia" w:ascii="宋体" w:hAnsi="宋体" w:cs="宋体"/>
                <w:sz w:val="24"/>
              </w:rPr>
              <w:t>工程师</w:t>
            </w:r>
          </w:p>
        </w:tc>
      </w:tr>
      <w:tr w14:paraId="44CA2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0" w:type="dxa"/>
            <w:vAlign w:val="center"/>
          </w:tcPr>
          <w:p w14:paraId="6D5B5812">
            <w:pPr>
              <w:spacing w:line="360" w:lineRule="auto"/>
              <w:jc w:val="center"/>
              <w:rPr>
                <w:rFonts w:hint="eastAsia" w:ascii="宋体" w:hAnsi="宋体" w:cs="宋体"/>
                <w:sz w:val="24"/>
              </w:rPr>
            </w:pPr>
            <w:r>
              <w:rPr>
                <w:rFonts w:hint="eastAsia" w:ascii="宋体" w:hAnsi="宋体" w:cs="宋体"/>
                <w:sz w:val="24"/>
              </w:rPr>
              <w:t>现场-更换故障设备</w:t>
            </w:r>
          </w:p>
        </w:tc>
        <w:tc>
          <w:tcPr>
            <w:tcW w:w="1490" w:type="dxa"/>
            <w:vAlign w:val="center"/>
          </w:tcPr>
          <w:p w14:paraId="644EAA71">
            <w:pPr>
              <w:spacing w:line="360" w:lineRule="auto"/>
              <w:jc w:val="center"/>
              <w:rPr>
                <w:rFonts w:hint="eastAsia" w:ascii="宋体" w:hAnsi="宋体" w:cs="宋体"/>
                <w:sz w:val="24"/>
              </w:rPr>
            </w:pPr>
            <w:r>
              <w:rPr>
                <w:rFonts w:hint="eastAsia" w:ascii="宋体" w:hAnsi="宋体" w:cs="宋体"/>
                <w:sz w:val="24"/>
              </w:rPr>
              <w:t>3～6小时</w:t>
            </w:r>
          </w:p>
        </w:tc>
        <w:tc>
          <w:tcPr>
            <w:tcW w:w="1961" w:type="dxa"/>
            <w:vAlign w:val="center"/>
          </w:tcPr>
          <w:p w14:paraId="38ED8D4A">
            <w:pPr>
              <w:spacing w:line="360" w:lineRule="auto"/>
              <w:jc w:val="center"/>
              <w:rPr>
                <w:rFonts w:hint="eastAsia" w:ascii="宋体" w:hAnsi="宋体" w:cs="宋体"/>
                <w:sz w:val="24"/>
              </w:rPr>
            </w:pPr>
            <w:r>
              <w:rPr>
                <w:rFonts w:hint="eastAsia" w:ascii="宋体" w:hAnsi="宋体" w:cs="宋体"/>
                <w:sz w:val="24"/>
              </w:rPr>
              <w:t>2</w:t>
            </w:r>
          </w:p>
        </w:tc>
        <w:tc>
          <w:tcPr>
            <w:tcW w:w="2804" w:type="dxa"/>
            <w:vAlign w:val="center"/>
          </w:tcPr>
          <w:p w14:paraId="0C521A5D">
            <w:pPr>
              <w:spacing w:line="360" w:lineRule="auto"/>
              <w:jc w:val="center"/>
              <w:rPr>
                <w:rFonts w:hint="eastAsia" w:ascii="宋体" w:hAnsi="宋体" w:cs="宋体"/>
                <w:b/>
                <w:sz w:val="24"/>
              </w:rPr>
            </w:pPr>
            <w:r>
              <w:rPr>
                <w:rFonts w:hint="eastAsia" w:ascii="宋体" w:hAnsi="宋体" w:cs="宋体"/>
                <w:sz w:val="24"/>
              </w:rPr>
              <w:t>工程师</w:t>
            </w:r>
          </w:p>
        </w:tc>
      </w:tr>
      <w:tr w14:paraId="2B3E8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0" w:type="dxa"/>
            <w:vAlign w:val="center"/>
          </w:tcPr>
          <w:p w14:paraId="1AC9188B">
            <w:pPr>
              <w:spacing w:line="360" w:lineRule="auto"/>
              <w:jc w:val="center"/>
              <w:rPr>
                <w:rFonts w:hint="eastAsia" w:ascii="宋体" w:hAnsi="宋体" w:cs="宋体"/>
                <w:sz w:val="24"/>
              </w:rPr>
            </w:pPr>
            <w:r>
              <w:rPr>
                <w:rFonts w:hint="eastAsia" w:ascii="宋体" w:hAnsi="宋体" w:cs="宋体"/>
                <w:sz w:val="24"/>
              </w:rPr>
              <w:t>现场-判断并处理故障</w:t>
            </w:r>
          </w:p>
        </w:tc>
        <w:tc>
          <w:tcPr>
            <w:tcW w:w="1490" w:type="dxa"/>
            <w:vAlign w:val="center"/>
          </w:tcPr>
          <w:p w14:paraId="2FBF5AA6">
            <w:pPr>
              <w:spacing w:line="360" w:lineRule="auto"/>
              <w:jc w:val="center"/>
              <w:rPr>
                <w:rFonts w:hint="eastAsia" w:ascii="宋体" w:hAnsi="宋体" w:cs="宋体"/>
                <w:sz w:val="24"/>
              </w:rPr>
            </w:pPr>
            <w:r>
              <w:rPr>
                <w:rFonts w:hint="eastAsia" w:ascii="宋体" w:hAnsi="宋体" w:cs="宋体"/>
                <w:sz w:val="24"/>
              </w:rPr>
              <w:t>3～12小时</w:t>
            </w:r>
          </w:p>
        </w:tc>
        <w:tc>
          <w:tcPr>
            <w:tcW w:w="1961" w:type="dxa"/>
            <w:vAlign w:val="center"/>
          </w:tcPr>
          <w:p w14:paraId="5B055716">
            <w:pPr>
              <w:spacing w:line="360" w:lineRule="auto"/>
              <w:jc w:val="center"/>
              <w:rPr>
                <w:rFonts w:hint="eastAsia" w:ascii="宋体" w:hAnsi="宋体" w:cs="宋体"/>
                <w:sz w:val="24"/>
              </w:rPr>
            </w:pPr>
            <w:r>
              <w:rPr>
                <w:rFonts w:hint="eastAsia" w:ascii="宋体" w:hAnsi="宋体" w:cs="宋体"/>
                <w:sz w:val="24"/>
              </w:rPr>
              <w:t>2</w:t>
            </w:r>
          </w:p>
        </w:tc>
        <w:tc>
          <w:tcPr>
            <w:tcW w:w="2804" w:type="dxa"/>
            <w:vAlign w:val="center"/>
          </w:tcPr>
          <w:p w14:paraId="76EADD73">
            <w:pPr>
              <w:spacing w:line="360" w:lineRule="auto"/>
              <w:jc w:val="center"/>
              <w:rPr>
                <w:rFonts w:hint="eastAsia" w:ascii="宋体" w:hAnsi="宋体" w:cs="宋体"/>
                <w:sz w:val="24"/>
              </w:rPr>
            </w:pPr>
            <w:r>
              <w:rPr>
                <w:rFonts w:hint="eastAsia" w:ascii="宋体" w:hAnsi="宋体" w:cs="宋体"/>
                <w:sz w:val="24"/>
              </w:rPr>
              <w:t>工程师</w:t>
            </w:r>
          </w:p>
        </w:tc>
      </w:tr>
      <w:tr w14:paraId="66D81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85" w:type="dxa"/>
            <w:gridSpan w:val="4"/>
            <w:vAlign w:val="center"/>
          </w:tcPr>
          <w:p w14:paraId="19803759">
            <w:pPr>
              <w:spacing w:line="360" w:lineRule="auto"/>
              <w:jc w:val="center"/>
              <w:rPr>
                <w:rFonts w:hint="eastAsia" w:ascii="宋体" w:hAnsi="宋体" w:cs="宋体"/>
                <w:sz w:val="24"/>
              </w:rPr>
            </w:pPr>
            <w:r>
              <w:rPr>
                <w:rFonts w:hint="eastAsia" w:ascii="宋体" w:hAnsi="宋体" w:cs="宋体"/>
                <w:sz w:val="24"/>
              </w:rPr>
              <w:t>二、与维护单位间详细的工作界面及责任划分</w:t>
            </w:r>
          </w:p>
        </w:tc>
      </w:tr>
      <w:tr w14:paraId="78C6E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8" w:hRule="atLeast"/>
          <w:jc w:val="center"/>
        </w:trPr>
        <w:tc>
          <w:tcPr>
            <w:tcW w:w="9185" w:type="dxa"/>
            <w:gridSpan w:val="4"/>
            <w:vAlign w:val="center"/>
          </w:tcPr>
          <w:p w14:paraId="0AB2CE8D">
            <w:pPr>
              <w:pStyle w:val="125"/>
              <w:widowControl w:val="0"/>
              <w:adjustRightInd w:val="0"/>
              <w:snapToGrid w:val="0"/>
              <w:spacing w:before="0" w:after="0" w:line="360" w:lineRule="auto"/>
              <w:ind w:firstLine="0" w:firstLineChars="0"/>
              <w:jc w:val="both"/>
              <w:rPr>
                <w:rFonts w:hint="eastAsia" w:hAnsi="宋体" w:cs="宋体"/>
                <w:spacing w:val="0"/>
                <w:w w:val="100"/>
                <w:sz w:val="24"/>
                <w:szCs w:val="24"/>
              </w:rPr>
            </w:pPr>
            <w:r>
              <w:rPr>
                <w:rFonts w:hint="eastAsia" w:hAnsi="宋体" w:cs="宋体"/>
                <w:spacing w:val="0"/>
                <w:w w:val="100"/>
                <w:sz w:val="24"/>
                <w:szCs w:val="24"/>
              </w:rPr>
              <w:t>（1）远程支持服务</w:t>
            </w:r>
          </w:p>
          <w:p w14:paraId="08AABC76">
            <w:pPr>
              <w:pStyle w:val="125"/>
              <w:widowControl w:val="0"/>
              <w:adjustRightInd w:val="0"/>
              <w:snapToGrid w:val="0"/>
              <w:spacing w:before="0" w:after="0" w:line="360" w:lineRule="auto"/>
              <w:ind w:firstLine="0" w:firstLineChars="0"/>
              <w:jc w:val="both"/>
              <w:rPr>
                <w:rFonts w:hint="eastAsia" w:hAnsi="宋体" w:cs="宋体"/>
                <w:spacing w:val="0"/>
                <w:w w:val="100"/>
                <w:sz w:val="24"/>
                <w:szCs w:val="24"/>
              </w:rPr>
            </w:pPr>
            <w:r>
              <w:rPr>
                <w:rFonts w:hint="eastAsia" w:hAnsi="宋体" w:cs="宋体"/>
                <w:spacing w:val="0"/>
                <w:w w:val="100"/>
                <w:sz w:val="24"/>
                <w:szCs w:val="24"/>
              </w:rPr>
              <w:t>远程支持服务是指向用户提供关于设备设备日常操作维护的咨询和非紧急情况下的故障处理。服务热线提供7×24小时服务。远程支持服务内容为：</w:t>
            </w:r>
          </w:p>
          <w:p w14:paraId="190CA80D">
            <w:pPr>
              <w:pStyle w:val="125"/>
              <w:widowControl w:val="0"/>
              <w:adjustRightInd w:val="0"/>
              <w:snapToGrid w:val="0"/>
              <w:spacing w:before="0" w:after="0" w:line="360" w:lineRule="auto"/>
              <w:ind w:firstLine="0" w:firstLineChars="0"/>
              <w:jc w:val="both"/>
              <w:rPr>
                <w:rFonts w:hint="eastAsia" w:hAnsi="宋体" w:cs="宋体"/>
                <w:spacing w:val="0"/>
                <w:w w:val="100"/>
                <w:sz w:val="24"/>
                <w:szCs w:val="24"/>
              </w:rPr>
            </w:pPr>
            <w:r>
              <w:rPr>
                <w:rFonts w:hint="eastAsia" w:hAnsi="宋体" w:cs="宋体"/>
                <w:spacing w:val="0"/>
                <w:w w:val="100"/>
                <w:sz w:val="24"/>
                <w:szCs w:val="24"/>
              </w:rPr>
              <w:t>一般系统咨询；</w:t>
            </w:r>
          </w:p>
          <w:p w14:paraId="1597C282">
            <w:pPr>
              <w:pStyle w:val="125"/>
              <w:widowControl w:val="0"/>
              <w:adjustRightInd w:val="0"/>
              <w:snapToGrid w:val="0"/>
              <w:spacing w:before="0" w:after="0" w:line="360" w:lineRule="auto"/>
              <w:ind w:firstLine="0" w:firstLineChars="0"/>
              <w:jc w:val="both"/>
              <w:rPr>
                <w:rFonts w:hint="eastAsia" w:hAnsi="宋体" w:cs="宋体"/>
                <w:spacing w:val="0"/>
                <w:w w:val="100"/>
                <w:sz w:val="24"/>
                <w:szCs w:val="24"/>
              </w:rPr>
            </w:pPr>
            <w:r>
              <w:rPr>
                <w:rFonts w:hint="eastAsia" w:hAnsi="宋体" w:cs="宋体"/>
                <w:spacing w:val="0"/>
                <w:w w:val="100"/>
                <w:sz w:val="24"/>
                <w:szCs w:val="24"/>
              </w:rPr>
              <w:t>产品咨询；</w:t>
            </w:r>
          </w:p>
          <w:p w14:paraId="7A0DA926">
            <w:pPr>
              <w:pStyle w:val="125"/>
              <w:widowControl w:val="0"/>
              <w:adjustRightInd w:val="0"/>
              <w:snapToGrid w:val="0"/>
              <w:spacing w:before="0" w:after="0" w:line="360" w:lineRule="auto"/>
              <w:ind w:firstLine="0" w:firstLineChars="0"/>
              <w:jc w:val="both"/>
              <w:rPr>
                <w:rFonts w:hint="eastAsia" w:hAnsi="宋体" w:cs="宋体"/>
                <w:spacing w:val="0"/>
                <w:w w:val="100"/>
                <w:sz w:val="24"/>
                <w:szCs w:val="24"/>
              </w:rPr>
            </w:pPr>
            <w:r>
              <w:rPr>
                <w:rFonts w:hint="eastAsia" w:hAnsi="宋体" w:cs="宋体"/>
                <w:spacing w:val="0"/>
                <w:w w:val="100"/>
                <w:sz w:val="24"/>
                <w:szCs w:val="24"/>
              </w:rPr>
              <w:t>硬件咨询；</w:t>
            </w:r>
          </w:p>
          <w:p w14:paraId="791F1249">
            <w:pPr>
              <w:pStyle w:val="125"/>
              <w:widowControl w:val="0"/>
              <w:adjustRightInd w:val="0"/>
              <w:snapToGrid w:val="0"/>
              <w:spacing w:before="0" w:after="0" w:line="360" w:lineRule="auto"/>
              <w:ind w:firstLine="0" w:firstLineChars="0"/>
              <w:jc w:val="both"/>
              <w:rPr>
                <w:rFonts w:hint="eastAsia" w:hAnsi="宋体" w:cs="宋体"/>
                <w:spacing w:val="0"/>
                <w:w w:val="100"/>
                <w:sz w:val="24"/>
                <w:szCs w:val="24"/>
              </w:rPr>
            </w:pPr>
            <w:r>
              <w:rPr>
                <w:rFonts w:hint="eastAsia" w:hAnsi="宋体" w:cs="宋体"/>
                <w:spacing w:val="0"/>
                <w:w w:val="100"/>
                <w:sz w:val="24"/>
                <w:szCs w:val="24"/>
              </w:rPr>
              <w:t>软件咨询；</w:t>
            </w:r>
          </w:p>
          <w:p w14:paraId="380D618C">
            <w:pPr>
              <w:pStyle w:val="125"/>
              <w:widowControl w:val="0"/>
              <w:adjustRightInd w:val="0"/>
              <w:snapToGrid w:val="0"/>
              <w:spacing w:before="0" w:after="0" w:line="360" w:lineRule="auto"/>
              <w:ind w:firstLine="0" w:firstLineChars="0"/>
              <w:jc w:val="both"/>
              <w:rPr>
                <w:rFonts w:hint="eastAsia" w:hAnsi="宋体" w:cs="宋体"/>
                <w:spacing w:val="0"/>
                <w:w w:val="100"/>
                <w:sz w:val="24"/>
                <w:szCs w:val="24"/>
              </w:rPr>
            </w:pPr>
            <w:r>
              <w:rPr>
                <w:rFonts w:hint="eastAsia" w:hAnsi="宋体" w:cs="宋体"/>
                <w:spacing w:val="0"/>
                <w:w w:val="100"/>
                <w:sz w:val="24"/>
                <w:szCs w:val="24"/>
              </w:rPr>
              <w:t>数据咨询；</w:t>
            </w:r>
          </w:p>
          <w:p w14:paraId="74640868">
            <w:pPr>
              <w:pStyle w:val="125"/>
              <w:widowControl w:val="0"/>
              <w:adjustRightInd w:val="0"/>
              <w:snapToGrid w:val="0"/>
              <w:spacing w:before="0" w:after="0" w:line="360" w:lineRule="auto"/>
              <w:ind w:firstLine="0" w:firstLineChars="0"/>
              <w:jc w:val="both"/>
              <w:rPr>
                <w:rFonts w:hint="eastAsia" w:hAnsi="宋体" w:cs="宋体"/>
                <w:spacing w:val="0"/>
                <w:w w:val="100"/>
                <w:sz w:val="24"/>
                <w:szCs w:val="24"/>
              </w:rPr>
            </w:pPr>
            <w:r>
              <w:rPr>
                <w:rFonts w:hint="eastAsia" w:hAnsi="宋体" w:cs="宋体"/>
                <w:spacing w:val="0"/>
                <w:w w:val="100"/>
                <w:sz w:val="24"/>
                <w:szCs w:val="24"/>
              </w:rPr>
              <w:t>获取资料。</w:t>
            </w:r>
          </w:p>
          <w:p w14:paraId="3CA361BC">
            <w:pPr>
              <w:pStyle w:val="125"/>
              <w:widowControl w:val="0"/>
              <w:adjustRightInd w:val="0"/>
              <w:snapToGrid w:val="0"/>
              <w:spacing w:before="0" w:after="0" w:line="360" w:lineRule="auto"/>
              <w:ind w:firstLine="0" w:firstLineChars="0"/>
              <w:jc w:val="both"/>
              <w:rPr>
                <w:rFonts w:hint="eastAsia" w:hAnsi="宋体" w:cs="宋体"/>
                <w:spacing w:val="0"/>
                <w:w w:val="100"/>
                <w:sz w:val="24"/>
                <w:szCs w:val="24"/>
              </w:rPr>
            </w:pPr>
            <w:r>
              <w:rPr>
                <w:rFonts w:hint="eastAsia" w:hAnsi="宋体" w:cs="宋体"/>
                <w:spacing w:val="0"/>
                <w:w w:val="100"/>
                <w:sz w:val="24"/>
                <w:szCs w:val="24"/>
              </w:rPr>
              <w:t>（2）现场支持服务</w:t>
            </w:r>
          </w:p>
          <w:p w14:paraId="62E94F1F">
            <w:pPr>
              <w:pStyle w:val="125"/>
              <w:widowControl w:val="0"/>
              <w:adjustRightInd w:val="0"/>
              <w:snapToGrid w:val="0"/>
              <w:spacing w:before="0" w:after="0" w:line="360" w:lineRule="auto"/>
              <w:ind w:firstLine="0" w:firstLineChars="0"/>
              <w:jc w:val="both"/>
              <w:rPr>
                <w:rFonts w:hint="eastAsia" w:hAnsi="宋体" w:cs="宋体"/>
                <w:spacing w:val="0"/>
                <w:w w:val="100"/>
                <w:sz w:val="24"/>
                <w:szCs w:val="24"/>
              </w:rPr>
            </w:pPr>
            <w:r>
              <w:rPr>
                <w:rFonts w:hint="eastAsia" w:hAnsi="宋体" w:cs="宋体"/>
                <w:spacing w:val="0"/>
                <w:w w:val="100"/>
                <w:sz w:val="24"/>
                <w:szCs w:val="24"/>
              </w:rPr>
              <w:t>现场支持是指用户通过电话或传真等方式寻求技术支持和帮助，在经过双方商议确定需要进行现场支持的情况下，经验丰富的工程师将赴现场提供现场支持服务。</w:t>
            </w:r>
          </w:p>
          <w:p w14:paraId="2B8D52B2">
            <w:pPr>
              <w:pStyle w:val="125"/>
              <w:widowControl w:val="0"/>
              <w:adjustRightInd w:val="0"/>
              <w:snapToGrid w:val="0"/>
              <w:spacing w:before="0" w:after="0" w:line="360" w:lineRule="auto"/>
              <w:ind w:firstLine="0" w:firstLineChars="0"/>
              <w:jc w:val="both"/>
              <w:rPr>
                <w:rFonts w:hint="eastAsia" w:hAnsi="宋体" w:cs="宋体"/>
                <w:spacing w:val="0"/>
                <w:w w:val="100"/>
                <w:sz w:val="24"/>
                <w:szCs w:val="24"/>
              </w:rPr>
            </w:pPr>
            <w:r>
              <w:rPr>
                <w:rFonts w:hint="eastAsia" w:hAnsi="宋体" w:cs="宋体"/>
                <w:spacing w:val="0"/>
                <w:w w:val="100"/>
                <w:sz w:val="24"/>
                <w:szCs w:val="24"/>
              </w:rPr>
              <w:t>现场处理用户故障，通过部件的维修或更换等措施将系统在最短时间内修复。</w:t>
            </w:r>
          </w:p>
          <w:p w14:paraId="67AA48DC">
            <w:pPr>
              <w:pStyle w:val="125"/>
              <w:widowControl w:val="0"/>
              <w:adjustRightInd w:val="0"/>
              <w:snapToGrid w:val="0"/>
              <w:spacing w:before="0" w:after="0" w:line="360" w:lineRule="auto"/>
              <w:ind w:firstLine="0" w:firstLineChars="0"/>
              <w:jc w:val="both"/>
              <w:rPr>
                <w:rFonts w:hint="eastAsia" w:hAnsi="宋体" w:cs="宋体"/>
                <w:spacing w:val="0"/>
                <w:w w:val="100"/>
                <w:sz w:val="24"/>
                <w:szCs w:val="24"/>
              </w:rPr>
            </w:pPr>
            <w:r>
              <w:rPr>
                <w:rFonts w:hint="eastAsia" w:hAnsi="宋体" w:cs="宋体"/>
                <w:spacing w:val="0"/>
                <w:w w:val="100"/>
                <w:sz w:val="24"/>
                <w:szCs w:val="24"/>
              </w:rPr>
              <w:t>根据不同故障级别，现场支持服务要求如下：</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1"/>
              <w:gridCol w:w="3045"/>
              <w:gridCol w:w="1575"/>
              <w:gridCol w:w="3487"/>
            </w:tblGrid>
            <w:tr w14:paraId="09168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blHeader/>
                <w:jc w:val="center"/>
              </w:trPr>
              <w:tc>
                <w:tcPr>
                  <w:tcW w:w="1211" w:type="dxa"/>
                  <w:vAlign w:val="center"/>
                </w:tcPr>
                <w:p w14:paraId="0ABA03BB">
                  <w:pPr>
                    <w:spacing w:line="360" w:lineRule="auto"/>
                    <w:ind w:firstLine="24" w:firstLineChars="10"/>
                    <w:rPr>
                      <w:rFonts w:hint="eastAsia" w:ascii="宋体" w:hAnsi="宋体" w:cs="宋体"/>
                      <w:sz w:val="24"/>
                      <w:lang w:val="fr-FR"/>
                    </w:rPr>
                  </w:pPr>
                  <w:r>
                    <w:rPr>
                      <w:rFonts w:hint="eastAsia" w:ascii="宋体" w:hAnsi="宋体" w:cs="宋体"/>
                      <w:sz w:val="24"/>
                      <w:lang w:val="fr-FR"/>
                    </w:rPr>
                    <w:t>级别</w:t>
                  </w:r>
                </w:p>
              </w:tc>
              <w:tc>
                <w:tcPr>
                  <w:tcW w:w="3045" w:type="dxa"/>
                  <w:vAlign w:val="center"/>
                </w:tcPr>
                <w:p w14:paraId="1D2DCE50">
                  <w:pPr>
                    <w:spacing w:line="360" w:lineRule="auto"/>
                    <w:ind w:firstLine="24" w:firstLineChars="10"/>
                    <w:rPr>
                      <w:rFonts w:hint="eastAsia" w:ascii="宋体" w:hAnsi="宋体" w:cs="宋体"/>
                      <w:sz w:val="24"/>
                      <w:lang w:val="fr-FR"/>
                    </w:rPr>
                  </w:pPr>
                  <w:r>
                    <w:rPr>
                      <w:rFonts w:hint="eastAsia" w:ascii="宋体" w:hAnsi="宋体" w:cs="宋体"/>
                      <w:sz w:val="24"/>
                      <w:lang w:val="fr-FR"/>
                    </w:rPr>
                    <w:t>具体现象</w:t>
                  </w:r>
                </w:p>
              </w:tc>
              <w:tc>
                <w:tcPr>
                  <w:tcW w:w="1575" w:type="dxa"/>
                  <w:vAlign w:val="center"/>
                </w:tcPr>
                <w:p w14:paraId="0150A171">
                  <w:pPr>
                    <w:spacing w:line="360" w:lineRule="auto"/>
                    <w:ind w:firstLine="24" w:firstLineChars="10"/>
                    <w:rPr>
                      <w:rFonts w:hint="eastAsia" w:ascii="宋体" w:hAnsi="宋体" w:cs="宋体"/>
                      <w:sz w:val="24"/>
                      <w:lang w:val="fr-FR"/>
                    </w:rPr>
                  </w:pPr>
                  <w:r>
                    <w:rPr>
                      <w:rFonts w:hint="eastAsia" w:ascii="宋体" w:hAnsi="宋体" w:cs="宋体"/>
                      <w:sz w:val="24"/>
                      <w:lang w:val="fr-FR"/>
                    </w:rPr>
                    <w:t>到达现场时间</w:t>
                  </w:r>
                </w:p>
              </w:tc>
              <w:tc>
                <w:tcPr>
                  <w:tcW w:w="3487" w:type="dxa"/>
                  <w:vAlign w:val="center"/>
                </w:tcPr>
                <w:p w14:paraId="0D4E1F61">
                  <w:pPr>
                    <w:spacing w:line="360" w:lineRule="auto"/>
                    <w:ind w:firstLine="24" w:firstLineChars="10"/>
                    <w:rPr>
                      <w:rFonts w:hint="eastAsia" w:ascii="宋体" w:hAnsi="宋体" w:cs="宋体"/>
                      <w:sz w:val="24"/>
                      <w:lang w:val="fr-FR"/>
                    </w:rPr>
                  </w:pPr>
                  <w:r>
                    <w:rPr>
                      <w:rFonts w:hint="eastAsia" w:ascii="宋体" w:hAnsi="宋体" w:cs="宋体"/>
                      <w:sz w:val="24"/>
                      <w:lang w:val="fr-FR"/>
                    </w:rPr>
                    <w:t>解决方案</w:t>
                  </w:r>
                </w:p>
              </w:tc>
            </w:tr>
            <w:tr w14:paraId="335EF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jc w:val="center"/>
              </w:trPr>
              <w:tc>
                <w:tcPr>
                  <w:tcW w:w="1211" w:type="dxa"/>
                  <w:vAlign w:val="center"/>
                </w:tcPr>
                <w:p w14:paraId="419E3097">
                  <w:pPr>
                    <w:spacing w:line="360" w:lineRule="auto"/>
                    <w:ind w:firstLine="24" w:firstLineChars="10"/>
                    <w:rPr>
                      <w:rFonts w:hint="eastAsia" w:ascii="宋体" w:hAnsi="宋体" w:cs="宋体"/>
                      <w:sz w:val="24"/>
                      <w:lang w:val="fr-FR"/>
                    </w:rPr>
                  </w:pPr>
                  <w:r>
                    <w:rPr>
                      <w:rFonts w:hint="eastAsia" w:ascii="宋体" w:hAnsi="宋体" w:cs="宋体"/>
                      <w:sz w:val="24"/>
                      <w:lang w:val="fr-FR"/>
                    </w:rPr>
                    <w:t>一级故障</w:t>
                  </w:r>
                </w:p>
              </w:tc>
              <w:tc>
                <w:tcPr>
                  <w:tcW w:w="3045" w:type="dxa"/>
                  <w:vAlign w:val="center"/>
                </w:tcPr>
                <w:p w14:paraId="6CBAECFA">
                  <w:pPr>
                    <w:spacing w:line="360" w:lineRule="auto"/>
                    <w:ind w:firstLine="24" w:firstLineChars="10"/>
                    <w:rPr>
                      <w:rFonts w:hint="eastAsia" w:ascii="宋体" w:hAnsi="宋体" w:cs="宋体"/>
                      <w:sz w:val="24"/>
                      <w:lang w:val="fr-FR"/>
                    </w:rPr>
                  </w:pPr>
                  <w:r>
                    <w:rPr>
                      <w:rFonts w:hint="eastAsia" w:ascii="宋体" w:hAnsi="宋体" w:cs="宋体"/>
                      <w:bCs/>
                      <w:sz w:val="24"/>
                    </w:rPr>
                    <w:t>整个系统处于完全瘫痪状态，不能运行</w:t>
                  </w:r>
                </w:p>
              </w:tc>
              <w:tc>
                <w:tcPr>
                  <w:tcW w:w="1575" w:type="dxa"/>
                  <w:vAlign w:val="center"/>
                </w:tcPr>
                <w:p w14:paraId="5A222C5A">
                  <w:pPr>
                    <w:spacing w:line="360" w:lineRule="auto"/>
                    <w:ind w:firstLine="24" w:firstLineChars="10"/>
                    <w:rPr>
                      <w:rFonts w:hint="eastAsia" w:ascii="宋体" w:hAnsi="宋体" w:cs="宋体"/>
                      <w:sz w:val="24"/>
                      <w:lang w:val="fr-FR"/>
                    </w:rPr>
                  </w:pPr>
                  <w:r>
                    <w:rPr>
                      <w:rFonts w:hint="eastAsia" w:ascii="宋体" w:hAnsi="宋体" w:cs="宋体"/>
                      <w:bCs/>
                      <w:sz w:val="24"/>
                    </w:rPr>
                    <w:t>3-6小时</w:t>
                  </w:r>
                </w:p>
              </w:tc>
              <w:tc>
                <w:tcPr>
                  <w:tcW w:w="3487" w:type="dxa"/>
                  <w:vAlign w:val="center"/>
                </w:tcPr>
                <w:p w14:paraId="6C0C6A82">
                  <w:pPr>
                    <w:spacing w:line="360" w:lineRule="auto"/>
                    <w:ind w:firstLine="24" w:firstLineChars="10"/>
                    <w:rPr>
                      <w:rFonts w:hint="eastAsia" w:ascii="宋体" w:hAnsi="宋体" w:cs="宋体"/>
                      <w:sz w:val="24"/>
                      <w:lang w:val="fr-FR"/>
                    </w:rPr>
                  </w:pPr>
                  <w:r>
                    <w:rPr>
                      <w:rFonts w:hint="eastAsia" w:ascii="宋体" w:hAnsi="宋体" w:cs="宋体"/>
                      <w:bCs/>
                      <w:sz w:val="24"/>
                    </w:rPr>
                    <w:t>我方迅速及时到达故障现场处理故障。如果不能够定位故障原因，将协调派出资深的专家组奔赴现场。</w:t>
                  </w:r>
                </w:p>
              </w:tc>
            </w:tr>
            <w:tr w14:paraId="30754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jc w:val="center"/>
              </w:trPr>
              <w:tc>
                <w:tcPr>
                  <w:tcW w:w="1211" w:type="dxa"/>
                  <w:vAlign w:val="center"/>
                </w:tcPr>
                <w:p w14:paraId="5DABDC9A">
                  <w:pPr>
                    <w:spacing w:line="360" w:lineRule="auto"/>
                    <w:ind w:firstLine="24" w:firstLineChars="10"/>
                    <w:rPr>
                      <w:rFonts w:hint="eastAsia" w:ascii="宋体" w:hAnsi="宋体" w:cs="宋体"/>
                      <w:sz w:val="24"/>
                      <w:lang w:val="fr-FR"/>
                    </w:rPr>
                  </w:pPr>
                  <w:r>
                    <w:rPr>
                      <w:rFonts w:hint="eastAsia" w:ascii="宋体" w:hAnsi="宋体" w:cs="宋体"/>
                      <w:sz w:val="24"/>
                      <w:lang w:val="fr-FR"/>
                    </w:rPr>
                    <w:t>二级故障</w:t>
                  </w:r>
                </w:p>
              </w:tc>
              <w:tc>
                <w:tcPr>
                  <w:tcW w:w="3045" w:type="dxa"/>
                  <w:vAlign w:val="center"/>
                </w:tcPr>
                <w:p w14:paraId="253AE0E8">
                  <w:pPr>
                    <w:spacing w:line="360" w:lineRule="auto"/>
                    <w:ind w:firstLine="24" w:firstLineChars="10"/>
                    <w:rPr>
                      <w:rFonts w:hint="eastAsia" w:ascii="宋体" w:hAnsi="宋体" w:cs="宋体"/>
                      <w:sz w:val="24"/>
                      <w:lang w:val="fr-FR"/>
                    </w:rPr>
                  </w:pPr>
                  <w:r>
                    <w:rPr>
                      <w:rFonts w:hint="eastAsia" w:ascii="宋体" w:hAnsi="宋体" w:cs="宋体"/>
                      <w:bCs/>
                      <w:sz w:val="24"/>
                    </w:rPr>
                    <w:t>系统性能严重下降：包括网络性能明显下降、设备出现故障或软件系统出现非瘫痪性错误等，客户业务运作受到严重影响。</w:t>
                  </w:r>
                </w:p>
              </w:tc>
              <w:tc>
                <w:tcPr>
                  <w:tcW w:w="1575" w:type="dxa"/>
                  <w:vAlign w:val="center"/>
                </w:tcPr>
                <w:p w14:paraId="5ED2D967">
                  <w:pPr>
                    <w:spacing w:line="360" w:lineRule="auto"/>
                    <w:ind w:firstLine="24" w:firstLineChars="10"/>
                    <w:rPr>
                      <w:rFonts w:hint="eastAsia" w:ascii="宋体" w:hAnsi="宋体" w:cs="宋体"/>
                      <w:sz w:val="24"/>
                      <w:lang w:val="fr-FR"/>
                    </w:rPr>
                  </w:pPr>
                  <w:r>
                    <w:rPr>
                      <w:rFonts w:hint="eastAsia" w:ascii="宋体" w:hAnsi="宋体" w:cs="宋体"/>
                      <w:sz w:val="24"/>
                    </w:rPr>
                    <w:t>8</w:t>
                  </w:r>
                  <w:r>
                    <w:rPr>
                      <w:rFonts w:hint="eastAsia" w:ascii="宋体" w:hAnsi="宋体" w:cs="宋体"/>
                      <w:sz w:val="24"/>
                      <w:lang w:val="fr-FR"/>
                    </w:rPr>
                    <w:t>小时</w:t>
                  </w:r>
                </w:p>
              </w:tc>
              <w:tc>
                <w:tcPr>
                  <w:tcW w:w="3487" w:type="dxa"/>
                  <w:vAlign w:val="center"/>
                </w:tcPr>
                <w:p w14:paraId="59EB3C4D">
                  <w:pPr>
                    <w:spacing w:line="360" w:lineRule="auto"/>
                    <w:ind w:firstLine="24" w:firstLineChars="10"/>
                    <w:rPr>
                      <w:rFonts w:hint="eastAsia" w:ascii="宋体" w:hAnsi="宋体" w:cs="宋体"/>
                      <w:sz w:val="24"/>
                      <w:lang w:val="fr-FR"/>
                    </w:rPr>
                  </w:pPr>
                  <w:r>
                    <w:rPr>
                      <w:rFonts w:hint="eastAsia" w:ascii="宋体" w:hAnsi="宋体" w:cs="宋体"/>
                      <w:bCs/>
                      <w:sz w:val="24"/>
                    </w:rPr>
                    <w:t>我方迅速到达故障现场处理故障，并提供全面的设备运行报告和故障现象。</w:t>
                  </w:r>
                </w:p>
              </w:tc>
            </w:tr>
            <w:tr w14:paraId="18299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1211" w:type="dxa"/>
                  <w:vAlign w:val="center"/>
                </w:tcPr>
                <w:p w14:paraId="1E4FE6DA">
                  <w:pPr>
                    <w:spacing w:line="360" w:lineRule="auto"/>
                    <w:ind w:firstLine="24" w:firstLineChars="10"/>
                    <w:rPr>
                      <w:rFonts w:hint="eastAsia" w:ascii="宋体" w:hAnsi="宋体" w:cs="宋体"/>
                      <w:sz w:val="24"/>
                      <w:lang w:val="fr-FR"/>
                    </w:rPr>
                  </w:pPr>
                  <w:r>
                    <w:rPr>
                      <w:rFonts w:hint="eastAsia" w:ascii="宋体" w:hAnsi="宋体" w:cs="宋体"/>
                      <w:sz w:val="24"/>
                      <w:lang w:val="fr-FR"/>
                    </w:rPr>
                    <w:t>三级故障</w:t>
                  </w:r>
                </w:p>
              </w:tc>
              <w:tc>
                <w:tcPr>
                  <w:tcW w:w="3045" w:type="dxa"/>
                  <w:vAlign w:val="center"/>
                </w:tcPr>
                <w:p w14:paraId="7A580432">
                  <w:pPr>
                    <w:spacing w:line="360" w:lineRule="auto"/>
                    <w:ind w:firstLine="24" w:firstLineChars="10"/>
                    <w:rPr>
                      <w:rFonts w:hint="eastAsia" w:ascii="宋体" w:hAnsi="宋体" w:cs="宋体"/>
                      <w:sz w:val="24"/>
                      <w:lang w:val="fr-FR"/>
                    </w:rPr>
                  </w:pPr>
                  <w:r>
                    <w:rPr>
                      <w:rFonts w:hint="eastAsia" w:ascii="宋体" w:hAnsi="宋体" w:cs="宋体"/>
                      <w:bCs/>
                      <w:sz w:val="24"/>
                    </w:rPr>
                    <w:t>系统部分设备或者软件出现故障，但整个系统仍可正常运行，客户业务运作受到一定影响。</w:t>
                  </w:r>
                </w:p>
              </w:tc>
              <w:tc>
                <w:tcPr>
                  <w:tcW w:w="1575" w:type="dxa"/>
                  <w:vAlign w:val="center"/>
                </w:tcPr>
                <w:p w14:paraId="1DA5EB8D">
                  <w:pPr>
                    <w:spacing w:line="360" w:lineRule="auto"/>
                    <w:ind w:firstLine="24" w:firstLineChars="10"/>
                    <w:rPr>
                      <w:rFonts w:hint="eastAsia" w:ascii="宋体" w:hAnsi="宋体" w:cs="宋体"/>
                      <w:sz w:val="24"/>
                      <w:lang w:val="fr-FR"/>
                    </w:rPr>
                  </w:pPr>
                  <w:r>
                    <w:rPr>
                      <w:rFonts w:hint="eastAsia" w:ascii="宋体" w:hAnsi="宋体" w:cs="宋体"/>
                      <w:sz w:val="24"/>
                    </w:rPr>
                    <w:t>12</w:t>
                  </w:r>
                  <w:r>
                    <w:rPr>
                      <w:rFonts w:hint="eastAsia" w:ascii="宋体" w:hAnsi="宋体" w:cs="宋体"/>
                      <w:sz w:val="24"/>
                      <w:lang w:val="fr-FR"/>
                    </w:rPr>
                    <w:t>小时</w:t>
                  </w:r>
                </w:p>
              </w:tc>
              <w:tc>
                <w:tcPr>
                  <w:tcW w:w="3487" w:type="dxa"/>
                  <w:vAlign w:val="center"/>
                </w:tcPr>
                <w:p w14:paraId="014A3D98">
                  <w:pPr>
                    <w:spacing w:line="360" w:lineRule="auto"/>
                    <w:ind w:firstLine="24" w:firstLineChars="10"/>
                    <w:rPr>
                      <w:rFonts w:hint="eastAsia" w:ascii="宋体" w:hAnsi="宋体" w:cs="宋体"/>
                      <w:sz w:val="24"/>
                      <w:lang w:val="fr-FR"/>
                    </w:rPr>
                  </w:pPr>
                  <w:r>
                    <w:rPr>
                      <w:rFonts w:hint="eastAsia" w:ascii="宋体" w:hAnsi="宋体" w:cs="宋体"/>
                      <w:bCs/>
                      <w:sz w:val="24"/>
                    </w:rPr>
                    <w:t>我方工程师可以确定故障原因的，协调找出损坏的设备部件并替换掉，使设备正常运行。此事件将被记录在案。除了通过电话交换信息外，还可以通过更为先进的通讯手段进行远端数据采集、远端诊断。若仍不能解决，将会派出资深工程师奔赴现场。</w:t>
                  </w:r>
                </w:p>
              </w:tc>
            </w:tr>
            <w:tr w14:paraId="4707B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211" w:type="dxa"/>
                  <w:vAlign w:val="center"/>
                </w:tcPr>
                <w:p w14:paraId="0F1DE4FD">
                  <w:pPr>
                    <w:spacing w:line="360" w:lineRule="auto"/>
                    <w:ind w:firstLine="24" w:firstLineChars="10"/>
                    <w:rPr>
                      <w:rFonts w:hint="eastAsia" w:ascii="宋体" w:hAnsi="宋体" w:cs="宋体"/>
                      <w:sz w:val="24"/>
                      <w:lang w:val="fr-FR"/>
                    </w:rPr>
                  </w:pPr>
                  <w:r>
                    <w:rPr>
                      <w:rFonts w:hint="eastAsia" w:ascii="宋体" w:hAnsi="宋体" w:cs="宋体"/>
                      <w:sz w:val="24"/>
                      <w:lang w:val="fr-FR"/>
                    </w:rPr>
                    <w:t>四级故障</w:t>
                  </w:r>
                </w:p>
              </w:tc>
              <w:tc>
                <w:tcPr>
                  <w:tcW w:w="3045" w:type="dxa"/>
                  <w:vAlign w:val="center"/>
                </w:tcPr>
                <w:p w14:paraId="08E67C5E">
                  <w:pPr>
                    <w:spacing w:line="360" w:lineRule="auto"/>
                    <w:ind w:firstLine="24" w:firstLineChars="10"/>
                    <w:rPr>
                      <w:rFonts w:hint="eastAsia" w:ascii="宋体" w:hAnsi="宋体" w:cs="宋体"/>
                      <w:sz w:val="24"/>
                      <w:lang w:val="fr-FR"/>
                    </w:rPr>
                  </w:pPr>
                  <w:r>
                    <w:rPr>
                      <w:rFonts w:hint="eastAsia" w:ascii="宋体" w:hAnsi="宋体" w:cs="宋体"/>
                      <w:bCs/>
                      <w:sz w:val="24"/>
                    </w:rPr>
                    <w:t>需要硬件、软件产品功能、安装或配置方面的信息和支援，对客户的业务运作几乎没有影响或者根本没有影响</w:t>
                  </w:r>
                </w:p>
              </w:tc>
              <w:tc>
                <w:tcPr>
                  <w:tcW w:w="1575" w:type="dxa"/>
                  <w:vAlign w:val="center"/>
                </w:tcPr>
                <w:p w14:paraId="0D3DD1B2">
                  <w:pPr>
                    <w:spacing w:line="360" w:lineRule="auto"/>
                    <w:ind w:firstLine="24" w:firstLineChars="10"/>
                    <w:rPr>
                      <w:rFonts w:hint="eastAsia" w:ascii="宋体" w:hAnsi="宋体" w:cs="宋体"/>
                      <w:sz w:val="24"/>
                      <w:lang w:val="fr-FR"/>
                    </w:rPr>
                  </w:pPr>
                  <w:r>
                    <w:rPr>
                      <w:rFonts w:hint="eastAsia" w:ascii="宋体" w:hAnsi="宋体" w:cs="宋体"/>
                      <w:sz w:val="24"/>
                    </w:rPr>
                    <w:t>24</w:t>
                  </w:r>
                  <w:r>
                    <w:rPr>
                      <w:rFonts w:hint="eastAsia" w:ascii="宋体" w:hAnsi="宋体" w:cs="宋体"/>
                      <w:sz w:val="24"/>
                      <w:lang w:val="fr-FR"/>
                    </w:rPr>
                    <w:t>小时</w:t>
                  </w:r>
                </w:p>
              </w:tc>
              <w:tc>
                <w:tcPr>
                  <w:tcW w:w="3487" w:type="dxa"/>
                  <w:vAlign w:val="center"/>
                </w:tcPr>
                <w:p w14:paraId="17A24397">
                  <w:pPr>
                    <w:spacing w:line="360" w:lineRule="auto"/>
                    <w:ind w:firstLine="24" w:firstLineChars="10"/>
                    <w:rPr>
                      <w:rFonts w:hint="eastAsia" w:ascii="宋体" w:hAnsi="宋体" w:cs="宋体"/>
                      <w:sz w:val="24"/>
                      <w:lang w:val="fr-FR"/>
                    </w:rPr>
                  </w:pPr>
                  <w:r>
                    <w:rPr>
                      <w:rFonts w:hint="eastAsia" w:ascii="宋体" w:hAnsi="宋体" w:cs="宋体"/>
                      <w:bCs/>
                      <w:sz w:val="24"/>
                    </w:rPr>
                    <w:t>我方工程师首先确定故障原因，协调找出损坏的设备部件并替换掉，使设备正常运行。此事件将被记录在案。</w:t>
                  </w:r>
                </w:p>
              </w:tc>
            </w:tr>
          </w:tbl>
          <w:p w14:paraId="0D00F515">
            <w:pPr>
              <w:spacing w:line="360" w:lineRule="auto"/>
              <w:rPr>
                <w:rFonts w:hint="eastAsia" w:ascii="宋体" w:hAnsi="宋体" w:cs="宋体"/>
                <w:sz w:val="24"/>
              </w:rPr>
            </w:pPr>
          </w:p>
        </w:tc>
      </w:tr>
    </w:tbl>
    <w:p w14:paraId="0242119C">
      <w:pPr>
        <w:pStyle w:val="47"/>
        <w:tabs>
          <w:tab w:val="left" w:pos="567"/>
          <w:tab w:val="left" w:pos="980"/>
        </w:tabs>
        <w:spacing w:line="360" w:lineRule="auto"/>
        <w:ind w:left="-420" w:firstLine="248" w:firstLineChars="100"/>
        <w:rPr>
          <w:rFonts w:hint="eastAsia" w:ascii="宋体" w:hAnsi="宋体" w:cs="宋体"/>
          <w:b/>
          <w:sz w:val="24"/>
        </w:rPr>
      </w:pPr>
      <w:r>
        <w:rPr>
          <w:rFonts w:hint="eastAsia" w:ascii="宋体" w:hAnsi="宋体" w:cs="宋体"/>
          <w:b/>
          <w:sz w:val="24"/>
        </w:rPr>
        <w:t>大修周期内技术支持</w:t>
      </w:r>
    </w:p>
    <w:tbl>
      <w:tblPr>
        <w:tblStyle w:val="35"/>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92"/>
        <w:gridCol w:w="3210"/>
        <w:gridCol w:w="2229"/>
        <w:gridCol w:w="2709"/>
      </w:tblGrid>
      <w:tr w14:paraId="31467C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8" w:hRule="atLeast"/>
          <w:tblHeader/>
          <w:jc w:val="center"/>
        </w:trPr>
        <w:tc>
          <w:tcPr>
            <w:tcW w:w="892" w:type="dxa"/>
            <w:vAlign w:val="center"/>
          </w:tcPr>
          <w:p w14:paraId="3BAA47E4">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序号</w:t>
            </w:r>
          </w:p>
        </w:tc>
        <w:tc>
          <w:tcPr>
            <w:tcW w:w="3210" w:type="dxa"/>
            <w:vAlign w:val="center"/>
          </w:tcPr>
          <w:p w14:paraId="0E94D4D8">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服务项目</w:t>
            </w:r>
          </w:p>
        </w:tc>
        <w:tc>
          <w:tcPr>
            <w:tcW w:w="2229" w:type="dxa"/>
            <w:vAlign w:val="center"/>
          </w:tcPr>
          <w:p w14:paraId="7EB612DE">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服务标准</w:t>
            </w:r>
          </w:p>
        </w:tc>
        <w:tc>
          <w:tcPr>
            <w:tcW w:w="2709" w:type="dxa"/>
            <w:vAlign w:val="center"/>
          </w:tcPr>
          <w:p w14:paraId="29FEDBE4">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备注</w:t>
            </w:r>
          </w:p>
        </w:tc>
      </w:tr>
      <w:tr w14:paraId="5BCFA3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54" w:hRule="atLeast"/>
          <w:jc w:val="center"/>
        </w:trPr>
        <w:tc>
          <w:tcPr>
            <w:tcW w:w="892" w:type="dxa"/>
            <w:vAlign w:val="center"/>
          </w:tcPr>
          <w:p w14:paraId="7820C0E1">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1</w:t>
            </w:r>
          </w:p>
        </w:tc>
        <w:tc>
          <w:tcPr>
            <w:tcW w:w="3210" w:type="dxa"/>
            <w:vAlign w:val="center"/>
          </w:tcPr>
          <w:p w14:paraId="1B948308">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咨询和电话支持服务7×24小时</w:t>
            </w:r>
          </w:p>
        </w:tc>
        <w:tc>
          <w:tcPr>
            <w:tcW w:w="2229" w:type="dxa"/>
            <w:vAlign w:val="center"/>
          </w:tcPr>
          <w:p w14:paraId="2B739729">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支持</w:t>
            </w:r>
          </w:p>
        </w:tc>
        <w:tc>
          <w:tcPr>
            <w:tcW w:w="2709" w:type="dxa"/>
            <w:vAlign w:val="center"/>
          </w:tcPr>
          <w:p w14:paraId="0C7ABDCA">
            <w:pPr>
              <w:spacing w:line="360" w:lineRule="auto"/>
              <w:ind w:firstLine="24" w:firstLineChars="10"/>
              <w:jc w:val="center"/>
              <w:rPr>
                <w:rFonts w:hint="eastAsia" w:ascii="宋体" w:hAnsi="宋体" w:cs="宋体"/>
                <w:sz w:val="24"/>
                <w:lang w:val="fr-FR"/>
              </w:rPr>
            </w:pPr>
          </w:p>
        </w:tc>
      </w:tr>
      <w:tr w14:paraId="4E2B11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84" w:hRule="atLeast"/>
          <w:jc w:val="center"/>
        </w:trPr>
        <w:tc>
          <w:tcPr>
            <w:tcW w:w="892" w:type="dxa"/>
            <w:vAlign w:val="center"/>
          </w:tcPr>
          <w:p w14:paraId="47B50444">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2</w:t>
            </w:r>
          </w:p>
        </w:tc>
        <w:tc>
          <w:tcPr>
            <w:tcW w:w="3210" w:type="dxa"/>
            <w:vAlign w:val="center"/>
          </w:tcPr>
          <w:p w14:paraId="067180A5">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远程技术支持服务</w:t>
            </w:r>
          </w:p>
        </w:tc>
        <w:tc>
          <w:tcPr>
            <w:tcW w:w="2229" w:type="dxa"/>
            <w:vAlign w:val="center"/>
          </w:tcPr>
          <w:p w14:paraId="4B60E88C">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支持</w:t>
            </w:r>
          </w:p>
        </w:tc>
        <w:tc>
          <w:tcPr>
            <w:tcW w:w="2709" w:type="dxa"/>
            <w:vAlign w:val="center"/>
          </w:tcPr>
          <w:p w14:paraId="5FC61BF3">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电话及网络技术支持</w:t>
            </w:r>
          </w:p>
        </w:tc>
      </w:tr>
    </w:tbl>
    <w:p w14:paraId="655E1982">
      <w:pPr>
        <w:pStyle w:val="5"/>
        <w:spacing w:before="0" w:after="0" w:line="360" w:lineRule="auto"/>
        <w:rPr>
          <w:rFonts w:hint="eastAsia" w:ascii="宋体" w:hAnsi="宋体" w:eastAsia="宋体" w:cs="宋体"/>
          <w:sz w:val="24"/>
          <w:szCs w:val="24"/>
        </w:rPr>
      </w:pPr>
      <w:bookmarkStart w:id="266" w:name="_Toc15660"/>
      <w:bookmarkStart w:id="267" w:name="_Toc4747814"/>
      <w:bookmarkStart w:id="268" w:name="_Toc25887"/>
      <w:bookmarkStart w:id="269" w:name="_Toc366082472"/>
      <w:bookmarkStart w:id="270" w:name="_Toc387660033"/>
      <w:bookmarkStart w:id="271" w:name="_Toc277248386"/>
      <w:bookmarkStart w:id="272" w:name="_Toc370999358"/>
      <w:bookmarkStart w:id="273" w:name="_Toc31435"/>
      <w:bookmarkStart w:id="274" w:name="_Toc217571398"/>
      <w:bookmarkStart w:id="275" w:name="_Toc19954"/>
      <w:bookmarkStart w:id="276" w:name="_Toc219621670"/>
      <w:bookmarkStart w:id="277" w:name="_Toc6840914"/>
      <w:bookmarkStart w:id="278" w:name="_Toc357397592"/>
      <w:bookmarkStart w:id="279" w:name="_Toc4751269"/>
      <w:bookmarkStart w:id="280" w:name="_Toc243980087"/>
      <w:bookmarkStart w:id="281" w:name="_Toc415087030"/>
      <w:bookmarkStart w:id="282" w:name="_Toc444423910"/>
      <w:bookmarkStart w:id="283" w:name="_Toc18698"/>
      <w:r>
        <w:rPr>
          <w:rFonts w:hint="eastAsia" w:ascii="宋体" w:hAnsi="宋体" w:eastAsia="宋体" w:cs="宋体"/>
          <w:sz w:val="24"/>
          <w:szCs w:val="24"/>
        </w:rPr>
        <w:t>三、远程技术服务</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66058111">
      <w:pPr>
        <w:tabs>
          <w:tab w:val="left" w:pos="567"/>
        </w:tabs>
        <w:spacing w:line="360" w:lineRule="auto"/>
        <w:ind w:firstLine="496" w:firstLineChars="200"/>
        <w:rPr>
          <w:rFonts w:hint="eastAsia" w:ascii="宋体" w:hAnsi="宋体" w:cs="宋体"/>
          <w:sz w:val="24"/>
        </w:rPr>
      </w:pPr>
      <w:r>
        <w:rPr>
          <w:rFonts w:hint="eastAsia" w:ascii="宋体" w:hAnsi="宋体" w:cs="宋体"/>
          <w:sz w:val="24"/>
        </w:rPr>
        <w:t>远程支持服务是指向招标人提供关于设备日常操作维护的咨询和非紧急情况下的故障处理。</w:t>
      </w:r>
    </w:p>
    <w:p w14:paraId="7C355824">
      <w:pPr>
        <w:tabs>
          <w:tab w:val="left" w:pos="567"/>
        </w:tabs>
        <w:spacing w:line="360" w:lineRule="auto"/>
        <w:ind w:firstLine="496" w:firstLineChars="200"/>
        <w:rPr>
          <w:rFonts w:hint="eastAsia" w:ascii="宋体" w:hAnsi="宋体" w:cs="宋体"/>
          <w:sz w:val="24"/>
        </w:rPr>
      </w:pPr>
      <w:r>
        <w:rPr>
          <w:rFonts w:hint="eastAsia" w:ascii="宋体" w:hAnsi="宋体" w:cs="宋体"/>
          <w:sz w:val="24"/>
        </w:rPr>
        <w:t>对于招标人非故障类问题，我公司提供全天侯7×24小时的咨询接收服务和全天侯7×24小时的咨询受理服务。</w:t>
      </w:r>
    </w:p>
    <w:p w14:paraId="25835DA8">
      <w:pPr>
        <w:tabs>
          <w:tab w:val="left" w:pos="567"/>
        </w:tabs>
        <w:spacing w:line="360" w:lineRule="auto"/>
        <w:ind w:firstLine="496" w:firstLineChars="200"/>
        <w:rPr>
          <w:rFonts w:hint="eastAsia" w:ascii="宋体" w:hAnsi="宋体" w:cs="宋体"/>
          <w:sz w:val="24"/>
        </w:rPr>
      </w:pPr>
      <w:r>
        <w:rPr>
          <w:rFonts w:hint="eastAsia" w:ascii="宋体" w:hAnsi="宋体" w:cs="宋体"/>
          <w:sz w:val="24"/>
        </w:rPr>
        <w:t>对于招标人故障类问题，我公司提供全天侯7×24小时电话技术指导服务，通过电话指导招标人排除设备故障。</w:t>
      </w:r>
    </w:p>
    <w:p w14:paraId="3BACC42F">
      <w:pPr>
        <w:pStyle w:val="5"/>
        <w:spacing w:before="0" w:after="0" w:line="360" w:lineRule="auto"/>
        <w:rPr>
          <w:rFonts w:hint="eastAsia" w:ascii="宋体" w:hAnsi="宋体" w:eastAsia="宋体" w:cs="宋体"/>
          <w:sz w:val="24"/>
          <w:szCs w:val="24"/>
        </w:rPr>
      </w:pPr>
      <w:bookmarkStart w:id="284" w:name="_Toc18209"/>
      <w:bookmarkStart w:id="285" w:name="_Toc4751270"/>
      <w:bookmarkStart w:id="286" w:name="_Toc5281085"/>
      <w:bookmarkStart w:id="287" w:name="_Toc26679"/>
      <w:bookmarkStart w:id="288" w:name="_Toc28329"/>
      <w:bookmarkStart w:id="289" w:name="_Toc1236"/>
      <w:bookmarkStart w:id="290" w:name="_Toc6840915"/>
      <w:bookmarkStart w:id="291" w:name="_Toc19143"/>
      <w:r>
        <w:rPr>
          <w:rFonts w:hint="eastAsia" w:ascii="宋体" w:hAnsi="宋体" w:eastAsia="宋体" w:cs="宋体"/>
          <w:sz w:val="24"/>
          <w:szCs w:val="24"/>
        </w:rPr>
        <w:t>四、售后服务的实施方案</w:t>
      </w:r>
      <w:bookmarkEnd w:id="284"/>
      <w:bookmarkEnd w:id="285"/>
      <w:bookmarkEnd w:id="286"/>
      <w:bookmarkEnd w:id="287"/>
      <w:bookmarkEnd w:id="288"/>
      <w:bookmarkEnd w:id="289"/>
      <w:bookmarkEnd w:id="290"/>
      <w:bookmarkEnd w:id="291"/>
    </w:p>
    <w:p w14:paraId="6DEF03DB">
      <w:pPr>
        <w:tabs>
          <w:tab w:val="left" w:pos="567"/>
        </w:tabs>
        <w:spacing w:line="360" w:lineRule="auto"/>
        <w:ind w:firstLine="496" w:firstLineChars="200"/>
        <w:rPr>
          <w:rFonts w:hint="eastAsia" w:ascii="宋体" w:hAnsi="宋体" w:cs="宋体"/>
          <w:sz w:val="24"/>
        </w:rPr>
      </w:pPr>
      <w:r>
        <w:rPr>
          <w:rFonts w:hint="eastAsia" w:ascii="宋体" w:hAnsi="宋体" w:cs="宋体"/>
          <w:sz w:val="24"/>
        </w:rPr>
        <w:t>(1)、产品售后服务工作程序。</w:t>
      </w:r>
    </w:p>
    <w:p w14:paraId="0573DF06">
      <w:pPr>
        <w:tabs>
          <w:tab w:val="left" w:pos="567"/>
        </w:tabs>
        <w:spacing w:line="360" w:lineRule="auto"/>
        <w:ind w:firstLine="496" w:firstLineChars="200"/>
        <w:rPr>
          <w:rFonts w:hint="eastAsia" w:ascii="宋体" w:hAnsi="宋体" w:cs="宋体"/>
          <w:sz w:val="24"/>
        </w:rPr>
      </w:pPr>
      <w:r>
        <w:rPr>
          <w:rFonts w:hint="eastAsia" w:ascii="宋体" w:hAnsi="宋体" w:cs="宋体"/>
          <w:sz w:val="24"/>
        </w:rPr>
        <w:t>(2)、本公司对产品出厂后进行的调试验收及运行过程的服务直至产品合格并经需方认可后所做的工作，即为产品的售后服务工作。</w:t>
      </w:r>
    </w:p>
    <w:p w14:paraId="493FA366">
      <w:pPr>
        <w:tabs>
          <w:tab w:val="left" w:pos="567"/>
        </w:tabs>
        <w:spacing w:line="360" w:lineRule="auto"/>
        <w:ind w:firstLine="496" w:firstLineChars="200"/>
        <w:rPr>
          <w:rFonts w:hint="eastAsia" w:ascii="宋体" w:hAnsi="宋体" w:cs="宋体"/>
          <w:sz w:val="24"/>
        </w:rPr>
      </w:pPr>
      <w:r>
        <w:rPr>
          <w:rFonts w:hint="eastAsia" w:ascii="宋体" w:hAnsi="宋体" w:cs="宋体"/>
          <w:sz w:val="24"/>
        </w:rPr>
        <w:t>(3)、售后服务部根据客户的要求，详细询问所发生的质量问题及顾客要求填写《售后服务工作联络单》，必要时派技术维修人员到现场了解情况。</w:t>
      </w:r>
    </w:p>
    <w:p w14:paraId="296C5F11">
      <w:pPr>
        <w:tabs>
          <w:tab w:val="left" w:pos="567"/>
        </w:tabs>
        <w:spacing w:line="360" w:lineRule="auto"/>
        <w:ind w:firstLine="496" w:firstLineChars="200"/>
        <w:rPr>
          <w:rFonts w:hint="eastAsia" w:ascii="宋体" w:hAnsi="宋体" w:cs="宋体"/>
          <w:sz w:val="24"/>
        </w:rPr>
      </w:pPr>
      <w:r>
        <w:rPr>
          <w:rFonts w:hint="eastAsia" w:ascii="宋体" w:hAnsi="宋体" w:cs="宋体"/>
          <w:sz w:val="24"/>
        </w:rPr>
        <w:t>(4)、售后服务部根据维修方案，并视其工作量的大小合理调派售后服务人员立即到达客户现场。</w:t>
      </w:r>
    </w:p>
    <w:p w14:paraId="3D87CEF1">
      <w:pPr>
        <w:tabs>
          <w:tab w:val="left" w:pos="567"/>
        </w:tabs>
        <w:spacing w:line="360" w:lineRule="auto"/>
        <w:ind w:firstLine="496" w:firstLineChars="200"/>
        <w:rPr>
          <w:rFonts w:hint="eastAsia" w:ascii="宋体" w:hAnsi="宋体" w:cs="宋体"/>
          <w:sz w:val="24"/>
        </w:rPr>
      </w:pPr>
      <w:r>
        <w:rPr>
          <w:rFonts w:hint="eastAsia" w:ascii="宋体" w:hAnsi="宋体" w:cs="宋体"/>
          <w:sz w:val="24"/>
        </w:rPr>
        <w:t>(5)、售后服务人员到达客户现场后，请需方技术人员对维修方案进行确认。如有异议，由生产技术部组织相关部门协调解决。</w:t>
      </w:r>
    </w:p>
    <w:p w14:paraId="1E1ABD22">
      <w:pPr>
        <w:tabs>
          <w:tab w:val="left" w:pos="567"/>
        </w:tabs>
        <w:spacing w:line="360" w:lineRule="auto"/>
        <w:ind w:firstLine="496" w:firstLineChars="200"/>
        <w:rPr>
          <w:rFonts w:hint="eastAsia" w:ascii="宋体" w:hAnsi="宋体" w:cs="宋体"/>
          <w:sz w:val="24"/>
        </w:rPr>
      </w:pPr>
      <w:r>
        <w:rPr>
          <w:rFonts w:hint="eastAsia" w:ascii="宋体" w:hAnsi="宋体" w:cs="宋体"/>
          <w:sz w:val="24"/>
        </w:rPr>
        <w:t>(6)、现场服务时售后服务人员按双方确认的方案组织实施。服务结束后，提请需方对服务项目进行验收认可，并在《售后服务联络单》上签署意见。售后服务人员应主动询问需方对我公司产品质量及服务质量的具体要求或改进意见。</w:t>
      </w:r>
    </w:p>
    <w:p w14:paraId="02D68311">
      <w:pPr>
        <w:tabs>
          <w:tab w:val="left" w:pos="567"/>
        </w:tabs>
        <w:spacing w:line="360" w:lineRule="auto"/>
        <w:rPr>
          <w:rFonts w:hint="eastAsia" w:ascii="宋体" w:hAnsi="宋体" w:cs="宋体"/>
          <w:b/>
          <w:bCs/>
          <w:sz w:val="24"/>
        </w:rPr>
      </w:pPr>
      <w:bookmarkStart w:id="292" w:name="_Toc28488"/>
      <w:bookmarkStart w:id="293" w:name="_Toc26550"/>
      <w:bookmarkStart w:id="294" w:name="_Toc4751271"/>
      <w:bookmarkStart w:id="295" w:name="_Toc32555"/>
      <w:bookmarkStart w:id="296" w:name="_Toc26892"/>
      <w:bookmarkStart w:id="297" w:name="_Toc25966"/>
      <w:bookmarkStart w:id="298" w:name="_Toc5281086"/>
      <w:bookmarkStart w:id="299" w:name="_Toc6840916"/>
      <w:r>
        <w:rPr>
          <w:rFonts w:hint="eastAsia" w:ascii="宋体" w:hAnsi="宋体" w:cs="宋体"/>
          <w:b/>
          <w:bCs/>
          <w:sz w:val="24"/>
        </w:rPr>
        <w:t>五、售后服务内容</w:t>
      </w:r>
      <w:bookmarkEnd w:id="292"/>
      <w:bookmarkEnd w:id="293"/>
      <w:bookmarkEnd w:id="294"/>
      <w:bookmarkEnd w:id="295"/>
      <w:bookmarkEnd w:id="296"/>
      <w:bookmarkEnd w:id="297"/>
      <w:bookmarkEnd w:id="298"/>
      <w:bookmarkEnd w:id="299"/>
    </w:p>
    <w:p w14:paraId="7A6EE21D">
      <w:pPr>
        <w:tabs>
          <w:tab w:val="left" w:pos="567"/>
        </w:tabs>
        <w:spacing w:line="360" w:lineRule="auto"/>
        <w:ind w:firstLine="496" w:firstLineChars="200"/>
        <w:rPr>
          <w:rFonts w:hint="eastAsia" w:ascii="宋体" w:hAnsi="宋体" w:cs="宋体"/>
          <w:sz w:val="24"/>
        </w:rPr>
      </w:pPr>
      <w:r>
        <w:rPr>
          <w:rFonts w:hint="eastAsia" w:ascii="宋体" w:hAnsi="宋体" w:cs="宋体"/>
          <w:sz w:val="24"/>
        </w:rPr>
        <w:t>(1)、包括产品的安装调试工作、设备运行操作和维护保养人员的指导培训工作、保修期内涉及产品质量问题或安装质量问题的维修工作。</w:t>
      </w:r>
    </w:p>
    <w:p w14:paraId="0AE5628F">
      <w:pPr>
        <w:tabs>
          <w:tab w:val="left" w:pos="567"/>
        </w:tabs>
        <w:spacing w:line="360" w:lineRule="auto"/>
        <w:ind w:firstLine="496" w:firstLineChars="200"/>
        <w:rPr>
          <w:rFonts w:hint="eastAsia" w:ascii="宋体" w:hAnsi="宋体" w:cs="宋体"/>
          <w:sz w:val="24"/>
        </w:rPr>
      </w:pPr>
      <w:r>
        <w:rPr>
          <w:rFonts w:hint="eastAsia" w:ascii="宋体" w:hAnsi="宋体" w:cs="宋体"/>
          <w:sz w:val="24"/>
        </w:rPr>
        <w:t>(2)重大项目服务规定</w:t>
      </w:r>
    </w:p>
    <w:p w14:paraId="1D02C146">
      <w:pPr>
        <w:tabs>
          <w:tab w:val="left" w:pos="567"/>
        </w:tabs>
        <w:spacing w:line="360" w:lineRule="auto"/>
        <w:ind w:firstLine="496" w:firstLineChars="200"/>
        <w:rPr>
          <w:rFonts w:hint="eastAsia" w:ascii="宋体" w:hAnsi="宋体" w:cs="宋体"/>
          <w:sz w:val="24"/>
        </w:rPr>
      </w:pPr>
      <w:r>
        <w:rPr>
          <w:rFonts w:hint="eastAsia" w:ascii="宋体" w:hAnsi="宋体" w:cs="宋体"/>
          <w:sz w:val="24"/>
        </w:rPr>
        <w:t>(3)在用户单位就近设立售后服务联络点，配备具有一定资质、经验丰富的售后服务人员负责进行产品运行前的操作、维护、保养培训工作，并提供在保修期内的维修保养计划书。</w:t>
      </w:r>
    </w:p>
    <w:p w14:paraId="0DBD4C2F">
      <w:pPr>
        <w:tabs>
          <w:tab w:val="left" w:pos="567"/>
        </w:tabs>
        <w:spacing w:line="360" w:lineRule="auto"/>
        <w:ind w:firstLine="496" w:firstLineChars="200"/>
        <w:rPr>
          <w:rFonts w:hint="eastAsia" w:ascii="宋体" w:hAnsi="宋体" w:cs="宋体"/>
          <w:sz w:val="24"/>
        </w:rPr>
      </w:pPr>
      <w:r>
        <w:rPr>
          <w:rFonts w:hint="eastAsia" w:ascii="宋体" w:hAnsi="宋体" w:cs="宋体"/>
          <w:sz w:val="24"/>
        </w:rPr>
        <w:t>(4)对质保期内的产品进行定期免费保养，同时对产品运行情况进行认真的检查和记录。</w:t>
      </w:r>
    </w:p>
    <w:p w14:paraId="322071EE">
      <w:pPr>
        <w:tabs>
          <w:tab w:val="left" w:pos="567"/>
        </w:tabs>
        <w:spacing w:line="360" w:lineRule="auto"/>
        <w:rPr>
          <w:rFonts w:hint="eastAsia" w:ascii="宋体" w:hAnsi="宋体" w:cs="宋体"/>
          <w:b/>
          <w:bCs/>
          <w:sz w:val="24"/>
        </w:rPr>
      </w:pPr>
      <w:bookmarkStart w:id="300" w:name="_Toc24731"/>
      <w:bookmarkStart w:id="301" w:name="_Toc5281087"/>
      <w:bookmarkStart w:id="302" w:name="_Toc19547"/>
      <w:bookmarkStart w:id="303" w:name="_Toc4751272"/>
      <w:bookmarkStart w:id="304" w:name="_Toc6840917"/>
      <w:bookmarkStart w:id="305" w:name="_Toc16014"/>
      <w:bookmarkStart w:id="306" w:name="_Toc13879"/>
      <w:bookmarkStart w:id="307" w:name="_Toc1750"/>
      <w:r>
        <w:rPr>
          <w:rFonts w:hint="eastAsia" w:ascii="宋体" w:hAnsi="宋体" w:cs="宋体"/>
          <w:b/>
          <w:bCs/>
          <w:sz w:val="24"/>
        </w:rPr>
        <w:t>六、产品质量回访工作要求</w:t>
      </w:r>
      <w:bookmarkEnd w:id="300"/>
      <w:bookmarkEnd w:id="301"/>
      <w:bookmarkEnd w:id="302"/>
      <w:bookmarkEnd w:id="303"/>
      <w:bookmarkEnd w:id="304"/>
      <w:bookmarkEnd w:id="305"/>
      <w:bookmarkEnd w:id="306"/>
      <w:bookmarkEnd w:id="307"/>
    </w:p>
    <w:p w14:paraId="21BF7C8C">
      <w:pPr>
        <w:tabs>
          <w:tab w:val="left" w:pos="567"/>
        </w:tabs>
        <w:spacing w:line="360" w:lineRule="auto"/>
        <w:ind w:firstLine="496" w:firstLineChars="200"/>
        <w:rPr>
          <w:rFonts w:hint="eastAsia" w:ascii="宋体" w:hAnsi="宋体" w:cs="宋体"/>
          <w:sz w:val="24"/>
        </w:rPr>
      </w:pPr>
      <w:r>
        <w:rPr>
          <w:rFonts w:hint="eastAsia" w:ascii="宋体" w:hAnsi="宋体" w:cs="宋体"/>
          <w:sz w:val="24"/>
        </w:rPr>
        <w:t>(1)售后服务部每年以信访形式了解产品运行情况及顾客的要求、意见和建议，并把有关信息反馈至公司相关职能部门。</w:t>
      </w:r>
    </w:p>
    <w:p w14:paraId="4A19CC78">
      <w:pPr>
        <w:tabs>
          <w:tab w:val="left" w:pos="567"/>
        </w:tabs>
        <w:spacing w:line="360" w:lineRule="auto"/>
        <w:ind w:firstLine="496" w:firstLineChars="200"/>
        <w:rPr>
          <w:rFonts w:hint="eastAsia" w:ascii="宋体" w:hAnsi="宋体" w:cs="宋体"/>
          <w:sz w:val="24"/>
        </w:rPr>
      </w:pPr>
      <w:r>
        <w:rPr>
          <w:rFonts w:hint="eastAsia" w:ascii="宋体" w:hAnsi="宋体" w:cs="宋体"/>
          <w:sz w:val="24"/>
        </w:rPr>
        <w:t>(2)对于重大工程项目及重点顾客，必要时由售后服务部派专人进行走访，对走访中获得的信息、意见及改进要求进行记录整理。</w:t>
      </w:r>
      <w:bookmarkStart w:id="308" w:name="_Toc6840918"/>
      <w:bookmarkStart w:id="309" w:name="_Toc24578"/>
      <w:bookmarkStart w:id="310" w:name="_Toc8501"/>
      <w:bookmarkStart w:id="311" w:name="_Toc10721"/>
      <w:bookmarkStart w:id="312" w:name="_Toc4751273"/>
      <w:bookmarkStart w:id="313" w:name="_Toc5281088"/>
      <w:bookmarkStart w:id="314" w:name="_Toc18029"/>
      <w:bookmarkStart w:id="315" w:name="_Toc29798"/>
    </w:p>
    <w:p w14:paraId="5AC5E79E">
      <w:pPr>
        <w:tabs>
          <w:tab w:val="left" w:pos="567"/>
        </w:tabs>
        <w:spacing w:line="360" w:lineRule="auto"/>
        <w:rPr>
          <w:rFonts w:hint="eastAsia" w:ascii="宋体" w:hAnsi="宋体" w:cs="宋体"/>
          <w:b/>
          <w:bCs/>
          <w:sz w:val="24"/>
        </w:rPr>
      </w:pPr>
      <w:r>
        <w:rPr>
          <w:rFonts w:hint="eastAsia" w:ascii="宋体" w:hAnsi="宋体" w:cs="宋体"/>
          <w:b/>
          <w:bCs/>
          <w:sz w:val="24"/>
        </w:rPr>
        <w:t>七、故障分类</w:t>
      </w:r>
      <w:bookmarkEnd w:id="308"/>
      <w:bookmarkEnd w:id="309"/>
      <w:bookmarkEnd w:id="310"/>
      <w:bookmarkEnd w:id="311"/>
      <w:bookmarkEnd w:id="312"/>
      <w:bookmarkEnd w:id="313"/>
      <w:bookmarkEnd w:id="314"/>
      <w:bookmarkEnd w:id="315"/>
    </w:p>
    <w:p w14:paraId="755371EF">
      <w:pPr>
        <w:spacing w:line="360" w:lineRule="auto"/>
        <w:ind w:firstLine="496" w:firstLineChars="200"/>
        <w:rPr>
          <w:rFonts w:hint="eastAsia" w:ascii="宋体" w:hAnsi="宋体" w:cs="宋体"/>
          <w:sz w:val="24"/>
        </w:rPr>
      </w:pPr>
      <w:r>
        <w:rPr>
          <w:rFonts w:hint="eastAsia" w:ascii="宋体" w:hAnsi="宋体" w:cs="宋体"/>
          <w:sz w:val="24"/>
        </w:rPr>
        <w:t>为保证系统可靠运行，达到故障影响最小化，我方根据信息电源系统的实际情况和长期积累的技术服务经验，将信息电源系统故障等级分为四级，具体如下：</w:t>
      </w:r>
    </w:p>
    <w:p w14:paraId="1D46E05A">
      <w:pPr>
        <w:widowControl/>
        <w:jc w:val="center"/>
        <w:rPr>
          <w:rFonts w:hint="eastAsia" w:ascii="宋体" w:hAnsi="宋体" w:cs="宋体"/>
          <w:b/>
          <w:spacing w:val="10"/>
          <w:kern w:val="0"/>
          <w:sz w:val="24"/>
        </w:rPr>
      </w:pPr>
      <w:r>
        <w:rPr>
          <w:rFonts w:hint="eastAsia" w:ascii="宋体" w:hAnsi="宋体" w:cs="宋体"/>
          <w:sz w:val="24"/>
        </w:rPr>
        <w:br w:type="page"/>
      </w:r>
      <w:r>
        <w:rPr>
          <w:rFonts w:hint="eastAsia" w:ascii="宋体" w:hAnsi="宋体" w:cs="宋体"/>
          <w:b/>
          <w:spacing w:val="10"/>
          <w:kern w:val="0"/>
          <w:sz w:val="24"/>
        </w:rPr>
        <w:t>故障分级表</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3120"/>
        <w:gridCol w:w="1288"/>
        <w:gridCol w:w="3539"/>
      </w:tblGrid>
      <w:tr w14:paraId="046A6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blHeader/>
          <w:jc w:val="center"/>
        </w:trPr>
        <w:tc>
          <w:tcPr>
            <w:tcW w:w="1260" w:type="dxa"/>
            <w:vAlign w:val="center"/>
          </w:tcPr>
          <w:p w14:paraId="4319A05B">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级别</w:t>
            </w:r>
          </w:p>
        </w:tc>
        <w:tc>
          <w:tcPr>
            <w:tcW w:w="3120" w:type="dxa"/>
            <w:vAlign w:val="center"/>
          </w:tcPr>
          <w:p w14:paraId="49299DB9">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具体现象</w:t>
            </w:r>
          </w:p>
        </w:tc>
        <w:tc>
          <w:tcPr>
            <w:tcW w:w="1288" w:type="dxa"/>
            <w:vAlign w:val="center"/>
          </w:tcPr>
          <w:p w14:paraId="5C9493CD">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到达现场时间</w:t>
            </w:r>
          </w:p>
        </w:tc>
        <w:tc>
          <w:tcPr>
            <w:tcW w:w="3539" w:type="dxa"/>
            <w:vAlign w:val="center"/>
          </w:tcPr>
          <w:p w14:paraId="4AF71842">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解决方案</w:t>
            </w:r>
          </w:p>
        </w:tc>
      </w:tr>
      <w:tr w14:paraId="02FED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1260" w:type="dxa"/>
            <w:vAlign w:val="center"/>
          </w:tcPr>
          <w:p w14:paraId="02173189">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一级故障</w:t>
            </w:r>
          </w:p>
        </w:tc>
        <w:tc>
          <w:tcPr>
            <w:tcW w:w="3120" w:type="dxa"/>
            <w:vAlign w:val="center"/>
          </w:tcPr>
          <w:p w14:paraId="4ED3FDE8">
            <w:pPr>
              <w:spacing w:line="360" w:lineRule="auto"/>
              <w:ind w:firstLine="24" w:firstLineChars="10"/>
              <w:jc w:val="center"/>
              <w:rPr>
                <w:rFonts w:hint="eastAsia" w:ascii="宋体" w:hAnsi="宋体" w:cs="宋体"/>
                <w:sz w:val="24"/>
                <w:lang w:val="fr-FR"/>
              </w:rPr>
            </w:pPr>
            <w:r>
              <w:rPr>
                <w:rFonts w:hint="eastAsia" w:ascii="宋体" w:hAnsi="宋体" w:cs="宋体"/>
                <w:bCs/>
                <w:sz w:val="24"/>
              </w:rPr>
              <w:t>整个系统处于完全瘫痪状态，不能运行</w:t>
            </w:r>
          </w:p>
        </w:tc>
        <w:tc>
          <w:tcPr>
            <w:tcW w:w="1288" w:type="dxa"/>
            <w:vAlign w:val="center"/>
          </w:tcPr>
          <w:p w14:paraId="35C07C69">
            <w:pPr>
              <w:spacing w:line="360" w:lineRule="auto"/>
              <w:ind w:firstLine="24" w:firstLineChars="10"/>
              <w:jc w:val="center"/>
              <w:rPr>
                <w:rFonts w:hint="eastAsia" w:ascii="宋体" w:hAnsi="宋体" w:cs="宋体"/>
                <w:sz w:val="24"/>
                <w:lang w:val="fr-FR"/>
              </w:rPr>
            </w:pPr>
            <w:r>
              <w:rPr>
                <w:rFonts w:hint="eastAsia" w:ascii="宋体" w:hAnsi="宋体" w:cs="宋体"/>
                <w:bCs/>
                <w:sz w:val="24"/>
              </w:rPr>
              <w:t>3-6小时</w:t>
            </w:r>
          </w:p>
        </w:tc>
        <w:tc>
          <w:tcPr>
            <w:tcW w:w="3539" w:type="dxa"/>
            <w:vAlign w:val="center"/>
          </w:tcPr>
          <w:p w14:paraId="34718B6E">
            <w:pPr>
              <w:spacing w:line="360" w:lineRule="auto"/>
              <w:ind w:firstLine="24" w:firstLineChars="10"/>
              <w:jc w:val="center"/>
              <w:rPr>
                <w:rFonts w:hint="eastAsia" w:ascii="宋体" w:hAnsi="宋体" w:cs="宋体"/>
                <w:sz w:val="24"/>
                <w:lang w:val="fr-FR"/>
              </w:rPr>
            </w:pPr>
            <w:r>
              <w:rPr>
                <w:rFonts w:hint="eastAsia" w:ascii="宋体" w:hAnsi="宋体" w:cs="宋体"/>
                <w:bCs/>
                <w:sz w:val="24"/>
              </w:rPr>
              <w:t>我方迅速及时到达故障现场处理故障。如果不能够定位故障原因，将协调派出资深的专家组奔赴现场。</w:t>
            </w:r>
          </w:p>
        </w:tc>
      </w:tr>
      <w:tr w14:paraId="0FB73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jc w:val="center"/>
        </w:trPr>
        <w:tc>
          <w:tcPr>
            <w:tcW w:w="1260" w:type="dxa"/>
            <w:vAlign w:val="center"/>
          </w:tcPr>
          <w:p w14:paraId="05DD46A6">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二级故障</w:t>
            </w:r>
          </w:p>
        </w:tc>
        <w:tc>
          <w:tcPr>
            <w:tcW w:w="3120" w:type="dxa"/>
            <w:vAlign w:val="center"/>
          </w:tcPr>
          <w:p w14:paraId="14EBF87F">
            <w:pPr>
              <w:spacing w:line="360" w:lineRule="auto"/>
              <w:ind w:firstLine="24" w:firstLineChars="10"/>
              <w:jc w:val="center"/>
              <w:rPr>
                <w:rFonts w:hint="eastAsia" w:ascii="宋体" w:hAnsi="宋体" w:cs="宋体"/>
                <w:sz w:val="24"/>
                <w:lang w:val="fr-FR"/>
              </w:rPr>
            </w:pPr>
            <w:r>
              <w:rPr>
                <w:rFonts w:hint="eastAsia" w:ascii="宋体" w:hAnsi="宋体" w:cs="宋体"/>
                <w:bCs/>
                <w:sz w:val="24"/>
              </w:rPr>
              <w:t>系统性能严重下降：包括网络性能明显下降、设备出现故障或软件系统出现非瘫痪性错误等，客户业务运作受到严重影响。</w:t>
            </w:r>
          </w:p>
        </w:tc>
        <w:tc>
          <w:tcPr>
            <w:tcW w:w="1288" w:type="dxa"/>
            <w:vAlign w:val="center"/>
          </w:tcPr>
          <w:p w14:paraId="3BA8CE5C">
            <w:pPr>
              <w:spacing w:line="360" w:lineRule="auto"/>
              <w:ind w:firstLine="24" w:firstLineChars="10"/>
              <w:jc w:val="center"/>
              <w:rPr>
                <w:rFonts w:hint="eastAsia" w:ascii="宋体" w:hAnsi="宋体" w:cs="宋体"/>
                <w:sz w:val="24"/>
                <w:lang w:val="fr-FR"/>
              </w:rPr>
            </w:pPr>
            <w:r>
              <w:rPr>
                <w:rFonts w:hint="eastAsia" w:ascii="宋体" w:hAnsi="宋体" w:cs="宋体"/>
                <w:sz w:val="24"/>
              </w:rPr>
              <w:t>8</w:t>
            </w:r>
            <w:r>
              <w:rPr>
                <w:rFonts w:hint="eastAsia" w:ascii="宋体" w:hAnsi="宋体" w:cs="宋体"/>
                <w:sz w:val="24"/>
                <w:lang w:val="fr-FR"/>
              </w:rPr>
              <w:t>小时</w:t>
            </w:r>
          </w:p>
        </w:tc>
        <w:tc>
          <w:tcPr>
            <w:tcW w:w="3539" w:type="dxa"/>
            <w:vAlign w:val="center"/>
          </w:tcPr>
          <w:p w14:paraId="56016CC9">
            <w:pPr>
              <w:spacing w:line="360" w:lineRule="auto"/>
              <w:ind w:firstLine="24" w:firstLineChars="10"/>
              <w:jc w:val="center"/>
              <w:rPr>
                <w:rFonts w:hint="eastAsia" w:ascii="宋体" w:hAnsi="宋体" w:cs="宋体"/>
                <w:sz w:val="24"/>
                <w:lang w:val="fr-FR"/>
              </w:rPr>
            </w:pPr>
            <w:r>
              <w:rPr>
                <w:rFonts w:hint="eastAsia" w:ascii="宋体" w:hAnsi="宋体" w:cs="宋体"/>
                <w:bCs/>
                <w:sz w:val="24"/>
              </w:rPr>
              <w:t>我方迅速到达故障现场处理故障，并提供全面的设备运行报告和故障现象。</w:t>
            </w:r>
          </w:p>
        </w:tc>
      </w:tr>
      <w:tr w14:paraId="42F3E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260" w:type="dxa"/>
            <w:vAlign w:val="center"/>
          </w:tcPr>
          <w:p w14:paraId="02B5CAA0">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三级故障</w:t>
            </w:r>
          </w:p>
        </w:tc>
        <w:tc>
          <w:tcPr>
            <w:tcW w:w="3120" w:type="dxa"/>
            <w:vAlign w:val="center"/>
          </w:tcPr>
          <w:p w14:paraId="132AFD19">
            <w:pPr>
              <w:spacing w:line="360" w:lineRule="auto"/>
              <w:ind w:firstLine="24" w:firstLineChars="10"/>
              <w:jc w:val="center"/>
              <w:rPr>
                <w:rFonts w:hint="eastAsia" w:ascii="宋体" w:hAnsi="宋体" w:cs="宋体"/>
                <w:sz w:val="24"/>
                <w:lang w:val="fr-FR"/>
              </w:rPr>
            </w:pPr>
            <w:r>
              <w:rPr>
                <w:rFonts w:hint="eastAsia" w:ascii="宋体" w:hAnsi="宋体" w:cs="宋体"/>
                <w:bCs/>
                <w:sz w:val="24"/>
              </w:rPr>
              <w:t>系统部分设备或者软件出现故障，但整个系统仍可正常运行，客户业务运作受到一定影响。</w:t>
            </w:r>
          </w:p>
        </w:tc>
        <w:tc>
          <w:tcPr>
            <w:tcW w:w="1288" w:type="dxa"/>
            <w:vAlign w:val="center"/>
          </w:tcPr>
          <w:p w14:paraId="733C588F">
            <w:pPr>
              <w:spacing w:line="360" w:lineRule="auto"/>
              <w:ind w:firstLine="24" w:firstLineChars="10"/>
              <w:jc w:val="center"/>
              <w:rPr>
                <w:rFonts w:hint="eastAsia" w:ascii="宋体" w:hAnsi="宋体" w:cs="宋体"/>
                <w:sz w:val="24"/>
                <w:lang w:val="fr-FR"/>
              </w:rPr>
            </w:pPr>
            <w:r>
              <w:rPr>
                <w:rFonts w:hint="eastAsia" w:ascii="宋体" w:hAnsi="宋体" w:cs="宋体"/>
                <w:sz w:val="24"/>
              </w:rPr>
              <w:t>12</w:t>
            </w:r>
            <w:r>
              <w:rPr>
                <w:rFonts w:hint="eastAsia" w:ascii="宋体" w:hAnsi="宋体" w:cs="宋体"/>
                <w:sz w:val="24"/>
                <w:lang w:val="fr-FR"/>
              </w:rPr>
              <w:t>小时</w:t>
            </w:r>
          </w:p>
        </w:tc>
        <w:tc>
          <w:tcPr>
            <w:tcW w:w="3539" w:type="dxa"/>
            <w:vAlign w:val="center"/>
          </w:tcPr>
          <w:p w14:paraId="6D1E6ACB">
            <w:pPr>
              <w:spacing w:line="360" w:lineRule="auto"/>
              <w:ind w:firstLine="24" w:firstLineChars="10"/>
              <w:jc w:val="left"/>
              <w:rPr>
                <w:rFonts w:hint="eastAsia" w:ascii="宋体" w:hAnsi="宋体" w:cs="宋体"/>
                <w:sz w:val="24"/>
                <w:lang w:val="fr-FR"/>
              </w:rPr>
            </w:pPr>
            <w:r>
              <w:rPr>
                <w:rFonts w:hint="eastAsia" w:ascii="宋体" w:hAnsi="宋体" w:cs="宋体"/>
                <w:bCs/>
                <w:sz w:val="24"/>
              </w:rPr>
              <w:t>我方工程师可以确定故障原因的，协调找出损坏的设备部件并替换掉，使设备正常运行。此事件将被记录在案。除了通过电话交换信息外，还可以通过更为先进的通讯手段进行远端数据采集、远端诊断。若仍不能解决，将会派出资深工程师奔赴现场。</w:t>
            </w:r>
          </w:p>
        </w:tc>
      </w:tr>
      <w:tr w14:paraId="4B1E3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260" w:type="dxa"/>
            <w:vAlign w:val="center"/>
          </w:tcPr>
          <w:p w14:paraId="234711AA">
            <w:pPr>
              <w:spacing w:line="360" w:lineRule="auto"/>
              <w:ind w:firstLine="24" w:firstLineChars="10"/>
              <w:jc w:val="center"/>
              <w:rPr>
                <w:rFonts w:hint="eastAsia" w:ascii="宋体" w:hAnsi="宋体" w:cs="宋体"/>
                <w:sz w:val="24"/>
                <w:lang w:val="fr-FR"/>
              </w:rPr>
            </w:pPr>
            <w:r>
              <w:rPr>
                <w:rFonts w:hint="eastAsia" w:ascii="宋体" w:hAnsi="宋体" w:cs="宋体"/>
                <w:sz w:val="24"/>
                <w:lang w:val="fr-FR"/>
              </w:rPr>
              <w:t>四级故障</w:t>
            </w:r>
          </w:p>
        </w:tc>
        <w:tc>
          <w:tcPr>
            <w:tcW w:w="3120" w:type="dxa"/>
            <w:vAlign w:val="center"/>
          </w:tcPr>
          <w:p w14:paraId="787D68B1">
            <w:pPr>
              <w:spacing w:line="360" w:lineRule="auto"/>
              <w:ind w:firstLine="24" w:firstLineChars="10"/>
              <w:jc w:val="center"/>
              <w:rPr>
                <w:rFonts w:hint="eastAsia" w:ascii="宋体" w:hAnsi="宋体" w:cs="宋体"/>
                <w:sz w:val="24"/>
                <w:lang w:val="fr-FR"/>
              </w:rPr>
            </w:pPr>
            <w:r>
              <w:rPr>
                <w:rFonts w:hint="eastAsia" w:ascii="宋体" w:hAnsi="宋体" w:cs="宋体"/>
                <w:bCs/>
                <w:sz w:val="24"/>
              </w:rPr>
              <w:t>需要硬件、软件产品功能、安装或配置方面的信息和支援，对客户的业务运作几乎没有影响或者根本没有影响</w:t>
            </w:r>
          </w:p>
        </w:tc>
        <w:tc>
          <w:tcPr>
            <w:tcW w:w="1288" w:type="dxa"/>
            <w:vAlign w:val="center"/>
          </w:tcPr>
          <w:p w14:paraId="7E264881">
            <w:pPr>
              <w:spacing w:line="360" w:lineRule="auto"/>
              <w:ind w:firstLine="24" w:firstLineChars="10"/>
              <w:jc w:val="center"/>
              <w:rPr>
                <w:rFonts w:hint="eastAsia" w:ascii="宋体" w:hAnsi="宋体" w:cs="宋体"/>
                <w:sz w:val="24"/>
                <w:lang w:val="fr-FR"/>
              </w:rPr>
            </w:pPr>
            <w:r>
              <w:rPr>
                <w:rFonts w:hint="eastAsia" w:ascii="宋体" w:hAnsi="宋体" w:cs="宋体"/>
                <w:sz w:val="24"/>
              </w:rPr>
              <w:t>24</w:t>
            </w:r>
            <w:r>
              <w:rPr>
                <w:rFonts w:hint="eastAsia" w:ascii="宋体" w:hAnsi="宋体" w:cs="宋体"/>
                <w:sz w:val="24"/>
                <w:lang w:val="fr-FR"/>
              </w:rPr>
              <w:t>小时</w:t>
            </w:r>
          </w:p>
        </w:tc>
        <w:tc>
          <w:tcPr>
            <w:tcW w:w="3539" w:type="dxa"/>
            <w:vAlign w:val="center"/>
          </w:tcPr>
          <w:p w14:paraId="1DB886F5">
            <w:pPr>
              <w:spacing w:line="360" w:lineRule="auto"/>
              <w:ind w:firstLine="24" w:firstLineChars="10"/>
              <w:jc w:val="left"/>
              <w:rPr>
                <w:rFonts w:hint="eastAsia" w:ascii="宋体" w:hAnsi="宋体" w:cs="宋体"/>
                <w:sz w:val="24"/>
                <w:lang w:val="fr-FR"/>
              </w:rPr>
            </w:pPr>
            <w:r>
              <w:rPr>
                <w:rFonts w:hint="eastAsia" w:ascii="宋体" w:hAnsi="宋体" w:cs="宋体"/>
                <w:bCs/>
                <w:sz w:val="24"/>
              </w:rPr>
              <w:t>我方工程师首先确定故障原因，协调找出损坏的设备部件并替换掉，使设备正常运行。此事件将被记录在案。</w:t>
            </w:r>
          </w:p>
        </w:tc>
      </w:tr>
    </w:tbl>
    <w:p w14:paraId="6104C5A8">
      <w:pPr>
        <w:pStyle w:val="5"/>
        <w:spacing w:before="0" w:after="0" w:line="360" w:lineRule="auto"/>
        <w:rPr>
          <w:rFonts w:hint="eastAsia" w:ascii="宋体" w:hAnsi="宋体" w:eastAsia="宋体" w:cs="宋体"/>
          <w:sz w:val="24"/>
          <w:szCs w:val="24"/>
        </w:rPr>
      </w:pPr>
      <w:bookmarkStart w:id="316" w:name="_Toc6840919"/>
      <w:bookmarkStart w:id="317" w:name="_Toc5281089"/>
      <w:bookmarkStart w:id="318" w:name="_Toc11940"/>
      <w:bookmarkStart w:id="319" w:name="_Toc4751274"/>
      <w:r>
        <w:rPr>
          <w:rFonts w:hint="eastAsia" w:ascii="宋体" w:hAnsi="宋体" w:eastAsia="宋体" w:cs="宋体"/>
          <w:sz w:val="24"/>
          <w:szCs w:val="24"/>
        </w:rPr>
        <w:t>八、出现故障响应时间分类表</w:t>
      </w:r>
      <w:bookmarkEnd w:id="316"/>
      <w:bookmarkEnd w:id="317"/>
      <w:bookmarkEnd w:id="318"/>
      <w:bookmarkEnd w:id="319"/>
    </w:p>
    <w:p w14:paraId="0F1FB997">
      <w:pPr>
        <w:spacing w:line="360" w:lineRule="auto"/>
        <w:ind w:firstLine="496" w:firstLineChars="200"/>
        <w:rPr>
          <w:rFonts w:hint="eastAsia" w:ascii="宋体" w:hAnsi="宋体" w:cs="宋体"/>
          <w:sz w:val="24"/>
        </w:rPr>
      </w:pPr>
      <w:r>
        <w:rPr>
          <w:rFonts w:hint="eastAsia" w:ascii="宋体" w:hAnsi="宋体" w:cs="宋体"/>
          <w:sz w:val="24"/>
        </w:rPr>
        <w:t>对于不同级别的故障，我方将进行分级处理，等级越高，处理的时间越短，派出人员的能力也越高。对于不同级别故障的故障响应人和故障处理方案如下：</w:t>
      </w:r>
    </w:p>
    <w:p w14:paraId="4F1F9D7C">
      <w:pPr>
        <w:widowControl/>
        <w:jc w:val="center"/>
        <w:rPr>
          <w:rFonts w:hint="eastAsia" w:ascii="宋体" w:hAnsi="宋体" w:cs="宋体"/>
          <w:b/>
          <w:spacing w:val="10"/>
          <w:kern w:val="0"/>
          <w:sz w:val="24"/>
        </w:rPr>
      </w:pPr>
      <w:r>
        <w:rPr>
          <w:rFonts w:hint="eastAsia" w:ascii="宋体" w:hAnsi="宋体" w:cs="宋体"/>
          <w:sz w:val="24"/>
        </w:rPr>
        <w:br w:type="page"/>
      </w:r>
      <w:r>
        <w:rPr>
          <w:rFonts w:hint="eastAsia" w:ascii="宋体" w:hAnsi="宋体" w:cs="宋体"/>
          <w:b/>
          <w:spacing w:val="10"/>
          <w:kern w:val="0"/>
          <w:sz w:val="24"/>
        </w:rPr>
        <w:t>故障响应处理表</w:t>
      </w:r>
    </w:p>
    <w:tbl>
      <w:tblPr>
        <w:tblStyle w:val="35"/>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218"/>
        <w:gridCol w:w="2203"/>
        <w:gridCol w:w="5492"/>
      </w:tblGrid>
      <w:tr w14:paraId="46A2D2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86" w:hRule="atLeast"/>
          <w:tblHeader/>
          <w:jc w:val="center"/>
        </w:trPr>
        <w:tc>
          <w:tcPr>
            <w:tcW w:w="1218" w:type="dxa"/>
            <w:vAlign w:val="center"/>
          </w:tcPr>
          <w:p w14:paraId="0AE990C4">
            <w:pPr>
              <w:pStyle w:val="126"/>
              <w:tabs>
                <w:tab w:val="left" w:pos="567"/>
              </w:tabs>
              <w:spacing w:beforeLines="0" w:afterLines="0" w:line="360" w:lineRule="exact"/>
              <w:jc w:val="center"/>
              <w:rPr>
                <w:rFonts w:hint="eastAsia" w:ascii="宋体" w:hAnsi="宋体" w:cs="宋体"/>
                <w:b/>
                <w:spacing w:val="10"/>
                <w:sz w:val="24"/>
                <w:szCs w:val="24"/>
              </w:rPr>
            </w:pPr>
            <w:r>
              <w:rPr>
                <w:rFonts w:hint="eastAsia" w:ascii="宋体" w:hAnsi="宋体" w:cs="宋体"/>
                <w:b/>
                <w:spacing w:val="10"/>
                <w:sz w:val="24"/>
                <w:szCs w:val="24"/>
              </w:rPr>
              <w:t>故障</w:t>
            </w:r>
          </w:p>
          <w:p w14:paraId="3D636633">
            <w:pPr>
              <w:pStyle w:val="126"/>
              <w:tabs>
                <w:tab w:val="left" w:pos="567"/>
              </w:tabs>
              <w:spacing w:beforeLines="0" w:afterLines="0" w:line="360" w:lineRule="exact"/>
              <w:jc w:val="center"/>
              <w:rPr>
                <w:rFonts w:hint="eastAsia" w:ascii="宋体" w:hAnsi="宋体" w:cs="宋体"/>
                <w:b/>
                <w:spacing w:val="10"/>
                <w:sz w:val="24"/>
                <w:szCs w:val="24"/>
              </w:rPr>
            </w:pPr>
            <w:r>
              <w:rPr>
                <w:rFonts w:hint="eastAsia" w:ascii="宋体" w:hAnsi="宋体" w:cs="宋体"/>
                <w:b/>
                <w:spacing w:val="10"/>
                <w:sz w:val="24"/>
                <w:szCs w:val="24"/>
              </w:rPr>
              <w:t>级别</w:t>
            </w:r>
          </w:p>
        </w:tc>
        <w:tc>
          <w:tcPr>
            <w:tcW w:w="2203" w:type="dxa"/>
            <w:vAlign w:val="center"/>
          </w:tcPr>
          <w:p w14:paraId="295498CE">
            <w:pPr>
              <w:pStyle w:val="126"/>
              <w:tabs>
                <w:tab w:val="left" w:pos="567"/>
              </w:tabs>
              <w:spacing w:beforeLines="0" w:afterLines="0" w:line="360" w:lineRule="exact"/>
              <w:jc w:val="center"/>
              <w:rPr>
                <w:rFonts w:hint="eastAsia" w:ascii="宋体" w:hAnsi="宋体" w:cs="宋体"/>
                <w:b/>
                <w:spacing w:val="10"/>
                <w:sz w:val="24"/>
                <w:szCs w:val="24"/>
              </w:rPr>
            </w:pPr>
            <w:r>
              <w:rPr>
                <w:rFonts w:hint="eastAsia" w:ascii="宋体" w:hAnsi="宋体" w:cs="宋体"/>
                <w:b/>
                <w:spacing w:val="10"/>
                <w:sz w:val="24"/>
                <w:szCs w:val="24"/>
              </w:rPr>
              <w:t>故障响应人</w:t>
            </w:r>
          </w:p>
        </w:tc>
        <w:tc>
          <w:tcPr>
            <w:tcW w:w="5492" w:type="dxa"/>
            <w:vAlign w:val="center"/>
          </w:tcPr>
          <w:p w14:paraId="2D76EE5B">
            <w:pPr>
              <w:pStyle w:val="126"/>
              <w:tabs>
                <w:tab w:val="left" w:pos="567"/>
              </w:tabs>
              <w:spacing w:beforeLines="0" w:afterLines="0" w:line="360" w:lineRule="exact"/>
              <w:jc w:val="center"/>
              <w:rPr>
                <w:rFonts w:hint="eastAsia" w:ascii="宋体" w:hAnsi="宋体" w:cs="宋体"/>
                <w:b/>
                <w:spacing w:val="10"/>
                <w:sz w:val="24"/>
                <w:szCs w:val="24"/>
              </w:rPr>
            </w:pPr>
            <w:r>
              <w:rPr>
                <w:rFonts w:hint="eastAsia" w:ascii="宋体" w:hAnsi="宋体" w:cs="宋体"/>
                <w:b/>
                <w:spacing w:val="10"/>
                <w:sz w:val="24"/>
                <w:szCs w:val="24"/>
              </w:rPr>
              <w:t>故障处理方案</w:t>
            </w:r>
          </w:p>
        </w:tc>
      </w:tr>
      <w:tr w14:paraId="1B514D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0" w:hRule="atLeast"/>
          <w:jc w:val="center"/>
        </w:trPr>
        <w:tc>
          <w:tcPr>
            <w:tcW w:w="1218" w:type="dxa"/>
            <w:vAlign w:val="center"/>
          </w:tcPr>
          <w:p w14:paraId="6F736B18">
            <w:pPr>
              <w:pStyle w:val="126"/>
              <w:tabs>
                <w:tab w:val="left" w:pos="567"/>
              </w:tabs>
              <w:spacing w:beforeLines="0" w:afterLines="0" w:line="360" w:lineRule="exact"/>
              <w:jc w:val="center"/>
              <w:rPr>
                <w:rFonts w:hint="eastAsia" w:ascii="宋体" w:hAnsi="宋体" w:cs="宋体"/>
                <w:sz w:val="24"/>
                <w:szCs w:val="24"/>
              </w:rPr>
            </w:pPr>
            <w:r>
              <w:rPr>
                <w:rFonts w:hint="eastAsia" w:ascii="宋体" w:hAnsi="宋体" w:cs="宋体"/>
                <w:sz w:val="24"/>
                <w:szCs w:val="24"/>
              </w:rPr>
              <w:t>一级故障</w:t>
            </w:r>
          </w:p>
        </w:tc>
        <w:tc>
          <w:tcPr>
            <w:tcW w:w="2203" w:type="dxa"/>
            <w:vAlign w:val="center"/>
          </w:tcPr>
          <w:p w14:paraId="39E060B2">
            <w:pPr>
              <w:pStyle w:val="126"/>
              <w:tabs>
                <w:tab w:val="left" w:pos="567"/>
              </w:tabs>
              <w:spacing w:beforeLines="0" w:afterLines="0" w:line="360" w:lineRule="exact"/>
              <w:jc w:val="center"/>
              <w:rPr>
                <w:rFonts w:hint="eastAsia" w:ascii="宋体" w:hAnsi="宋体" w:cs="宋体"/>
                <w:sz w:val="24"/>
                <w:szCs w:val="24"/>
              </w:rPr>
            </w:pPr>
            <w:r>
              <w:rPr>
                <w:rFonts w:hint="eastAsia" w:ascii="宋体" w:hAnsi="宋体" w:cs="宋体"/>
                <w:sz w:val="24"/>
                <w:szCs w:val="24"/>
              </w:rPr>
              <w:t>我方主管领导</w:t>
            </w:r>
          </w:p>
          <w:p w14:paraId="6FEA5292">
            <w:pPr>
              <w:pStyle w:val="126"/>
              <w:tabs>
                <w:tab w:val="left" w:pos="567"/>
              </w:tabs>
              <w:spacing w:beforeLines="0" w:afterLines="0" w:line="360" w:lineRule="exact"/>
              <w:jc w:val="center"/>
              <w:rPr>
                <w:rFonts w:hint="eastAsia" w:ascii="宋体" w:hAnsi="宋体" w:cs="宋体"/>
                <w:sz w:val="24"/>
                <w:szCs w:val="24"/>
              </w:rPr>
            </w:pPr>
            <w:r>
              <w:rPr>
                <w:rFonts w:hint="eastAsia" w:ascii="宋体" w:hAnsi="宋体" w:cs="宋体"/>
                <w:sz w:val="24"/>
                <w:szCs w:val="24"/>
              </w:rPr>
              <w:t>技术服务负责人</w:t>
            </w:r>
          </w:p>
          <w:p w14:paraId="0B6E96F0">
            <w:pPr>
              <w:pStyle w:val="126"/>
              <w:tabs>
                <w:tab w:val="left" w:pos="567"/>
              </w:tabs>
              <w:spacing w:beforeLines="0" w:afterLines="0" w:line="360" w:lineRule="exact"/>
              <w:jc w:val="center"/>
              <w:rPr>
                <w:rFonts w:hint="eastAsia" w:ascii="宋体" w:hAnsi="宋体" w:cs="宋体"/>
                <w:sz w:val="24"/>
                <w:szCs w:val="24"/>
              </w:rPr>
            </w:pPr>
            <w:r>
              <w:rPr>
                <w:rFonts w:hint="eastAsia" w:ascii="宋体" w:hAnsi="宋体" w:cs="宋体"/>
                <w:sz w:val="24"/>
                <w:szCs w:val="24"/>
              </w:rPr>
              <w:t>技术中心负责人</w:t>
            </w:r>
          </w:p>
          <w:p w14:paraId="2CA13E3E">
            <w:pPr>
              <w:pStyle w:val="126"/>
              <w:tabs>
                <w:tab w:val="left" w:pos="567"/>
              </w:tabs>
              <w:spacing w:beforeLines="0" w:afterLines="0" w:line="360" w:lineRule="exact"/>
              <w:jc w:val="center"/>
              <w:rPr>
                <w:rFonts w:hint="eastAsia" w:ascii="宋体" w:hAnsi="宋体" w:cs="宋体"/>
                <w:sz w:val="24"/>
                <w:szCs w:val="24"/>
              </w:rPr>
            </w:pPr>
            <w:r>
              <w:rPr>
                <w:rFonts w:hint="eastAsia" w:ascii="宋体" w:hAnsi="宋体" w:cs="宋体"/>
                <w:sz w:val="24"/>
                <w:szCs w:val="24"/>
              </w:rPr>
              <w:t>技术骨干工程师</w:t>
            </w:r>
          </w:p>
          <w:p w14:paraId="40DDAE2F">
            <w:pPr>
              <w:pStyle w:val="126"/>
              <w:tabs>
                <w:tab w:val="left" w:pos="567"/>
              </w:tabs>
              <w:spacing w:beforeLines="0" w:afterLines="0" w:line="360" w:lineRule="exact"/>
              <w:jc w:val="center"/>
              <w:rPr>
                <w:rFonts w:hint="eastAsia" w:ascii="宋体" w:hAnsi="宋体" w:cs="宋体"/>
                <w:sz w:val="24"/>
                <w:szCs w:val="24"/>
              </w:rPr>
            </w:pPr>
            <w:r>
              <w:rPr>
                <w:rFonts w:hint="eastAsia" w:ascii="宋体" w:hAnsi="宋体" w:cs="宋体"/>
                <w:sz w:val="24"/>
                <w:szCs w:val="24"/>
              </w:rPr>
              <w:t>技术服务工程师</w:t>
            </w:r>
          </w:p>
        </w:tc>
        <w:tc>
          <w:tcPr>
            <w:tcW w:w="5492" w:type="dxa"/>
            <w:vAlign w:val="center"/>
          </w:tcPr>
          <w:p w14:paraId="13701CDD">
            <w:pPr>
              <w:pStyle w:val="126"/>
              <w:widowControl/>
              <w:numPr>
                <w:ilvl w:val="0"/>
                <w:numId w:val="11"/>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电话支持解决；无法远程解决，进行现场技术服务；</w:t>
            </w:r>
          </w:p>
          <w:p w14:paraId="4F101151">
            <w:pPr>
              <w:pStyle w:val="126"/>
              <w:widowControl/>
              <w:numPr>
                <w:ilvl w:val="0"/>
                <w:numId w:val="11"/>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我方主管领导现场指挥；</w:t>
            </w:r>
          </w:p>
          <w:p w14:paraId="367531C2">
            <w:pPr>
              <w:pStyle w:val="126"/>
              <w:widowControl/>
              <w:numPr>
                <w:ilvl w:val="0"/>
                <w:numId w:val="11"/>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安排相关部门负责人及技术骨干到场；</w:t>
            </w:r>
          </w:p>
          <w:p w14:paraId="4902B771">
            <w:pPr>
              <w:pStyle w:val="126"/>
              <w:widowControl/>
              <w:numPr>
                <w:ilvl w:val="0"/>
                <w:numId w:val="11"/>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启用应急方案，恢复系统运行；</w:t>
            </w:r>
          </w:p>
          <w:p w14:paraId="08444D56">
            <w:pPr>
              <w:pStyle w:val="126"/>
              <w:widowControl/>
              <w:numPr>
                <w:ilvl w:val="0"/>
                <w:numId w:val="11"/>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技术人员查找问题并解决问题；</w:t>
            </w:r>
          </w:p>
          <w:p w14:paraId="3F578335">
            <w:pPr>
              <w:pStyle w:val="126"/>
              <w:widowControl/>
              <w:numPr>
                <w:ilvl w:val="0"/>
                <w:numId w:val="11"/>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向招标方提交问题调查报告，并提供防止再次发生同类故障的措施和办法。</w:t>
            </w:r>
          </w:p>
        </w:tc>
      </w:tr>
      <w:tr w14:paraId="194BEE9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1" w:hRule="atLeast"/>
          <w:jc w:val="center"/>
        </w:trPr>
        <w:tc>
          <w:tcPr>
            <w:tcW w:w="1218" w:type="dxa"/>
            <w:vAlign w:val="center"/>
          </w:tcPr>
          <w:p w14:paraId="1908289B">
            <w:pPr>
              <w:pStyle w:val="126"/>
              <w:tabs>
                <w:tab w:val="left" w:pos="567"/>
              </w:tabs>
              <w:spacing w:beforeLines="0" w:afterLines="0" w:line="360" w:lineRule="exact"/>
              <w:jc w:val="center"/>
              <w:rPr>
                <w:rFonts w:hint="eastAsia" w:ascii="宋体" w:hAnsi="宋体" w:cs="宋体"/>
                <w:sz w:val="24"/>
                <w:szCs w:val="24"/>
              </w:rPr>
            </w:pPr>
            <w:r>
              <w:rPr>
                <w:rFonts w:hint="eastAsia" w:ascii="宋体" w:hAnsi="宋体" w:cs="宋体"/>
                <w:sz w:val="24"/>
                <w:szCs w:val="24"/>
              </w:rPr>
              <w:t>二级故障</w:t>
            </w:r>
          </w:p>
        </w:tc>
        <w:tc>
          <w:tcPr>
            <w:tcW w:w="2203" w:type="dxa"/>
            <w:vAlign w:val="center"/>
          </w:tcPr>
          <w:p w14:paraId="690A7854">
            <w:pPr>
              <w:pStyle w:val="126"/>
              <w:tabs>
                <w:tab w:val="left" w:pos="567"/>
              </w:tabs>
              <w:spacing w:beforeLines="0" w:afterLines="0" w:line="360" w:lineRule="exact"/>
              <w:jc w:val="center"/>
              <w:rPr>
                <w:rFonts w:hint="eastAsia" w:ascii="宋体" w:hAnsi="宋体" w:cs="宋体"/>
                <w:sz w:val="24"/>
                <w:szCs w:val="24"/>
              </w:rPr>
            </w:pPr>
            <w:r>
              <w:rPr>
                <w:rFonts w:hint="eastAsia" w:ascii="宋体" w:hAnsi="宋体" w:cs="宋体"/>
                <w:sz w:val="24"/>
                <w:szCs w:val="24"/>
              </w:rPr>
              <w:t>技术服务负责人</w:t>
            </w:r>
          </w:p>
          <w:p w14:paraId="51B72D4B">
            <w:pPr>
              <w:pStyle w:val="126"/>
              <w:tabs>
                <w:tab w:val="left" w:pos="567"/>
              </w:tabs>
              <w:spacing w:beforeLines="0" w:afterLines="0" w:line="360" w:lineRule="exact"/>
              <w:jc w:val="center"/>
              <w:rPr>
                <w:rFonts w:hint="eastAsia" w:ascii="宋体" w:hAnsi="宋体" w:cs="宋体"/>
                <w:sz w:val="24"/>
                <w:szCs w:val="24"/>
              </w:rPr>
            </w:pPr>
            <w:r>
              <w:rPr>
                <w:rFonts w:hint="eastAsia" w:ascii="宋体" w:hAnsi="宋体" w:cs="宋体"/>
                <w:sz w:val="24"/>
                <w:szCs w:val="24"/>
              </w:rPr>
              <w:t>技术中心负责人</w:t>
            </w:r>
          </w:p>
          <w:p w14:paraId="7B517CF8">
            <w:pPr>
              <w:pStyle w:val="126"/>
              <w:tabs>
                <w:tab w:val="left" w:pos="567"/>
              </w:tabs>
              <w:spacing w:beforeLines="0" w:afterLines="0" w:line="360" w:lineRule="exact"/>
              <w:jc w:val="center"/>
              <w:rPr>
                <w:rFonts w:hint="eastAsia" w:ascii="宋体" w:hAnsi="宋体" w:cs="宋体"/>
                <w:sz w:val="24"/>
                <w:szCs w:val="24"/>
              </w:rPr>
            </w:pPr>
            <w:r>
              <w:rPr>
                <w:rFonts w:hint="eastAsia" w:ascii="宋体" w:hAnsi="宋体" w:cs="宋体"/>
                <w:sz w:val="24"/>
                <w:szCs w:val="24"/>
              </w:rPr>
              <w:t>技术骨干工程师</w:t>
            </w:r>
          </w:p>
          <w:p w14:paraId="0034376D">
            <w:pPr>
              <w:pStyle w:val="126"/>
              <w:tabs>
                <w:tab w:val="left" w:pos="567"/>
              </w:tabs>
              <w:spacing w:beforeLines="0" w:afterLines="0" w:line="360" w:lineRule="exact"/>
              <w:jc w:val="center"/>
              <w:rPr>
                <w:rFonts w:hint="eastAsia" w:ascii="宋体" w:hAnsi="宋体" w:cs="宋体"/>
                <w:sz w:val="24"/>
                <w:szCs w:val="24"/>
              </w:rPr>
            </w:pPr>
            <w:r>
              <w:rPr>
                <w:rFonts w:hint="eastAsia" w:ascii="宋体" w:hAnsi="宋体" w:cs="宋体"/>
                <w:sz w:val="24"/>
                <w:szCs w:val="24"/>
              </w:rPr>
              <w:t>技术服务工程师</w:t>
            </w:r>
          </w:p>
        </w:tc>
        <w:tc>
          <w:tcPr>
            <w:tcW w:w="5492" w:type="dxa"/>
            <w:vAlign w:val="center"/>
          </w:tcPr>
          <w:p w14:paraId="6E3EF17D">
            <w:pPr>
              <w:pStyle w:val="126"/>
              <w:widowControl/>
              <w:numPr>
                <w:ilvl w:val="0"/>
                <w:numId w:val="12"/>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电话支持解决；无法远程解决，进行现场技术服务；</w:t>
            </w:r>
          </w:p>
          <w:p w14:paraId="7FC33EA5">
            <w:pPr>
              <w:pStyle w:val="126"/>
              <w:widowControl/>
              <w:numPr>
                <w:ilvl w:val="0"/>
                <w:numId w:val="12"/>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设备故障，停运出现故障的相关设备，进行隔离，在维修模式下或者接入调试系统诊断问题；</w:t>
            </w:r>
          </w:p>
          <w:p w14:paraId="0047404C">
            <w:pPr>
              <w:pStyle w:val="126"/>
              <w:widowControl/>
              <w:numPr>
                <w:ilvl w:val="0"/>
                <w:numId w:val="12"/>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网络问题，使用专用工具或者软件进行分析诊断，找到问题，必要时候，要求生产商到场协助解决；</w:t>
            </w:r>
          </w:p>
          <w:p w14:paraId="487A5CEE">
            <w:pPr>
              <w:pStyle w:val="126"/>
              <w:widowControl/>
              <w:numPr>
                <w:ilvl w:val="0"/>
                <w:numId w:val="12"/>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向招标方提交问题调查报告，提供防止再次发生同类故障的措施和办法。</w:t>
            </w:r>
          </w:p>
        </w:tc>
      </w:tr>
      <w:tr w14:paraId="68FA3B2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0" w:hRule="atLeast"/>
          <w:jc w:val="center"/>
        </w:trPr>
        <w:tc>
          <w:tcPr>
            <w:tcW w:w="1218" w:type="dxa"/>
            <w:vAlign w:val="center"/>
          </w:tcPr>
          <w:p w14:paraId="110C7D02">
            <w:pPr>
              <w:pStyle w:val="126"/>
              <w:tabs>
                <w:tab w:val="left" w:pos="567"/>
              </w:tabs>
              <w:spacing w:beforeLines="0" w:afterLines="0" w:line="360" w:lineRule="exact"/>
              <w:jc w:val="center"/>
              <w:rPr>
                <w:rFonts w:hint="eastAsia" w:ascii="宋体" w:hAnsi="宋体" w:cs="宋体"/>
                <w:sz w:val="24"/>
                <w:szCs w:val="24"/>
              </w:rPr>
            </w:pPr>
            <w:r>
              <w:rPr>
                <w:rFonts w:hint="eastAsia" w:ascii="宋体" w:hAnsi="宋体" w:cs="宋体"/>
                <w:sz w:val="24"/>
                <w:szCs w:val="24"/>
              </w:rPr>
              <w:t>三级故障</w:t>
            </w:r>
          </w:p>
        </w:tc>
        <w:tc>
          <w:tcPr>
            <w:tcW w:w="2203" w:type="dxa"/>
            <w:vAlign w:val="center"/>
          </w:tcPr>
          <w:p w14:paraId="27247604">
            <w:pPr>
              <w:pStyle w:val="126"/>
              <w:tabs>
                <w:tab w:val="left" w:pos="567"/>
              </w:tabs>
              <w:spacing w:beforeLines="0" w:afterLines="0" w:line="360" w:lineRule="exact"/>
              <w:jc w:val="center"/>
              <w:rPr>
                <w:rFonts w:hint="eastAsia" w:ascii="宋体" w:hAnsi="宋体" w:cs="宋体"/>
                <w:sz w:val="24"/>
                <w:szCs w:val="24"/>
              </w:rPr>
            </w:pPr>
            <w:r>
              <w:rPr>
                <w:rFonts w:hint="eastAsia" w:ascii="宋体" w:hAnsi="宋体" w:cs="宋体"/>
                <w:sz w:val="24"/>
                <w:szCs w:val="24"/>
              </w:rPr>
              <w:t>技术服务负责人</w:t>
            </w:r>
          </w:p>
          <w:p w14:paraId="3CD04B73">
            <w:pPr>
              <w:pStyle w:val="126"/>
              <w:tabs>
                <w:tab w:val="left" w:pos="567"/>
              </w:tabs>
              <w:spacing w:beforeLines="0" w:afterLines="0" w:line="360" w:lineRule="exact"/>
              <w:jc w:val="center"/>
              <w:rPr>
                <w:rFonts w:hint="eastAsia" w:ascii="宋体" w:hAnsi="宋体" w:cs="宋体"/>
                <w:sz w:val="24"/>
                <w:szCs w:val="24"/>
              </w:rPr>
            </w:pPr>
            <w:r>
              <w:rPr>
                <w:rFonts w:hint="eastAsia" w:ascii="宋体" w:hAnsi="宋体" w:cs="宋体"/>
                <w:sz w:val="24"/>
                <w:szCs w:val="24"/>
              </w:rPr>
              <w:t>技术服务工程师</w:t>
            </w:r>
          </w:p>
        </w:tc>
        <w:tc>
          <w:tcPr>
            <w:tcW w:w="5492" w:type="dxa"/>
            <w:vAlign w:val="center"/>
          </w:tcPr>
          <w:p w14:paraId="1DEB4602">
            <w:pPr>
              <w:pStyle w:val="126"/>
              <w:widowControl/>
              <w:numPr>
                <w:ilvl w:val="0"/>
                <w:numId w:val="13"/>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电话支持解决；无法远程解决，进行现场技术服务；</w:t>
            </w:r>
          </w:p>
          <w:p w14:paraId="65E97C49">
            <w:pPr>
              <w:pStyle w:val="126"/>
              <w:widowControl/>
              <w:numPr>
                <w:ilvl w:val="0"/>
                <w:numId w:val="13"/>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停运出现故障的相关设备，进行隔离，在维修模式下或者接入调试系统诊断问题，找到问题并解决问题；</w:t>
            </w:r>
          </w:p>
          <w:p w14:paraId="4951FA40">
            <w:pPr>
              <w:pStyle w:val="126"/>
              <w:widowControl/>
              <w:numPr>
                <w:ilvl w:val="0"/>
                <w:numId w:val="13"/>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向招标方提交问题调查报告，提供防止再次发生同类故障的措施和办法。</w:t>
            </w:r>
          </w:p>
        </w:tc>
      </w:tr>
      <w:tr w14:paraId="7B21B5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9" w:hRule="atLeast"/>
          <w:jc w:val="center"/>
        </w:trPr>
        <w:tc>
          <w:tcPr>
            <w:tcW w:w="1218" w:type="dxa"/>
            <w:vAlign w:val="center"/>
          </w:tcPr>
          <w:p w14:paraId="62BBE8BC">
            <w:pPr>
              <w:pStyle w:val="127"/>
              <w:tabs>
                <w:tab w:val="left" w:pos="567"/>
              </w:tabs>
              <w:spacing w:line="360" w:lineRule="exact"/>
              <w:jc w:val="center"/>
              <w:rPr>
                <w:rFonts w:hint="eastAsia" w:cs="宋体"/>
                <w:sz w:val="24"/>
                <w:szCs w:val="24"/>
              </w:rPr>
            </w:pPr>
            <w:r>
              <w:rPr>
                <w:rFonts w:hint="eastAsia" w:cs="宋体"/>
                <w:sz w:val="24"/>
                <w:szCs w:val="24"/>
              </w:rPr>
              <w:t>四级故障</w:t>
            </w:r>
          </w:p>
        </w:tc>
        <w:tc>
          <w:tcPr>
            <w:tcW w:w="2203" w:type="dxa"/>
            <w:vAlign w:val="center"/>
          </w:tcPr>
          <w:p w14:paraId="5DDC5C85">
            <w:pPr>
              <w:pStyle w:val="127"/>
              <w:tabs>
                <w:tab w:val="left" w:pos="567"/>
              </w:tabs>
              <w:spacing w:line="360" w:lineRule="exact"/>
              <w:jc w:val="center"/>
              <w:rPr>
                <w:rFonts w:hint="eastAsia" w:cs="宋体"/>
                <w:sz w:val="24"/>
                <w:szCs w:val="24"/>
              </w:rPr>
            </w:pPr>
            <w:r>
              <w:rPr>
                <w:rFonts w:hint="eastAsia" w:cs="宋体"/>
                <w:sz w:val="24"/>
                <w:szCs w:val="24"/>
              </w:rPr>
              <w:t>技术服务工程师</w:t>
            </w:r>
          </w:p>
        </w:tc>
        <w:tc>
          <w:tcPr>
            <w:tcW w:w="5492" w:type="dxa"/>
            <w:vAlign w:val="center"/>
          </w:tcPr>
          <w:p w14:paraId="69D64D8E">
            <w:pPr>
              <w:pStyle w:val="126"/>
              <w:widowControl/>
              <w:numPr>
                <w:ilvl w:val="0"/>
                <w:numId w:val="14"/>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电话支持解决；无法远程解决，进行现场技术服务；</w:t>
            </w:r>
          </w:p>
          <w:p w14:paraId="5D6A285C">
            <w:pPr>
              <w:pStyle w:val="126"/>
              <w:widowControl/>
              <w:numPr>
                <w:ilvl w:val="0"/>
                <w:numId w:val="14"/>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现场解决问题；</w:t>
            </w:r>
          </w:p>
          <w:p w14:paraId="4C9B4137">
            <w:pPr>
              <w:pStyle w:val="126"/>
              <w:widowControl/>
              <w:numPr>
                <w:ilvl w:val="0"/>
                <w:numId w:val="14"/>
              </w:numPr>
              <w:tabs>
                <w:tab w:val="left" w:pos="567"/>
              </w:tabs>
              <w:adjustRightInd/>
              <w:snapToGrid/>
              <w:spacing w:beforeLines="0" w:afterLines="0" w:line="360" w:lineRule="exact"/>
              <w:jc w:val="both"/>
              <w:rPr>
                <w:rFonts w:hint="eastAsia" w:ascii="宋体" w:hAnsi="宋体" w:cs="宋体"/>
                <w:sz w:val="24"/>
                <w:szCs w:val="24"/>
              </w:rPr>
            </w:pPr>
            <w:r>
              <w:rPr>
                <w:rFonts w:hint="eastAsia" w:ascii="宋体" w:hAnsi="宋体" w:cs="宋体"/>
                <w:sz w:val="24"/>
                <w:szCs w:val="24"/>
              </w:rPr>
              <w:t>记录问题原因、解决方法、时间、负责人等，供查询使用。</w:t>
            </w:r>
          </w:p>
        </w:tc>
      </w:tr>
    </w:tbl>
    <w:p w14:paraId="572E2D71">
      <w:pPr>
        <w:pStyle w:val="128"/>
        <w:tabs>
          <w:tab w:val="left" w:pos="567"/>
        </w:tabs>
        <w:ind w:firstLine="480"/>
        <w:rPr>
          <w:rFonts w:hint="eastAsia" w:cs="宋体"/>
          <w:sz w:val="24"/>
          <w:szCs w:val="24"/>
        </w:rPr>
      </w:pPr>
      <w:r>
        <w:rPr>
          <w:rFonts w:hint="eastAsia" w:cs="宋体"/>
          <w:sz w:val="24"/>
          <w:szCs w:val="24"/>
        </w:rPr>
        <w:t>发现故障后，由故障响应人组织和监控事故处理的过程；调度内部资源；保持与客户的沟通和联系及密切配合；协调其他必需的外部支持。并将在故障处理过程中，注意下列事项：</w:t>
      </w:r>
    </w:p>
    <w:p w14:paraId="21923779">
      <w:pPr>
        <w:pStyle w:val="129"/>
        <w:numPr>
          <w:ilvl w:val="0"/>
          <w:numId w:val="15"/>
        </w:numPr>
        <w:tabs>
          <w:tab w:val="left" w:pos="567"/>
        </w:tabs>
        <w:spacing w:before="0" w:after="0"/>
        <w:ind w:left="0" w:firstLine="480"/>
        <w:jc w:val="left"/>
        <w:rPr>
          <w:rFonts w:hint="eastAsia" w:ascii="宋体" w:hAnsi="宋体" w:cs="宋体"/>
          <w:kern w:val="2"/>
          <w:sz w:val="24"/>
          <w:szCs w:val="24"/>
        </w:rPr>
      </w:pPr>
      <w:r>
        <w:rPr>
          <w:rFonts w:hint="eastAsia" w:ascii="宋体" w:hAnsi="宋体" w:cs="宋体"/>
          <w:kern w:val="2"/>
          <w:sz w:val="24"/>
          <w:szCs w:val="24"/>
        </w:rPr>
        <w:t>我方若发现并希望对系统不符合质量要求之处进行整改和修复，将立即将其修复申请报告提交招标方，指出不合格之处和采取的修复方法。</w:t>
      </w:r>
    </w:p>
    <w:p w14:paraId="0166D442">
      <w:pPr>
        <w:pStyle w:val="129"/>
        <w:numPr>
          <w:ilvl w:val="0"/>
          <w:numId w:val="15"/>
        </w:numPr>
        <w:tabs>
          <w:tab w:val="left" w:pos="567"/>
        </w:tabs>
        <w:spacing w:before="0" w:after="0"/>
        <w:ind w:left="0" w:firstLine="480"/>
        <w:jc w:val="left"/>
        <w:rPr>
          <w:rFonts w:hint="eastAsia" w:ascii="宋体" w:hAnsi="宋体" w:cs="宋体"/>
          <w:kern w:val="2"/>
          <w:sz w:val="24"/>
          <w:szCs w:val="24"/>
        </w:rPr>
      </w:pPr>
      <w:r>
        <w:rPr>
          <w:rFonts w:hint="eastAsia" w:ascii="宋体" w:hAnsi="宋体" w:cs="宋体"/>
          <w:kern w:val="2"/>
          <w:sz w:val="24"/>
          <w:szCs w:val="24"/>
        </w:rPr>
        <w:t>如果招标方未对我方按规定所提交的报告发出不合格通知，我方将立即查询此事，在接到通知14天内，提交招标方确认其整改措施和采取这些措施的理由。</w:t>
      </w:r>
    </w:p>
    <w:p w14:paraId="60E99D66">
      <w:pPr>
        <w:pStyle w:val="129"/>
        <w:numPr>
          <w:ilvl w:val="0"/>
          <w:numId w:val="15"/>
        </w:numPr>
        <w:tabs>
          <w:tab w:val="left" w:pos="567"/>
        </w:tabs>
        <w:spacing w:before="0" w:after="0"/>
        <w:ind w:left="0" w:firstLine="480"/>
        <w:jc w:val="left"/>
        <w:rPr>
          <w:rFonts w:hint="eastAsia" w:ascii="宋体" w:hAnsi="宋体" w:cs="宋体"/>
          <w:kern w:val="2"/>
          <w:sz w:val="24"/>
          <w:szCs w:val="24"/>
        </w:rPr>
      </w:pPr>
      <w:r>
        <w:rPr>
          <w:rFonts w:hint="eastAsia" w:ascii="宋体" w:hAnsi="宋体" w:cs="宋体"/>
          <w:kern w:val="2"/>
          <w:sz w:val="24"/>
          <w:szCs w:val="24"/>
        </w:rPr>
        <w:t>保证故障清查和排除；</w:t>
      </w:r>
    </w:p>
    <w:p w14:paraId="7D483F73">
      <w:pPr>
        <w:pStyle w:val="129"/>
        <w:numPr>
          <w:ilvl w:val="0"/>
          <w:numId w:val="15"/>
        </w:numPr>
        <w:tabs>
          <w:tab w:val="left" w:pos="567"/>
        </w:tabs>
        <w:spacing w:before="0" w:after="0"/>
        <w:ind w:left="0" w:firstLine="480"/>
        <w:jc w:val="left"/>
        <w:rPr>
          <w:rFonts w:hint="eastAsia" w:ascii="宋体" w:hAnsi="宋体" w:cs="宋体"/>
          <w:kern w:val="2"/>
          <w:sz w:val="24"/>
          <w:szCs w:val="24"/>
        </w:rPr>
      </w:pPr>
      <w:r>
        <w:rPr>
          <w:rFonts w:hint="eastAsia" w:ascii="宋体" w:hAnsi="宋体" w:cs="宋体"/>
          <w:kern w:val="2"/>
          <w:sz w:val="24"/>
          <w:szCs w:val="24"/>
        </w:rPr>
        <w:t>保证更换出现异常而不符合本技术要求或设计文件要求的部件；</w:t>
      </w:r>
    </w:p>
    <w:p w14:paraId="57B70B92">
      <w:pPr>
        <w:pStyle w:val="129"/>
        <w:numPr>
          <w:ilvl w:val="0"/>
          <w:numId w:val="15"/>
        </w:numPr>
        <w:tabs>
          <w:tab w:val="left" w:pos="567"/>
        </w:tabs>
        <w:spacing w:before="0" w:after="0"/>
        <w:ind w:left="0" w:firstLine="480"/>
        <w:jc w:val="left"/>
        <w:rPr>
          <w:rFonts w:hint="eastAsia" w:ascii="宋体" w:hAnsi="宋体" w:cs="宋体"/>
          <w:kern w:val="2"/>
          <w:sz w:val="24"/>
          <w:szCs w:val="24"/>
        </w:rPr>
      </w:pPr>
      <w:r>
        <w:rPr>
          <w:rFonts w:hint="eastAsia" w:ascii="宋体" w:hAnsi="宋体" w:cs="宋体"/>
          <w:kern w:val="2"/>
          <w:sz w:val="24"/>
          <w:szCs w:val="24"/>
        </w:rPr>
        <w:t>如果发现的异常问题反复出现或其后果影响到安全，则进行调查研究。研究的结果可以导致小或大的整改以使其符合要求；</w:t>
      </w:r>
    </w:p>
    <w:p w14:paraId="2443D65A">
      <w:pPr>
        <w:pStyle w:val="129"/>
        <w:numPr>
          <w:ilvl w:val="0"/>
          <w:numId w:val="15"/>
        </w:numPr>
        <w:tabs>
          <w:tab w:val="left" w:pos="567"/>
        </w:tabs>
        <w:spacing w:before="0" w:after="0"/>
        <w:ind w:left="0" w:firstLine="480"/>
        <w:jc w:val="left"/>
        <w:rPr>
          <w:rFonts w:hint="eastAsia" w:ascii="宋体" w:hAnsi="宋体" w:cs="宋体"/>
          <w:kern w:val="2"/>
          <w:sz w:val="24"/>
          <w:szCs w:val="24"/>
        </w:rPr>
      </w:pPr>
      <w:r>
        <w:rPr>
          <w:rFonts w:hint="eastAsia" w:ascii="宋体" w:hAnsi="宋体" w:cs="宋体"/>
          <w:kern w:val="2"/>
          <w:sz w:val="24"/>
          <w:szCs w:val="24"/>
        </w:rPr>
        <w:t>提供用于丰富数据库的资料，以便随时了解系统的状态。</w:t>
      </w:r>
    </w:p>
    <w:p w14:paraId="59830D44">
      <w:pPr>
        <w:pStyle w:val="129"/>
        <w:numPr>
          <w:ilvl w:val="0"/>
          <w:numId w:val="15"/>
        </w:numPr>
        <w:tabs>
          <w:tab w:val="left" w:pos="567"/>
        </w:tabs>
        <w:spacing w:before="0" w:after="0"/>
        <w:ind w:left="0" w:firstLine="480"/>
        <w:jc w:val="left"/>
        <w:rPr>
          <w:rFonts w:hint="eastAsia" w:ascii="宋体" w:hAnsi="宋体" w:cs="宋体"/>
          <w:kern w:val="2"/>
          <w:sz w:val="24"/>
          <w:szCs w:val="24"/>
        </w:rPr>
      </w:pPr>
      <w:r>
        <w:rPr>
          <w:rFonts w:hint="eastAsia" w:ascii="宋体" w:hAnsi="宋体" w:cs="宋体"/>
          <w:kern w:val="2"/>
          <w:sz w:val="24"/>
          <w:szCs w:val="24"/>
        </w:rPr>
        <w:t>如果发现的故障原因属于下述情况，我方将替换相同功能的全部零部件，且费用由我方负担∶</w:t>
      </w:r>
    </w:p>
    <w:p w14:paraId="13A0C9FD">
      <w:pPr>
        <w:pStyle w:val="129"/>
        <w:tabs>
          <w:tab w:val="left" w:pos="567"/>
        </w:tabs>
        <w:spacing w:before="0" w:after="0"/>
        <w:rPr>
          <w:rFonts w:hint="eastAsia" w:ascii="宋体" w:hAnsi="宋体" w:cs="宋体"/>
          <w:kern w:val="2"/>
          <w:sz w:val="24"/>
          <w:szCs w:val="24"/>
        </w:rPr>
      </w:pPr>
      <w:r>
        <w:rPr>
          <w:rFonts w:hint="eastAsia" w:ascii="宋体" w:hAnsi="宋体" w:cs="宋体"/>
          <w:kern w:val="2"/>
          <w:sz w:val="24"/>
          <w:szCs w:val="24"/>
        </w:rPr>
        <w:t>1）材料质量问题；</w:t>
      </w:r>
    </w:p>
    <w:p w14:paraId="1A71B20C">
      <w:pPr>
        <w:pStyle w:val="129"/>
        <w:tabs>
          <w:tab w:val="left" w:pos="567"/>
        </w:tabs>
        <w:spacing w:before="0" w:after="0"/>
        <w:rPr>
          <w:rFonts w:hint="eastAsia" w:ascii="宋体" w:hAnsi="宋体" w:cs="宋体"/>
          <w:kern w:val="2"/>
          <w:sz w:val="24"/>
          <w:szCs w:val="24"/>
        </w:rPr>
      </w:pPr>
      <w:r>
        <w:rPr>
          <w:rFonts w:hint="eastAsia" w:ascii="宋体" w:hAnsi="宋体" w:cs="宋体"/>
          <w:kern w:val="2"/>
          <w:sz w:val="24"/>
          <w:szCs w:val="24"/>
        </w:rPr>
        <w:t>2）零部件设计和生产中出现的严重缺陷；</w:t>
      </w:r>
    </w:p>
    <w:p w14:paraId="16C8469C">
      <w:pPr>
        <w:pStyle w:val="129"/>
        <w:tabs>
          <w:tab w:val="left" w:pos="567"/>
        </w:tabs>
        <w:spacing w:before="0" w:after="0"/>
        <w:rPr>
          <w:rFonts w:hint="eastAsia" w:ascii="宋体" w:hAnsi="宋体" w:cs="宋体"/>
          <w:kern w:val="2"/>
          <w:sz w:val="24"/>
          <w:szCs w:val="24"/>
        </w:rPr>
      </w:pPr>
      <w:r>
        <w:rPr>
          <w:rFonts w:hint="eastAsia" w:ascii="宋体" w:hAnsi="宋体" w:cs="宋体"/>
          <w:kern w:val="2"/>
          <w:sz w:val="24"/>
          <w:szCs w:val="24"/>
        </w:rPr>
        <w:t>3）对某些零部件（最小可更换单元）的更换和修理超过同类产品在同类型号零部件中的更换率（5%）。</w:t>
      </w:r>
    </w:p>
    <w:p w14:paraId="1C4996C1">
      <w:pPr>
        <w:pStyle w:val="129"/>
        <w:numPr>
          <w:ilvl w:val="0"/>
          <w:numId w:val="16"/>
        </w:numPr>
        <w:tabs>
          <w:tab w:val="left" w:pos="567"/>
        </w:tabs>
        <w:spacing w:before="0" w:after="0"/>
        <w:ind w:left="0" w:firstLine="480"/>
        <w:rPr>
          <w:rFonts w:hint="eastAsia" w:ascii="宋体" w:hAnsi="宋体" w:cs="宋体"/>
          <w:kern w:val="2"/>
          <w:sz w:val="24"/>
          <w:szCs w:val="24"/>
        </w:rPr>
      </w:pPr>
      <w:r>
        <w:rPr>
          <w:rFonts w:hint="eastAsia" w:ascii="宋体" w:hAnsi="宋体" w:cs="宋体"/>
          <w:kern w:val="2"/>
          <w:sz w:val="24"/>
          <w:szCs w:val="24"/>
        </w:rPr>
        <w:t>缺陷责任期内的义务包括对有缺陷零部件进行调查研究、拆卸、更换和重新安装。包括我方人员出差费用、包装和运输费用以及进行修复和更换所需的工具费用。</w:t>
      </w:r>
    </w:p>
    <w:p w14:paraId="4E2939E9">
      <w:pPr>
        <w:pStyle w:val="129"/>
        <w:numPr>
          <w:ilvl w:val="0"/>
          <w:numId w:val="16"/>
        </w:numPr>
        <w:tabs>
          <w:tab w:val="left" w:pos="567"/>
        </w:tabs>
        <w:spacing w:before="0" w:after="0"/>
        <w:ind w:left="0" w:firstLine="480"/>
        <w:rPr>
          <w:rFonts w:hint="eastAsia" w:ascii="宋体" w:hAnsi="宋体" w:cs="宋体"/>
          <w:kern w:val="2"/>
          <w:sz w:val="24"/>
          <w:szCs w:val="24"/>
        </w:rPr>
      </w:pPr>
      <w:r>
        <w:rPr>
          <w:rFonts w:hint="eastAsia" w:ascii="宋体" w:hAnsi="宋体" w:cs="宋体"/>
          <w:kern w:val="2"/>
          <w:sz w:val="24"/>
          <w:szCs w:val="24"/>
        </w:rPr>
        <w:t>如果故障清查的原因为软件故障时，我方将进行软件更换。</w:t>
      </w:r>
    </w:p>
    <w:p w14:paraId="1E9F8AA5">
      <w:pPr>
        <w:pStyle w:val="129"/>
        <w:numPr>
          <w:ilvl w:val="0"/>
          <w:numId w:val="16"/>
        </w:numPr>
        <w:tabs>
          <w:tab w:val="left" w:pos="567"/>
        </w:tabs>
        <w:spacing w:before="0" w:after="0"/>
        <w:ind w:left="0" w:firstLine="480"/>
        <w:rPr>
          <w:rFonts w:hint="eastAsia" w:ascii="宋体" w:hAnsi="宋体" w:cs="宋体"/>
          <w:kern w:val="2"/>
          <w:sz w:val="24"/>
          <w:szCs w:val="24"/>
        </w:rPr>
      </w:pPr>
      <w:r>
        <w:rPr>
          <w:rFonts w:hint="eastAsia" w:ascii="宋体" w:hAnsi="宋体" w:cs="宋体"/>
          <w:kern w:val="2"/>
          <w:sz w:val="24"/>
          <w:szCs w:val="24"/>
        </w:rPr>
        <w:t>缺陷责任期内，如果发生系统运行故障并导致全线或部分停运，我方将赔偿招标方因停运给业主造成的损失。停运的赔偿额，按故障运营前1周的日均运营收入为基础进行计算。</w:t>
      </w:r>
    </w:p>
    <w:p w14:paraId="69969E1A">
      <w:pPr>
        <w:pStyle w:val="129"/>
        <w:numPr>
          <w:ilvl w:val="0"/>
          <w:numId w:val="16"/>
        </w:numPr>
        <w:tabs>
          <w:tab w:val="left" w:pos="567"/>
        </w:tabs>
        <w:spacing w:before="0" w:after="0"/>
        <w:ind w:left="0" w:firstLine="480"/>
        <w:rPr>
          <w:rFonts w:hint="eastAsia" w:ascii="宋体" w:hAnsi="宋体" w:cs="宋体"/>
          <w:kern w:val="2"/>
          <w:sz w:val="24"/>
          <w:szCs w:val="24"/>
        </w:rPr>
      </w:pPr>
      <w:r>
        <w:rPr>
          <w:rFonts w:hint="eastAsia" w:ascii="宋体" w:hAnsi="宋体" w:cs="宋体"/>
          <w:kern w:val="2"/>
          <w:sz w:val="24"/>
          <w:szCs w:val="24"/>
        </w:rPr>
        <w:t>接到故障报告后，详细了解故障现象和系统状态，分析可能的原因（换版升级、异常操作、软件缺陷、硬件故障等）；</w:t>
      </w:r>
    </w:p>
    <w:p w14:paraId="523C3432">
      <w:pPr>
        <w:pStyle w:val="129"/>
        <w:numPr>
          <w:ilvl w:val="0"/>
          <w:numId w:val="16"/>
        </w:numPr>
        <w:tabs>
          <w:tab w:val="left" w:pos="567"/>
        </w:tabs>
        <w:spacing w:before="0" w:after="0"/>
        <w:ind w:left="0" w:firstLine="480"/>
        <w:rPr>
          <w:rFonts w:hint="eastAsia" w:ascii="宋体" w:hAnsi="宋体" w:cs="宋体"/>
          <w:kern w:val="2"/>
          <w:sz w:val="24"/>
          <w:szCs w:val="24"/>
        </w:rPr>
      </w:pPr>
      <w:r>
        <w:rPr>
          <w:rFonts w:hint="eastAsia" w:ascii="宋体" w:hAnsi="宋体" w:cs="宋体"/>
          <w:kern w:val="2"/>
          <w:sz w:val="24"/>
          <w:szCs w:val="24"/>
        </w:rPr>
        <w:t>处理故障前，最大可能地保护并记录事故发生时的现场信息，以便故障原因的分析调查；</w:t>
      </w:r>
    </w:p>
    <w:p w14:paraId="6AAB3974">
      <w:pPr>
        <w:pStyle w:val="129"/>
        <w:numPr>
          <w:ilvl w:val="0"/>
          <w:numId w:val="16"/>
        </w:numPr>
        <w:tabs>
          <w:tab w:val="left" w:pos="567"/>
        </w:tabs>
        <w:spacing w:before="0" w:after="0"/>
        <w:ind w:left="0" w:firstLine="480"/>
        <w:rPr>
          <w:rFonts w:hint="eastAsia" w:ascii="宋体" w:hAnsi="宋体" w:cs="宋体"/>
          <w:kern w:val="2"/>
          <w:sz w:val="24"/>
          <w:szCs w:val="24"/>
        </w:rPr>
      </w:pPr>
      <w:r>
        <w:rPr>
          <w:rFonts w:hint="eastAsia" w:ascii="宋体" w:hAnsi="宋体" w:cs="宋体"/>
          <w:kern w:val="2"/>
          <w:sz w:val="24"/>
          <w:szCs w:val="24"/>
        </w:rPr>
        <w:t>与招标方方确认先恢复系统还是先查清原因；</w:t>
      </w:r>
    </w:p>
    <w:p w14:paraId="45C8086F">
      <w:pPr>
        <w:pStyle w:val="129"/>
        <w:numPr>
          <w:ilvl w:val="0"/>
          <w:numId w:val="16"/>
        </w:numPr>
        <w:tabs>
          <w:tab w:val="left" w:pos="567"/>
        </w:tabs>
        <w:spacing w:before="0" w:after="0"/>
        <w:ind w:left="0" w:firstLine="480"/>
        <w:rPr>
          <w:rFonts w:hint="eastAsia" w:ascii="宋体" w:hAnsi="宋体" w:cs="宋体"/>
          <w:kern w:val="2"/>
          <w:sz w:val="24"/>
          <w:szCs w:val="24"/>
        </w:rPr>
      </w:pPr>
      <w:r>
        <w:rPr>
          <w:rFonts w:hint="eastAsia" w:ascii="宋体" w:hAnsi="宋体" w:cs="宋体"/>
          <w:kern w:val="2"/>
          <w:sz w:val="24"/>
          <w:szCs w:val="24"/>
        </w:rPr>
        <w:t>处理故障时，分清有关操作的责任范围（对非我方提供的产品，以及涉及招标方方安全权限规定的数据，须得到招标方方的正式授权方可由我方人员操作）；</w:t>
      </w:r>
    </w:p>
    <w:p w14:paraId="25F85661">
      <w:pPr>
        <w:pStyle w:val="129"/>
        <w:numPr>
          <w:ilvl w:val="0"/>
          <w:numId w:val="16"/>
        </w:numPr>
        <w:tabs>
          <w:tab w:val="left" w:pos="567"/>
        </w:tabs>
        <w:spacing w:before="0" w:after="0"/>
        <w:ind w:left="0" w:firstLine="480"/>
        <w:rPr>
          <w:rFonts w:hint="eastAsia" w:ascii="宋体" w:hAnsi="宋体" w:cs="宋体"/>
          <w:kern w:val="2"/>
          <w:sz w:val="24"/>
          <w:szCs w:val="24"/>
        </w:rPr>
      </w:pPr>
      <w:r>
        <w:rPr>
          <w:rFonts w:hint="eastAsia" w:ascii="宋体" w:hAnsi="宋体" w:cs="宋体"/>
          <w:kern w:val="2"/>
          <w:sz w:val="24"/>
          <w:szCs w:val="24"/>
        </w:rPr>
        <w:t>处理故障时，涉及业务操作及运行的任何变化，须征得招标方的认可；</w:t>
      </w:r>
    </w:p>
    <w:p w14:paraId="431688BA">
      <w:pPr>
        <w:pStyle w:val="129"/>
        <w:numPr>
          <w:ilvl w:val="0"/>
          <w:numId w:val="16"/>
        </w:numPr>
        <w:tabs>
          <w:tab w:val="left" w:pos="567"/>
        </w:tabs>
        <w:spacing w:before="0" w:after="0"/>
        <w:ind w:left="0" w:firstLine="480"/>
        <w:rPr>
          <w:rFonts w:hint="eastAsia" w:ascii="宋体" w:hAnsi="宋体" w:cs="宋体"/>
          <w:kern w:val="2"/>
          <w:sz w:val="24"/>
          <w:szCs w:val="24"/>
        </w:rPr>
      </w:pPr>
      <w:r>
        <w:rPr>
          <w:rFonts w:hint="eastAsia" w:ascii="宋体" w:hAnsi="宋体" w:cs="宋体"/>
          <w:kern w:val="2"/>
          <w:sz w:val="24"/>
          <w:szCs w:val="24"/>
        </w:rPr>
        <w:t>处理故障时，严格遵守质量流程和工程规范，严防因处理不当而引发新的故障，或埋下隐患。</w:t>
      </w:r>
    </w:p>
    <w:p w14:paraId="528817F8">
      <w:pPr>
        <w:pStyle w:val="128"/>
        <w:numPr>
          <w:ilvl w:val="0"/>
          <w:numId w:val="16"/>
        </w:numPr>
        <w:tabs>
          <w:tab w:val="left" w:pos="567"/>
        </w:tabs>
        <w:ind w:left="0" w:firstLine="480"/>
        <w:rPr>
          <w:rFonts w:hint="eastAsia" w:cs="宋体"/>
          <w:sz w:val="24"/>
          <w:szCs w:val="24"/>
        </w:rPr>
      </w:pPr>
      <w:r>
        <w:rPr>
          <w:rFonts w:hint="eastAsia" w:cs="宋体"/>
          <w:sz w:val="24"/>
          <w:szCs w:val="24"/>
        </w:rPr>
        <w:t>在故障得到妥善处理后一天内，故障响应人负责撰写故障处理报告报送招标方。报告的主要内容包括：</w:t>
      </w:r>
    </w:p>
    <w:p w14:paraId="4A0C5B1C">
      <w:pPr>
        <w:pStyle w:val="129"/>
        <w:numPr>
          <w:ilvl w:val="0"/>
          <w:numId w:val="17"/>
        </w:numPr>
        <w:tabs>
          <w:tab w:val="left" w:pos="567"/>
        </w:tabs>
        <w:spacing w:before="0" w:after="0"/>
        <w:ind w:firstLine="0" w:firstLineChars="0"/>
        <w:rPr>
          <w:rFonts w:hint="eastAsia" w:ascii="宋体" w:hAnsi="宋体" w:cs="宋体"/>
          <w:kern w:val="2"/>
          <w:sz w:val="24"/>
          <w:szCs w:val="24"/>
        </w:rPr>
      </w:pPr>
      <w:r>
        <w:rPr>
          <w:rFonts w:hint="eastAsia" w:ascii="宋体" w:hAnsi="宋体" w:cs="宋体"/>
          <w:kern w:val="2"/>
          <w:sz w:val="24"/>
          <w:szCs w:val="24"/>
        </w:rPr>
        <w:t>故障发生的时间和地点；</w:t>
      </w:r>
    </w:p>
    <w:p w14:paraId="57102F17">
      <w:pPr>
        <w:pStyle w:val="129"/>
        <w:numPr>
          <w:ilvl w:val="0"/>
          <w:numId w:val="17"/>
        </w:numPr>
        <w:tabs>
          <w:tab w:val="left" w:pos="567"/>
        </w:tabs>
        <w:spacing w:before="0" w:after="0"/>
        <w:ind w:firstLine="0" w:firstLineChars="0"/>
        <w:rPr>
          <w:rFonts w:hint="eastAsia" w:ascii="宋体" w:hAnsi="宋体" w:cs="宋体"/>
          <w:kern w:val="2"/>
          <w:sz w:val="24"/>
          <w:szCs w:val="24"/>
        </w:rPr>
      </w:pPr>
      <w:r>
        <w:rPr>
          <w:rFonts w:hint="eastAsia" w:ascii="宋体" w:hAnsi="宋体" w:cs="宋体"/>
          <w:kern w:val="2"/>
          <w:sz w:val="24"/>
          <w:szCs w:val="24"/>
        </w:rPr>
        <w:t>故障发生的简要经过、主要影响和直接经济损失的最终估计；</w:t>
      </w:r>
    </w:p>
    <w:p w14:paraId="22EB711B">
      <w:pPr>
        <w:pStyle w:val="129"/>
        <w:numPr>
          <w:ilvl w:val="0"/>
          <w:numId w:val="17"/>
        </w:numPr>
        <w:tabs>
          <w:tab w:val="left" w:pos="567"/>
        </w:tabs>
        <w:spacing w:before="0" w:after="0"/>
        <w:ind w:firstLine="0" w:firstLineChars="0"/>
        <w:rPr>
          <w:rFonts w:hint="eastAsia" w:ascii="宋体" w:hAnsi="宋体" w:cs="宋体"/>
          <w:kern w:val="2"/>
          <w:sz w:val="24"/>
          <w:szCs w:val="24"/>
        </w:rPr>
      </w:pPr>
      <w:r>
        <w:rPr>
          <w:rFonts w:hint="eastAsia" w:ascii="宋体" w:hAnsi="宋体" w:cs="宋体"/>
          <w:kern w:val="2"/>
          <w:sz w:val="24"/>
          <w:szCs w:val="24"/>
        </w:rPr>
        <w:t>故障发生原因及责任；</w:t>
      </w:r>
    </w:p>
    <w:p w14:paraId="3D5ED3ED">
      <w:pPr>
        <w:pStyle w:val="129"/>
        <w:numPr>
          <w:ilvl w:val="0"/>
          <w:numId w:val="17"/>
        </w:numPr>
        <w:tabs>
          <w:tab w:val="left" w:pos="567"/>
        </w:tabs>
        <w:spacing w:before="0" w:after="0"/>
        <w:ind w:firstLine="0" w:firstLineChars="0"/>
        <w:rPr>
          <w:rFonts w:hint="eastAsia" w:ascii="宋体" w:hAnsi="宋体" w:cs="宋体"/>
          <w:kern w:val="2"/>
          <w:sz w:val="24"/>
          <w:szCs w:val="24"/>
        </w:rPr>
      </w:pPr>
      <w:r>
        <w:rPr>
          <w:rFonts w:hint="eastAsia" w:ascii="宋体" w:hAnsi="宋体" w:cs="宋体"/>
          <w:kern w:val="2"/>
          <w:sz w:val="24"/>
          <w:szCs w:val="24"/>
        </w:rPr>
        <w:t>故障发生后采取的应急措施及故障控制情况；</w:t>
      </w:r>
    </w:p>
    <w:p w14:paraId="79F510FF">
      <w:pPr>
        <w:pStyle w:val="129"/>
        <w:numPr>
          <w:ilvl w:val="0"/>
          <w:numId w:val="17"/>
        </w:numPr>
        <w:tabs>
          <w:tab w:val="left" w:pos="567"/>
        </w:tabs>
        <w:spacing w:before="0" w:after="0"/>
        <w:ind w:firstLine="0" w:firstLineChars="0"/>
        <w:rPr>
          <w:rFonts w:hint="eastAsia" w:ascii="宋体" w:hAnsi="宋体" w:cs="宋体"/>
          <w:kern w:val="2"/>
          <w:sz w:val="24"/>
          <w:szCs w:val="24"/>
        </w:rPr>
      </w:pPr>
      <w:r>
        <w:rPr>
          <w:rFonts w:hint="eastAsia" w:ascii="宋体" w:hAnsi="宋体" w:cs="宋体"/>
          <w:kern w:val="2"/>
          <w:sz w:val="24"/>
          <w:szCs w:val="24"/>
        </w:rPr>
        <w:t>故障处理过程中客户的反应及相应处理情况；</w:t>
      </w:r>
    </w:p>
    <w:p w14:paraId="499A080A">
      <w:pPr>
        <w:pStyle w:val="129"/>
        <w:numPr>
          <w:ilvl w:val="0"/>
          <w:numId w:val="17"/>
        </w:numPr>
        <w:tabs>
          <w:tab w:val="left" w:pos="567"/>
        </w:tabs>
        <w:spacing w:before="0" w:after="0"/>
        <w:ind w:firstLine="0" w:firstLineChars="0"/>
        <w:rPr>
          <w:rFonts w:hint="eastAsia" w:ascii="宋体" w:hAnsi="宋体" w:cs="宋体"/>
          <w:kern w:val="2"/>
          <w:sz w:val="24"/>
          <w:szCs w:val="24"/>
        </w:rPr>
      </w:pPr>
      <w:r>
        <w:rPr>
          <w:rFonts w:hint="eastAsia" w:ascii="宋体" w:hAnsi="宋体" w:cs="宋体"/>
          <w:kern w:val="2"/>
          <w:sz w:val="24"/>
          <w:szCs w:val="24"/>
        </w:rPr>
        <w:t>采取的预防措施；</w:t>
      </w:r>
    </w:p>
    <w:p w14:paraId="353335C9">
      <w:pPr>
        <w:pStyle w:val="129"/>
        <w:numPr>
          <w:ilvl w:val="0"/>
          <w:numId w:val="17"/>
        </w:numPr>
        <w:tabs>
          <w:tab w:val="left" w:pos="567"/>
        </w:tabs>
        <w:spacing w:before="0" w:after="0"/>
        <w:ind w:firstLine="0" w:firstLineChars="0"/>
        <w:rPr>
          <w:rFonts w:hint="eastAsia" w:ascii="宋体" w:hAnsi="宋体" w:cs="宋体"/>
          <w:kern w:val="2"/>
          <w:sz w:val="24"/>
          <w:szCs w:val="24"/>
        </w:rPr>
      </w:pPr>
      <w:r>
        <w:rPr>
          <w:rFonts w:hint="eastAsia" w:ascii="宋体" w:hAnsi="宋体" w:cs="宋体"/>
          <w:kern w:val="2"/>
          <w:sz w:val="24"/>
          <w:szCs w:val="24"/>
        </w:rPr>
        <w:t>对有关责任人的处理意见；</w:t>
      </w:r>
    </w:p>
    <w:p w14:paraId="08A324CF">
      <w:pPr>
        <w:pStyle w:val="5"/>
        <w:spacing w:before="0" w:after="0" w:line="360" w:lineRule="auto"/>
        <w:rPr>
          <w:rFonts w:hint="eastAsia" w:ascii="宋体" w:hAnsi="宋体" w:eastAsia="宋体" w:cs="宋体"/>
          <w:sz w:val="24"/>
          <w:szCs w:val="24"/>
        </w:rPr>
      </w:pPr>
      <w:r>
        <w:rPr>
          <w:rFonts w:hint="eastAsia" w:ascii="宋体" w:hAnsi="宋体" w:eastAsia="宋体" w:cs="宋体"/>
          <w:sz w:val="24"/>
          <w:szCs w:val="24"/>
        </w:rPr>
        <w:t>九、备品备件服务</w:t>
      </w:r>
    </w:p>
    <w:p w14:paraId="75C7C2EE">
      <w:pPr>
        <w:pStyle w:val="128"/>
        <w:tabs>
          <w:tab w:val="left" w:pos="567"/>
        </w:tabs>
        <w:ind w:firstLine="480"/>
        <w:rPr>
          <w:rFonts w:hint="eastAsia" w:cs="宋体"/>
          <w:sz w:val="24"/>
          <w:szCs w:val="24"/>
        </w:rPr>
      </w:pPr>
      <w:r>
        <w:rPr>
          <w:rFonts w:hint="eastAsia" w:cs="宋体"/>
          <w:sz w:val="24"/>
          <w:szCs w:val="24"/>
        </w:rPr>
        <w:t>充分的备品备件供应是保障系统稳定运营的必要条件，是保障系统出现故障时能够在短时间内恢复运行的物质基础。良好的系统设备、部件及备件管理是提升我方服务质量的前提。因此备品备件的保障非常重要。</w:t>
      </w:r>
    </w:p>
    <w:p w14:paraId="0B8E2B56">
      <w:pPr>
        <w:pStyle w:val="128"/>
        <w:tabs>
          <w:tab w:val="left" w:pos="567"/>
        </w:tabs>
        <w:ind w:firstLine="480"/>
        <w:rPr>
          <w:rFonts w:hint="eastAsia" w:cs="宋体"/>
          <w:sz w:val="24"/>
          <w:szCs w:val="24"/>
        </w:rPr>
      </w:pPr>
      <w:r>
        <w:rPr>
          <w:rFonts w:hint="eastAsia" w:cs="宋体"/>
          <w:sz w:val="24"/>
          <w:szCs w:val="24"/>
        </w:rPr>
        <w:t>我方在备品备件仓库存储充足的备品备件，确保有足够的备品备件，并对备品备件进行必要的维护检查和保养，保证备品备件的性能可靠，随时可以投入应用。</w:t>
      </w:r>
    </w:p>
    <w:p w14:paraId="682133EB">
      <w:pPr>
        <w:pStyle w:val="5"/>
        <w:spacing w:before="0" w:after="0" w:line="360" w:lineRule="auto"/>
        <w:rPr>
          <w:rFonts w:hint="eastAsia" w:ascii="宋体" w:hAnsi="宋体" w:eastAsia="宋体" w:cs="宋体"/>
          <w:sz w:val="24"/>
          <w:szCs w:val="24"/>
        </w:rPr>
      </w:pPr>
      <w:r>
        <w:rPr>
          <w:rFonts w:hint="eastAsia" w:ascii="宋体" w:hAnsi="宋体" w:eastAsia="宋体" w:cs="宋体"/>
          <w:sz w:val="24"/>
          <w:szCs w:val="24"/>
        </w:rPr>
        <w:t>十、质保期后的技术服务</w:t>
      </w:r>
    </w:p>
    <w:p w14:paraId="5CD1A89E">
      <w:pPr>
        <w:spacing w:line="360" w:lineRule="auto"/>
        <w:jc w:val="center"/>
        <w:rPr>
          <w:rFonts w:hint="eastAsia" w:ascii="宋体" w:hAnsi="宋体" w:cs="宋体"/>
          <w:b/>
          <w:bCs/>
          <w:sz w:val="24"/>
        </w:rPr>
      </w:pPr>
      <w:r>
        <w:rPr>
          <w:rFonts w:hint="eastAsia" w:ascii="宋体" w:hAnsi="宋体" w:cs="宋体"/>
          <w:b/>
          <w:bCs/>
          <w:sz w:val="24"/>
        </w:rPr>
        <w:t>质保期后技术服务</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
        <w:gridCol w:w="1843"/>
        <w:gridCol w:w="5415"/>
        <w:gridCol w:w="1172"/>
      </w:tblGrid>
      <w:tr w14:paraId="684B8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blHeader/>
          <w:jc w:val="center"/>
        </w:trPr>
        <w:tc>
          <w:tcPr>
            <w:tcW w:w="9326" w:type="dxa"/>
            <w:gridSpan w:val="4"/>
            <w:vAlign w:val="center"/>
          </w:tcPr>
          <w:p w14:paraId="723EA4F7">
            <w:pPr>
              <w:widowControl/>
              <w:tabs>
                <w:tab w:val="left" w:pos="567"/>
              </w:tabs>
              <w:spacing w:line="360" w:lineRule="exact"/>
              <w:jc w:val="center"/>
              <w:rPr>
                <w:rFonts w:hint="eastAsia" w:ascii="宋体" w:hAnsi="宋体" w:cs="宋体"/>
                <w:b/>
                <w:bCs/>
                <w:kern w:val="0"/>
                <w:sz w:val="24"/>
              </w:rPr>
            </w:pPr>
            <w:r>
              <w:rPr>
                <w:rFonts w:hint="eastAsia" w:ascii="宋体" w:hAnsi="宋体" w:cs="宋体"/>
                <w:b/>
                <w:bCs/>
                <w:kern w:val="0"/>
                <w:sz w:val="24"/>
              </w:rPr>
              <w:t>质保期技术服务清单</w:t>
            </w:r>
          </w:p>
        </w:tc>
      </w:tr>
      <w:tr w14:paraId="1C834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blHeader/>
          <w:jc w:val="center"/>
        </w:trPr>
        <w:tc>
          <w:tcPr>
            <w:tcW w:w="896" w:type="dxa"/>
            <w:vAlign w:val="center"/>
          </w:tcPr>
          <w:p w14:paraId="33FA0110">
            <w:pPr>
              <w:widowControl/>
              <w:tabs>
                <w:tab w:val="left" w:pos="567"/>
              </w:tabs>
              <w:spacing w:line="360" w:lineRule="exact"/>
              <w:jc w:val="center"/>
              <w:rPr>
                <w:rFonts w:hint="eastAsia" w:ascii="宋体" w:hAnsi="宋体" w:cs="宋体"/>
                <w:b/>
                <w:kern w:val="0"/>
                <w:sz w:val="24"/>
              </w:rPr>
            </w:pPr>
            <w:r>
              <w:rPr>
                <w:rFonts w:hint="eastAsia" w:ascii="宋体" w:hAnsi="宋体" w:cs="宋体"/>
                <w:b/>
                <w:kern w:val="0"/>
                <w:sz w:val="24"/>
              </w:rPr>
              <w:t>序号</w:t>
            </w:r>
          </w:p>
        </w:tc>
        <w:tc>
          <w:tcPr>
            <w:tcW w:w="1843" w:type="dxa"/>
            <w:vAlign w:val="center"/>
          </w:tcPr>
          <w:p w14:paraId="19078A99">
            <w:pPr>
              <w:widowControl/>
              <w:tabs>
                <w:tab w:val="left" w:pos="567"/>
              </w:tabs>
              <w:spacing w:line="360" w:lineRule="exact"/>
              <w:jc w:val="center"/>
              <w:rPr>
                <w:rFonts w:hint="eastAsia" w:ascii="宋体" w:hAnsi="宋体" w:cs="宋体"/>
                <w:b/>
                <w:kern w:val="0"/>
                <w:sz w:val="24"/>
              </w:rPr>
            </w:pPr>
            <w:r>
              <w:rPr>
                <w:rFonts w:hint="eastAsia" w:ascii="宋体" w:hAnsi="宋体" w:cs="宋体"/>
                <w:b/>
                <w:kern w:val="0"/>
                <w:sz w:val="24"/>
              </w:rPr>
              <w:t>服务项目</w:t>
            </w:r>
          </w:p>
        </w:tc>
        <w:tc>
          <w:tcPr>
            <w:tcW w:w="5415" w:type="dxa"/>
            <w:vAlign w:val="center"/>
          </w:tcPr>
          <w:p w14:paraId="515CC382">
            <w:pPr>
              <w:widowControl/>
              <w:tabs>
                <w:tab w:val="left" w:pos="567"/>
              </w:tabs>
              <w:spacing w:line="360" w:lineRule="exact"/>
              <w:jc w:val="center"/>
              <w:rPr>
                <w:rFonts w:hint="eastAsia" w:ascii="宋体" w:hAnsi="宋体" w:cs="宋体"/>
                <w:b/>
                <w:kern w:val="0"/>
                <w:sz w:val="24"/>
              </w:rPr>
            </w:pPr>
            <w:r>
              <w:rPr>
                <w:rFonts w:hint="eastAsia" w:ascii="宋体" w:hAnsi="宋体" w:cs="宋体"/>
                <w:b/>
                <w:kern w:val="0"/>
                <w:sz w:val="24"/>
              </w:rPr>
              <w:t>计算标准</w:t>
            </w:r>
          </w:p>
        </w:tc>
        <w:tc>
          <w:tcPr>
            <w:tcW w:w="1172" w:type="dxa"/>
            <w:vAlign w:val="center"/>
          </w:tcPr>
          <w:p w14:paraId="6EC52758">
            <w:pPr>
              <w:widowControl/>
              <w:tabs>
                <w:tab w:val="left" w:pos="567"/>
              </w:tabs>
              <w:spacing w:line="360" w:lineRule="exact"/>
              <w:jc w:val="center"/>
              <w:rPr>
                <w:rFonts w:hint="eastAsia" w:ascii="宋体" w:hAnsi="宋体" w:cs="宋体"/>
                <w:b/>
                <w:bCs/>
                <w:kern w:val="0"/>
                <w:sz w:val="24"/>
              </w:rPr>
            </w:pPr>
            <w:r>
              <w:rPr>
                <w:rFonts w:hint="eastAsia" w:ascii="宋体" w:hAnsi="宋体" w:cs="宋体"/>
                <w:b/>
                <w:bCs/>
                <w:kern w:val="0"/>
                <w:sz w:val="24"/>
              </w:rPr>
              <w:t>备注</w:t>
            </w:r>
          </w:p>
        </w:tc>
      </w:tr>
      <w:tr w14:paraId="3AC98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896" w:type="dxa"/>
            <w:vAlign w:val="center"/>
          </w:tcPr>
          <w:p w14:paraId="7287A42F">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1</w:t>
            </w:r>
          </w:p>
        </w:tc>
        <w:tc>
          <w:tcPr>
            <w:tcW w:w="1843" w:type="dxa"/>
            <w:vAlign w:val="center"/>
          </w:tcPr>
          <w:p w14:paraId="58B28307">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远程支持服务</w:t>
            </w:r>
          </w:p>
        </w:tc>
        <w:tc>
          <w:tcPr>
            <w:tcW w:w="5415" w:type="dxa"/>
            <w:vAlign w:val="center"/>
          </w:tcPr>
          <w:p w14:paraId="5359895F">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维护中遇到使用中自己不能解决的设备主要问题和一般问题时，通过电话、传真或电子邮件的方式向我公司提出服务请求。我公司在规定的时间内进行响应，解答用户疑问，指导运维人员排除设备故障。对于此种方式无法解决的问题，升级到远程技术支持或现场技术支持，关键问题直接进入“紧急故障排除服务”。</w:t>
            </w:r>
          </w:p>
        </w:tc>
        <w:tc>
          <w:tcPr>
            <w:tcW w:w="1172" w:type="dxa"/>
            <w:vMerge w:val="restart"/>
            <w:vAlign w:val="center"/>
          </w:tcPr>
          <w:p w14:paraId="2CF7D595">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质保期内技术服务免费</w:t>
            </w:r>
          </w:p>
        </w:tc>
      </w:tr>
      <w:tr w14:paraId="1AC4C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96" w:type="dxa"/>
            <w:vAlign w:val="center"/>
          </w:tcPr>
          <w:p w14:paraId="60595EF5">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2</w:t>
            </w:r>
          </w:p>
        </w:tc>
        <w:tc>
          <w:tcPr>
            <w:tcW w:w="1843" w:type="dxa"/>
            <w:vAlign w:val="center"/>
          </w:tcPr>
          <w:p w14:paraId="5F9CB4BE">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咨询和电话支持服务7×24小时</w:t>
            </w:r>
          </w:p>
        </w:tc>
        <w:tc>
          <w:tcPr>
            <w:tcW w:w="5415" w:type="dxa"/>
            <w:vAlign w:val="center"/>
          </w:tcPr>
          <w:p w14:paraId="19CED1C4">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维护中遇到使用中自己不能解决的设备主要问题和一般问题时，通过电话、传真或电子邮件的方式向我公司提出服务请求。我公司在规定的时间内进行响应，解答用户疑问，指导运维人员排除设备故障。对于此种方式无法解决的问题，升级到远程技术支持或现场技术支持，关键问题直接进入“紧急故障排除服务”。</w:t>
            </w:r>
          </w:p>
        </w:tc>
        <w:tc>
          <w:tcPr>
            <w:tcW w:w="1172" w:type="dxa"/>
            <w:vMerge w:val="continue"/>
            <w:vAlign w:val="center"/>
          </w:tcPr>
          <w:p w14:paraId="2E51FF88">
            <w:pPr>
              <w:widowControl/>
              <w:tabs>
                <w:tab w:val="left" w:pos="567"/>
              </w:tabs>
              <w:spacing w:line="360" w:lineRule="exact"/>
              <w:jc w:val="left"/>
              <w:rPr>
                <w:rFonts w:hint="eastAsia" w:ascii="宋体" w:hAnsi="宋体" w:cs="宋体"/>
                <w:kern w:val="0"/>
                <w:sz w:val="24"/>
              </w:rPr>
            </w:pPr>
          </w:p>
        </w:tc>
      </w:tr>
      <w:tr w14:paraId="58CED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0A3EEEB7">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3</w:t>
            </w:r>
          </w:p>
        </w:tc>
        <w:tc>
          <w:tcPr>
            <w:tcW w:w="1843" w:type="dxa"/>
            <w:vAlign w:val="center"/>
          </w:tcPr>
          <w:p w14:paraId="2B588998">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现场支持服务</w:t>
            </w:r>
          </w:p>
        </w:tc>
        <w:tc>
          <w:tcPr>
            <w:tcW w:w="5415" w:type="dxa"/>
            <w:vAlign w:val="center"/>
          </w:tcPr>
          <w:p w14:paraId="7EA35F03">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我公司按项目需求派专业工程师进行技术支持服务</w:t>
            </w:r>
          </w:p>
        </w:tc>
        <w:tc>
          <w:tcPr>
            <w:tcW w:w="1172" w:type="dxa"/>
            <w:vMerge w:val="continue"/>
            <w:vAlign w:val="center"/>
          </w:tcPr>
          <w:p w14:paraId="5C80EB47">
            <w:pPr>
              <w:widowControl/>
              <w:tabs>
                <w:tab w:val="left" w:pos="567"/>
              </w:tabs>
              <w:spacing w:line="360" w:lineRule="exact"/>
              <w:jc w:val="left"/>
              <w:rPr>
                <w:rFonts w:hint="eastAsia" w:ascii="宋体" w:hAnsi="宋体" w:cs="宋体"/>
                <w:kern w:val="0"/>
                <w:sz w:val="24"/>
              </w:rPr>
            </w:pPr>
          </w:p>
        </w:tc>
      </w:tr>
      <w:tr w14:paraId="0894A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13717ED6">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4</w:t>
            </w:r>
          </w:p>
        </w:tc>
        <w:tc>
          <w:tcPr>
            <w:tcW w:w="1843" w:type="dxa"/>
            <w:vAlign w:val="center"/>
          </w:tcPr>
          <w:p w14:paraId="041B9543">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现场值守服务</w:t>
            </w:r>
          </w:p>
        </w:tc>
        <w:tc>
          <w:tcPr>
            <w:tcW w:w="5415" w:type="dxa"/>
            <w:vAlign w:val="center"/>
          </w:tcPr>
          <w:p w14:paraId="3139E3B0">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我公司按项目需求派项目工程师进行现场值守服务</w:t>
            </w:r>
          </w:p>
        </w:tc>
        <w:tc>
          <w:tcPr>
            <w:tcW w:w="1172" w:type="dxa"/>
            <w:vMerge w:val="continue"/>
            <w:vAlign w:val="center"/>
          </w:tcPr>
          <w:p w14:paraId="14E0A132">
            <w:pPr>
              <w:widowControl/>
              <w:tabs>
                <w:tab w:val="left" w:pos="567"/>
              </w:tabs>
              <w:spacing w:line="360" w:lineRule="exact"/>
              <w:jc w:val="left"/>
              <w:rPr>
                <w:rFonts w:hint="eastAsia" w:ascii="宋体" w:hAnsi="宋体" w:cs="宋体"/>
                <w:kern w:val="0"/>
                <w:sz w:val="24"/>
              </w:rPr>
            </w:pPr>
          </w:p>
        </w:tc>
      </w:tr>
      <w:tr w14:paraId="2FECD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4B053ADD">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5</w:t>
            </w:r>
          </w:p>
        </w:tc>
        <w:tc>
          <w:tcPr>
            <w:tcW w:w="1843" w:type="dxa"/>
            <w:vAlign w:val="center"/>
          </w:tcPr>
          <w:p w14:paraId="22AFFD50">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重大事件技术支持服务</w:t>
            </w:r>
          </w:p>
        </w:tc>
        <w:tc>
          <w:tcPr>
            <w:tcW w:w="5415" w:type="dxa"/>
            <w:vAlign w:val="center"/>
          </w:tcPr>
          <w:p w14:paraId="5495B569">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我公司按项目需求安排资深工程师进行技术支持</w:t>
            </w:r>
          </w:p>
        </w:tc>
        <w:tc>
          <w:tcPr>
            <w:tcW w:w="1172" w:type="dxa"/>
            <w:vMerge w:val="continue"/>
            <w:vAlign w:val="center"/>
          </w:tcPr>
          <w:p w14:paraId="0E5D64B3">
            <w:pPr>
              <w:widowControl/>
              <w:tabs>
                <w:tab w:val="left" w:pos="567"/>
              </w:tabs>
              <w:spacing w:line="360" w:lineRule="exact"/>
              <w:jc w:val="left"/>
              <w:rPr>
                <w:rFonts w:hint="eastAsia" w:ascii="宋体" w:hAnsi="宋体" w:cs="宋体"/>
                <w:kern w:val="0"/>
                <w:sz w:val="24"/>
              </w:rPr>
            </w:pPr>
          </w:p>
        </w:tc>
      </w:tr>
      <w:tr w14:paraId="665EA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2CAF96BA">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6</w:t>
            </w:r>
          </w:p>
        </w:tc>
        <w:tc>
          <w:tcPr>
            <w:tcW w:w="1843" w:type="dxa"/>
            <w:vAlign w:val="center"/>
          </w:tcPr>
          <w:p w14:paraId="673623A0">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版本升级服务</w:t>
            </w:r>
          </w:p>
        </w:tc>
        <w:tc>
          <w:tcPr>
            <w:tcW w:w="5415" w:type="dxa"/>
            <w:vAlign w:val="center"/>
          </w:tcPr>
          <w:p w14:paraId="2301AAF6">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提供对应的软件版本支持并提供版本升级服务</w:t>
            </w:r>
          </w:p>
        </w:tc>
        <w:tc>
          <w:tcPr>
            <w:tcW w:w="1172" w:type="dxa"/>
            <w:vMerge w:val="continue"/>
            <w:vAlign w:val="center"/>
          </w:tcPr>
          <w:p w14:paraId="1208602F">
            <w:pPr>
              <w:widowControl/>
              <w:tabs>
                <w:tab w:val="left" w:pos="567"/>
              </w:tabs>
              <w:spacing w:line="360" w:lineRule="exact"/>
              <w:jc w:val="left"/>
              <w:rPr>
                <w:rFonts w:hint="eastAsia" w:ascii="宋体" w:hAnsi="宋体" w:cs="宋体"/>
                <w:kern w:val="0"/>
                <w:sz w:val="24"/>
              </w:rPr>
            </w:pPr>
          </w:p>
        </w:tc>
      </w:tr>
      <w:tr w14:paraId="70983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trPr>
        <w:tc>
          <w:tcPr>
            <w:tcW w:w="896" w:type="dxa"/>
            <w:vAlign w:val="center"/>
          </w:tcPr>
          <w:p w14:paraId="57A4B101">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7</w:t>
            </w:r>
          </w:p>
        </w:tc>
        <w:tc>
          <w:tcPr>
            <w:tcW w:w="1843" w:type="dxa"/>
            <w:vAlign w:val="center"/>
          </w:tcPr>
          <w:p w14:paraId="64275DE9">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资料服务</w:t>
            </w:r>
          </w:p>
        </w:tc>
        <w:tc>
          <w:tcPr>
            <w:tcW w:w="5415" w:type="dxa"/>
            <w:vAlign w:val="center"/>
          </w:tcPr>
          <w:p w14:paraId="554A98B9">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可以通过设备厂商发放的纸面文档、电子邮件、磁盘、光盘等形式，获得设备厂家的有关产品知识、设备运行、维护经验和技巧等方面的资料。资料服务包括以下服务内容：资料索取服务。</w:t>
            </w:r>
          </w:p>
        </w:tc>
        <w:tc>
          <w:tcPr>
            <w:tcW w:w="1172" w:type="dxa"/>
            <w:vMerge w:val="continue"/>
            <w:vAlign w:val="center"/>
          </w:tcPr>
          <w:p w14:paraId="29D1CC52">
            <w:pPr>
              <w:widowControl/>
              <w:tabs>
                <w:tab w:val="left" w:pos="567"/>
              </w:tabs>
              <w:spacing w:line="360" w:lineRule="exact"/>
              <w:jc w:val="left"/>
              <w:rPr>
                <w:rFonts w:hint="eastAsia" w:ascii="宋体" w:hAnsi="宋体" w:cs="宋体"/>
                <w:kern w:val="0"/>
                <w:sz w:val="24"/>
              </w:rPr>
            </w:pPr>
          </w:p>
        </w:tc>
      </w:tr>
      <w:tr w14:paraId="767EF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1B15DD71">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8</w:t>
            </w:r>
          </w:p>
        </w:tc>
        <w:tc>
          <w:tcPr>
            <w:tcW w:w="1843" w:type="dxa"/>
            <w:vAlign w:val="center"/>
          </w:tcPr>
          <w:p w14:paraId="30DCE66F">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故障件维修服务</w:t>
            </w:r>
          </w:p>
        </w:tc>
        <w:tc>
          <w:tcPr>
            <w:tcW w:w="5415" w:type="dxa"/>
            <w:vAlign w:val="center"/>
          </w:tcPr>
          <w:p w14:paraId="2580F483">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对用户在使用过程中出现的故障板件进行修复以保证设备持续可用的服务。</w:t>
            </w:r>
          </w:p>
        </w:tc>
        <w:tc>
          <w:tcPr>
            <w:tcW w:w="1172" w:type="dxa"/>
            <w:vMerge w:val="continue"/>
            <w:vAlign w:val="center"/>
          </w:tcPr>
          <w:p w14:paraId="5F31044E">
            <w:pPr>
              <w:widowControl/>
              <w:tabs>
                <w:tab w:val="left" w:pos="567"/>
              </w:tabs>
              <w:spacing w:line="360" w:lineRule="exact"/>
              <w:jc w:val="left"/>
              <w:rPr>
                <w:rFonts w:hint="eastAsia" w:ascii="宋体" w:hAnsi="宋体" w:cs="宋体"/>
                <w:kern w:val="0"/>
                <w:sz w:val="24"/>
              </w:rPr>
            </w:pPr>
          </w:p>
        </w:tc>
      </w:tr>
      <w:tr w14:paraId="56FDB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896" w:type="dxa"/>
            <w:vAlign w:val="center"/>
          </w:tcPr>
          <w:p w14:paraId="011AB3D3">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9</w:t>
            </w:r>
          </w:p>
        </w:tc>
        <w:tc>
          <w:tcPr>
            <w:tcW w:w="1843" w:type="dxa"/>
            <w:vAlign w:val="center"/>
          </w:tcPr>
          <w:p w14:paraId="78715F6B">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备件同步升级服务</w:t>
            </w:r>
          </w:p>
        </w:tc>
        <w:tc>
          <w:tcPr>
            <w:tcW w:w="5415" w:type="dxa"/>
            <w:vAlign w:val="center"/>
          </w:tcPr>
          <w:p w14:paraId="30668DCD">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根据需要向设备厂家提出备板备件购买要求，设备厂家根据设备使用方的要求和设备系统实际情况提出详细的备板备件方案建议和报价，为设备使用方提供备件销售服务</w:t>
            </w:r>
          </w:p>
        </w:tc>
        <w:tc>
          <w:tcPr>
            <w:tcW w:w="1172" w:type="dxa"/>
            <w:vMerge w:val="continue"/>
            <w:vAlign w:val="center"/>
          </w:tcPr>
          <w:p w14:paraId="695AAF23">
            <w:pPr>
              <w:widowControl/>
              <w:tabs>
                <w:tab w:val="left" w:pos="567"/>
              </w:tabs>
              <w:spacing w:line="360" w:lineRule="exact"/>
              <w:jc w:val="left"/>
              <w:rPr>
                <w:rFonts w:hint="eastAsia" w:ascii="宋体" w:hAnsi="宋体" w:cs="宋体"/>
                <w:kern w:val="0"/>
                <w:sz w:val="24"/>
              </w:rPr>
            </w:pPr>
          </w:p>
        </w:tc>
      </w:tr>
      <w:tr w14:paraId="54F7A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5F7CB7CC">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10</w:t>
            </w:r>
          </w:p>
        </w:tc>
        <w:tc>
          <w:tcPr>
            <w:tcW w:w="1843" w:type="dxa"/>
            <w:vAlign w:val="center"/>
          </w:tcPr>
          <w:p w14:paraId="4EA3E7EC">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设备巡检及健康检查服务</w:t>
            </w:r>
          </w:p>
        </w:tc>
        <w:tc>
          <w:tcPr>
            <w:tcW w:w="5415" w:type="dxa"/>
            <w:vAlign w:val="center"/>
          </w:tcPr>
          <w:p w14:paraId="01052846">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按项目需求派项目工程师进行设备巡检及健康检查服务</w:t>
            </w:r>
          </w:p>
        </w:tc>
        <w:tc>
          <w:tcPr>
            <w:tcW w:w="1172" w:type="dxa"/>
            <w:vMerge w:val="continue"/>
            <w:vAlign w:val="center"/>
          </w:tcPr>
          <w:p w14:paraId="3DE6A93F">
            <w:pPr>
              <w:widowControl/>
              <w:tabs>
                <w:tab w:val="left" w:pos="567"/>
              </w:tabs>
              <w:spacing w:line="360" w:lineRule="exact"/>
              <w:jc w:val="left"/>
              <w:rPr>
                <w:rFonts w:hint="eastAsia" w:ascii="宋体" w:hAnsi="宋体" w:cs="宋体"/>
                <w:kern w:val="0"/>
                <w:sz w:val="24"/>
              </w:rPr>
            </w:pPr>
          </w:p>
        </w:tc>
      </w:tr>
      <w:tr w14:paraId="184F6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jc w:val="center"/>
        </w:trPr>
        <w:tc>
          <w:tcPr>
            <w:tcW w:w="896" w:type="dxa"/>
            <w:vAlign w:val="center"/>
          </w:tcPr>
          <w:p w14:paraId="3C1A9B59">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11</w:t>
            </w:r>
          </w:p>
        </w:tc>
        <w:tc>
          <w:tcPr>
            <w:tcW w:w="1843" w:type="dxa"/>
            <w:vAlign w:val="center"/>
          </w:tcPr>
          <w:p w14:paraId="63C669F7">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第三方设备技术支持服务</w:t>
            </w:r>
          </w:p>
        </w:tc>
        <w:tc>
          <w:tcPr>
            <w:tcW w:w="5415" w:type="dxa"/>
            <w:vAlign w:val="center"/>
          </w:tcPr>
          <w:p w14:paraId="4DDC1141">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设备厂家在外购件统一维修服务中全面负责与第三方设备厂商接口。包含由我方集成和采购、并按照设备使用方要求提供统一维保服务的的第三方设备的服务费用；我公司可以提供外购件维修服务单独报价供设备使用方参考。</w:t>
            </w:r>
          </w:p>
        </w:tc>
        <w:tc>
          <w:tcPr>
            <w:tcW w:w="1172" w:type="dxa"/>
            <w:vMerge w:val="continue"/>
            <w:vAlign w:val="center"/>
          </w:tcPr>
          <w:p w14:paraId="0E8ED35E">
            <w:pPr>
              <w:widowControl/>
              <w:tabs>
                <w:tab w:val="left" w:pos="567"/>
              </w:tabs>
              <w:spacing w:line="360" w:lineRule="exact"/>
              <w:jc w:val="left"/>
              <w:rPr>
                <w:rFonts w:hint="eastAsia" w:ascii="宋体" w:hAnsi="宋体" w:cs="宋体"/>
                <w:kern w:val="0"/>
                <w:sz w:val="24"/>
              </w:rPr>
            </w:pPr>
          </w:p>
        </w:tc>
      </w:tr>
      <w:tr w14:paraId="44C7D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96" w:type="dxa"/>
            <w:vAlign w:val="center"/>
          </w:tcPr>
          <w:p w14:paraId="3A3EC032">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12</w:t>
            </w:r>
          </w:p>
        </w:tc>
        <w:tc>
          <w:tcPr>
            <w:tcW w:w="1843" w:type="dxa"/>
            <w:vAlign w:val="center"/>
          </w:tcPr>
          <w:p w14:paraId="14600A38">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配合运用质量分析服务</w:t>
            </w:r>
          </w:p>
        </w:tc>
        <w:tc>
          <w:tcPr>
            <w:tcW w:w="5415" w:type="dxa"/>
            <w:vAlign w:val="center"/>
          </w:tcPr>
          <w:p w14:paraId="4374C7D5">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我公司按项目需求提供配合运用质量分析服务</w:t>
            </w:r>
          </w:p>
        </w:tc>
        <w:tc>
          <w:tcPr>
            <w:tcW w:w="1172" w:type="dxa"/>
            <w:vMerge w:val="continue"/>
            <w:vAlign w:val="center"/>
          </w:tcPr>
          <w:p w14:paraId="722306C6">
            <w:pPr>
              <w:widowControl/>
              <w:tabs>
                <w:tab w:val="left" w:pos="567"/>
              </w:tabs>
              <w:spacing w:line="360" w:lineRule="exact"/>
              <w:jc w:val="left"/>
              <w:rPr>
                <w:rFonts w:hint="eastAsia" w:ascii="宋体" w:hAnsi="宋体" w:cs="宋体"/>
                <w:kern w:val="0"/>
                <w:sz w:val="24"/>
              </w:rPr>
            </w:pPr>
          </w:p>
        </w:tc>
      </w:tr>
      <w:tr w14:paraId="474E8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4175829F">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13</w:t>
            </w:r>
          </w:p>
        </w:tc>
        <w:tc>
          <w:tcPr>
            <w:tcW w:w="1843" w:type="dxa"/>
            <w:vAlign w:val="center"/>
          </w:tcPr>
          <w:p w14:paraId="5420D325">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网络优化服务</w:t>
            </w:r>
          </w:p>
        </w:tc>
        <w:tc>
          <w:tcPr>
            <w:tcW w:w="5415" w:type="dxa"/>
            <w:vAlign w:val="center"/>
          </w:tcPr>
          <w:p w14:paraId="0A5113ED">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我公司按项目需求提供网络优化服务</w:t>
            </w:r>
          </w:p>
        </w:tc>
        <w:tc>
          <w:tcPr>
            <w:tcW w:w="1172" w:type="dxa"/>
            <w:vMerge w:val="continue"/>
            <w:vAlign w:val="center"/>
          </w:tcPr>
          <w:p w14:paraId="63762AA3">
            <w:pPr>
              <w:widowControl/>
              <w:tabs>
                <w:tab w:val="left" w:pos="567"/>
              </w:tabs>
              <w:spacing w:line="360" w:lineRule="exact"/>
              <w:jc w:val="left"/>
              <w:rPr>
                <w:rFonts w:hint="eastAsia" w:ascii="宋体" w:hAnsi="宋体" w:cs="宋体"/>
                <w:kern w:val="0"/>
                <w:sz w:val="24"/>
              </w:rPr>
            </w:pPr>
          </w:p>
        </w:tc>
      </w:tr>
      <w:tr w14:paraId="499F4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2B1AADB1">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14</w:t>
            </w:r>
          </w:p>
        </w:tc>
        <w:tc>
          <w:tcPr>
            <w:tcW w:w="1843" w:type="dxa"/>
            <w:vAlign w:val="center"/>
          </w:tcPr>
          <w:p w14:paraId="39861D1E">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紧急故障恢复服务</w:t>
            </w:r>
          </w:p>
        </w:tc>
        <w:tc>
          <w:tcPr>
            <w:tcW w:w="5415" w:type="dxa"/>
            <w:vAlign w:val="center"/>
          </w:tcPr>
          <w:p w14:paraId="6917DC1E">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按照故障处理难易程度收费</w:t>
            </w:r>
          </w:p>
        </w:tc>
        <w:tc>
          <w:tcPr>
            <w:tcW w:w="1172" w:type="dxa"/>
            <w:vMerge w:val="continue"/>
            <w:vAlign w:val="center"/>
          </w:tcPr>
          <w:p w14:paraId="53644B08">
            <w:pPr>
              <w:widowControl/>
              <w:tabs>
                <w:tab w:val="left" w:pos="567"/>
              </w:tabs>
              <w:spacing w:line="360" w:lineRule="exact"/>
              <w:jc w:val="left"/>
              <w:rPr>
                <w:rFonts w:hint="eastAsia" w:ascii="宋体" w:hAnsi="宋体" w:cs="宋体"/>
                <w:kern w:val="0"/>
                <w:sz w:val="24"/>
              </w:rPr>
            </w:pPr>
          </w:p>
        </w:tc>
      </w:tr>
      <w:tr w14:paraId="7D775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7F6BCD15">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15</w:t>
            </w:r>
          </w:p>
        </w:tc>
        <w:tc>
          <w:tcPr>
            <w:tcW w:w="1843" w:type="dxa"/>
            <w:vAlign w:val="center"/>
          </w:tcPr>
          <w:p w14:paraId="65A78C52">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备件紧急支持服务</w:t>
            </w:r>
          </w:p>
        </w:tc>
        <w:tc>
          <w:tcPr>
            <w:tcW w:w="5415" w:type="dxa"/>
            <w:vAlign w:val="center"/>
          </w:tcPr>
          <w:p w14:paraId="67BF22FE">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服务免费，硬件按备件报价收费</w:t>
            </w:r>
          </w:p>
        </w:tc>
        <w:tc>
          <w:tcPr>
            <w:tcW w:w="1172" w:type="dxa"/>
            <w:vMerge w:val="continue"/>
            <w:vAlign w:val="center"/>
          </w:tcPr>
          <w:p w14:paraId="2AAE581F">
            <w:pPr>
              <w:widowControl/>
              <w:tabs>
                <w:tab w:val="left" w:pos="567"/>
              </w:tabs>
              <w:spacing w:line="360" w:lineRule="exact"/>
              <w:jc w:val="left"/>
              <w:rPr>
                <w:rFonts w:hint="eastAsia" w:ascii="宋体" w:hAnsi="宋体" w:cs="宋体"/>
                <w:kern w:val="0"/>
                <w:sz w:val="24"/>
              </w:rPr>
            </w:pPr>
          </w:p>
        </w:tc>
      </w:tr>
      <w:tr w14:paraId="4BE4A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6704E173">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16</w:t>
            </w:r>
          </w:p>
        </w:tc>
        <w:tc>
          <w:tcPr>
            <w:tcW w:w="1843" w:type="dxa"/>
            <w:vAlign w:val="center"/>
          </w:tcPr>
          <w:p w14:paraId="4149DE4E">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备件销售服务</w:t>
            </w:r>
          </w:p>
        </w:tc>
        <w:tc>
          <w:tcPr>
            <w:tcW w:w="5415" w:type="dxa"/>
            <w:vAlign w:val="center"/>
          </w:tcPr>
          <w:p w14:paraId="49E234E5">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服务免费，硬件按备件报价收费</w:t>
            </w:r>
          </w:p>
        </w:tc>
        <w:tc>
          <w:tcPr>
            <w:tcW w:w="1172" w:type="dxa"/>
            <w:vMerge w:val="continue"/>
            <w:vAlign w:val="center"/>
          </w:tcPr>
          <w:p w14:paraId="061417E0">
            <w:pPr>
              <w:widowControl/>
              <w:tabs>
                <w:tab w:val="left" w:pos="567"/>
              </w:tabs>
              <w:spacing w:line="360" w:lineRule="exact"/>
              <w:jc w:val="left"/>
              <w:rPr>
                <w:rFonts w:hint="eastAsia" w:ascii="宋体" w:hAnsi="宋体" w:cs="宋体"/>
                <w:kern w:val="0"/>
                <w:sz w:val="24"/>
              </w:rPr>
            </w:pPr>
          </w:p>
        </w:tc>
      </w:tr>
      <w:tr w14:paraId="7AB79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896" w:type="dxa"/>
            <w:vAlign w:val="center"/>
          </w:tcPr>
          <w:p w14:paraId="1E1A1141">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17</w:t>
            </w:r>
          </w:p>
        </w:tc>
        <w:tc>
          <w:tcPr>
            <w:tcW w:w="1843" w:type="dxa"/>
            <w:vAlign w:val="center"/>
          </w:tcPr>
          <w:p w14:paraId="6914BEAE">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备件同步升级服务</w:t>
            </w:r>
          </w:p>
        </w:tc>
        <w:tc>
          <w:tcPr>
            <w:tcW w:w="5415" w:type="dxa"/>
            <w:vAlign w:val="center"/>
          </w:tcPr>
          <w:p w14:paraId="5BE411C5">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根据需要向设备厂家提出备板备件购买要求，设备厂家根据设备使用方的要求和设备系统实际情况提出详细的备板备件方案建议和报价，为设备使用方提供备件销售服务</w:t>
            </w:r>
          </w:p>
        </w:tc>
        <w:tc>
          <w:tcPr>
            <w:tcW w:w="1172" w:type="dxa"/>
            <w:vMerge w:val="continue"/>
            <w:vAlign w:val="center"/>
          </w:tcPr>
          <w:p w14:paraId="578A965F">
            <w:pPr>
              <w:widowControl/>
              <w:tabs>
                <w:tab w:val="left" w:pos="567"/>
              </w:tabs>
              <w:spacing w:line="360" w:lineRule="exact"/>
              <w:jc w:val="left"/>
              <w:rPr>
                <w:rFonts w:hint="eastAsia" w:ascii="宋体" w:hAnsi="宋体" w:cs="宋体"/>
                <w:kern w:val="0"/>
                <w:sz w:val="24"/>
              </w:rPr>
            </w:pPr>
          </w:p>
        </w:tc>
      </w:tr>
      <w:tr w14:paraId="031E1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6F7295FC">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18</w:t>
            </w:r>
          </w:p>
        </w:tc>
        <w:tc>
          <w:tcPr>
            <w:tcW w:w="1843" w:type="dxa"/>
            <w:vAlign w:val="center"/>
          </w:tcPr>
          <w:p w14:paraId="19F0E4C0">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运维交流会服务</w:t>
            </w:r>
          </w:p>
        </w:tc>
        <w:tc>
          <w:tcPr>
            <w:tcW w:w="5415" w:type="dxa"/>
            <w:vAlign w:val="center"/>
          </w:tcPr>
          <w:p w14:paraId="49846B7F">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根据需要派专业工程师提供运维交流会服务</w:t>
            </w:r>
          </w:p>
        </w:tc>
        <w:tc>
          <w:tcPr>
            <w:tcW w:w="1172" w:type="dxa"/>
            <w:vMerge w:val="continue"/>
            <w:vAlign w:val="center"/>
          </w:tcPr>
          <w:p w14:paraId="781CC77E">
            <w:pPr>
              <w:widowControl/>
              <w:tabs>
                <w:tab w:val="left" w:pos="567"/>
              </w:tabs>
              <w:spacing w:line="360" w:lineRule="exact"/>
              <w:jc w:val="left"/>
              <w:rPr>
                <w:rFonts w:hint="eastAsia" w:ascii="宋体" w:hAnsi="宋体" w:cs="宋体"/>
                <w:kern w:val="0"/>
                <w:sz w:val="24"/>
              </w:rPr>
            </w:pPr>
          </w:p>
        </w:tc>
      </w:tr>
      <w:tr w14:paraId="566E2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96" w:type="dxa"/>
            <w:vAlign w:val="center"/>
          </w:tcPr>
          <w:p w14:paraId="35549FBA">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19</w:t>
            </w:r>
          </w:p>
        </w:tc>
        <w:tc>
          <w:tcPr>
            <w:tcW w:w="1843" w:type="dxa"/>
            <w:vAlign w:val="center"/>
          </w:tcPr>
          <w:p w14:paraId="0A807200">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维保执行月报服务</w:t>
            </w:r>
          </w:p>
        </w:tc>
        <w:tc>
          <w:tcPr>
            <w:tcW w:w="5415" w:type="dxa"/>
            <w:vAlign w:val="center"/>
          </w:tcPr>
          <w:p w14:paraId="7CA222CB">
            <w:pPr>
              <w:widowControl/>
              <w:tabs>
                <w:tab w:val="left" w:pos="567"/>
              </w:tabs>
              <w:spacing w:line="360" w:lineRule="exact"/>
              <w:jc w:val="left"/>
              <w:rPr>
                <w:rFonts w:hint="eastAsia" w:ascii="宋体" w:hAnsi="宋体" w:cs="宋体"/>
                <w:kern w:val="0"/>
                <w:sz w:val="24"/>
              </w:rPr>
            </w:pPr>
            <w:r>
              <w:rPr>
                <w:rFonts w:hint="eastAsia" w:ascii="宋体" w:hAnsi="宋体" w:cs="宋体"/>
                <w:kern w:val="0"/>
                <w:sz w:val="24"/>
              </w:rPr>
              <w:t>根据需要进行维保服务</w:t>
            </w:r>
          </w:p>
        </w:tc>
        <w:tc>
          <w:tcPr>
            <w:tcW w:w="1172" w:type="dxa"/>
            <w:vMerge w:val="continue"/>
            <w:vAlign w:val="center"/>
          </w:tcPr>
          <w:p w14:paraId="731DB9CF">
            <w:pPr>
              <w:widowControl/>
              <w:tabs>
                <w:tab w:val="left" w:pos="567"/>
              </w:tabs>
              <w:spacing w:line="360" w:lineRule="exact"/>
              <w:jc w:val="left"/>
              <w:rPr>
                <w:rFonts w:hint="eastAsia" w:ascii="宋体" w:hAnsi="宋体" w:cs="宋体"/>
                <w:kern w:val="0"/>
                <w:sz w:val="24"/>
              </w:rPr>
            </w:pPr>
          </w:p>
        </w:tc>
      </w:tr>
      <w:tr w14:paraId="01B54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96" w:type="dxa"/>
            <w:vAlign w:val="center"/>
          </w:tcPr>
          <w:p w14:paraId="5A1A3D53">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20</w:t>
            </w:r>
          </w:p>
        </w:tc>
        <w:tc>
          <w:tcPr>
            <w:tcW w:w="1843" w:type="dxa"/>
            <w:vAlign w:val="center"/>
          </w:tcPr>
          <w:p w14:paraId="3BAF7A43">
            <w:pPr>
              <w:widowControl/>
              <w:tabs>
                <w:tab w:val="left" w:pos="567"/>
              </w:tabs>
              <w:spacing w:line="360" w:lineRule="exact"/>
              <w:jc w:val="center"/>
              <w:rPr>
                <w:rFonts w:hint="eastAsia" w:ascii="宋体" w:hAnsi="宋体" w:cs="宋体"/>
                <w:kern w:val="0"/>
                <w:sz w:val="24"/>
              </w:rPr>
            </w:pPr>
            <w:r>
              <w:rPr>
                <w:rFonts w:hint="eastAsia" w:ascii="宋体" w:hAnsi="宋体" w:cs="宋体"/>
                <w:kern w:val="0"/>
                <w:sz w:val="24"/>
              </w:rPr>
              <w:t>其它服务</w:t>
            </w:r>
          </w:p>
        </w:tc>
        <w:tc>
          <w:tcPr>
            <w:tcW w:w="5415" w:type="dxa"/>
            <w:vAlign w:val="center"/>
          </w:tcPr>
          <w:p w14:paraId="55F21F66">
            <w:pPr>
              <w:widowControl/>
              <w:tabs>
                <w:tab w:val="left" w:pos="567"/>
              </w:tabs>
              <w:spacing w:line="360" w:lineRule="exact"/>
              <w:jc w:val="left"/>
              <w:rPr>
                <w:rFonts w:hint="eastAsia" w:ascii="宋体" w:hAnsi="宋体" w:cs="宋体"/>
                <w:kern w:val="0"/>
                <w:sz w:val="24"/>
              </w:rPr>
            </w:pPr>
          </w:p>
        </w:tc>
        <w:tc>
          <w:tcPr>
            <w:tcW w:w="1172" w:type="dxa"/>
            <w:vMerge w:val="continue"/>
            <w:vAlign w:val="center"/>
          </w:tcPr>
          <w:p w14:paraId="44AB7BB3">
            <w:pPr>
              <w:widowControl/>
              <w:tabs>
                <w:tab w:val="left" w:pos="567"/>
              </w:tabs>
              <w:spacing w:line="360" w:lineRule="exact"/>
              <w:jc w:val="left"/>
              <w:rPr>
                <w:rFonts w:hint="eastAsia" w:ascii="宋体" w:hAnsi="宋体" w:cs="宋体"/>
                <w:kern w:val="0"/>
                <w:sz w:val="24"/>
              </w:rPr>
            </w:pPr>
          </w:p>
        </w:tc>
      </w:tr>
    </w:tbl>
    <w:p w14:paraId="2386FCDC">
      <w:pPr>
        <w:pStyle w:val="45"/>
      </w:pPr>
    </w:p>
    <w:p w14:paraId="0C9F4C15"/>
    <w:p w14:paraId="4B34BCDD">
      <w:pPr>
        <w:pStyle w:val="45"/>
      </w:pPr>
    </w:p>
    <w:p w14:paraId="781FF16F">
      <w:pPr>
        <w:pStyle w:val="45"/>
      </w:pPr>
    </w:p>
    <w:p w14:paraId="69D124D9">
      <w:pPr>
        <w:pStyle w:val="45"/>
      </w:pPr>
    </w:p>
    <w:p w14:paraId="5EDCEB48">
      <w:pPr>
        <w:pStyle w:val="45"/>
      </w:pPr>
    </w:p>
    <w:p w14:paraId="3F2EFC22">
      <w:pPr>
        <w:pStyle w:val="45"/>
      </w:pPr>
    </w:p>
    <w:p w14:paraId="184DAB21">
      <w:pPr>
        <w:pStyle w:val="45"/>
      </w:pPr>
    </w:p>
    <w:p w14:paraId="78EC5553">
      <w:pPr>
        <w:pStyle w:val="45"/>
      </w:pPr>
    </w:p>
    <w:p w14:paraId="65F15EBB">
      <w:pPr>
        <w:pStyle w:val="45"/>
      </w:pPr>
    </w:p>
    <w:p w14:paraId="05AAFDC2">
      <w:pPr>
        <w:pStyle w:val="45"/>
      </w:pPr>
    </w:p>
    <w:p w14:paraId="56368909">
      <w:pPr>
        <w:pStyle w:val="4"/>
        <w:spacing w:before="0" w:after="0" w:line="360" w:lineRule="auto"/>
        <w:rPr>
          <w:rFonts w:hint="eastAsia" w:ascii="宋体" w:hAnsi="宋体" w:eastAsia="宋体" w:cs="宋体"/>
          <w:sz w:val="24"/>
          <w:szCs w:val="24"/>
        </w:rPr>
      </w:pPr>
      <w:r>
        <w:rPr>
          <w:rFonts w:hint="eastAsia" w:ascii="宋体" w:hAnsi="宋体" w:eastAsia="宋体" w:cs="宋体"/>
          <w:sz w:val="24"/>
          <w:szCs w:val="24"/>
        </w:rPr>
        <w:t>十一、售后服务人员配置情况</w:t>
      </w:r>
    </w:p>
    <w:tbl>
      <w:tblPr>
        <w:tblStyle w:val="35"/>
        <w:tblpPr w:leftFromText="180" w:rightFromText="180" w:vertAnchor="text" w:horzAnchor="page" w:tblpX="1569" w:tblpY="14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3"/>
        <w:gridCol w:w="1643"/>
        <w:gridCol w:w="2411"/>
        <w:gridCol w:w="2215"/>
      </w:tblGrid>
      <w:tr w14:paraId="5961B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2853" w:type="dxa"/>
            <w:vAlign w:val="center"/>
          </w:tcPr>
          <w:p w14:paraId="0533FC15">
            <w:pPr>
              <w:spacing w:line="360" w:lineRule="auto"/>
              <w:jc w:val="center"/>
              <w:rPr>
                <w:rFonts w:hint="eastAsia" w:ascii="宋体" w:hAnsi="宋体" w:cs="宋体"/>
                <w:sz w:val="24"/>
              </w:rPr>
            </w:pPr>
            <w:r>
              <w:rPr>
                <w:rFonts w:hint="eastAsia" w:ascii="宋体" w:hAnsi="宋体" w:cs="宋体"/>
                <w:sz w:val="24"/>
              </w:rPr>
              <w:t>服务机构名称</w:t>
            </w:r>
          </w:p>
        </w:tc>
        <w:tc>
          <w:tcPr>
            <w:tcW w:w="1643" w:type="dxa"/>
            <w:vAlign w:val="center"/>
          </w:tcPr>
          <w:p w14:paraId="365A74FE">
            <w:pPr>
              <w:spacing w:line="360" w:lineRule="auto"/>
              <w:jc w:val="center"/>
              <w:rPr>
                <w:rFonts w:hint="eastAsia" w:ascii="宋体" w:hAnsi="宋体" w:cs="宋体"/>
                <w:sz w:val="24"/>
              </w:rPr>
            </w:pPr>
            <w:r>
              <w:rPr>
                <w:rFonts w:hint="eastAsia" w:ascii="宋体" w:hAnsi="宋体" w:cs="宋体"/>
                <w:sz w:val="24"/>
              </w:rPr>
              <w:t>联系人</w:t>
            </w:r>
          </w:p>
        </w:tc>
        <w:tc>
          <w:tcPr>
            <w:tcW w:w="2411" w:type="dxa"/>
            <w:vAlign w:val="center"/>
          </w:tcPr>
          <w:p w14:paraId="4746F310">
            <w:pPr>
              <w:spacing w:line="360" w:lineRule="auto"/>
              <w:jc w:val="center"/>
              <w:rPr>
                <w:rFonts w:hint="eastAsia" w:ascii="宋体" w:hAnsi="宋体" w:cs="宋体"/>
                <w:sz w:val="24"/>
              </w:rPr>
            </w:pPr>
            <w:r>
              <w:rPr>
                <w:rFonts w:hint="eastAsia" w:ascii="宋体" w:hAnsi="宋体" w:cs="宋体"/>
                <w:sz w:val="24"/>
              </w:rPr>
              <w:t>职责</w:t>
            </w:r>
          </w:p>
        </w:tc>
        <w:tc>
          <w:tcPr>
            <w:tcW w:w="2215" w:type="dxa"/>
            <w:vAlign w:val="center"/>
          </w:tcPr>
          <w:p w14:paraId="07E78EE6">
            <w:pPr>
              <w:spacing w:line="360" w:lineRule="auto"/>
              <w:jc w:val="center"/>
              <w:rPr>
                <w:rFonts w:hint="eastAsia" w:ascii="宋体" w:hAnsi="宋体" w:cs="宋体"/>
                <w:sz w:val="24"/>
              </w:rPr>
            </w:pPr>
            <w:r>
              <w:rPr>
                <w:rFonts w:hint="eastAsia" w:ascii="宋体" w:hAnsi="宋体" w:cs="宋体"/>
                <w:sz w:val="24"/>
              </w:rPr>
              <w:t>联系电话</w:t>
            </w:r>
          </w:p>
        </w:tc>
      </w:tr>
      <w:tr w14:paraId="7A846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2853" w:type="dxa"/>
            <w:vMerge w:val="restart"/>
            <w:vAlign w:val="center"/>
          </w:tcPr>
          <w:p w14:paraId="14E110F9">
            <w:pPr>
              <w:spacing w:line="360" w:lineRule="auto"/>
              <w:jc w:val="center"/>
              <w:rPr>
                <w:rFonts w:hint="eastAsia" w:ascii="宋体" w:hAnsi="宋体" w:cs="宋体"/>
                <w:sz w:val="24"/>
              </w:rPr>
            </w:pPr>
          </w:p>
        </w:tc>
        <w:tc>
          <w:tcPr>
            <w:tcW w:w="1643" w:type="dxa"/>
            <w:vAlign w:val="center"/>
          </w:tcPr>
          <w:p w14:paraId="1954CB2B">
            <w:pPr>
              <w:spacing w:line="360" w:lineRule="auto"/>
              <w:jc w:val="center"/>
              <w:rPr>
                <w:rFonts w:hint="eastAsia" w:ascii="宋体" w:hAnsi="宋体" w:cs="宋体"/>
                <w:sz w:val="24"/>
              </w:rPr>
            </w:pPr>
          </w:p>
        </w:tc>
        <w:tc>
          <w:tcPr>
            <w:tcW w:w="2411" w:type="dxa"/>
            <w:vAlign w:val="center"/>
          </w:tcPr>
          <w:p w14:paraId="6502F8A0">
            <w:pPr>
              <w:spacing w:line="360" w:lineRule="auto"/>
              <w:jc w:val="center"/>
              <w:rPr>
                <w:rFonts w:hint="eastAsia" w:ascii="宋体" w:hAnsi="宋体" w:cs="宋体"/>
                <w:sz w:val="24"/>
              </w:rPr>
            </w:pPr>
          </w:p>
        </w:tc>
        <w:tc>
          <w:tcPr>
            <w:tcW w:w="2215" w:type="dxa"/>
            <w:vAlign w:val="center"/>
          </w:tcPr>
          <w:p w14:paraId="3E090152">
            <w:pPr>
              <w:spacing w:line="360" w:lineRule="auto"/>
              <w:jc w:val="center"/>
              <w:rPr>
                <w:rFonts w:hint="eastAsia" w:ascii="宋体" w:hAnsi="宋体" w:cs="宋体"/>
                <w:sz w:val="24"/>
              </w:rPr>
            </w:pPr>
          </w:p>
        </w:tc>
      </w:tr>
      <w:tr w14:paraId="72704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2853" w:type="dxa"/>
            <w:vMerge w:val="continue"/>
            <w:vAlign w:val="center"/>
          </w:tcPr>
          <w:p w14:paraId="45B80FA5">
            <w:pPr>
              <w:spacing w:line="360" w:lineRule="auto"/>
              <w:jc w:val="center"/>
              <w:rPr>
                <w:rFonts w:hint="eastAsia" w:ascii="宋体" w:hAnsi="宋体" w:cs="宋体"/>
                <w:sz w:val="24"/>
              </w:rPr>
            </w:pPr>
          </w:p>
        </w:tc>
        <w:tc>
          <w:tcPr>
            <w:tcW w:w="1643" w:type="dxa"/>
            <w:vAlign w:val="center"/>
          </w:tcPr>
          <w:p w14:paraId="413D195D">
            <w:pPr>
              <w:spacing w:line="360" w:lineRule="auto"/>
              <w:jc w:val="center"/>
              <w:rPr>
                <w:rFonts w:hint="eastAsia" w:ascii="宋体" w:hAnsi="宋体" w:cs="宋体"/>
                <w:sz w:val="24"/>
              </w:rPr>
            </w:pPr>
          </w:p>
        </w:tc>
        <w:tc>
          <w:tcPr>
            <w:tcW w:w="2411" w:type="dxa"/>
            <w:vAlign w:val="center"/>
          </w:tcPr>
          <w:p w14:paraId="6002D841">
            <w:pPr>
              <w:spacing w:line="360" w:lineRule="auto"/>
              <w:jc w:val="center"/>
              <w:rPr>
                <w:rFonts w:hint="eastAsia" w:ascii="宋体" w:hAnsi="宋体" w:cs="宋体"/>
                <w:sz w:val="24"/>
              </w:rPr>
            </w:pPr>
          </w:p>
        </w:tc>
        <w:tc>
          <w:tcPr>
            <w:tcW w:w="2215" w:type="dxa"/>
            <w:vAlign w:val="center"/>
          </w:tcPr>
          <w:p w14:paraId="682F1CCA">
            <w:pPr>
              <w:spacing w:line="360" w:lineRule="auto"/>
              <w:jc w:val="center"/>
              <w:rPr>
                <w:rFonts w:hint="eastAsia" w:ascii="宋体" w:hAnsi="宋体" w:cs="宋体"/>
                <w:sz w:val="24"/>
              </w:rPr>
            </w:pPr>
          </w:p>
        </w:tc>
      </w:tr>
      <w:tr w14:paraId="23F7B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2853" w:type="dxa"/>
            <w:vMerge w:val="continue"/>
            <w:vAlign w:val="center"/>
          </w:tcPr>
          <w:p w14:paraId="59B1F37D">
            <w:pPr>
              <w:spacing w:line="360" w:lineRule="auto"/>
              <w:jc w:val="center"/>
              <w:rPr>
                <w:rFonts w:hint="eastAsia" w:ascii="宋体" w:hAnsi="宋体" w:cs="宋体"/>
                <w:sz w:val="24"/>
              </w:rPr>
            </w:pPr>
          </w:p>
        </w:tc>
        <w:tc>
          <w:tcPr>
            <w:tcW w:w="1643" w:type="dxa"/>
            <w:vAlign w:val="center"/>
          </w:tcPr>
          <w:p w14:paraId="1AD6ED09">
            <w:pPr>
              <w:spacing w:line="360" w:lineRule="auto"/>
              <w:jc w:val="center"/>
              <w:rPr>
                <w:rFonts w:hint="eastAsia" w:ascii="宋体" w:hAnsi="宋体" w:cs="宋体"/>
                <w:sz w:val="24"/>
              </w:rPr>
            </w:pPr>
          </w:p>
        </w:tc>
        <w:tc>
          <w:tcPr>
            <w:tcW w:w="2411" w:type="dxa"/>
            <w:vAlign w:val="center"/>
          </w:tcPr>
          <w:p w14:paraId="425037F4">
            <w:pPr>
              <w:spacing w:line="360" w:lineRule="auto"/>
              <w:jc w:val="center"/>
              <w:rPr>
                <w:rFonts w:hint="eastAsia" w:ascii="宋体" w:hAnsi="宋体" w:cs="宋体"/>
                <w:sz w:val="24"/>
              </w:rPr>
            </w:pPr>
          </w:p>
        </w:tc>
        <w:tc>
          <w:tcPr>
            <w:tcW w:w="2215" w:type="dxa"/>
            <w:vAlign w:val="center"/>
          </w:tcPr>
          <w:p w14:paraId="1A7F62A3">
            <w:pPr>
              <w:spacing w:line="360" w:lineRule="auto"/>
              <w:jc w:val="center"/>
              <w:rPr>
                <w:rFonts w:hint="eastAsia" w:ascii="宋体" w:hAnsi="宋体" w:cs="宋体"/>
                <w:sz w:val="24"/>
              </w:rPr>
            </w:pPr>
          </w:p>
        </w:tc>
      </w:tr>
      <w:tr w14:paraId="19172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2853" w:type="dxa"/>
            <w:vMerge w:val="continue"/>
            <w:vAlign w:val="center"/>
          </w:tcPr>
          <w:p w14:paraId="7118519A">
            <w:pPr>
              <w:spacing w:line="360" w:lineRule="auto"/>
              <w:jc w:val="center"/>
              <w:rPr>
                <w:rFonts w:hint="eastAsia" w:ascii="宋体" w:hAnsi="宋体" w:cs="宋体"/>
                <w:sz w:val="24"/>
              </w:rPr>
            </w:pPr>
          </w:p>
        </w:tc>
        <w:tc>
          <w:tcPr>
            <w:tcW w:w="1643" w:type="dxa"/>
            <w:vAlign w:val="center"/>
          </w:tcPr>
          <w:p w14:paraId="4CFF674C">
            <w:pPr>
              <w:spacing w:line="360" w:lineRule="auto"/>
              <w:jc w:val="center"/>
              <w:rPr>
                <w:rFonts w:hint="eastAsia" w:ascii="宋体" w:hAnsi="宋体" w:cs="宋体"/>
                <w:sz w:val="24"/>
              </w:rPr>
            </w:pPr>
          </w:p>
        </w:tc>
        <w:tc>
          <w:tcPr>
            <w:tcW w:w="2411" w:type="dxa"/>
            <w:vAlign w:val="center"/>
          </w:tcPr>
          <w:p w14:paraId="7D2AAD3E">
            <w:pPr>
              <w:spacing w:line="360" w:lineRule="auto"/>
              <w:jc w:val="center"/>
              <w:rPr>
                <w:rFonts w:hint="eastAsia" w:ascii="宋体" w:hAnsi="宋体" w:cs="宋体"/>
                <w:sz w:val="24"/>
              </w:rPr>
            </w:pPr>
          </w:p>
        </w:tc>
        <w:tc>
          <w:tcPr>
            <w:tcW w:w="2215" w:type="dxa"/>
            <w:vAlign w:val="center"/>
          </w:tcPr>
          <w:p w14:paraId="69450D2C">
            <w:pPr>
              <w:spacing w:line="360" w:lineRule="auto"/>
              <w:jc w:val="center"/>
              <w:rPr>
                <w:rFonts w:hint="eastAsia" w:ascii="宋体" w:hAnsi="宋体" w:cs="宋体"/>
                <w:sz w:val="24"/>
              </w:rPr>
            </w:pPr>
          </w:p>
        </w:tc>
      </w:tr>
    </w:tbl>
    <w:p w14:paraId="297F2A91">
      <w:pPr>
        <w:jc w:val="center"/>
        <w:rPr>
          <w:rFonts w:hint="eastAsia" w:ascii="宋体" w:hAnsi="宋体" w:cs="宋体"/>
          <w:b/>
          <w:bCs/>
          <w:sz w:val="24"/>
        </w:rPr>
      </w:pPr>
      <w:r>
        <w:rPr>
          <w:rFonts w:hint="eastAsia" w:ascii="宋体" w:hAnsi="宋体" w:cs="宋体"/>
          <w:b/>
          <w:bCs/>
          <w:sz w:val="24"/>
        </w:rPr>
        <w:t xml:space="preserve"> </w:t>
      </w:r>
    </w:p>
    <w:p w14:paraId="0E90C4FC">
      <w:pPr>
        <w:jc w:val="center"/>
        <w:rPr>
          <w:rFonts w:hint="eastAsia" w:ascii="宋体" w:hAnsi="宋体" w:cs="宋体"/>
          <w:b/>
          <w:bCs/>
          <w:sz w:val="24"/>
        </w:rPr>
      </w:pPr>
    </w:p>
    <w:p w14:paraId="62E1B5E3">
      <w:pPr>
        <w:jc w:val="center"/>
        <w:rPr>
          <w:rFonts w:hint="eastAsia" w:ascii="宋体" w:hAnsi="宋体" w:cs="宋体"/>
          <w:b/>
          <w:bCs/>
          <w:sz w:val="24"/>
        </w:rPr>
      </w:pPr>
      <w:r>
        <w:rPr>
          <w:rFonts w:hint="eastAsia" w:ascii="宋体" w:hAnsi="宋体" w:cs="宋体"/>
          <w:b/>
          <w:bCs/>
          <w:sz w:val="24"/>
        </w:rPr>
        <w:t>办公地点及</w:t>
      </w:r>
      <w:r>
        <w:rPr>
          <w:rFonts w:ascii="宋体" w:hAnsi="宋体" w:cs="宋体"/>
          <w:b/>
          <w:bCs/>
          <w:sz w:val="24"/>
        </w:rPr>
        <w:t>服务机构</w:t>
      </w:r>
    </w:p>
    <w:p w14:paraId="080BA41A">
      <w:pPr>
        <w:pStyle w:val="45"/>
        <w:rPr>
          <w:sz w:val="24"/>
          <w:szCs w:val="24"/>
        </w:rPr>
      </w:pP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1"/>
        <w:gridCol w:w="990"/>
        <w:gridCol w:w="1140"/>
        <w:gridCol w:w="1545"/>
        <w:gridCol w:w="2894"/>
      </w:tblGrid>
      <w:tr w14:paraId="171B0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2851" w:type="dxa"/>
            <w:vAlign w:val="center"/>
          </w:tcPr>
          <w:p w14:paraId="41A33CBB">
            <w:pPr>
              <w:jc w:val="center"/>
              <w:rPr>
                <w:rFonts w:hint="eastAsia" w:ascii="宋体" w:hAnsi="宋体"/>
                <w:sz w:val="24"/>
              </w:rPr>
            </w:pPr>
            <w:r>
              <w:rPr>
                <w:rFonts w:hint="eastAsia" w:ascii="宋体" w:hAnsi="宋体"/>
                <w:sz w:val="24"/>
              </w:rPr>
              <w:t>服务</w:t>
            </w:r>
            <w:r>
              <w:rPr>
                <w:rFonts w:ascii="宋体" w:hAnsi="宋体"/>
                <w:sz w:val="24"/>
              </w:rPr>
              <w:t>机构名称</w:t>
            </w:r>
          </w:p>
        </w:tc>
        <w:tc>
          <w:tcPr>
            <w:tcW w:w="990" w:type="dxa"/>
            <w:vAlign w:val="center"/>
          </w:tcPr>
          <w:p w14:paraId="2E5DB01F">
            <w:pPr>
              <w:jc w:val="center"/>
              <w:rPr>
                <w:rFonts w:hint="eastAsia" w:ascii="宋体" w:hAnsi="宋体"/>
                <w:sz w:val="24"/>
              </w:rPr>
            </w:pPr>
            <w:r>
              <w:rPr>
                <w:rFonts w:hint="eastAsia" w:ascii="宋体" w:hAnsi="宋体"/>
                <w:sz w:val="24"/>
              </w:rPr>
              <w:t>所在地</w:t>
            </w:r>
          </w:p>
        </w:tc>
        <w:tc>
          <w:tcPr>
            <w:tcW w:w="1140" w:type="dxa"/>
            <w:vAlign w:val="center"/>
          </w:tcPr>
          <w:p w14:paraId="5B3A5519">
            <w:pPr>
              <w:jc w:val="center"/>
              <w:rPr>
                <w:rFonts w:hint="eastAsia" w:ascii="宋体" w:hAnsi="宋体"/>
                <w:sz w:val="24"/>
              </w:rPr>
            </w:pPr>
            <w:r>
              <w:rPr>
                <w:rFonts w:hint="eastAsia" w:ascii="宋体" w:hAnsi="宋体"/>
                <w:sz w:val="24"/>
              </w:rPr>
              <w:t>部门</w:t>
            </w:r>
          </w:p>
        </w:tc>
        <w:tc>
          <w:tcPr>
            <w:tcW w:w="1545" w:type="dxa"/>
            <w:vAlign w:val="center"/>
          </w:tcPr>
          <w:p w14:paraId="67DF96FE">
            <w:pPr>
              <w:jc w:val="center"/>
              <w:rPr>
                <w:rFonts w:hint="eastAsia" w:ascii="宋体" w:hAnsi="宋体"/>
                <w:sz w:val="24"/>
              </w:rPr>
            </w:pPr>
            <w:r>
              <w:rPr>
                <w:rFonts w:hint="eastAsia" w:ascii="宋体" w:hAnsi="宋体"/>
                <w:sz w:val="24"/>
              </w:rPr>
              <w:t>联系</w:t>
            </w:r>
            <w:r>
              <w:rPr>
                <w:rFonts w:ascii="宋体" w:hAnsi="宋体"/>
                <w:sz w:val="24"/>
              </w:rPr>
              <w:t>电话</w:t>
            </w:r>
          </w:p>
        </w:tc>
        <w:tc>
          <w:tcPr>
            <w:tcW w:w="2894" w:type="dxa"/>
            <w:vAlign w:val="center"/>
          </w:tcPr>
          <w:p w14:paraId="07B0723B">
            <w:pPr>
              <w:jc w:val="center"/>
              <w:rPr>
                <w:rFonts w:hint="eastAsia" w:ascii="宋体" w:hAnsi="宋体"/>
                <w:sz w:val="24"/>
              </w:rPr>
            </w:pPr>
            <w:r>
              <w:rPr>
                <w:rFonts w:hint="eastAsia" w:ascii="宋体" w:hAnsi="宋体"/>
                <w:sz w:val="24"/>
              </w:rPr>
              <w:t>地址</w:t>
            </w:r>
          </w:p>
        </w:tc>
      </w:tr>
      <w:tr w14:paraId="72BED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6" w:hRule="atLeast"/>
          <w:jc w:val="center"/>
        </w:trPr>
        <w:tc>
          <w:tcPr>
            <w:tcW w:w="2851" w:type="dxa"/>
            <w:vAlign w:val="center"/>
          </w:tcPr>
          <w:p w14:paraId="01F88BE3">
            <w:pPr>
              <w:jc w:val="center"/>
              <w:rPr>
                <w:rFonts w:hint="eastAsia" w:ascii="宋体" w:hAnsi="宋体"/>
                <w:sz w:val="24"/>
              </w:rPr>
            </w:pPr>
          </w:p>
        </w:tc>
        <w:tc>
          <w:tcPr>
            <w:tcW w:w="990" w:type="dxa"/>
            <w:vAlign w:val="center"/>
          </w:tcPr>
          <w:p w14:paraId="371B378A">
            <w:pPr>
              <w:jc w:val="center"/>
              <w:rPr>
                <w:rFonts w:hint="eastAsia" w:ascii="宋体" w:hAnsi="宋体"/>
                <w:sz w:val="24"/>
              </w:rPr>
            </w:pPr>
          </w:p>
        </w:tc>
        <w:tc>
          <w:tcPr>
            <w:tcW w:w="1140" w:type="dxa"/>
            <w:vAlign w:val="center"/>
          </w:tcPr>
          <w:p w14:paraId="2A2E8C31">
            <w:pPr>
              <w:jc w:val="center"/>
              <w:rPr>
                <w:rFonts w:hint="eastAsia" w:ascii="宋体" w:hAnsi="宋体"/>
                <w:sz w:val="24"/>
              </w:rPr>
            </w:pPr>
          </w:p>
        </w:tc>
        <w:tc>
          <w:tcPr>
            <w:tcW w:w="1545" w:type="dxa"/>
            <w:vAlign w:val="center"/>
          </w:tcPr>
          <w:p w14:paraId="56C50339">
            <w:pPr>
              <w:jc w:val="center"/>
              <w:rPr>
                <w:rFonts w:hint="eastAsia" w:ascii="宋体" w:hAnsi="宋体"/>
                <w:sz w:val="24"/>
              </w:rPr>
            </w:pPr>
          </w:p>
        </w:tc>
        <w:tc>
          <w:tcPr>
            <w:tcW w:w="2894" w:type="dxa"/>
            <w:vAlign w:val="center"/>
          </w:tcPr>
          <w:p w14:paraId="5F19903A">
            <w:pPr>
              <w:jc w:val="center"/>
              <w:rPr>
                <w:rFonts w:hint="eastAsia" w:ascii="宋体" w:hAnsi="宋体"/>
                <w:sz w:val="24"/>
              </w:rPr>
            </w:pPr>
          </w:p>
        </w:tc>
      </w:tr>
    </w:tbl>
    <w:p w14:paraId="1E6B139F">
      <w:pPr>
        <w:pStyle w:val="45"/>
      </w:pPr>
    </w:p>
    <w:p w14:paraId="0CDC7D60">
      <w:pPr>
        <w:pStyle w:val="45"/>
      </w:pPr>
    </w:p>
    <w:p w14:paraId="01C291B6">
      <w:pPr>
        <w:pStyle w:val="45"/>
      </w:pPr>
    </w:p>
    <w:p w14:paraId="2DA5912C">
      <w:pPr>
        <w:pStyle w:val="45"/>
      </w:pPr>
    </w:p>
    <w:p w14:paraId="36F054E4">
      <w:pPr>
        <w:pStyle w:val="45"/>
      </w:pPr>
    </w:p>
    <w:p w14:paraId="43BF044D">
      <w:pPr>
        <w:spacing w:line="480" w:lineRule="exact"/>
        <w:rPr>
          <w:rFonts w:hint="eastAsia" w:ascii="宋体" w:hAnsi="宋体" w:cs="宋体"/>
          <w:b/>
          <w:bCs/>
          <w:sz w:val="24"/>
        </w:rPr>
      </w:pPr>
      <w:r>
        <w:rPr>
          <w:rFonts w:hint="eastAsia" w:ascii="宋体" w:hAnsi="宋体" w:cs="宋体"/>
          <w:b/>
          <w:bCs/>
          <w:sz w:val="24"/>
        </w:rPr>
        <w:t>附件4—培训计划（参考模板）</w:t>
      </w:r>
    </w:p>
    <w:p w14:paraId="1214C41C">
      <w:pPr>
        <w:spacing w:line="480" w:lineRule="exact"/>
        <w:ind w:firstLine="496" w:firstLineChars="200"/>
        <w:contextualSpacing/>
        <w:rPr>
          <w:rFonts w:hint="eastAsia" w:ascii="宋体" w:hAnsi="宋体" w:cs="宋体"/>
          <w:sz w:val="24"/>
        </w:rPr>
      </w:pPr>
      <w:r>
        <w:rPr>
          <w:rFonts w:hint="eastAsia" w:ascii="宋体" w:hAnsi="宋体" w:cs="宋体"/>
          <w:sz w:val="24"/>
        </w:rPr>
        <w:t>经验证明，完善和成功的培训将是系统建设能否成功的决定因素之一。为此，公司根据信息化集成项目的实际情况，制定了完善的培训计划。</w:t>
      </w:r>
    </w:p>
    <w:p w14:paraId="41B41A3F">
      <w:pPr>
        <w:spacing w:line="480" w:lineRule="exact"/>
        <w:ind w:firstLine="496" w:firstLineChars="200"/>
        <w:contextualSpacing/>
        <w:rPr>
          <w:rFonts w:hint="eastAsia" w:ascii="宋体" w:hAnsi="宋体" w:cs="宋体"/>
          <w:sz w:val="24"/>
        </w:rPr>
      </w:pPr>
      <w:r>
        <w:rPr>
          <w:rFonts w:hint="eastAsia" w:ascii="宋体" w:hAnsi="宋体" w:cs="宋体"/>
          <w:sz w:val="24"/>
        </w:rPr>
        <w:t>根据系统建设各个阶段的需要，以集中培训(国内)和现场培训等方式实施培训工作。培训工作分为工程实施阶段和系统运行阶段，在不同阶段培训不同类型的人员。培训内容主要系统的管理、使用及维护等。接受培训的人员在培训后能独立完成相应阶段的技术工作，并能达到回本单位后继续做培训的能力。使工程作到“交钥匙”工程“用户满意”工程。</w:t>
      </w:r>
    </w:p>
    <w:p w14:paraId="355FC5F1">
      <w:pPr>
        <w:pStyle w:val="4"/>
        <w:spacing w:before="0" w:after="0" w:line="480" w:lineRule="exact"/>
        <w:rPr>
          <w:rFonts w:hint="eastAsia" w:ascii="宋体" w:hAnsi="宋体" w:eastAsia="宋体" w:cs="宋体"/>
          <w:sz w:val="24"/>
          <w:szCs w:val="24"/>
        </w:rPr>
      </w:pPr>
      <w:r>
        <w:rPr>
          <w:rFonts w:hint="eastAsia" w:ascii="宋体" w:hAnsi="宋体" w:eastAsia="宋体" w:cs="宋体"/>
          <w:sz w:val="24"/>
          <w:szCs w:val="24"/>
        </w:rPr>
        <w:t>1、培训方案及目的</w:t>
      </w:r>
    </w:p>
    <w:p w14:paraId="36398D56">
      <w:pPr>
        <w:spacing w:line="480" w:lineRule="exact"/>
        <w:ind w:firstLine="496" w:firstLineChars="200"/>
        <w:contextualSpacing/>
        <w:rPr>
          <w:rFonts w:hint="eastAsia" w:ascii="宋体" w:hAnsi="宋体" w:cs="宋体"/>
          <w:sz w:val="24"/>
        </w:rPr>
      </w:pPr>
      <w:r>
        <w:rPr>
          <w:rFonts w:hint="eastAsia" w:ascii="宋体" w:hAnsi="宋体" w:cs="宋体"/>
          <w:sz w:val="24"/>
        </w:rPr>
        <w:t>在项目实施过程中，本公司除贯穿实施全过程对用户进行培训外，还针对本项目的产品提出一整套系统的培训方案，以达到如下目的：</w:t>
      </w:r>
    </w:p>
    <w:p w14:paraId="58EFED77">
      <w:pPr>
        <w:spacing w:line="480" w:lineRule="exact"/>
        <w:ind w:firstLine="496" w:firstLineChars="200"/>
        <w:contextualSpacing/>
        <w:rPr>
          <w:rFonts w:hint="eastAsia" w:ascii="宋体" w:hAnsi="宋体" w:cs="宋体"/>
          <w:sz w:val="24"/>
        </w:rPr>
      </w:pPr>
      <w:r>
        <w:rPr>
          <w:rFonts w:hint="eastAsia" w:ascii="宋体" w:hAnsi="宋体" w:cs="宋体"/>
          <w:sz w:val="24"/>
        </w:rPr>
        <w:t>工程能够按时高质量的完成。如对买方协作人员的培训。</w:t>
      </w:r>
    </w:p>
    <w:p w14:paraId="0775C42D">
      <w:pPr>
        <w:spacing w:line="480" w:lineRule="exact"/>
        <w:ind w:firstLine="496" w:firstLineChars="200"/>
        <w:contextualSpacing/>
        <w:rPr>
          <w:rFonts w:hint="eastAsia" w:ascii="宋体" w:hAnsi="宋体" w:cs="宋体"/>
          <w:sz w:val="24"/>
        </w:rPr>
      </w:pPr>
      <w:r>
        <w:rPr>
          <w:rFonts w:hint="eastAsia" w:ascii="宋体" w:hAnsi="宋体" w:cs="宋体"/>
          <w:sz w:val="24"/>
        </w:rPr>
        <w:t>系统完工后能够正常运转。如：各种软硬件的操作培训等。</w:t>
      </w:r>
    </w:p>
    <w:p w14:paraId="4BF3B2EF">
      <w:pPr>
        <w:spacing w:line="480" w:lineRule="exact"/>
        <w:ind w:firstLine="496" w:firstLineChars="200"/>
        <w:contextualSpacing/>
        <w:rPr>
          <w:rFonts w:hint="eastAsia" w:ascii="宋体" w:hAnsi="宋体" w:cs="宋体"/>
          <w:sz w:val="24"/>
        </w:rPr>
      </w:pPr>
      <w:r>
        <w:rPr>
          <w:rFonts w:hint="eastAsia" w:ascii="宋体" w:hAnsi="宋体" w:cs="宋体"/>
          <w:sz w:val="24"/>
        </w:rPr>
        <w:t>系统能安全无故障的运行。如针对安全性对技术人员进行安全管理的培训。</w:t>
      </w:r>
    </w:p>
    <w:p w14:paraId="5F246AB1">
      <w:pPr>
        <w:spacing w:line="480" w:lineRule="exact"/>
        <w:ind w:firstLine="496" w:firstLineChars="200"/>
        <w:contextualSpacing/>
        <w:rPr>
          <w:rFonts w:hint="eastAsia" w:ascii="宋体" w:hAnsi="宋体" w:cs="宋体"/>
          <w:sz w:val="24"/>
        </w:rPr>
      </w:pPr>
      <w:r>
        <w:rPr>
          <w:rFonts w:hint="eastAsia" w:ascii="宋体" w:hAnsi="宋体" w:cs="宋体"/>
          <w:sz w:val="24"/>
        </w:rPr>
        <w:t>此次培训的老师全部为我公司和相关厂商的专职培训人员。使维护工作人员经培训后能够熟练地掌握系统的软件及硬件维护工作，并能及时排除大部分设备故障。</w:t>
      </w:r>
    </w:p>
    <w:p w14:paraId="131DE969">
      <w:pPr>
        <w:pStyle w:val="4"/>
        <w:spacing w:before="0" w:after="0" w:line="480" w:lineRule="exact"/>
        <w:rPr>
          <w:rFonts w:hint="eastAsia" w:ascii="宋体" w:hAnsi="宋体" w:eastAsia="宋体" w:cs="宋体"/>
          <w:sz w:val="24"/>
          <w:szCs w:val="24"/>
        </w:rPr>
      </w:pPr>
      <w:r>
        <w:rPr>
          <w:rFonts w:hint="eastAsia" w:ascii="宋体" w:hAnsi="宋体" w:eastAsia="宋体" w:cs="宋体"/>
          <w:sz w:val="24"/>
          <w:szCs w:val="24"/>
        </w:rPr>
        <w:t>2、培训环境、教材、制度、特色</w:t>
      </w:r>
    </w:p>
    <w:p w14:paraId="7D902434">
      <w:pPr>
        <w:spacing w:line="480" w:lineRule="exact"/>
        <w:ind w:firstLine="496" w:firstLineChars="200"/>
        <w:contextualSpacing/>
        <w:rPr>
          <w:rFonts w:hint="eastAsia" w:ascii="宋体" w:hAnsi="宋体" w:cs="宋体"/>
          <w:sz w:val="24"/>
        </w:rPr>
      </w:pPr>
      <w:r>
        <w:rPr>
          <w:rFonts w:hint="eastAsia" w:ascii="宋体" w:hAnsi="宋体" w:cs="宋体"/>
          <w:sz w:val="24"/>
        </w:rPr>
        <w:t>有效的情景展开</w:t>
      </w:r>
    </w:p>
    <w:p w14:paraId="1DC9CE89">
      <w:pPr>
        <w:spacing w:line="480" w:lineRule="exact"/>
        <w:ind w:firstLine="496" w:firstLineChars="200"/>
        <w:contextualSpacing/>
        <w:rPr>
          <w:rFonts w:hint="eastAsia" w:ascii="宋体" w:hAnsi="宋体" w:cs="宋体"/>
          <w:sz w:val="24"/>
        </w:rPr>
      </w:pPr>
      <w:r>
        <w:rPr>
          <w:rFonts w:hint="eastAsia" w:ascii="宋体" w:hAnsi="宋体" w:cs="宋体"/>
          <w:sz w:val="24"/>
        </w:rPr>
        <w:t>适用的内容剖析</w:t>
      </w:r>
    </w:p>
    <w:p w14:paraId="62052A1F">
      <w:pPr>
        <w:spacing w:line="480" w:lineRule="exact"/>
        <w:ind w:firstLine="496" w:firstLineChars="200"/>
        <w:contextualSpacing/>
        <w:rPr>
          <w:rFonts w:hint="eastAsia" w:ascii="宋体" w:hAnsi="宋体" w:cs="宋体"/>
          <w:sz w:val="24"/>
        </w:rPr>
      </w:pPr>
      <w:r>
        <w:rPr>
          <w:rFonts w:hint="eastAsia" w:ascii="宋体" w:hAnsi="宋体" w:cs="宋体"/>
          <w:sz w:val="24"/>
        </w:rPr>
        <w:t>实用的课程传授</w:t>
      </w:r>
    </w:p>
    <w:p w14:paraId="7B2DC49E">
      <w:pPr>
        <w:spacing w:line="480" w:lineRule="exact"/>
        <w:ind w:firstLine="496" w:firstLineChars="200"/>
        <w:contextualSpacing/>
        <w:rPr>
          <w:rFonts w:hint="eastAsia" w:ascii="宋体" w:hAnsi="宋体" w:cs="宋体"/>
          <w:sz w:val="24"/>
        </w:rPr>
      </w:pPr>
      <w:r>
        <w:rPr>
          <w:rFonts w:hint="eastAsia" w:ascii="宋体" w:hAnsi="宋体" w:cs="宋体"/>
          <w:sz w:val="24"/>
        </w:rPr>
        <w:t>课程的量身定做</w:t>
      </w:r>
    </w:p>
    <w:p w14:paraId="25DCEE0A">
      <w:pPr>
        <w:pStyle w:val="4"/>
        <w:spacing w:before="0" w:after="0" w:line="480" w:lineRule="exact"/>
        <w:rPr>
          <w:rFonts w:hint="eastAsia" w:ascii="宋体" w:hAnsi="宋体" w:eastAsia="宋体" w:cs="宋体"/>
          <w:sz w:val="24"/>
          <w:szCs w:val="24"/>
        </w:rPr>
      </w:pPr>
      <w:r>
        <w:rPr>
          <w:rFonts w:hint="eastAsia" w:ascii="宋体" w:hAnsi="宋体" w:eastAsia="宋体" w:cs="宋体"/>
          <w:sz w:val="24"/>
          <w:szCs w:val="24"/>
        </w:rPr>
        <w:t>3、培训环境</w:t>
      </w:r>
    </w:p>
    <w:p w14:paraId="27A4CD3A">
      <w:pPr>
        <w:spacing w:line="480" w:lineRule="exact"/>
        <w:ind w:firstLine="496" w:firstLineChars="200"/>
        <w:contextualSpacing/>
        <w:rPr>
          <w:rFonts w:hint="eastAsia" w:ascii="宋体" w:hAnsi="宋体" w:cs="宋体"/>
          <w:sz w:val="24"/>
        </w:rPr>
      </w:pPr>
      <w:r>
        <w:rPr>
          <w:rFonts w:hint="eastAsia" w:ascii="宋体" w:hAnsi="宋体" w:cs="宋体"/>
          <w:sz w:val="24"/>
        </w:rPr>
        <w:t>硬件环境因不同的培训场地可能有所差异。以下所列为基本培训环境。</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39"/>
        <w:gridCol w:w="5183"/>
      </w:tblGrid>
      <w:tr w14:paraId="28456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39" w:type="dxa"/>
            <w:tcBorders>
              <w:top w:val="single" w:color="auto" w:sz="4" w:space="0"/>
              <w:left w:val="single" w:color="auto" w:sz="4" w:space="0"/>
              <w:bottom w:val="single" w:color="auto" w:sz="4" w:space="0"/>
              <w:right w:val="single" w:color="auto" w:sz="4" w:space="0"/>
            </w:tcBorders>
            <w:vAlign w:val="center"/>
          </w:tcPr>
          <w:p w14:paraId="7861EA81">
            <w:pPr>
              <w:autoSpaceDE w:val="0"/>
              <w:autoSpaceDN w:val="0"/>
              <w:spacing w:line="360" w:lineRule="auto"/>
              <w:jc w:val="center"/>
              <w:rPr>
                <w:rFonts w:hint="eastAsia" w:ascii="宋体" w:hAnsi="宋体" w:cs="宋体"/>
                <w:sz w:val="24"/>
              </w:rPr>
            </w:pPr>
            <w:r>
              <w:rPr>
                <w:rFonts w:hint="eastAsia" w:ascii="宋体" w:hAnsi="宋体" w:cs="宋体"/>
                <w:sz w:val="24"/>
              </w:rPr>
              <w:t>设备名称</w:t>
            </w:r>
          </w:p>
        </w:tc>
        <w:tc>
          <w:tcPr>
            <w:tcW w:w="5183" w:type="dxa"/>
            <w:tcBorders>
              <w:top w:val="single" w:color="auto" w:sz="4" w:space="0"/>
              <w:left w:val="single" w:color="auto" w:sz="4" w:space="0"/>
              <w:bottom w:val="single" w:color="auto" w:sz="4" w:space="0"/>
              <w:right w:val="single" w:color="auto" w:sz="4" w:space="0"/>
            </w:tcBorders>
            <w:vAlign w:val="center"/>
          </w:tcPr>
          <w:p w14:paraId="5F6E5F28">
            <w:pPr>
              <w:autoSpaceDE w:val="0"/>
              <w:autoSpaceDN w:val="0"/>
              <w:spacing w:line="360" w:lineRule="auto"/>
              <w:jc w:val="center"/>
              <w:rPr>
                <w:rFonts w:hint="eastAsia" w:ascii="宋体" w:hAnsi="宋体" w:cs="宋体"/>
                <w:sz w:val="24"/>
              </w:rPr>
            </w:pPr>
            <w:r>
              <w:rPr>
                <w:rFonts w:hint="eastAsia" w:ascii="宋体" w:hAnsi="宋体" w:cs="宋体"/>
                <w:sz w:val="24"/>
              </w:rPr>
              <w:t>备注</w:t>
            </w:r>
          </w:p>
        </w:tc>
      </w:tr>
      <w:tr w14:paraId="40386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39" w:type="dxa"/>
            <w:tcBorders>
              <w:top w:val="single" w:color="auto" w:sz="4" w:space="0"/>
              <w:left w:val="single" w:color="auto" w:sz="4" w:space="0"/>
              <w:bottom w:val="single" w:color="auto" w:sz="4" w:space="0"/>
              <w:right w:val="single" w:color="auto" w:sz="4" w:space="0"/>
            </w:tcBorders>
            <w:vAlign w:val="center"/>
          </w:tcPr>
          <w:p w14:paraId="0A25024A">
            <w:pPr>
              <w:autoSpaceDE w:val="0"/>
              <w:autoSpaceDN w:val="0"/>
              <w:spacing w:line="360" w:lineRule="auto"/>
              <w:jc w:val="center"/>
              <w:rPr>
                <w:rFonts w:hint="eastAsia" w:ascii="宋体" w:hAnsi="宋体" w:cs="宋体"/>
                <w:sz w:val="24"/>
              </w:rPr>
            </w:pPr>
            <w:r>
              <w:rPr>
                <w:rFonts w:hint="eastAsia" w:ascii="宋体" w:hAnsi="宋体" w:cs="宋体"/>
                <w:sz w:val="24"/>
              </w:rPr>
              <w:t>培训场所（教室）</w:t>
            </w:r>
          </w:p>
        </w:tc>
        <w:tc>
          <w:tcPr>
            <w:tcW w:w="5183" w:type="dxa"/>
            <w:tcBorders>
              <w:top w:val="single" w:color="auto" w:sz="4" w:space="0"/>
              <w:left w:val="single" w:color="auto" w:sz="4" w:space="0"/>
              <w:bottom w:val="single" w:color="auto" w:sz="4" w:space="0"/>
              <w:right w:val="single" w:color="auto" w:sz="4" w:space="0"/>
            </w:tcBorders>
            <w:vAlign w:val="center"/>
          </w:tcPr>
          <w:p w14:paraId="48D576B9">
            <w:pPr>
              <w:autoSpaceDE w:val="0"/>
              <w:autoSpaceDN w:val="0"/>
              <w:spacing w:line="360" w:lineRule="auto"/>
              <w:jc w:val="center"/>
              <w:rPr>
                <w:rFonts w:hint="eastAsia" w:ascii="宋体" w:hAnsi="宋体" w:cs="宋体"/>
                <w:sz w:val="24"/>
              </w:rPr>
            </w:pPr>
            <w:r>
              <w:rPr>
                <w:rFonts w:hint="eastAsia" w:ascii="宋体" w:hAnsi="宋体" w:cs="宋体"/>
                <w:sz w:val="24"/>
              </w:rPr>
              <w:t>可以容纳每班的培训人员</w:t>
            </w:r>
          </w:p>
        </w:tc>
      </w:tr>
      <w:tr w14:paraId="220D4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39" w:type="dxa"/>
            <w:tcBorders>
              <w:top w:val="single" w:color="auto" w:sz="4" w:space="0"/>
              <w:left w:val="single" w:color="auto" w:sz="4" w:space="0"/>
              <w:bottom w:val="single" w:color="auto" w:sz="4" w:space="0"/>
              <w:right w:val="single" w:color="auto" w:sz="4" w:space="0"/>
            </w:tcBorders>
            <w:vAlign w:val="center"/>
          </w:tcPr>
          <w:p w14:paraId="4EC61D02">
            <w:pPr>
              <w:autoSpaceDE w:val="0"/>
              <w:autoSpaceDN w:val="0"/>
              <w:spacing w:line="360" w:lineRule="auto"/>
              <w:jc w:val="center"/>
              <w:rPr>
                <w:rFonts w:hint="eastAsia" w:ascii="宋体" w:hAnsi="宋体" w:cs="宋体"/>
                <w:sz w:val="24"/>
              </w:rPr>
            </w:pPr>
            <w:r>
              <w:rPr>
                <w:rFonts w:hint="eastAsia" w:ascii="宋体" w:hAnsi="宋体" w:cs="宋体"/>
                <w:sz w:val="24"/>
              </w:rPr>
              <w:t>桌椅</w:t>
            </w:r>
          </w:p>
        </w:tc>
        <w:tc>
          <w:tcPr>
            <w:tcW w:w="5183" w:type="dxa"/>
            <w:tcBorders>
              <w:top w:val="single" w:color="auto" w:sz="4" w:space="0"/>
              <w:left w:val="single" w:color="auto" w:sz="4" w:space="0"/>
              <w:bottom w:val="single" w:color="auto" w:sz="4" w:space="0"/>
              <w:right w:val="single" w:color="auto" w:sz="4" w:space="0"/>
            </w:tcBorders>
            <w:vAlign w:val="center"/>
          </w:tcPr>
          <w:p w14:paraId="2153AC7F">
            <w:pPr>
              <w:autoSpaceDE w:val="0"/>
              <w:autoSpaceDN w:val="0"/>
              <w:spacing w:line="360" w:lineRule="auto"/>
              <w:jc w:val="center"/>
              <w:rPr>
                <w:rFonts w:hint="eastAsia" w:ascii="宋体" w:hAnsi="宋体" w:cs="宋体"/>
                <w:sz w:val="24"/>
              </w:rPr>
            </w:pPr>
            <w:r>
              <w:rPr>
                <w:rFonts w:hint="eastAsia" w:ascii="宋体" w:hAnsi="宋体" w:cs="宋体"/>
                <w:sz w:val="24"/>
              </w:rPr>
              <w:t>每人一套</w:t>
            </w:r>
          </w:p>
        </w:tc>
      </w:tr>
      <w:tr w14:paraId="44277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39" w:type="dxa"/>
            <w:tcBorders>
              <w:top w:val="single" w:color="auto" w:sz="4" w:space="0"/>
              <w:left w:val="single" w:color="auto" w:sz="4" w:space="0"/>
              <w:bottom w:val="single" w:color="auto" w:sz="4" w:space="0"/>
              <w:right w:val="single" w:color="auto" w:sz="4" w:space="0"/>
            </w:tcBorders>
            <w:vAlign w:val="center"/>
          </w:tcPr>
          <w:p w14:paraId="720F7D34">
            <w:pPr>
              <w:autoSpaceDE w:val="0"/>
              <w:autoSpaceDN w:val="0"/>
              <w:spacing w:line="360" w:lineRule="auto"/>
              <w:jc w:val="center"/>
              <w:rPr>
                <w:rFonts w:hint="eastAsia" w:ascii="宋体" w:hAnsi="宋体" w:cs="宋体"/>
                <w:sz w:val="24"/>
              </w:rPr>
            </w:pPr>
            <w:r>
              <w:rPr>
                <w:rFonts w:hint="eastAsia" w:ascii="宋体" w:hAnsi="宋体" w:cs="宋体"/>
                <w:sz w:val="24"/>
              </w:rPr>
              <w:t>计算机</w:t>
            </w:r>
          </w:p>
        </w:tc>
        <w:tc>
          <w:tcPr>
            <w:tcW w:w="5183" w:type="dxa"/>
            <w:tcBorders>
              <w:top w:val="single" w:color="auto" w:sz="4" w:space="0"/>
              <w:left w:val="single" w:color="auto" w:sz="4" w:space="0"/>
              <w:bottom w:val="single" w:color="auto" w:sz="4" w:space="0"/>
              <w:right w:val="single" w:color="auto" w:sz="4" w:space="0"/>
            </w:tcBorders>
            <w:vAlign w:val="center"/>
          </w:tcPr>
          <w:p w14:paraId="5743191E">
            <w:pPr>
              <w:autoSpaceDE w:val="0"/>
              <w:autoSpaceDN w:val="0"/>
              <w:spacing w:line="360" w:lineRule="auto"/>
              <w:jc w:val="center"/>
              <w:rPr>
                <w:rFonts w:hint="eastAsia" w:ascii="宋体" w:hAnsi="宋体" w:cs="宋体"/>
                <w:sz w:val="24"/>
              </w:rPr>
            </w:pPr>
            <w:r>
              <w:rPr>
                <w:rFonts w:hint="eastAsia" w:ascii="宋体" w:hAnsi="宋体" w:cs="宋体"/>
                <w:sz w:val="24"/>
              </w:rPr>
              <w:t>每人一台</w:t>
            </w:r>
          </w:p>
        </w:tc>
      </w:tr>
      <w:tr w14:paraId="6844F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39" w:type="dxa"/>
            <w:tcBorders>
              <w:top w:val="single" w:color="auto" w:sz="4" w:space="0"/>
              <w:left w:val="single" w:color="auto" w:sz="4" w:space="0"/>
              <w:bottom w:val="single" w:color="auto" w:sz="4" w:space="0"/>
              <w:right w:val="single" w:color="auto" w:sz="4" w:space="0"/>
            </w:tcBorders>
            <w:vAlign w:val="center"/>
          </w:tcPr>
          <w:p w14:paraId="39F422F3">
            <w:pPr>
              <w:autoSpaceDE w:val="0"/>
              <w:autoSpaceDN w:val="0"/>
              <w:spacing w:line="360" w:lineRule="auto"/>
              <w:jc w:val="center"/>
              <w:rPr>
                <w:rFonts w:hint="eastAsia" w:ascii="宋体" w:hAnsi="宋体" w:cs="宋体"/>
                <w:sz w:val="24"/>
              </w:rPr>
            </w:pPr>
            <w:r>
              <w:rPr>
                <w:rFonts w:hint="eastAsia" w:ascii="宋体" w:hAnsi="宋体" w:cs="宋体"/>
                <w:sz w:val="24"/>
              </w:rPr>
              <w:t>投影设备</w:t>
            </w:r>
          </w:p>
        </w:tc>
        <w:tc>
          <w:tcPr>
            <w:tcW w:w="5183" w:type="dxa"/>
            <w:tcBorders>
              <w:top w:val="single" w:color="auto" w:sz="4" w:space="0"/>
              <w:left w:val="single" w:color="auto" w:sz="4" w:space="0"/>
              <w:bottom w:val="single" w:color="auto" w:sz="4" w:space="0"/>
              <w:right w:val="single" w:color="auto" w:sz="4" w:space="0"/>
            </w:tcBorders>
            <w:vAlign w:val="center"/>
          </w:tcPr>
          <w:p w14:paraId="65EDA0F6">
            <w:pPr>
              <w:autoSpaceDE w:val="0"/>
              <w:autoSpaceDN w:val="0"/>
              <w:spacing w:line="360" w:lineRule="auto"/>
              <w:jc w:val="center"/>
              <w:rPr>
                <w:rFonts w:hint="eastAsia" w:ascii="宋体" w:hAnsi="宋体" w:cs="宋体"/>
                <w:sz w:val="24"/>
              </w:rPr>
            </w:pPr>
            <w:r>
              <w:rPr>
                <w:rFonts w:hint="eastAsia" w:ascii="宋体" w:hAnsi="宋体" w:cs="宋体"/>
                <w:sz w:val="24"/>
              </w:rPr>
              <w:t>每个教室一个</w:t>
            </w:r>
          </w:p>
        </w:tc>
      </w:tr>
      <w:tr w14:paraId="10906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39" w:type="dxa"/>
            <w:tcBorders>
              <w:top w:val="single" w:color="auto" w:sz="4" w:space="0"/>
              <w:left w:val="single" w:color="auto" w:sz="4" w:space="0"/>
              <w:bottom w:val="single" w:color="auto" w:sz="4" w:space="0"/>
              <w:right w:val="single" w:color="auto" w:sz="4" w:space="0"/>
            </w:tcBorders>
            <w:vAlign w:val="center"/>
          </w:tcPr>
          <w:p w14:paraId="37F79046">
            <w:pPr>
              <w:autoSpaceDE w:val="0"/>
              <w:autoSpaceDN w:val="0"/>
              <w:spacing w:line="360" w:lineRule="auto"/>
              <w:jc w:val="center"/>
              <w:rPr>
                <w:rFonts w:hint="eastAsia" w:ascii="宋体" w:hAnsi="宋体" w:cs="宋体"/>
                <w:sz w:val="24"/>
              </w:rPr>
            </w:pPr>
            <w:r>
              <w:rPr>
                <w:rFonts w:hint="eastAsia" w:ascii="宋体" w:hAnsi="宋体" w:cs="宋体"/>
                <w:sz w:val="24"/>
              </w:rPr>
              <w:t>其他必要的条件</w:t>
            </w:r>
          </w:p>
        </w:tc>
        <w:tc>
          <w:tcPr>
            <w:tcW w:w="5183" w:type="dxa"/>
            <w:tcBorders>
              <w:top w:val="single" w:color="auto" w:sz="4" w:space="0"/>
              <w:left w:val="single" w:color="auto" w:sz="4" w:space="0"/>
              <w:bottom w:val="single" w:color="auto" w:sz="4" w:space="0"/>
              <w:right w:val="single" w:color="auto" w:sz="4" w:space="0"/>
            </w:tcBorders>
            <w:vAlign w:val="center"/>
          </w:tcPr>
          <w:p w14:paraId="2F66A9E4">
            <w:pPr>
              <w:autoSpaceDE w:val="0"/>
              <w:autoSpaceDN w:val="0"/>
              <w:spacing w:line="360" w:lineRule="auto"/>
              <w:rPr>
                <w:rFonts w:hint="eastAsia" w:ascii="宋体" w:hAnsi="宋体" w:cs="宋体"/>
                <w:sz w:val="24"/>
              </w:rPr>
            </w:pPr>
            <w:r>
              <w:rPr>
                <w:rFonts w:hint="eastAsia" w:ascii="宋体" w:hAnsi="宋体" w:cs="宋体"/>
                <w:sz w:val="24"/>
              </w:rPr>
              <w:t>比如白板、白板笔，保证培训环境局域网络的畅通等</w:t>
            </w:r>
          </w:p>
        </w:tc>
      </w:tr>
    </w:tbl>
    <w:p w14:paraId="10074D3A">
      <w:pPr>
        <w:pStyle w:val="4"/>
        <w:spacing w:before="0" w:after="0" w:line="480" w:lineRule="exact"/>
        <w:rPr>
          <w:rFonts w:hint="eastAsia" w:ascii="宋体" w:hAnsi="宋体" w:eastAsia="宋体" w:cs="宋体"/>
          <w:sz w:val="24"/>
          <w:szCs w:val="24"/>
        </w:rPr>
      </w:pPr>
      <w:r>
        <w:rPr>
          <w:rFonts w:hint="eastAsia" w:ascii="宋体" w:hAnsi="宋体" w:eastAsia="宋体" w:cs="宋体"/>
          <w:sz w:val="24"/>
          <w:szCs w:val="24"/>
        </w:rPr>
        <w:t>4、培训教材</w:t>
      </w:r>
    </w:p>
    <w:p w14:paraId="032A5F0C">
      <w:pPr>
        <w:spacing w:line="480" w:lineRule="exact"/>
        <w:ind w:firstLine="496" w:firstLineChars="200"/>
        <w:contextualSpacing/>
        <w:rPr>
          <w:rFonts w:hint="eastAsia" w:ascii="宋体" w:hAnsi="宋体" w:cs="宋体"/>
          <w:sz w:val="24"/>
        </w:rPr>
      </w:pPr>
      <w:r>
        <w:rPr>
          <w:rFonts w:hint="eastAsia" w:ascii="宋体" w:hAnsi="宋体" w:cs="宋体"/>
          <w:sz w:val="24"/>
        </w:rPr>
        <w:t>一整套培训教材包括以下五个组成部分，其中操作使用分册合并成一本、技术资料汇编合并成一本印刷教材，有关标准规范合并成一本教材，原厂培训资料分别合成一本；而培训用PPT、考试试题部分由公司提供电子文档。</w:t>
      </w:r>
    </w:p>
    <w:p w14:paraId="0B8D12F3">
      <w:pPr>
        <w:spacing w:line="480" w:lineRule="exact"/>
        <w:ind w:firstLine="496" w:firstLineChars="200"/>
        <w:contextualSpacing/>
        <w:rPr>
          <w:rFonts w:hint="eastAsia" w:ascii="宋体" w:hAnsi="宋体" w:cs="宋体"/>
          <w:sz w:val="24"/>
        </w:rPr>
      </w:pPr>
      <w:r>
        <w:rPr>
          <w:rFonts w:hint="eastAsia" w:ascii="宋体" w:hAnsi="宋体" w:cs="宋体"/>
          <w:sz w:val="24"/>
        </w:rPr>
        <w:t>操作分册</w:t>
      </w:r>
    </w:p>
    <w:p w14:paraId="3E1CA19D">
      <w:pPr>
        <w:spacing w:line="480" w:lineRule="exact"/>
        <w:ind w:firstLine="496" w:firstLineChars="200"/>
        <w:contextualSpacing/>
        <w:rPr>
          <w:rFonts w:hint="eastAsia" w:ascii="宋体" w:hAnsi="宋体" w:cs="宋体"/>
          <w:sz w:val="24"/>
        </w:rPr>
      </w:pPr>
      <w:r>
        <w:rPr>
          <w:rFonts w:hint="eastAsia" w:ascii="宋体" w:hAnsi="宋体" w:cs="宋体"/>
          <w:sz w:val="24"/>
        </w:rPr>
        <w:t>对系统全部功能的概述、指引，引导学员快速了解系统功能，并掌握基本操作方法；针对系统不同功能分别订制的简洁、图文并茂的操作说明文档；</w:t>
      </w:r>
    </w:p>
    <w:p w14:paraId="6B70CA62">
      <w:pPr>
        <w:spacing w:line="480" w:lineRule="exact"/>
        <w:ind w:firstLine="496" w:firstLineChars="200"/>
        <w:contextualSpacing/>
        <w:rPr>
          <w:rFonts w:hint="eastAsia" w:ascii="宋体" w:hAnsi="宋体" w:cs="宋体"/>
          <w:sz w:val="24"/>
        </w:rPr>
      </w:pPr>
      <w:r>
        <w:rPr>
          <w:rFonts w:hint="eastAsia" w:ascii="宋体" w:hAnsi="宋体" w:cs="宋体"/>
          <w:sz w:val="24"/>
        </w:rPr>
        <w:t>技术资料汇编</w:t>
      </w:r>
    </w:p>
    <w:p w14:paraId="6110F1A8">
      <w:pPr>
        <w:spacing w:line="480" w:lineRule="exact"/>
        <w:ind w:firstLine="496" w:firstLineChars="200"/>
        <w:contextualSpacing/>
        <w:rPr>
          <w:rFonts w:hint="eastAsia" w:ascii="宋体" w:hAnsi="宋体" w:cs="宋体"/>
          <w:sz w:val="24"/>
        </w:rPr>
      </w:pPr>
      <w:r>
        <w:rPr>
          <w:rFonts w:hint="eastAsia" w:ascii="宋体" w:hAnsi="宋体" w:cs="宋体"/>
          <w:sz w:val="24"/>
        </w:rPr>
        <w:t>包括系统的安装、配置、恢复、故障排除、系统原理和技术性能、成功案例等涉及技术人员日常维护工作的、内容全面、详实的技术文档；</w:t>
      </w:r>
    </w:p>
    <w:p w14:paraId="6213B523">
      <w:pPr>
        <w:spacing w:line="480" w:lineRule="exact"/>
        <w:ind w:firstLine="496" w:firstLineChars="200"/>
        <w:contextualSpacing/>
        <w:rPr>
          <w:rFonts w:hint="eastAsia" w:ascii="宋体" w:hAnsi="宋体" w:cs="宋体"/>
          <w:sz w:val="24"/>
        </w:rPr>
      </w:pPr>
      <w:r>
        <w:rPr>
          <w:rFonts w:hint="eastAsia" w:ascii="宋体" w:hAnsi="宋体" w:cs="宋体"/>
          <w:sz w:val="24"/>
        </w:rPr>
        <w:t>培训用PPT等</w:t>
      </w:r>
    </w:p>
    <w:p w14:paraId="2918EA44">
      <w:pPr>
        <w:spacing w:line="480" w:lineRule="exact"/>
        <w:ind w:firstLine="496" w:firstLineChars="200"/>
        <w:contextualSpacing/>
        <w:rPr>
          <w:rFonts w:hint="eastAsia" w:ascii="宋体" w:hAnsi="宋体" w:cs="宋体"/>
          <w:sz w:val="24"/>
        </w:rPr>
      </w:pPr>
      <w:r>
        <w:rPr>
          <w:rFonts w:hint="eastAsia" w:ascii="宋体" w:hAnsi="宋体" w:cs="宋体"/>
          <w:sz w:val="24"/>
        </w:rPr>
        <w:t>原厂产品培训资料</w:t>
      </w:r>
    </w:p>
    <w:p w14:paraId="3BDFF16B">
      <w:pPr>
        <w:spacing w:line="480" w:lineRule="exact"/>
        <w:ind w:firstLine="496" w:firstLineChars="200"/>
        <w:contextualSpacing/>
        <w:rPr>
          <w:rFonts w:hint="eastAsia" w:ascii="宋体" w:hAnsi="宋体" w:cs="宋体"/>
          <w:sz w:val="24"/>
        </w:rPr>
      </w:pPr>
      <w:r>
        <w:rPr>
          <w:rFonts w:hint="eastAsia" w:ascii="宋体" w:hAnsi="宋体" w:cs="宋体"/>
          <w:sz w:val="24"/>
        </w:rPr>
        <w:t>考试试题</w:t>
      </w:r>
    </w:p>
    <w:p w14:paraId="193D70FD">
      <w:pPr>
        <w:pStyle w:val="4"/>
        <w:spacing w:before="0" w:after="0" w:line="480" w:lineRule="exact"/>
        <w:rPr>
          <w:rFonts w:hint="eastAsia" w:ascii="宋体" w:hAnsi="宋体" w:eastAsia="宋体" w:cs="宋体"/>
          <w:sz w:val="24"/>
          <w:szCs w:val="24"/>
        </w:rPr>
      </w:pPr>
      <w:r>
        <w:rPr>
          <w:rFonts w:hint="eastAsia" w:ascii="宋体" w:hAnsi="宋体" w:eastAsia="宋体" w:cs="宋体"/>
          <w:sz w:val="24"/>
          <w:szCs w:val="24"/>
        </w:rPr>
        <w:t>5、培训制度</w:t>
      </w:r>
    </w:p>
    <w:p w14:paraId="65244897">
      <w:pPr>
        <w:spacing w:line="480" w:lineRule="exact"/>
        <w:ind w:left="496" w:leftChars="200"/>
        <w:contextualSpacing/>
        <w:rPr>
          <w:rFonts w:hint="eastAsia" w:ascii="宋体" w:hAnsi="宋体" w:cs="宋体"/>
          <w:sz w:val="24"/>
        </w:rPr>
      </w:pPr>
      <w:r>
        <w:rPr>
          <w:rFonts w:hint="eastAsia" w:ascii="宋体" w:hAnsi="宋体" w:cs="宋体"/>
          <w:sz w:val="24"/>
        </w:rPr>
        <w:t>1）严格遵守培训课程表中的作息时间；</w:t>
      </w:r>
    </w:p>
    <w:p w14:paraId="3C01A8EA">
      <w:pPr>
        <w:spacing w:line="480" w:lineRule="exact"/>
        <w:ind w:left="496" w:leftChars="200"/>
        <w:contextualSpacing/>
        <w:rPr>
          <w:rFonts w:hint="eastAsia" w:ascii="宋体" w:hAnsi="宋体" w:cs="宋体"/>
          <w:sz w:val="24"/>
        </w:rPr>
      </w:pPr>
      <w:r>
        <w:rPr>
          <w:rFonts w:hint="eastAsia" w:ascii="宋体" w:hAnsi="宋体" w:cs="宋体"/>
          <w:sz w:val="24"/>
        </w:rPr>
        <w:t>2）有例外事情需要向培训负责人请假；</w:t>
      </w:r>
    </w:p>
    <w:p w14:paraId="26B9ED9B">
      <w:pPr>
        <w:spacing w:line="480" w:lineRule="exact"/>
        <w:ind w:left="496" w:leftChars="200"/>
        <w:contextualSpacing/>
        <w:rPr>
          <w:rFonts w:hint="eastAsia" w:ascii="宋体" w:hAnsi="宋体" w:cs="宋体"/>
          <w:sz w:val="24"/>
        </w:rPr>
      </w:pPr>
      <w:r>
        <w:rPr>
          <w:rFonts w:hint="eastAsia" w:ascii="宋体" w:hAnsi="宋体" w:cs="宋体"/>
          <w:sz w:val="24"/>
        </w:rPr>
        <w:t>3）上课时请把手机或其他通讯设备调整为震动模式，并到教室外面接听电话；</w:t>
      </w:r>
    </w:p>
    <w:p w14:paraId="45DD098F">
      <w:pPr>
        <w:spacing w:line="480" w:lineRule="exact"/>
        <w:ind w:left="496" w:leftChars="200"/>
        <w:contextualSpacing/>
        <w:rPr>
          <w:rFonts w:hint="eastAsia" w:ascii="宋体" w:hAnsi="宋体" w:cs="宋体"/>
          <w:sz w:val="24"/>
        </w:rPr>
      </w:pPr>
      <w:r>
        <w:rPr>
          <w:rFonts w:hint="eastAsia" w:ascii="宋体" w:hAnsi="宋体" w:cs="宋体"/>
          <w:sz w:val="24"/>
        </w:rPr>
        <w:t>4）老师讲课时，不能私下里讨论其他问题或窃窃私语，如有疑问先记录下来，课下提交给老师；</w:t>
      </w:r>
    </w:p>
    <w:p w14:paraId="4BC479E8">
      <w:pPr>
        <w:spacing w:line="480" w:lineRule="exact"/>
        <w:ind w:left="496" w:leftChars="200"/>
        <w:contextualSpacing/>
        <w:rPr>
          <w:rFonts w:hint="eastAsia" w:ascii="宋体" w:hAnsi="宋体" w:cs="宋体"/>
          <w:sz w:val="24"/>
        </w:rPr>
      </w:pPr>
      <w:r>
        <w:rPr>
          <w:rFonts w:hint="eastAsia" w:ascii="宋体" w:hAnsi="宋体" w:cs="宋体"/>
          <w:sz w:val="24"/>
        </w:rPr>
        <w:t>5）系统出现暂时故障时，应配合技术人员给予及时排除，而不能以此为由扰乱课堂秩序；</w:t>
      </w:r>
    </w:p>
    <w:p w14:paraId="4B8593A5">
      <w:pPr>
        <w:spacing w:line="480" w:lineRule="exact"/>
        <w:ind w:left="496" w:leftChars="200"/>
        <w:contextualSpacing/>
        <w:rPr>
          <w:rFonts w:hint="eastAsia" w:ascii="宋体" w:hAnsi="宋体" w:cs="宋体"/>
          <w:sz w:val="24"/>
        </w:rPr>
      </w:pPr>
      <w:r>
        <w:rPr>
          <w:rFonts w:hint="eastAsia" w:ascii="宋体" w:hAnsi="宋体" w:cs="宋体"/>
          <w:sz w:val="24"/>
        </w:rPr>
        <w:t>6）遵守培训考试规定，保证严肃性；</w:t>
      </w:r>
    </w:p>
    <w:p w14:paraId="5E7DFD07">
      <w:pPr>
        <w:pStyle w:val="4"/>
        <w:spacing w:before="0" w:after="0" w:line="480" w:lineRule="exact"/>
        <w:rPr>
          <w:rFonts w:hint="eastAsia" w:ascii="宋体" w:hAnsi="宋体" w:eastAsia="宋体" w:cs="宋体"/>
          <w:sz w:val="24"/>
          <w:szCs w:val="24"/>
        </w:rPr>
      </w:pPr>
      <w:r>
        <w:rPr>
          <w:rFonts w:hint="eastAsia" w:ascii="宋体" w:hAnsi="宋体" w:eastAsia="宋体" w:cs="宋体"/>
          <w:sz w:val="24"/>
          <w:szCs w:val="24"/>
        </w:rPr>
        <w:t>6、培训特色</w:t>
      </w:r>
    </w:p>
    <w:p w14:paraId="2260D873">
      <w:pPr>
        <w:spacing w:line="480" w:lineRule="exact"/>
        <w:rPr>
          <w:rFonts w:hint="eastAsia" w:ascii="宋体" w:hAnsi="宋体" w:cs="宋体"/>
          <w:b/>
          <w:sz w:val="24"/>
        </w:rPr>
      </w:pPr>
      <w:r>
        <w:rPr>
          <w:rFonts w:hint="eastAsia" w:ascii="宋体" w:hAnsi="宋体" w:cs="宋体"/>
          <w:b/>
          <w:sz w:val="24"/>
        </w:rPr>
        <w:t>（1）培训策略</w:t>
      </w:r>
    </w:p>
    <w:p w14:paraId="785C849F">
      <w:pPr>
        <w:spacing w:line="480" w:lineRule="exact"/>
        <w:ind w:firstLine="434" w:firstLineChars="175"/>
        <w:rPr>
          <w:rFonts w:hint="eastAsia" w:ascii="宋体" w:hAnsi="宋体" w:cs="宋体"/>
          <w:sz w:val="24"/>
          <w:lang w:val="zh-CN"/>
        </w:rPr>
      </w:pPr>
      <w:r>
        <w:rPr>
          <w:rFonts w:hint="eastAsia" w:ascii="宋体" w:hAnsi="宋体" w:cs="宋体"/>
          <w:sz w:val="24"/>
          <w:lang w:val="zh-CN"/>
        </w:rPr>
        <w:t>建议在项目实施过程中种子管理站能制定对口人，保证对口人项目全过程参与，以便保障有效的知识传递和技术服务。</w:t>
      </w:r>
    </w:p>
    <w:p w14:paraId="1058C798">
      <w:pPr>
        <w:spacing w:line="480" w:lineRule="exact"/>
        <w:rPr>
          <w:rFonts w:hint="eastAsia" w:ascii="宋体" w:hAnsi="宋体" w:cs="宋体"/>
          <w:b/>
          <w:sz w:val="24"/>
        </w:rPr>
      </w:pPr>
      <w:r>
        <w:rPr>
          <w:rFonts w:hint="eastAsia" w:ascii="宋体" w:hAnsi="宋体" w:cs="宋体"/>
          <w:b/>
          <w:sz w:val="24"/>
        </w:rPr>
        <w:t>（2）采用授课、练习、考核、领导贴身培训等方式</w:t>
      </w:r>
    </w:p>
    <w:p w14:paraId="38EDC133">
      <w:pPr>
        <w:spacing w:line="480" w:lineRule="exact"/>
        <w:ind w:firstLine="420"/>
        <w:rPr>
          <w:rFonts w:hint="eastAsia" w:ascii="宋体" w:hAnsi="宋体" w:cs="宋体"/>
          <w:sz w:val="24"/>
          <w:lang w:val="zh-CN"/>
        </w:rPr>
      </w:pPr>
      <w:r>
        <w:rPr>
          <w:rFonts w:hint="eastAsia" w:ascii="宋体" w:hAnsi="宋体" w:cs="宋体"/>
          <w:sz w:val="24"/>
          <w:lang w:val="zh-CN"/>
        </w:rPr>
        <w:t>每一期培训班的内容将设置多个环节，每一个环节都分为授课、练习和考核三部分，授课部分将按照培训讲义对当期培训班所设置的内容进行详细的介绍，并配有培训教材以做参考。练习部分要求学员按照事先准备好的案例进行实际操作，以加强对所学知识的记忆和理解。并且在练习中还要实现教师和学员的互动，不但对学员的操作进行辅导，还将对学员们提出的疑问予以回答。</w:t>
      </w:r>
    </w:p>
    <w:p w14:paraId="14199719">
      <w:pPr>
        <w:spacing w:line="480" w:lineRule="exact"/>
        <w:ind w:firstLine="420"/>
        <w:rPr>
          <w:rFonts w:hint="eastAsia" w:ascii="宋体" w:hAnsi="宋体" w:cs="宋体"/>
          <w:sz w:val="24"/>
          <w:lang w:val="zh-CN"/>
        </w:rPr>
      </w:pPr>
      <w:r>
        <w:rPr>
          <w:rFonts w:hint="eastAsia" w:ascii="宋体" w:hAnsi="宋体" w:cs="宋体"/>
          <w:sz w:val="24"/>
          <w:lang w:val="zh-CN"/>
        </w:rPr>
        <w:t>之所以增加考核部分有以下两个目标需要完成。所以此部分需要种子管理站支持和配合。</w:t>
      </w:r>
    </w:p>
    <w:p w14:paraId="34C65E31">
      <w:pPr>
        <w:spacing w:line="480" w:lineRule="exact"/>
        <w:ind w:firstLine="420"/>
        <w:rPr>
          <w:rFonts w:hint="eastAsia" w:ascii="宋体" w:hAnsi="宋体" w:cs="宋体"/>
          <w:sz w:val="24"/>
          <w:lang w:val="zh-CN"/>
        </w:rPr>
      </w:pPr>
      <w:r>
        <w:rPr>
          <w:rFonts w:hint="eastAsia" w:ascii="宋体" w:hAnsi="宋体" w:cs="宋体"/>
          <w:sz w:val="24"/>
          <w:lang w:val="zh-CN"/>
        </w:rPr>
        <w:t>通过培训、练习后的考核，掌握参加培训人员对系统的掌握情况，可以有针对性的安排再培训。以达到参加培训人员全掌握的目标（即便在项目终验、服务期过后，种子管理站人员仍然能够对项目进行高效运维，保证知识传递的有效性）。</w:t>
      </w:r>
    </w:p>
    <w:p w14:paraId="39185BE9">
      <w:pPr>
        <w:spacing w:line="480" w:lineRule="exact"/>
        <w:ind w:firstLine="420"/>
        <w:rPr>
          <w:rFonts w:hint="eastAsia" w:ascii="宋体" w:hAnsi="宋体" w:cs="宋体"/>
          <w:sz w:val="24"/>
          <w:lang w:val="zh-CN"/>
        </w:rPr>
      </w:pPr>
      <w:r>
        <w:rPr>
          <w:rFonts w:hint="eastAsia" w:ascii="宋体" w:hAnsi="宋体" w:cs="宋体"/>
          <w:sz w:val="24"/>
          <w:lang w:val="zh-CN"/>
        </w:rPr>
        <w:t>通过培训成绩，像种子管理站领导汇报我们项目进行的成果。以达到种子管理站领导及时掌握项目实际实施情况的目标。</w:t>
      </w:r>
    </w:p>
    <w:p w14:paraId="768AD8E0">
      <w:pPr>
        <w:spacing w:line="480" w:lineRule="exact"/>
        <w:rPr>
          <w:rFonts w:hint="eastAsia" w:ascii="宋体" w:hAnsi="宋体" w:cs="宋体"/>
          <w:b/>
          <w:sz w:val="24"/>
        </w:rPr>
      </w:pPr>
      <w:r>
        <w:rPr>
          <w:rFonts w:hint="eastAsia" w:ascii="宋体" w:hAnsi="宋体" w:cs="宋体"/>
          <w:b/>
          <w:sz w:val="24"/>
        </w:rPr>
        <w:t>（3）提供多种形式的培训教材</w:t>
      </w:r>
    </w:p>
    <w:p w14:paraId="47AF0468">
      <w:pPr>
        <w:spacing w:line="480" w:lineRule="exact"/>
        <w:ind w:firstLine="420"/>
        <w:rPr>
          <w:rFonts w:hint="eastAsia" w:ascii="宋体" w:hAnsi="宋体" w:cs="宋体"/>
          <w:sz w:val="24"/>
          <w:lang w:val="zh-CN"/>
        </w:rPr>
      </w:pPr>
      <w:r>
        <w:rPr>
          <w:rFonts w:hint="eastAsia" w:ascii="宋体" w:hAnsi="宋体" w:cs="宋体"/>
          <w:sz w:val="24"/>
          <w:lang w:val="zh-CN"/>
        </w:rPr>
        <w:t>提供多种形式、全面和标准的文档给用户，其形式包括：电子文档、印刷品、光盘，以成为其后续稳定应用系统的保障，其中电子文档将放在系统中供随时下载。</w:t>
      </w:r>
    </w:p>
    <w:p w14:paraId="2048ED83">
      <w:pPr>
        <w:spacing w:line="480" w:lineRule="exact"/>
        <w:rPr>
          <w:rFonts w:hint="eastAsia" w:ascii="宋体" w:hAnsi="宋体" w:cs="宋体"/>
          <w:b/>
          <w:sz w:val="24"/>
        </w:rPr>
      </w:pPr>
      <w:r>
        <w:rPr>
          <w:rFonts w:hint="eastAsia" w:ascii="宋体" w:hAnsi="宋体" w:cs="宋体"/>
          <w:b/>
          <w:sz w:val="24"/>
        </w:rPr>
        <w:t>（4）利用考核验收加强学习效果</w:t>
      </w:r>
    </w:p>
    <w:p w14:paraId="28CC8B5D">
      <w:pPr>
        <w:spacing w:line="480" w:lineRule="exact"/>
        <w:ind w:firstLine="420"/>
        <w:rPr>
          <w:rFonts w:hint="eastAsia" w:ascii="宋体" w:hAnsi="宋体" w:cs="宋体"/>
          <w:sz w:val="24"/>
          <w:lang w:val="zh-CN"/>
        </w:rPr>
      </w:pPr>
      <w:r>
        <w:rPr>
          <w:rFonts w:hint="eastAsia" w:ascii="宋体" w:hAnsi="宋体" w:cs="宋体"/>
          <w:sz w:val="24"/>
          <w:lang w:val="zh-CN"/>
        </w:rPr>
        <w:t>为保证最终的学习效果，将为每一期培训班布置考试题目，以验收学员的学习成果。保证培训质量。</w:t>
      </w:r>
    </w:p>
    <w:p w14:paraId="4A0B4148">
      <w:pPr>
        <w:spacing w:line="480" w:lineRule="exact"/>
        <w:rPr>
          <w:rFonts w:hint="eastAsia" w:ascii="宋体" w:hAnsi="宋体" w:cs="宋体"/>
          <w:b/>
          <w:sz w:val="24"/>
        </w:rPr>
      </w:pPr>
      <w:r>
        <w:rPr>
          <w:rFonts w:hint="eastAsia" w:ascii="宋体" w:hAnsi="宋体" w:cs="宋体"/>
          <w:b/>
          <w:sz w:val="24"/>
        </w:rPr>
        <w:t>（5）监控培训效果</w:t>
      </w:r>
    </w:p>
    <w:p w14:paraId="2CD44079">
      <w:pPr>
        <w:spacing w:line="480" w:lineRule="exact"/>
        <w:ind w:firstLine="420"/>
        <w:rPr>
          <w:rFonts w:hint="eastAsia" w:ascii="宋体" w:hAnsi="宋体" w:cs="宋体"/>
          <w:sz w:val="24"/>
          <w:lang w:val="zh-CN"/>
        </w:rPr>
      </w:pPr>
      <w:r>
        <w:rPr>
          <w:rFonts w:hint="eastAsia" w:ascii="宋体" w:hAnsi="宋体" w:cs="宋体"/>
          <w:sz w:val="24"/>
          <w:lang w:val="zh-CN"/>
        </w:rPr>
        <w:t>在以上的培训计划实施的过程中，我们认为最复杂，风险最大的培训工作就是系统上线前阶段最终用户的培训。因为各位最终用户能否具备正常使用系统的操作技能直接影响系统能否上线。同时，由于参与培训的人员很多，为保证好此项培训工作质量，实现培训目标，我们制定了该项培训工作的过程实现方案。</w:t>
      </w:r>
    </w:p>
    <w:p w14:paraId="65BA2936">
      <w:pPr>
        <w:spacing w:line="480" w:lineRule="exact"/>
        <w:ind w:firstLine="420"/>
        <w:rPr>
          <w:rFonts w:hint="eastAsia" w:ascii="宋体" w:hAnsi="宋体" w:cs="宋体"/>
          <w:sz w:val="24"/>
          <w:lang w:val="zh-CN"/>
        </w:rPr>
      </w:pPr>
      <w:r>
        <w:rPr>
          <w:rFonts w:hint="eastAsia" w:ascii="宋体" w:hAnsi="宋体" w:cs="宋体"/>
          <w:sz w:val="24"/>
          <w:lang w:val="zh-CN"/>
        </w:rPr>
        <w:t>我们把完成该项培训工作的过程分为三步：</w:t>
      </w:r>
    </w:p>
    <w:p w14:paraId="31CBF2DB">
      <w:pPr>
        <w:numPr>
          <w:ilvl w:val="0"/>
          <w:numId w:val="18"/>
        </w:numPr>
        <w:spacing w:line="480" w:lineRule="exact"/>
        <w:rPr>
          <w:rFonts w:hint="eastAsia" w:ascii="宋体" w:hAnsi="宋体" w:cs="宋体"/>
          <w:sz w:val="24"/>
          <w:lang w:val="zh-CN"/>
        </w:rPr>
      </w:pPr>
      <w:r>
        <w:rPr>
          <w:rFonts w:hint="eastAsia" w:ascii="宋体" w:hAnsi="宋体" w:cs="宋体"/>
          <w:sz w:val="24"/>
          <w:lang w:val="zh-CN"/>
        </w:rPr>
        <w:t>培训准备</w:t>
      </w:r>
    </w:p>
    <w:p w14:paraId="78308728">
      <w:pPr>
        <w:numPr>
          <w:ilvl w:val="0"/>
          <w:numId w:val="18"/>
        </w:numPr>
        <w:spacing w:line="480" w:lineRule="exact"/>
        <w:rPr>
          <w:rFonts w:hint="eastAsia" w:ascii="宋体" w:hAnsi="宋体" w:cs="宋体"/>
          <w:sz w:val="24"/>
          <w:lang w:val="zh-CN"/>
        </w:rPr>
      </w:pPr>
      <w:r>
        <w:rPr>
          <w:rFonts w:hint="eastAsia" w:ascii="宋体" w:hAnsi="宋体" w:cs="宋体"/>
          <w:sz w:val="24"/>
          <w:lang w:val="zh-CN"/>
        </w:rPr>
        <w:t>培训实施</w:t>
      </w:r>
    </w:p>
    <w:p w14:paraId="78BE144C">
      <w:pPr>
        <w:numPr>
          <w:ilvl w:val="0"/>
          <w:numId w:val="18"/>
        </w:numPr>
        <w:spacing w:line="480" w:lineRule="exact"/>
        <w:rPr>
          <w:rFonts w:hint="eastAsia" w:ascii="宋体" w:hAnsi="宋体" w:cs="宋体"/>
          <w:sz w:val="24"/>
          <w:lang w:val="zh-CN"/>
        </w:rPr>
      </w:pPr>
      <w:r>
        <w:rPr>
          <w:rFonts w:hint="eastAsia" w:ascii="宋体" w:hAnsi="宋体" w:cs="宋体"/>
          <w:sz w:val="24"/>
          <w:lang w:val="zh-CN"/>
        </w:rPr>
        <w:t>培训评估</w:t>
      </w:r>
    </w:p>
    <w:p w14:paraId="2F1D90BC">
      <w:pPr>
        <w:pStyle w:val="45"/>
        <w:spacing w:line="480" w:lineRule="exact"/>
        <w:rPr>
          <w:rFonts w:hint="eastAsia" w:ascii="宋体" w:hAnsi="宋体" w:cs="宋体"/>
          <w:b/>
          <w:sz w:val="24"/>
          <w:szCs w:val="24"/>
        </w:rPr>
      </w:pPr>
      <w:r>
        <w:rPr>
          <w:rFonts w:hint="eastAsia" w:ascii="宋体" w:hAnsi="宋体" w:cs="宋体"/>
          <w:sz w:val="24"/>
          <w:szCs w:val="24"/>
          <w:lang w:val="zh-CN"/>
        </w:rPr>
        <w:br w:type="page"/>
      </w:r>
      <w:r>
        <w:rPr>
          <w:rFonts w:hint="eastAsia" w:ascii="宋体" w:hAnsi="宋体" w:cs="宋体"/>
          <w:b/>
          <w:sz w:val="24"/>
          <w:szCs w:val="24"/>
        </w:rPr>
        <w:t>A.培训准备</w:t>
      </w:r>
    </w:p>
    <w:p w14:paraId="1C465025">
      <w:pPr>
        <w:spacing w:line="480" w:lineRule="exact"/>
        <w:ind w:firstLine="420"/>
        <w:rPr>
          <w:rFonts w:hint="eastAsia" w:ascii="宋体" w:hAnsi="宋体" w:cs="宋体"/>
          <w:sz w:val="24"/>
          <w:lang w:val="zh-CN"/>
        </w:rPr>
      </w:pPr>
      <w:r>
        <w:rPr>
          <w:rFonts w:hint="eastAsia" w:ascii="宋体" w:hAnsi="宋体" w:cs="宋体"/>
          <w:sz w:val="24"/>
          <w:lang w:val="zh-CN"/>
        </w:rPr>
        <w:t>培训准备阶段的工作成果就是要生成正式的培训通知并发放到相关参与培训的人员、确定培训设备与资料的配置清单、安装完成培训系统、确定培训制度、培训人员报到等。具体内容如下：</w:t>
      </w:r>
    </w:p>
    <w:p w14:paraId="507D58BB">
      <w:pPr>
        <w:spacing w:line="480" w:lineRule="exact"/>
        <w:ind w:firstLine="420"/>
        <w:rPr>
          <w:rFonts w:hint="eastAsia" w:ascii="宋体" w:hAnsi="宋体" w:cs="宋体"/>
          <w:sz w:val="24"/>
          <w:lang w:val="zh-CN"/>
        </w:rPr>
      </w:pPr>
      <w:r>
        <w:rPr>
          <w:rFonts w:hint="eastAsia" w:ascii="宋体" w:hAnsi="宋体" w:cs="宋体"/>
          <w:sz w:val="24"/>
          <w:lang w:val="zh-CN"/>
        </w:rPr>
        <w:t>表一：培训通知</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9"/>
        <w:gridCol w:w="1075"/>
        <w:gridCol w:w="2152"/>
        <w:gridCol w:w="1076"/>
        <w:gridCol w:w="1821"/>
        <w:gridCol w:w="1409"/>
      </w:tblGrid>
      <w:tr w14:paraId="71D83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6"/>
            <w:tcBorders>
              <w:top w:val="single" w:color="auto" w:sz="4" w:space="0"/>
              <w:left w:val="single" w:color="auto" w:sz="4" w:space="0"/>
              <w:bottom w:val="single" w:color="auto" w:sz="4" w:space="0"/>
              <w:right w:val="single" w:color="auto" w:sz="4" w:space="0"/>
            </w:tcBorders>
            <w:shd w:val="pct10" w:color="auto" w:fill="auto"/>
          </w:tcPr>
          <w:p w14:paraId="73C1EE19">
            <w:pPr>
              <w:widowControl/>
              <w:spacing w:line="360" w:lineRule="auto"/>
              <w:ind w:firstLine="420"/>
              <w:jc w:val="center"/>
              <w:rPr>
                <w:rFonts w:hint="eastAsia" w:ascii="宋体" w:hAnsi="宋体" w:cs="宋体"/>
                <w:sz w:val="24"/>
                <w:lang w:val="zh-CN"/>
              </w:rPr>
            </w:pPr>
            <w:r>
              <w:rPr>
                <w:rFonts w:hint="eastAsia" w:ascii="宋体" w:hAnsi="宋体" w:cs="宋体"/>
                <w:sz w:val="24"/>
                <w:lang w:val="zh-CN"/>
              </w:rPr>
              <w:t>培训通知</w:t>
            </w:r>
          </w:p>
        </w:tc>
      </w:tr>
      <w:tr w14:paraId="24640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89" w:type="dxa"/>
            <w:tcBorders>
              <w:top w:val="single" w:color="auto" w:sz="4" w:space="0"/>
              <w:left w:val="single" w:color="auto" w:sz="4" w:space="0"/>
              <w:bottom w:val="single" w:color="auto" w:sz="4" w:space="0"/>
              <w:right w:val="single" w:color="auto" w:sz="4" w:space="0"/>
            </w:tcBorders>
            <w:shd w:val="pct10" w:color="auto" w:fill="auto"/>
          </w:tcPr>
          <w:p w14:paraId="0E0568C1">
            <w:pPr>
              <w:widowControl/>
              <w:spacing w:line="360" w:lineRule="auto"/>
              <w:jc w:val="center"/>
              <w:rPr>
                <w:rFonts w:hint="eastAsia" w:ascii="宋体" w:hAnsi="宋体" w:cs="宋体"/>
                <w:sz w:val="24"/>
                <w:lang w:val="zh-CN"/>
              </w:rPr>
            </w:pPr>
            <w:r>
              <w:rPr>
                <w:rFonts w:hint="eastAsia" w:ascii="宋体" w:hAnsi="宋体" w:cs="宋体"/>
                <w:sz w:val="24"/>
                <w:lang w:val="zh-CN"/>
              </w:rPr>
              <w:t>名称</w:t>
            </w:r>
          </w:p>
        </w:tc>
        <w:tc>
          <w:tcPr>
            <w:tcW w:w="3227" w:type="dxa"/>
            <w:gridSpan w:val="2"/>
            <w:tcBorders>
              <w:top w:val="single" w:color="auto" w:sz="4" w:space="0"/>
              <w:left w:val="single" w:color="auto" w:sz="4" w:space="0"/>
              <w:bottom w:val="single" w:color="auto" w:sz="4" w:space="0"/>
              <w:right w:val="single" w:color="auto" w:sz="4" w:space="0"/>
            </w:tcBorders>
            <w:shd w:val="clear" w:color="auto" w:fill="auto"/>
          </w:tcPr>
          <w:p w14:paraId="00907EF9">
            <w:pPr>
              <w:widowControl/>
              <w:spacing w:line="360" w:lineRule="auto"/>
              <w:ind w:firstLine="562" w:firstLineChars="227"/>
              <w:jc w:val="center"/>
              <w:rPr>
                <w:rFonts w:hint="eastAsia" w:ascii="宋体" w:hAnsi="宋体" w:cs="宋体"/>
                <w:sz w:val="24"/>
                <w:lang w:val="zh-CN"/>
              </w:rPr>
            </w:pPr>
          </w:p>
        </w:tc>
        <w:tc>
          <w:tcPr>
            <w:tcW w:w="1076" w:type="dxa"/>
            <w:tcBorders>
              <w:top w:val="single" w:color="auto" w:sz="4" w:space="0"/>
              <w:left w:val="single" w:color="auto" w:sz="4" w:space="0"/>
              <w:bottom w:val="single" w:color="auto" w:sz="4" w:space="0"/>
              <w:right w:val="single" w:color="auto" w:sz="4" w:space="0"/>
            </w:tcBorders>
            <w:shd w:val="pct10" w:color="auto" w:fill="auto"/>
          </w:tcPr>
          <w:p w14:paraId="4263B52E">
            <w:pPr>
              <w:widowControl/>
              <w:spacing w:line="360" w:lineRule="auto"/>
              <w:jc w:val="center"/>
              <w:rPr>
                <w:rFonts w:hint="eastAsia" w:ascii="宋体" w:hAnsi="宋体" w:cs="宋体"/>
                <w:sz w:val="24"/>
                <w:lang w:val="zh-CN"/>
              </w:rPr>
            </w:pPr>
            <w:r>
              <w:rPr>
                <w:rFonts w:hint="eastAsia" w:ascii="宋体" w:hAnsi="宋体" w:cs="宋体"/>
                <w:sz w:val="24"/>
                <w:lang w:val="zh-CN"/>
              </w:rPr>
              <w:t>目的</w:t>
            </w:r>
          </w:p>
        </w:tc>
        <w:tc>
          <w:tcPr>
            <w:tcW w:w="3230" w:type="dxa"/>
            <w:gridSpan w:val="2"/>
            <w:tcBorders>
              <w:top w:val="single" w:color="auto" w:sz="4" w:space="0"/>
              <w:left w:val="single" w:color="auto" w:sz="4" w:space="0"/>
              <w:bottom w:val="single" w:color="auto" w:sz="4" w:space="0"/>
              <w:right w:val="single" w:color="auto" w:sz="4" w:space="0"/>
            </w:tcBorders>
          </w:tcPr>
          <w:p w14:paraId="062A6B53">
            <w:pPr>
              <w:widowControl/>
              <w:spacing w:line="360" w:lineRule="auto"/>
              <w:ind w:firstLine="562" w:firstLineChars="227"/>
              <w:jc w:val="left"/>
              <w:rPr>
                <w:rFonts w:hint="eastAsia" w:ascii="宋体" w:hAnsi="宋体" w:cs="宋体"/>
                <w:sz w:val="24"/>
                <w:lang w:val="zh-CN"/>
              </w:rPr>
            </w:pPr>
          </w:p>
        </w:tc>
      </w:tr>
      <w:tr w14:paraId="63185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9" w:type="dxa"/>
            <w:tcBorders>
              <w:top w:val="single" w:color="auto" w:sz="4" w:space="0"/>
              <w:left w:val="single" w:color="auto" w:sz="4" w:space="0"/>
              <w:bottom w:val="single" w:color="auto" w:sz="4" w:space="0"/>
              <w:right w:val="single" w:color="auto" w:sz="4" w:space="0"/>
            </w:tcBorders>
            <w:shd w:val="pct10" w:color="auto" w:fill="auto"/>
          </w:tcPr>
          <w:p w14:paraId="2C04E951">
            <w:pPr>
              <w:widowControl/>
              <w:spacing w:line="360" w:lineRule="auto"/>
              <w:jc w:val="center"/>
              <w:rPr>
                <w:rFonts w:hint="eastAsia" w:ascii="宋体" w:hAnsi="宋体" w:cs="宋体"/>
                <w:sz w:val="24"/>
                <w:lang w:val="zh-CN"/>
              </w:rPr>
            </w:pPr>
            <w:r>
              <w:rPr>
                <w:rFonts w:hint="eastAsia" w:ascii="宋体" w:hAnsi="宋体" w:cs="宋体"/>
                <w:sz w:val="24"/>
                <w:lang w:val="zh-CN"/>
              </w:rPr>
              <w:t>时间</w:t>
            </w:r>
          </w:p>
        </w:tc>
        <w:tc>
          <w:tcPr>
            <w:tcW w:w="3227" w:type="dxa"/>
            <w:gridSpan w:val="2"/>
            <w:tcBorders>
              <w:top w:val="single" w:color="auto" w:sz="4" w:space="0"/>
              <w:left w:val="single" w:color="auto" w:sz="4" w:space="0"/>
              <w:bottom w:val="single" w:color="auto" w:sz="4" w:space="0"/>
              <w:right w:val="single" w:color="auto" w:sz="4" w:space="0"/>
            </w:tcBorders>
            <w:shd w:val="clear" w:color="auto" w:fill="auto"/>
          </w:tcPr>
          <w:p w14:paraId="537793E1">
            <w:pPr>
              <w:widowControl/>
              <w:spacing w:line="360" w:lineRule="auto"/>
              <w:ind w:firstLine="562" w:firstLineChars="227"/>
              <w:jc w:val="center"/>
              <w:rPr>
                <w:rFonts w:hint="eastAsia" w:ascii="宋体" w:hAnsi="宋体" w:cs="宋体"/>
                <w:sz w:val="24"/>
                <w:lang w:val="zh-CN"/>
              </w:rPr>
            </w:pPr>
          </w:p>
        </w:tc>
        <w:tc>
          <w:tcPr>
            <w:tcW w:w="1076" w:type="dxa"/>
            <w:tcBorders>
              <w:top w:val="single" w:color="auto" w:sz="4" w:space="0"/>
              <w:left w:val="single" w:color="auto" w:sz="4" w:space="0"/>
              <w:bottom w:val="single" w:color="auto" w:sz="4" w:space="0"/>
              <w:right w:val="single" w:color="auto" w:sz="4" w:space="0"/>
            </w:tcBorders>
            <w:shd w:val="pct10" w:color="auto" w:fill="auto"/>
          </w:tcPr>
          <w:p w14:paraId="2D70F535">
            <w:pPr>
              <w:widowControl/>
              <w:spacing w:line="360" w:lineRule="auto"/>
              <w:jc w:val="center"/>
              <w:rPr>
                <w:rFonts w:hint="eastAsia" w:ascii="宋体" w:hAnsi="宋体" w:cs="宋体"/>
                <w:sz w:val="24"/>
                <w:lang w:val="zh-CN"/>
              </w:rPr>
            </w:pPr>
            <w:r>
              <w:rPr>
                <w:rFonts w:hint="eastAsia" w:ascii="宋体" w:hAnsi="宋体" w:cs="宋体"/>
                <w:sz w:val="24"/>
                <w:lang w:val="zh-CN"/>
              </w:rPr>
              <w:t>地点</w:t>
            </w:r>
          </w:p>
        </w:tc>
        <w:tc>
          <w:tcPr>
            <w:tcW w:w="3230" w:type="dxa"/>
            <w:gridSpan w:val="2"/>
            <w:tcBorders>
              <w:top w:val="single" w:color="auto" w:sz="4" w:space="0"/>
              <w:left w:val="single" w:color="auto" w:sz="4" w:space="0"/>
              <w:bottom w:val="single" w:color="auto" w:sz="4" w:space="0"/>
              <w:right w:val="single" w:color="auto" w:sz="4" w:space="0"/>
            </w:tcBorders>
          </w:tcPr>
          <w:p w14:paraId="617BBD41">
            <w:pPr>
              <w:widowControl/>
              <w:spacing w:line="360" w:lineRule="auto"/>
              <w:ind w:firstLine="562" w:firstLineChars="227"/>
              <w:jc w:val="left"/>
              <w:rPr>
                <w:rFonts w:hint="eastAsia" w:ascii="宋体" w:hAnsi="宋体" w:cs="宋体"/>
                <w:sz w:val="24"/>
                <w:lang w:val="zh-CN"/>
              </w:rPr>
            </w:pPr>
          </w:p>
        </w:tc>
      </w:tr>
      <w:tr w14:paraId="341D0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4" w:type="dxa"/>
            <w:gridSpan w:val="2"/>
            <w:tcBorders>
              <w:top w:val="single" w:color="auto" w:sz="4" w:space="0"/>
              <w:left w:val="single" w:color="auto" w:sz="4" w:space="0"/>
              <w:bottom w:val="single" w:color="auto" w:sz="4" w:space="0"/>
              <w:right w:val="single" w:color="auto" w:sz="4" w:space="0"/>
            </w:tcBorders>
            <w:shd w:val="pct10" w:color="auto" w:fill="auto"/>
          </w:tcPr>
          <w:p w14:paraId="39279D5E">
            <w:pPr>
              <w:widowControl/>
              <w:spacing w:line="360" w:lineRule="auto"/>
              <w:jc w:val="center"/>
              <w:rPr>
                <w:rFonts w:hint="eastAsia" w:ascii="宋体" w:hAnsi="宋体" w:cs="宋体"/>
                <w:sz w:val="24"/>
                <w:lang w:val="zh-CN"/>
              </w:rPr>
            </w:pPr>
            <w:r>
              <w:rPr>
                <w:rFonts w:hint="eastAsia" w:ascii="宋体" w:hAnsi="宋体" w:cs="宋体"/>
                <w:sz w:val="24"/>
                <w:lang w:val="zh-CN"/>
              </w:rPr>
              <w:t>培训对象</w:t>
            </w:r>
          </w:p>
        </w:tc>
        <w:tc>
          <w:tcPr>
            <w:tcW w:w="6458" w:type="dxa"/>
            <w:gridSpan w:val="4"/>
            <w:tcBorders>
              <w:top w:val="single" w:color="auto" w:sz="4" w:space="0"/>
              <w:left w:val="single" w:color="auto" w:sz="4" w:space="0"/>
              <w:bottom w:val="single" w:color="auto" w:sz="4" w:space="0"/>
              <w:right w:val="single" w:color="auto" w:sz="4" w:space="0"/>
            </w:tcBorders>
          </w:tcPr>
          <w:p w14:paraId="3FCCEFEC">
            <w:pPr>
              <w:widowControl/>
              <w:spacing w:line="360" w:lineRule="auto"/>
              <w:ind w:firstLine="562" w:firstLineChars="227"/>
              <w:jc w:val="left"/>
              <w:rPr>
                <w:rFonts w:hint="eastAsia" w:ascii="宋体" w:hAnsi="宋体" w:cs="宋体"/>
                <w:sz w:val="24"/>
                <w:lang w:val="zh-CN"/>
              </w:rPr>
            </w:pPr>
          </w:p>
        </w:tc>
      </w:tr>
      <w:tr w14:paraId="3BC71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4" w:type="dxa"/>
            <w:gridSpan w:val="2"/>
            <w:tcBorders>
              <w:top w:val="single" w:color="auto" w:sz="4" w:space="0"/>
              <w:left w:val="single" w:color="auto" w:sz="4" w:space="0"/>
              <w:bottom w:val="single" w:color="auto" w:sz="4" w:space="0"/>
              <w:right w:val="single" w:color="auto" w:sz="4" w:space="0"/>
            </w:tcBorders>
            <w:shd w:val="pct10" w:color="auto" w:fill="auto"/>
          </w:tcPr>
          <w:p w14:paraId="5811C7BF">
            <w:pPr>
              <w:widowControl/>
              <w:spacing w:line="360" w:lineRule="auto"/>
              <w:jc w:val="center"/>
              <w:rPr>
                <w:rFonts w:hint="eastAsia" w:ascii="宋体" w:hAnsi="宋体" w:cs="宋体"/>
                <w:sz w:val="24"/>
                <w:lang w:val="zh-CN"/>
              </w:rPr>
            </w:pPr>
            <w:r>
              <w:rPr>
                <w:rFonts w:hint="eastAsia" w:ascii="宋体" w:hAnsi="宋体" w:cs="宋体"/>
                <w:sz w:val="24"/>
                <w:lang w:val="zh-CN"/>
              </w:rPr>
              <w:t>事项</w:t>
            </w:r>
          </w:p>
        </w:tc>
        <w:tc>
          <w:tcPr>
            <w:tcW w:w="2152" w:type="dxa"/>
            <w:tcBorders>
              <w:top w:val="single" w:color="auto" w:sz="4" w:space="0"/>
              <w:left w:val="single" w:color="auto" w:sz="4" w:space="0"/>
              <w:bottom w:val="single" w:color="auto" w:sz="4" w:space="0"/>
              <w:right w:val="single" w:color="auto" w:sz="4" w:space="0"/>
            </w:tcBorders>
            <w:shd w:val="pct10" w:color="auto" w:fill="auto"/>
          </w:tcPr>
          <w:p w14:paraId="3D28D802">
            <w:pPr>
              <w:widowControl/>
              <w:spacing w:line="360" w:lineRule="auto"/>
              <w:jc w:val="center"/>
              <w:rPr>
                <w:rFonts w:hint="eastAsia" w:ascii="宋体" w:hAnsi="宋体" w:cs="宋体"/>
                <w:sz w:val="24"/>
                <w:lang w:val="zh-CN"/>
              </w:rPr>
            </w:pPr>
            <w:r>
              <w:rPr>
                <w:rFonts w:hint="eastAsia" w:ascii="宋体" w:hAnsi="宋体" w:cs="宋体"/>
                <w:sz w:val="24"/>
                <w:lang w:val="zh-CN"/>
              </w:rPr>
              <w:t>时间</w:t>
            </w:r>
          </w:p>
        </w:tc>
        <w:tc>
          <w:tcPr>
            <w:tcW w:w="2897" w:type="dxa"/>
            <w:gridSpan w:val="2"/>
            <w:tcBorders>
              <w:top w:val="single" w:color="auto" w:sz="4" w:space="0"/>
              <w:left w:val="single" w:color="auto" w:sz="4" w:space="0"/>
              <w:bottom w:val="single" w:color="auto" w:sz="4" w:space="0"/>
              <w:right w:val="single" w:color="auto" w:sz="4" w:space="0"/>
            </w:tcBorders>
            <w:shd w:val="pct10" w:color="auto" w:fill="auto"/>
          </w:tcPr>
          <w:p w14:paraId="62F39499">
            <w:pPr>
              <w:widowControl/>
              <w:spacing w:line="360" w:lineRule="auto"/>
              <w:jc w:val="center"/>
              <w:rPr>
                <w:rFonts w:hint="eastAsia" w:ascii="宋体" w:hAnsi="宋体" w:cs="宋体"/>
                <w:sz w:val="24"/>
                <w:lang w:val="zh-CN"/>
              </w:rPr>
            </w:pPr>
            <w:r>
              <w:rPr>
                <w:rFonts w:hint="eastAsia" w:ascii="宋体" w:hAnsi="宋体" w:cs="宋体"/>
                <w:sz w:val="24"/>
                <w:lang w:val="zh-CN"/>
              </w:rPr>
              <w:t>人员要求</w:t>
            </w:r>
          </w:p>
        </w:tc>
        <w:tc>
          <w:tcPr>
            <w:tcW w:w="1409" w:type="dxa"/>
            <w:tcBorders>
              <w:top w:val="single" w:color="auto" w:sz="4" w:space="0"/>
              <w:left w:val="single" w:color="auto" w:sz="4" w:space="0"/>
              <w:bottom w:val="single" w:color="auto" w:sz="4" w:space="0"/>
              <w:right w:val="single" w:color="auto" w:sz="4" w:space="0"/>
            </w:tcBorders>
            <w:shd w:val="pct10" w:color="auto" w:fill="auto"/>
          </w:tcPr>
          <w:p w14:paraId="3598A38D">
            <w:pPr>
              <w:widowControl/>
              <w:spacing w:line="360" w:lineRule="auto"/>
              <w:jc w:val="center"/>
              <w:rPr>
                <w:rFonts w:hint="eastAsia" w:ascii="宋体" w:hAnsi="宋体" w:cs="宋体"/>
                <w:sz w:val="24"/>
                <w:lang w:val="zh-CN"/>
              </w:rPr>
            </w:pPr>
            <w:r>
              <w:rPr>
                <w:rFonts w:hint="eastAsia" w:ascii="宋体" w:hAnsi="宋体" w:cs="宋体"/>
                <w:sz w:val="24"/>
                <w:lang w:val="zh-CN"/>
              </w:rPr>
              <w:t>备注</w:t>
            </w:r>
          </w:p>
        </w:tc>
      </w:tr>
      <w:tr w14:paraId="28361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4" w:type="dxa"/>
            <w:gridSpan w:val="2"/>
            <w:tcBorders>
              <w:top w:val="single" w:color="auto" w:sz="4" w:space="0"/>
              <w:left w:val="single" w:color="auto" w:sz="4" w:space="0"/>
              <w:bottom w:val="single" w:color="auto" w:sz="4" w:space="0"/>
              <w:right w:val="single" w:color="auto" w:sz="4" w:space="0"/>
            </w:tcBorders>
          </w:tcPr>
          <w:p w14:paraId="5FADF176">
            <w:pPr>
              <w:widowControl/>
              <w:spacing w:line="360" w:lineRule="auto"/>
              <w:ind w:firstLine="562" w:firstLineChars="227"/>
              <w:jc w:val="left"/>
              <w:rPr>
                <w:rFonts w:hint="eastAsia" w:ascii="宋体" w:hAnsi="宋体" w:cs="宋体"/>
                <w:sz w:val="24"/>
                <w:lang w:val="zh-CN"/>
              </w:rPr>
            </w:pPr>
          </w:p>
        </w:tc>
        <w:tc>
          <w:tcPr>
            <w:tcW w:w="2152" w:type="dxa"/>
            <w:tcBorders>
              <w:top w:val="single" w:color="auto" w:sz="4" w:space="0"/>
              <w:left w:val="single" w:color="auto" w:sz="4" w:space="0"/>
              <w:bottom w:val="single" w:color="auto" w:sz="4" w:space="0"/>
              <w:right w:val="single" w:color="auto" w:sz="4" w:space="0"/>
            </w:tcBorders>
          </w:tcPr>
          <w:p w14:paraId="2F153600">
            <w:pPr>
              <w:widowControl/>
              <w:spacing w:line="360" w:lineRule="auto"/>
              <w:ind w:firstLine="562" w:firstLineChars="227"/>
              <w:jc w:val="left"/>
              <w:rPr>
                <w:rFonts w:hint="eastAsia" w:ascii="宋体" w:hAnsi="宋体" w:cs="宋体"/>
                <w:sz w:val="24"/>
                <w:lang w:val="zh-CN"/>
              </w:rPr>
            </w:pPr>
          </w:p>
        </w:tc>
        <w:tc>
          <w:tcPr>
            <w:tcW w:w="2897" w:type="dxa"/>
            <w:gridSpan w:val="2"/>
            <w:tcBorders>
              <w:top w:val="single" w:color="auto" w:sz="4" w:space="0"/>
              <w:left w:val="single" w:color="auto" w:sz="4" w:space="0"/>
              <w:bottom w:val="single" w:color="auto" w:sz="4" w:space="0"/>
              <w:right w:val="single" w:color="auto" w:sz="4" w:space="0"/>
            </w:tcBorders>
          </w:tcPr>
          <w:p w14:paraId="5BC57AAF">
            <w:pPr>
              <w:widowControl/>
              <w:spacing w:line="360" w:lineRule="auto"/>
              <w:ind w:firstLine="562" w:firstLineChars="227"/>
              <w:jc w:val="left"/>
              <w:rPr>
                <w:rFonts w:hint="eastAsia" w:ascii="宋体" w:hAnsi="宋体" w:cs="宋体"/>
                <w:sz w:val="24"/>
                <w:lang w:val="zh-CN"/>
              </w:rPr>
            </w:pPr>
          </w:p>
        </w:tc>
        <w:tc>
          <w:tcPr>
            <w:tcW w:w="1409" w:type="dxa"/>
            <w:tcBorders>
              <w:top w:val="single" w:color="auto" w:sz="4" w:space="0"/>
              <w:left w:val="single" w:color="auto" w:sz="4" w:space="0"/>
              <w:bottom w:val="single" w:color="auto" w:sz="4" w:space="0"/>
              <w:right w:val="single" w:color="auto" w:sz="4" w:space="0"/>
            </w:tcBorders>
          </w:tcPr>
          <w:p w14:paraId="42007FDD">
            <w:pPr>
              <w:widowControl/>
              <w:spacing w:line="360" w:lineRule="auto"/>
              <w:ind w:firstLine="562" w:firstLineChars="227"/>
              <w:jc w:val="left"/>
              <w:rPr>
                <w:rFonts w:hint="eastAsia" w:ascii="宋体" w:hAnsi="宋体" w:cs="宋体"/>
                <w:sz w:val="24"/>
                <w:lang w:val="zh-CN"/>
              </w:rPr>
            </w:pPr>
          </w:p>
        </w:tc>
      </w:tr>
      <w:tr w14:paraId="6F41F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6"/>
            <w:tcBorders>
              <w:top w:val="single" w:color="auto" w:sz="4" w:space="0"/>
              <w:left w:val="single" w:color="auto" w:sz="4" w:space="0"/>
              <w:bottom w:val="single" w:color="auto" w:sz="4" w:space="0"/>
              <w:right w:val="single" w:color="auto" w:sz="4" w:space="0"/>
            </w:tcBorders>
          </w:tcPr>
          <w:p w14:paraId="3E317281">
            <w:pPr>
              <w:widowControl/>
              <w:spacing w:line="360" w:lineRule="auto"/>
              <w:jc w:val="left"/>
              <w:rPr>
                <w:rFonts w:hint="eastAsia" w:ascii="宋体" w:hAnsi="宋体" w:cs="宋体"/>
                <w:sz w:val="24"/>
                <w:lang w:val="zh-CN"/>
              </w:rPr>
            </w:pPr>
            <w:r>
              <w:rPr>
                <w:rFonts w:hint="eastAsia" w:ascii="宋体" w:hAnsi="宋体" w:cs="宋体"/>
                <w:sz w:val="24"/>
                <w:lang w:val="zh-CN"/>
              </w:rPr>
              <w:t>其他事项：</w:t>
            </w:r>
          </w:p>
          <w:p w14:paraId="0A029E40">
            <w:pPr>
              <w:widowControl/>
              <w:spacing w:line="360" w:lineRule="auto"/>
              <w:jc w:val="left"/>
              <w:rPr>
                <w:rFonts w:hint="eastAsia" w:ascii="宋体" w:hAnsi="宋体" w:cs="宋体"/>
                <w:sz w:val="24"/>
                <w:lang w:val="zh-CN"/>
              </w:rPr>
            </w:pPr>
          </w:p>
          <w:p w14:paraId="217DB97F">
            <w:pPr>
              <w:widowControl/>
              <w:spacing w:line="360" w:lineRule="auto"/>
              <w:ind w:firstLine="562" w:firstLineChars="227"/>
              <w:jc w:val="left"/>
              <w:rPr>
                <w:rFonts w:hint="eastAsia" w:ascii="宋体" w:hAnsi="宋体" w:cs="宋体"/>
                <w:sz w:val="24"/>
                <w:lang w:val="zh-CN"/>
              </w:rPr>
            </w:pPr>
          </w:p>
        </w:tc>
      </w:tr>
      <w:tr w14:paraId="12E1A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8522" w:type="dxa"/>
            <w:gridSpan w:val="6"/>
            <w:tcBorders>
              <w:top w:val="single" w:color="auto" w:sz="4" w:space="0"/>
              <w:left w:val="single" w:color="auto" w:sz="4" w:space="0"/>
              <w:bottom w:val="single" w:color="auto" w:sz="4" w:space="0"/>
              <w:right w:val="single" w:color="auto" w:sz="4" w:space="0"/>
            </w:tcBorders>
          </w:tcPr>
          <w:p w14:paraId="4FF2061F">
            <w:pPr>
              <w:widowControl/>
              <w:spacing w:line="360" w:lineRule="auto"/>
              <w:ind w:firstLine="562" w:firstLineChars="227"/>
              <w:rPr>
                <w:rFonts w:hint="eastAsia" w:ascii="宋体" w:hAnsi="宋体" w:cs="宋体"/>
                <w:sz w:val="24"/>
                <w:lang w:val="zh-CN"/>
              </w:rPr>
            </w:pPr>
            <w:r>
              <w:rPr>
                <w:rFonts w:hint="eastAsia" w:ascii="宋体" w:hAnsi="宋体" w:cs="宋体"/>
                <w:sz w:val="24"/>
                <w:lang w:val="zh-CN"/>
              </w:rPr>
              <w:t xml:space="preserve">联系人：                       </w:t>
            </w:r>
            <w:r>
              <w:rPr>
                <w:rFonts w:hint="eastAsia" w:ascii="宋体" w:hAnsi="宋体" w:cs="宋体"/>
                <w:sz w:val="24"/>
              </w:rPr>
              <w:t xml:space="preserve">     </w:t>
            </w:r>
            <w:r>
              <w:rPr>
                <w:rFonts w:hint="eastAsia" w:ascii="宋体" w:hAnsi="宋体" w:cs="宋体"/>
                <w:sz w:val="24"/>
                <w:lang w:val="zh-CN"/>
              </w:rPr>
              <w:t>联系电话：</w:t>
            </w:r>
          </w:p>
        </w:tc>
      </w:tr>
    </w:tbl>
    <w:p w14:paraId="75D49A76">
      <w:pPr>
        <w:pageBreakBefore/>
        <w:spacing w:line="360" w:lineRule="auto"/>
        <w:ind w:firstLine="420"/>
        <w:rPr>
          <w:rFonts w:hint="eastAsia" w:ascii="宋体" w:hAnsi="宋体" w:cs="宋体"/>
          <w:sz w:val="24"/>
          <w:lang w:val="zh-CN"/>
        </w:rPr>
      </w:pPr>
      <w:r>
        <w:rPr>
          <w:rFonts w:hint="eastAsia" w:ascii="宋体" w:hAnsi="宋体" w:cs="宋体"/>
          <w:sz w:val="24"/>
          <w:lang w:val="zh-CN"/>
        </w:rPr>
        <w:t>表二：培训配置清单</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490"/>
        <w:gridCol w:w="1230"/>
        <w:gridCol w:w="1245"/>
        <w:gridCol w:w="848"/>
      </w:tblGrid>
      <w:tr w14:paraId="56E58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847" w:type="dxa"/>
            <w:tcBorders>
              <w:top w:val="single" w:color="auto" w:sz="4" w:space="0"/>
              <w:left w:val="single" w:color="auto" w:sz="4" w:space="0"/>
              <w:bottom w:val="single" w:color="auto" w:sz="4" w:space="0"/>
              <w:right w:val="single" w:color="auto" w:sz="4" w:space="0"/>
            </w:tcBorders>
            <w:shd w:val="pct10" w:color="auto" w:fill="auto"/>
            <w:vAlign w:val="center"/>
          </w:tcPr>
          <w:p w14:paraId="78369108">
            <w:pPr>
              <w:widowControl/>
              <w:spacing w:line="360" w:lineRule="auto"/>
              <w:jc w:val="center"/>
              <w:rPr>
                <w:rFonts w:hint="eastAsia" w:ascii="宋体" w:hAnsi="宋体" w:cs="宋体"/>
                <w:sz w:val="24"/>
                <w:lang w:val="zh-CN"/>
              </w:rPr>
            </w:pPr>
            <w:r>
              <w:rPr>
                <w:rFonts w:hint="eastAsia" w:ascii="宋体" w:hAnsi="宋体" w:cs="宋体"/>
                <w:sz w:val="24"/>
                <w:lang w:val="zh-CN"/>
              </w:rPr>
              <w:t>配置项</w:t>
            </w:r>
          </w:p>
        </w:tc>
        <w:tc>
          <w:tcPr>
            <w:tcW w:w="2490" w:type="dxa"/>
            <w:tcBorders>
              <w:top w:val="single" w:color="auto" w:sz="4" w:space="0"/>
              <w:left w:val="single" w:color="auto" w:sz="4" w:space="0"/>
              <w:bottom w:val="single" w:color="auto" w:sz="4" w:space="0"/>
              <w:right w:val="single" w:color="auto" w:sz="4" w:space="0"/>
            </w:tcBorders>
            <w:shd w:val="pct10" w:color="auto" w:fill="auto"/>
            <w:vAlign w:val="center"/>
          </w:tcPr>
          <w:p w14:paraId="6066DCF6">
            <w:pPr>
              <w:widowControl/>
              <w:spacing w:line="360" w:lineRule="auto"/>
              <w:jc w:val="center"/>
              <w:rPr>
                <w:rFonts w:hint="eastAsia" w:ascii="宋体" w:hAnsi="宋体" w:cs="宋体"/>
                <w:sz w:val="24"/>
                <w:lang w:val="zh-CN"/>
              </w:rPr>
            </w:pPr>
            <w:r>
              <w:rPr>
                <w:rFonts w:hint="eastAsia" w:ascii="宋体" w:hAnsi="宋体" w:cs="宋体"/>
                <w:sz w:val="24"/>
                <w:lang w:val="zh-CN"/>
              </w:rPr>
              <w:t>内容要求</w:t>
            </w:r>
          </w:p>
        </w:tc>
        <w:tc>
          <w:tcPr>
            <w:tcW w:w="1230" w:type="dxa"/>
            <w:tcBorders>
              <w:top w:val="single" w:color="auto" w:sz="4" w:space="0"/>
              <w:left w:val="single" w:color="auto" w:sz="4" w:space="0"/>
              <w:bottom w:val="single" w:color="auto" w:sz="4" w:space="0"/>
              <w:right w:val="single" w:color="auto" w:sz="4" w:space="0"/>
            </w:tcBorders>
            <w:shd w:val="pct10" w:color="auto" w:fill="auto"/>
            <w:vAlign w:val="center"/>
          </w:tcPr>
          <w:p w14:paraId="6537A959">
            <w:pPr>
              <w:widowControl/>
              <w:spacing w:line="360" w:lineRule="auto"/>
              <w:jc w:val="center"/>
              <w:rPr>
                <w:rFonts w:hint="eastAsia" w:ascii="宋体" w:hAnsi="宋体" w:cs="宋体"/>
                <w:sz w:val="24"/>
                <w:lang w:val="zh-CN"/>
              </w:rPr>
            </w:pPr>
            <w:r>
              <w:rPr>
                <w:rFonts w:hint="eastAsia" w:ascii="宋体" w:hAnsi="宋体" w:cs="宋体"/>
                <w:sz w:val="24"/>
                <w:lang w:val="zh-CN"/>
              </w:rPr>
              <w:t>责任人</w:t>
            </w:r>
          </w:p>
        </w:tc>
        <w:tc>
          <w:tcPr>
            <w:tcW w:w="1245" w:type="dxa"/>
            <w:tcBorders>
              <w:top w:val="single" w:color="auto" w:sz="4" w:space="0"/>
              <w:left w:val="single" w:color="auto" w:sz="4" w:space="0"/>
              <w:bottom w:val="single" w:color="auto" w:sz="4" w:space="0"/>
              <w:right w:val="single" w:color="auto" w:sz="4" w:space="0"/>
            </w:tcBorders>
            <w:shd w:val="pct10" w:color="auto" w:fill="auto"/>
            <w:vAlign w:val="center"/>
          </w:tcPr>
          <w:p w14:paraId="2368AF53">
            <w:pPr>
              <w:widowControl/>
              <w:spacing w:line="360" w:lineRule="auto"/>
              <w:jc w:val="center"/>
              <w:rPr>
                <w:rFonts w:hint="eastAsia" w:ascii="宋体" w:hAnsi="宋体" w:cs="宋体"/>
                <w:sz w:val="24"/>
                <w:lang w:val="zh-CN"/>
              </w:rPr>
            </w:pPr>
            <w:r>
              <w:rPr>
                <w:rFonts w:hint="eastAsia" w:ascii="宋体" w:hAnsi="宋体" w:cs="宋体"/>
                <w:sz w:val="24"/>
                <w:lang w:val="zh-CN"/>
              </w:rPr>
              <w:t>截止时间</w:t>
            </w:r>
          </w:p>
        </w:tc>
        <w:tc>
          <w:tcPr>
            <w:tcW w:w="848" w:type="dxa"/>
            <w:tcBorders>
              <w:top w:val="single" w:color="auto" w:sz="4" w:space="0"/>
              <w:left w:val="single" w:color="auto" w:sz="4" w:space="0"/>
              <w:bottom w:val="single" w:color="auto" w:sz="4" w:space="0"/>
              <w:right w:val="single" w:color="auto" w:sz="4" w:space="0"/>
            </w:tcBorders>
            <w:shd w:val="pct10" w:color="auto" w:fill="auto"/>
            <w:vAlign w:val="center"/>
          </w:tcPr>
          <w:p w14:paraId="021ABD87">
            <w:pPr>
              <w:widowControl/>
              <w:spacing w:line="360" w:lineRule="auto"/>
              <w:jc w:val="center"/>
              <w:rPr>
                <w:rFonts w:hint="eastAsia" w:ascii="宋体" w:hAnsi="宋体" w:cs="宋体"/>
                <w:sz w:val="24"/>
                <w:lang w:val="zh-CN"/>
              </w:rPr>
            </w:pPr>
            <w:r>
              <w:rPr>
                <w:rFonts w:hint="eastAsia" w:ascii="宋体" w:hAnsi="宋体" w:cs="宋体"/>
                <w:sz w:val="24"/>
                <w:lang w:val="zh-CN"/>
              </w:rPr>
              <w:t>完成否</w:t>
            </w:r>
          </w:p>
        </w:tc>
      </w:tr>
      <w:tr w14:paraId="01807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660" w:type="dxa"/>
            <w:gridSpan w:val="5"/>
            <w:tcBorders>
              <w:top w:val="single" w:color="auto" w:sz="4" w:space="0"/>
              <w:left w:val="single" w:color="auto" w:sz="4" w:space="0"/>
              <w:bottom w:val="single" w:color="auto" w:sz="4" w:space="0"/>
              <w:right w:val="single" w:color="auto" w:sz="4" w:space="0"/>
            </w:tcBorders>
            <w:vAlign w:val="center"/>
          </w:tcPr>
          <w:p w14:paraId="3E0FDC3A">
            <w:pPr>
              <w:widowControl/>
              <w:spacing w:line="360" w:lineRule="auto"/>
              <w:ind w:firstLine="562" w:firstLineChars="227"/>
              <w:jc w:val="center"/>
              <w:rPr>
                <w:rFonts w:hint="eastAsia" w:ascii="宋体" w:hAnsi="宋体" w:cs="宋体"/>
                <w:sz w:val="24"/>
                <w:lang w:val="zh-CN"/>
              </w:rPr>
            </w:pPr>
            <w:r>
              <w:rPr>
                <w:rFonts w:hint="eastAsia" w:ascii="宋体" w:hAnsi="宋体" w:cs="宋体"/>
                <w:sz w:val="24"/>
                <w:lang w:val="zh-CN"/>
              </w:rPr>
              <w:t>一、资料部分</w:t>
            </w:r>
          </w:p>
        </w:tc>
      </w:tr>
      <w:tr w14:paraId="31BFF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397E0D62">
            <w:pPr>
              <w:widowControl/>
              <w:spacing w:line="360" w:lineRule="auto"/>
              <w:jc w:val="center"/>
              <w:rPr>
                <w:rFonts w:hint="eastAsia" w:ascii="宋体" w:hAnsi="宋体" w:cs="宋体"/>
                <w:sz w:val="24"/>
                <w:lang w:val="zh-CN"/>
              </w:rPr>
            </w:pPr>
            <w:r>
              <w:rPr>
                <w:rFonts w:hint="eastAsia" w:ascii="宋体" w:hAnsi="宋体" w:cs="宋体"/>
                <w:sz w:val="24"/>
                <w:lang w:val="zh-CN"/>
              </w:rPr>
              <w:t>《测试培训手册》</w:t>
            </w:r>
          </w:p>
        </w:tc>
        <w:tc>
          <w:tcPr>
            <w:tcW w:w="2490" w:type="dxa"/>
            <w:tcBorders>
              <w:top w:val="single" w:color="auto" w:sz="4" w:space="0"/>
              <w:left w:val="single" w:color="auto" w:sz="4" w:space="0"/>
              <w:bottom w:val="single" w:color="auto" w:sz="4" w:space="0"/>
              <w:right w:val="single" w:color="auto" w:sz="4" w:space="0"/>
            </w:tcBorders>
            <w:vAlign w:val="center"/>
          </w:tcPr>
          <w:p w14:paraId="33D44BE2">
            <w:pPr>
              <w:widowControl/>
              <w:spacing w:line="360" w:lineRule="auto"/>
              <w:jc w:val="center"/>
              <w:rPr>
                <w:rFonts w:hint="eastAsia" w:ascii="宋体" w:hAnsi="宋体" w:cs="宋体"/>
                <w:sz w:val="24"/>
                <w:lang w:val="zh-CN"/>
              </w:rPr>
            </w:pPr>
            <w:r>
              <w:rPr>
                <w:rFonts w:hint="eastAsia" w:ascii="宋体" w:hAnsi="宋体" w:cs="宋体"/>
                <w:sz w:val="24"/>
                <w:lang w:val="zh-CN"/>
              </w:rPr>
              <w:t>纸质、电子文档</w:t>
            </w:r>
          </w:p>
        </w:tc>
        <w:tc>
          <w:tcPr>
            <w:tcW w:w="1230" w:type="dxa"/>
            <w:tcBorders>
              <w:top w:val="single" w:color="auto" w:sz="4" w:space="0"/>
              <w:left w:val="single" w:color="auto" w:sz="4" w:space="0"/>
              <w:bottom w:val="single" w:color="auto" w:sz="4" w:space="0"/>
              <w:right w:val="single" w:color="auto" w:sz="4" w:space="0"/>
            </w:tcBorders>
            <w:vAlign w:val="center"/>
          </w:tcPr>
          <w:p w14:paraId="726FF5E4">
            <w:pPr>
              <w:widowControl/>
              <w:spacing w:line="360" w:lineRule="auto"/>
              <w:ind w:firstLine="562" w:firstLineChars="227"/>
              <w:jc w:val="center"/>
              <w:rPr>
                <w:rFonts w:hint="eastAsia" w:ascii="宋体" w:hAnsi="宋体" w:cs="宋体"/>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4C390F08">
            <w:pPr>
              <w:widowControl/>
              <w:spacing w:line="360" w:lineRule="auto"/>
              <w:ind w:firstLine="562" w:firstLineChars="227"/>
              <w:jc w:val="center"/>
              <w:rPr>
                <w:rFonts w:hint="eastAsia" w:ascii="宋体" w:hAnsi="宋体" w:cs="宋体"/>
                <w:sz w:val="24"/>
                <w:lang w:val="zh-CN"/>
              </w:rPr>
            </w:pPr>
          </w:p>
        </w:tc>
        <w:tc>
          <w:tcPr>
            <w:tcW w:w="848" w:type="dxa"/>
            <w:tcBorders>
              <w:top w:val="single" w:color="auto" w:sz="4" w:space="0"/>
              <w:left w:val="single" w:color="auto" w:sz="4" w:space="0"/>
              <w:bottom w:val="single" w:color="auto" w:sz="4" w:space="0"/>
              <w:right w:val="single" w:color="auto" w:sz="4" w:space="0"/>
            </w:tcBorders>
          </w:tcPr>
          <w:p w14:paraId="440292A1">
            <w:pPr>
              <w:widowControl/>
              <w:spacing w:line="360" w:lineRule="auto"/>
              <w:ind w:firstLine="562" w:firstLineChars="227"/>
              <w:jc w:val="center"/>
              <w:rPr>
                <w:rFonts w:hint="eastAsia" w:ascii="宋体" w:hAnsi="宋体" w:cs="宋体"/>
                <w:sz w:val="24"/>
                <w:lang w:val="zh-CN"/>
              </w:rPr>
            </w:pPr>
          </w:p>
        </w:tc>
      </w:tr>
      <w:tr w14:paraId="0D849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2BEC194A">
            <w:pPr>
              <w:widowControl/>
              <w:spacing w:line="360" w:lineRule="auto"/>
              <w:jc w:val="center"/>
              <w:rPr>
                <w:rFonts w:hint="eastAsia" w:ascii="宋体" w:hAnsi="宋体" w:cs="宋体"/>
                <w:sz w:val="24"/>
                <w:lang w:val="zh-CN"/>
              </w:rPr>
            </w:pPr>
            <w:r>
              <w:rPr>
                <w:rFonts w:hint="eastAsia" w:ascii="宋体" w:hAnsi="宋体" w:cs="宋体"/>
                <w:sz w:val="24"/>
                <w:lang w:val="zh-CN"/>
              </w:rPr>
              <w:t>《应用系统管理手册》</w:t>
            </w:r>
          </w:p>
        </w:tc>
        <w:tc>
          <w:tcPr>
            <w:tcW w:w="2490" w:type="dxa"/>
            <w:tcBorders>
              <w:top w:val="single" w:color="auto" w:sz="4" w:space="0"/>
              <w:left w:val="single" w:color="auto" w:sz="4" w:space="0"/>
              <w:bottom w:val="single" w:color="auto" w:sz="4" w:space="0"/>
              <w:right w:val="single" w:color="auto" w:sz="4" w:space="0"/>
            </w:tcBorders>
            <w:vAlign w:val="center"/>
          </w:tcPr>
          <w:p w14:paraId="1B92E56E">
            <w:pPr>
              <w:widowControl/>
              <w:spacing w:line="360" w:lineRule="auto"/>
              <w:jc w:val="center"/>
              <w:rPr>
                <w:rFonts w:hint="eastAsia" w:ascii="宋体" w:hAnsi="宋体" w:cs="宋体"/>
                <w:sz w:val="24"/>
                <w:lang w:val="zh-CN"/>
              </w:rPr>
            </w:pPr>
            <w:r>
              <w:rPr>
                <w:rFonts w:hint="eastAsia" w:ascii="宋体" w:hAnsi="宋体" w:cs="宋体"/>
                <w:sz w:val="24"/>
                <w:lang w:val="zh-CN"/>
              </w:rPr>
              <w:t>纸质、电子文档</w:t>
            </w:r>
          </w:p>
        </w:tc>
        <w:tc>
          <w:tcPr>
            <w:tcW w:w="1230" w:type="dxa"/>
            <w:tcBorders>
              <w:top w:val="single" w:color="auto" w:sz="4" w:space="0"/>
              <w:left w:val="single" w:color="auto" w:sz="4" w:space="0"/>
              <w:bottom w:val="single" w:color="auto" w:sz="4" w:space="0"/>
              <w:right w:val="single" w:color="auto" w:sz="4" w:space="0"/>
            </w:tcBorders>
            <w:vAlign w:val="center"/>
          </w:tcPr>
          <w:p w14:paraId="6D78739E">
            <w:pPr>
              <w:widowControl/>
              <w:spacing w:line="360" w:lineRule="auto"/>
              <w:ind w:firstLine="562" w:firstLineChars="227"/>
              <w:jc w:val="center"/>
              <w:rPr>
                <w:rFonts w:hint="eastAsia" w:ascii="宋体" w:hAnsi="宋体" w:cs="宋体"/>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40F85941">
            <w:pPr>
              <w:widowControl/>
              <w:spacing w:line="360" w:lineRule="auto"/>
              <w:ind w:firstLine="562" w:firstLineChars="227"/>
              <w:jc w:val="center"/>
              <w:rPr>
                <w:rFonts w:hint="eastAsia" w:ascii="宋体" w:hAnsi="宋体" w:cs="宋体"/>
                <w:sz w:val="24"/>
                <w:lang w:val="zh-CN"/>
              </w:rPr>
            </w:pPr>
          </w:p>
        </w:tc>
        <w:tc>
          <w:tcPr>
            <w:tcW w:w="848" w:type="dxa"/>
            <w:tcBorders>
              <w:top w:val="single" w:color="auto" w:sz="4" w:space="0"/>
              <w:left w:val="single" w:color="auto" w:sz="4" w:space="0"/>
              <w:bottom w:val="single" w:color="auto" w:sz="4" w:space="0"/>
              <w:right w:val="single" w:color="auto" w:sz="4" w:space="0"/>
            </w:tcBorders>
          </w:tcPr>
          <w:p w14:paraId="1284D8F9">
            <w:pPr>
              <w:widowControl/>
              <w:spacing w:line="360" w:lineRule="auto"/>
              <w:ind w:firstLine="562" w:firstLineChars="227"/>
              <w:jc w:val="center"/>
              <w:rPr>
                <w:rFonts w:hint="eastAsia" w:ascii="宋体" w:hAnsi="宋体" w:cs="宋体"/>
                <w:sz w:val="24"/>
                <w:lang w:val="zh-CN"/>
              </w:rPr>
            </w:pPr>
          </w:p>
        </w:tc>
      </w:tr>
      <w:tr w14:paraId="75E3B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31CC4C61">
            <w:pPr>
              <w:widowControl/>
              <w:spacing w:line="360" w:lineRule="auto"/>
              <w:jc w:val="center"/>
              <w:rPr>
                <w:rFonts w:hint="eastAsia" w:ascii="宋体" w:hAnsi="宋体" w:cs="宋体"/>
                <w:sz w:val="24"/>
                <w:lang w:val="zh-CN"/>
              </w:rPr>
            </w:pPr>
            <w:r>
              <w:rPr>
                <w:rFonts w:hint="eastAsia" w:ascii="宋体" w:hAnsi="宋体" w:cs="宋体"/>
                <w:sz w:val="24"/>
                <w:lang w:val="zh-CN"/>
              </w:rPr>
              <w:t>《应用系统操作手册》</w:t>
            </w:r>
          </w:p>
        </w:tc>
        <w:tc>
          <w:tcPr>
            <w:tcW w:w="2490" w:type="dxa"/>
            <w:tcBorders>
              <w:top w:val="single" w:color="auto" w:sz="4" w:space="0"/>
              <w:left w:val="single" w:color="auto" w:sz="4" w:space="0"/>
              <w:bottom w:val="single" w:color="auto" w:sz="4" w:space="0"/>
              <w:right w:val="single" w:color="auto" w:sz="4" w:space="0"/>
            </w:tcBorders>
            <w:vAlign w:val="center"/>
          </w:tcPr>
          <w:p w14:paraId="059B0526">
            <w:pPr>
              <w:widowControl/>
              <w:spacing w:line="360" w:lineRule="auto"/>
              <w:jc w:val="center"/>
              <w:rPr>
                <w:rFonts w:hint="eastAsia" w:ascii="宋体" w:hAnsi="宋体" w:cs="宋体"/>
                <w:sz w:val="24"/>
                <w:lang w:val="zh-CN"/>
              </w:rPr>
            </w:pPr>
            <w:r>
              <w:rPr>
                <w:rFonts w:hint="eastAsia" w:ascii="宋体" w:hAnsi="宋体" w:cs="宋体"/>
                <w:sz w:val="24"/>
                <w:lang w:val="zh-CN"/>
              </w:rPr>
              <w:t>纸质、电子文档</w:t>
            </w:r>
          </w:p>
        </w:tc>
        <w:tc>
          <w:tcPr>
            <w:tcW w:w="1230" w:type="dxa"/>
            <w:tcBorders>
              <w:top w:val="single" w:color="auto" w:sz="4" w:space="0"/>
              <w:left w:val="single" w:color="auto" w:sz="4" w:space="0"/>
              <w:bottom w:val="single" w:color="auto" w:sz="4" w:space="0"/>
              <w:right w:val="single" w:color="auto" w:sz="4" w:space="0"/>
            </w:tcBorders>
            <w:vAlign w:val="center"/>
          </w:tcPr>
          <w:p w14:paraId="27214977">
            <w:pPr>
              <w:widowControl/>
              <w:spacing w:line="360" w:lineRule="auto"/>
              <w:ind w:firstLine="562" w:firstLineChars="227"/>
              <w:jc w:val="center"/>
              <w:rPr>
                <w:rFonts w:hint="eastAsia" w:ascii="宋体" w:hAnsi="宋体" w:cs="宋体"/>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430C18B9">
            <w:pPr>
              <w:widowControl/>
              <w:spacing w:line="360" w:lineRule="auto"/>
              <w:ind w:firstLine="562" w:firstLineChars="227"/>
              <w:jc w:val="center"/>
              <w:rPr>
                <w:rFonts w:hint="eastAsia" w:ascii="宋体" w:hAnsi="宋体" w:cs="宋体"/>
                <w:sz w:val="24"/>
                <w:lang w:val="zh-CN"/>
              </w:rPr>
            </w:pPr>
          </w:p>
        </w:tc>
        <w:tc>
          <w:tcPr>
            <w:tcW w:w="848" w:type="dxa"/>
            <w:tcBorders>
              <w:top w:val="single" w:color="auto" w:sz="4" w:space="0"/>
              <w:left w:val="single" w:color="auto" w:sz="4" w:space="0"/>
              <w:bottom w:val="single" w:color="auto" w:sz="4" w:space="0"/>
              <w:right w:val="single" w:color="auto" w:sz="4" w:space="0"/>
            </w:tcBorders>
          </w:tcPr>
          <w:p w14:paraId="421D376A">
            <w:pPr>
              <w:widowControl/>
              <w:spacing w:line="360" w:lineRule="auto"/>
              <w:ind w:firstLine="562" w:firstLineChars="227"/>
              <w:jc w:val="center"/>
              <w:rPr>
                <w:rFonts w:hint="eastAsia" w:ascii="宋体" w:hAnsi="宋体" w:cs="宋体"/>
                <w:sz w:val="24"/>
                <w:lang w:val="zh-CN"/>
              </w:rPr>
            </w:pPr>
          </w:p>
        </w:tc>
      </w:tr>
      <w:tr w14:paraId="7715E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3D1FF5F1">
            <w:pPr>
              <w:widowControl/>
              <w:spacing w:line="360" w:lineRule="auto"/>
              <w:jc w:val="center"/>
              <w:rPr>
                <w:rFonts w:hint="eastAsia" w:ascii="宋体" w:hAnsi="宋体" w:cs="宋体"/>
                <w:sz w:val="24"/>
                <w:lang w:val="zh-CN"/>
              </w:rPr>
            </w:pPr>
            <w:r>
              <w:rPr>
                <w:rFonts w:hint="eastAsia" w:ascii="宋体" w:hAnsi="宋体" w:cs="宋体"/>
                <w:sz w:val="24"/>
                <w:lang w:val="zh-CN"/>
              </w:rPr>
              <w:t>《系统软件管理及使用手册》</w:t>
            </w:r>
          </w:p>
        </w:tc>
        <w:tc>
          <w:tcPr>
            <w:tcW w:w="2490" w:type="dxa"/>
            <w:tcBorders>
              <w:top w:val="single" w:color="auto" w:sz="4" w:space="0"/>
              <w:left w:val="single" w:color="auto" w:sz="4" w:space="0"/>
              <w:bottom w:val="single" w:color="auto" w:sz="4" w:space="0"/>
              <w:right w:val="single" w:color="auto" w:sz="4" w:space="0"/>
            </w:tcBorders>
            <w:vAlign w:val="center"/>
          </w:tcPr>
          <w:p w14:paraId="0E2AFDCA">
            <w:pPr>
              <w:widowControl/>
              <w:spacing w:line="360" w:lineRule="auto"/>
              <w:jc w:val="center"/>
              <w:rPr>
                <w:rFonts w:hint="eastAsia" w:ascii="宋体" w:hAnsi="宋体" w:cs="宋体"/>
                <w:sz w:val="24"/>
                <w:lang w:val="zh-CN"/>
              </w:rPr>
            </w:pPr>
            <w:r>
              <w:rPr>
                <w:rFonts w:hint="eastAsia" w:ascii="宋体" w:hAnsi="宋体" w:cs="宋体"/>
                <w:sz w:val="24"/>
                <w:lang w:val="zh-CN"/>
              </w:rPr>
              <w:t>纸质、电子文档</w:t>
            </w:r>
          </w:p>
        </w:tc>
        <w:tc>
          <w:tcPr>
            <w:tcW w:w="1230" w:type="dxa"/>
            <w:tcBorders>
              <w:top w:val="single" w:color="auto" w:sz="4" w:space="0"/>
              <w:left w:val="single" w:color="auto" w:sz="4" w:space="0"/>
              <w:bottom w:val="single" w:color="auto" w:sz="4" w:space="0"/>
              <w:right w:val="single" w:color="auto" w:sz="4" w:space="0"/>
            </w:tcBorders>
            <w:vAlign w:val="center"/>
          </w:tcPr>
          <w:p w14:paraId="2256DCB1">
            <w:pPr>
              <w:widowControl/>
              <w:spacing w:line="360" w:lineRule="auto"/>
              <w:ind w:firstLine="562" w:firstLineChars="227"/>
              <w:jc w:val="center"/>
              <w:rPr>
                <w:rFonts w:hint="eastAsia" w:ascii="宋体" w:hAnsi="宋体" w:cs="宋体"/>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795D2F84">
            <w:pPr>
              <w:widowControl/>
              <w:spacing w:line="360" w:lineRule="auto"/>
              <w:ind w:firstLine="562" w:firstLineChars="227"/>
              <w:jc w:val="center"/>
              <w:rPr>
                <w:rFonts w:hint="eastAsia" w:ascii="宋体" w:hAnsi="宋体" w:cs="宋体"/>
                <w:sz w:val="24"/>
                <w:lang w:val="zh-CN"/>
              </w:rPr>
            </w:pPr>
          </w:p>
        </w:tc>
        <w:tc>
          <w:tcPr>
            <w:tcW w:w="848" w:type="dxa"/>
            <w:tcBorders>
              <w:top w:val="single" w:color="auto" w:sz="4" w:space="0"/>
              <w:left w:val="single" w:color="auto" w:sz="4" w:space="0"/>
              <w:bottom w:val="single" w:color="auto" w:sz="4" w:space="0"/>
              <w:right w:val="single" w:color="auto" w:sz="4" w:space="0"/>
            </w:tcBorders>
          </w:tcPr>
          <w:p w14:paraId="06F4C428">
            <w:pPr>
              <w:widowControl/>
              <w:spacing w:line="360" w:lineRule="auto"/>
              <w:ind w:firstLine="562" w:firstLineChars="227"/>
              <w:jc w:val="center"/>
              <w:rPr>
                <w:rFonts w:hint="eastAsia" w:ascii="宋体" w:hAnsi="宋体" w:cs="宋体"/>
                <w:sz w:val="24"/>
                <w:lang w:val="zh-CN"/>
              </w:rPr>
            </w:pPr>
          </w:p>
        </w:tc>
      </w:tr>
      <w:tr w14:paraId="011CC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1E482AD9">
            <w:pPr>
              <w:widowControl/>
              <w:spacing w:line="360" w:lineRule="auto"/>
              <w:jc w:val="center"/>
              <w:rPr>
                <w:rFonts w:hint="eastAsia" w:ascii="宋体" w:hAnsi="宋体" w:cs="宋体"/>
                <w:sz w:val="24"/>
                <w:lang w:val="zh-CN"/>
              </w:rPr>
            </w:pPr>
            <w:r>
              <w:rPr>
                <w:rFonts w:hint="eastAsia" w:ascii="宋体" w:hAnsi="宋体" w:cs="宋体"/>
                <w:sz w:val="24"/>
                <w:lang w:val="zh-CN"/>
              </w:rPr>
              <w:t>培训讲义</w:t>
            </w:r>
          </w:p>
        </w:tc>
        <w:tc>
          <w:tcPr>
            <w:tcW w:w="2490" w:type="dxa"/>
            <w:tcBorders>
              <w:top w:val="single" w:color="auto" w:sz="4" w:space="0"/>
              <w:left w:val="single" w:color="auto" w:sz="4" w:space="0"/>
              <w:bottom w:val="single" w:color="auto" w:sz="4" w:space="0"/>
              <w:right w:val="single" w:color="auto" w:sz="4" w:space="0"/>
            </w:tcBorders>
            <w:vAlign w:val="center"/>
          </w:tcPr>
          <w:p w14:paraId="51A09548">
            <w:pPr>
              <w:widowControl/>
              <w:spacing w:line="360" w:lineRule="auto"/>
              <w:jc w:val="center"/>
              <w:rPr>
                <w:rFonts w:hint="eastAsia" w:ascii="宋体" w:hAnsi="宋体" w:cs="宋体"/>
                <w:sz w:val="24"/>
                <w:lang w:val="zh-CN"/>
              </w:rPr>
            </w:pPr>
            <w:r>
              <w:rPr>
                <w:rFonts w:hint="eastAsia" w:ascii="宋体" w:hAnsi="宋体" w:cs="宋体"/>
                <w:sz w:val="24"/>
                <w:lang w:val="zh-CN"/>
              </w:rPr>
              <w:t>纸质</w:t>
            </w:r>
          </w:p>
        </w:tc>
        <w:tc>
          <w:tcPr>
            <w:tcW w:w="1230" w:type="dxa"/>
            <w:tcBorders>
              <w:top w:val="single" w:color="auto" w:sz="4" w:space="0"/>
              <w:left w:val="single" w:color="auto" w:sz="4" w:space="0"/>
              <w:bottom w:val="single" w:color="auto" w:sz="4" w:space="0"/>
              <w:right w:val="single" w:color="auto" w:sz="4" w:space="0"/>
            </w:tcBorders>
            <w:vAlign w:val="center"/>
          </w:tcPr>
          <w:p w14:paraId="188BCBD1">
            <w:pPr>
              <w:widowControl/>
              <w:spacing w:line="360" w:lineRule="auto"/>
              <w:ind w:firstLine="562" w:firstLineChars="227"/>
              <w:jc w:val="center"/>
              <w:rPr>
                <w:rFonts w:hint="eastAsia" w:ascii="宋体" w:hAnsi="宋体" w:cs="宋体"/>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4616D08A">
            <w:pPr>
              <w:widowControl/>
              <w:spacing w:line="360" w:lineRule="auto"/>
              <w:ind w:firstLine="562" w:firstLineChars="227"/>
              <w:jc w:val="center"/>
              <w:rPr>
                <w:rFonts w:hint="eastAsia" w:ascii="宋体" w:hAnsi="宋体" w:cs="宋体"/>
                <w:sz w:val="24"/>
                <w:lang w:val="zh-CN"/>
              </w:rPr>
            </w:pPr>
          </w:p>
        </w:tc>
        <w:tc>
          <w:tcPr>
            <w:tcW w:w="848" w:type="dxa"/>
            <w:tcBorders>
              <w:top w:val="single" w:color="auto" w:sz="4" w:space="0"/>
              <w:left w:val="single" w:color="auto" w:sz="4" w:space="0"/>
              <w:bottom w:val="single" w:color="auto" w:sz="4" w:space="0"/>
              <w:right w:val="single" w:color="auto" w:sz="4" w:space="0"/>
            </w:tcBorders>
          </w:tcPr>
          <w:p w14:paraId="744B2023">
            <w:pPr>
              <w:widowControl/>
              <w:spacing w:line="360" w:lineRule="auto"/>
              <w:ind w:firstLine="562" w:firstLineChars="227"/>
              <w:jc w:val="center"/>
              <w:rPr>
                <w:rFonts w:hint="eastAsia" w:ascii="宋体" w:hAnsi="宋体" w:cs="宋体"/>
                <w:sz w:val="24"/>
                <w:lang w:val="zh-CN"/>
              </w:rPr>
            </w:pPr>
          </w:p>
        </w:tc>
      </w:tr>
      <w:tr w14:paraId="24ADC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493F4A89">
            <w:pPr>
              <w:widowControl/>
              <w:spacing w:line="360" w:lineRule="auto"/>
              <w:jc w:val="center"/>
              <w:rPr>
                <w:rFonts w:hint="eastAsia" w:ascii="宋体" w:hAnsi="宋体" w:cs="宋体"/>
                <w:sz w:val="24"/>
                <w:lang w:val="zh-CN"/>
              </w:rPr>
            </w:pPr>
            <w:r>
              <w:rPr>
                <w:rFonts w:hint="eastAsia" w:ascii="宋体" w:hAnsi="宋体" w:cs="宋体"/>
                <w:sz w:val="24"/>
                <w:lang w:val="zh-CN"/>
              </w:rPr>
              <w:t>上机练习案例</w:t>
            </w:r>
          </w:p>
        </w:tc>
        <w:tc>
          <w:tcPr>
            <w:tcW w:w="2490" w:type="dxa"/>
            <w:tcBorders>
              <w:top w:val="single" w:color="auto" w:sz="4" w:space="0"/>
              <w:left w:val="single" w:color="auto" w:sz="4" w:space="0"/>
              <w:bottom w:val="single" w:color="auto" w:sz="4" w:space="0"/>
              <w:right w:val="single" w:color="auto" w:sz="4" w:space="0"/>
            </w:tcBorders>
            <w:vAlign w:val="center"/>
          </w:tcPr>
          <w:p w14:paraId="1C1B4170">
            <w:pPr>
              <w:widowControl/>
              <w:spacing w:line="360" w:lineRule="auto"/>
              <w:jc w:val="center"/>
              <w:rPr>
                <w:rFonts w:hint="eastAsia" w:ascii="宋体" w:hAnsi="宋体" w:cs="宋体"/>
                <w:sz w:val="24"/>
                <w:lang w:val="zh-CN"/>
              </w:rPr>
            </w:pPr>
            <w:r>
              <w:rPr>
                <w:rFonts w:hint="eastAsia" w:ascii="宋体" w:hAnsi="宋体" w:cs="宋体"/>
                <w:sz w:val="24"/>
                <w:lang w:val="zh-CN"/>
              </w:rPr>
              <w:t>纸质、电子文档</w:t>
            </w:r>
          </w:p>
        </w:tc>
        <w:tc>
          <w:tcPr>
            <w:tcW w:w="1230" w:type="dxa"/>
            <w:tcBorders>
              <w:top w:val="single" w:color="auto" w:sz="4" w:space="0"/>
              <w:left w:val="single" w:color="auto" w:sz="4" w:space="0"/>
              <w:bottom w:val="single" w:color="auto" w:sz="4" w:space="0"/>
              <w:right w:val="single" w:color="auto" w:sz="4" w:space="0"/>
            </w:tcBorders>
            <w:vAlign w:val="center"/>
          </w:tcPr>
          <w:p w14:paraId="5CAA388F">
            <w:pPr>
              <w:widowControl/>
              <w:spacing w:line="360" w:lineRule="auto"/>
              <w:ind w:firstLine="562" w:firstLineChars="227"/>
              <w:jc w:val="center"/>
              <w:rPr>
                <w:rFonts w:hint="eastAsia" w:ascii="宋体" w:hAnsi="宋体" w:cs="宋体"/>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09489BBF">
            <w:pPr>
              <w:widowControl/>
              <w:spacing w:line="360" w:lineRule="auto"/>
              <w:ind w:firstLine="562" w:firstLineChars="227"/>
              <w:jc w:val="center"/>
              <w:rPr>
                <w:rFonts w:hint="eastAsia" w:ascii="宋体" w:hAnsi="宋体" w:cs="宋体"/>
                <w:sz w:val="24"/>
                <w:lang w:val="zh-CN"/>
              </w:rPr>
            </w:pPr>
          </w:p>
        </w:tc>
        <w:tc>
          <w:tcPr>
            <w:tcW w:w="848" w:type="dxa"/>
            <w:tcBorders>
              <w:top w:val="single" w:color="auto" w:sz="4" w:space="0"/>
              <w:left w:val="single" w:color="auto" w:sz="4" w:space="0"/>
              <w:bottom w:val="single" w:color="auto" w:sz="4" w:space="0"/>
              <w:right w:val="single" w:color="auto" w:sz="4" w:space="0"/>
            </w:tcBorders>
          </w:tcPr>
          <w:p w14:paraId="418BA10A">
            <w:pPr>
              <w:widowControl/>
              <w:spacing w:line="360" w:lineRule="auto"/>
              <w:ind w:firstLine="562" w:firstLineChars="227"/>
              <w:jc w:val="center"/>
              <w:rPr>
                <w:rFonts w:hint="eastAsia" w:ascii="宋体" w:hAnsi="宋体" w:cs="宋体"/>
                <w:sz w:val="24"/>
                <w:lang w:val="zh-CN"/>
              </w:rPr>
            </w:pPr>
          </w:p>
        </w:tc>
      </w:tr>
      <w:tr w14:paraId="6B2B3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3AD33F99">
            <w:pPr>
              <w:widowControl/>
              <w:spacing w:line="360" w:lineRule="auto"/>
              <w:jc w:val="center"/>
              <w:rPr>
                <w:rFonts w:hint="eastAsia" w:ascii="宋体" w:hAnsi="宋体" w:cs="宋体"/>
                <w:sz w:val="24"/>
                <w:lang w:val="zh-CN"/>
              </w:rPr>
            </w:pPr>
            <w:r>
              <w:rPr>
                <w:rFonts w:hint="eastAsia" w:ascii="宋体" w:hAnsi="宋体" w:cs="宋体"/>
                <w:sz w:val="24"/>
                <w:lang w:val="zh-CN"/>
              </w:rPr>
              <w:t>测试题目</w:t>
            </w:r>
          </w:p>
        </w:tc>
        <w:tc>
          <w:tcPr>
            <w:tcW w:w="2490" w:type="dxa"/>
            <w:tcBorders>
              <w:top w:val="single" w:color="auto" w:sz="4" w:space="0"/>
              <w:left w:val="single" w:color="auto" w:sz="4" w:space="0"/>
              <w:bottom w:val="single" w:color="auto" w:sz="4" w:space="0"/>
              <w:right w:val="single" w:color="auto" w:sz="4" w:space="0"/>
            </w:tcBorders>
            <w:vAlign w:val="center"/>
          </w:tcPr>
          <w:p w14:paraId="553B9AAF">
            <w:pPr>
              <w:widowControl/>
              <w:spacing w:line="360" w:lineRule="auto"/>
              <w:jc w:val="center"/>
              <w:rPr>
                <w:rFonts w:hint="eastAsia" w:ascii="宋体" w:hAnsi="宋体" w:cs="宋体"/>
                <w:sz w:val="24"/>
                <w:lang w:val="zh-CN"/>
              </w:rPr>
            </w:pPr>
            <w:r>
              <w:rPr>
                <w:rFonts w:hint="eastAsia" w:ascii="宋体" w:hAnsi="宋体" w:cs="宋体"/>
                <w:sz w:val="24"/>
                <w:lang w:val="zh-CN"/>
              </w:rPr>
              <w:t>纸质</w:t>
            </w:r>
          </w:p>
        </w:tc>
        <w:tc>
          <w:tcPr>
            <w:tcW w:w="1230" w:type="dxa"/>
            <w:tcBorders>
              <w:top w:val="single" w:color="auto" w:sz="4" w:space="0"/>
              <w:left w:val="single" w:color="auto" w:sz="4" w:space="0"/>
              <w:bottom w:val="single" w:color="auto" w:sz="4" w:space="0"/>
              <w:right w:val="single" w:color="auto" w:sz="4" w:space="0"/>
            </w:tcBorders>
            <w:vAlign w:val="center"/>
          </w:tcPr>
          <w:p w14:paraId="6AAA1E10">
            <w:pPr>
              <w:widowControl/>
              <w:spacing w:line="360" w:lineRule="auto"/>
              <w:ind w:firstLine="562" w:firstLineChars="227"/>
              <w:jc w:val="center"/>
              <w:rPr>
                <w:rFonts w:hint="eastAsia" w:ascii="宋体" w:hAnsi="宋体" w:cs="宋体"/>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1B503AA2">
            <w:pPr>
              <w:widowControl/>
              <w:spacing w:line="360" w:lineRule="auto"/>
              <w:ind w:firstLine="562" w:firstLineChars="227"/>
              <w:jc w:val="center"/>
              <w:rPr>
                <w:rFonts w:hint="eastAsia" w:ascii="宋体" w:hAnsi="宋体" w:cs="宋体"/>
                <w:sz w:val="24"/>
                <w:lang w:val="zh-CN"/>
              </w:rPr>
            </w:pPr>
          </w:p>
        </w:tc>
        <w:tc>
          <w:tcPr>
            <w:tcW w:w="848" w:type="dxa"/>
            <w:tcBorders>
              <w:top w:val="single" w:color="auto" w:sz="4" w:space="0"/>
              <w:left w:val="single" w:color="auto" w:sz="4" w:space="0"/>
              <w:bottom w:val="single" w:color="auto" w:sz="4" w:space="0"/>
              <w:right w:val="single" w:color="auto" w:sz="4" w:space="0"/>
            </w:tcBorders>
          </w:tcPr>
          <w:p w14:paraId="6FE62520">
            <w:pPr>
              <w:widowControl/>
              <w:spacing w:line="360" w:lineRule="auto"/>
              <w:ind w:firstLine="562" w:firstLineChars="227"/>
              <w:jc w:val="center"/>
              <w:rPr>
                <w:rFonts w:hint="eastAsia" w:ascii="宋体" w:hAnsi="宋体" w:cs="宋体"/>
                <w:sz w:val="24"/>
                <w:lang w:val="zh-CN"/>
              </w:rPr>
            </w:pPr>
          </w:p>
        </w:tc>
      </w:tr>
      <w:tr w14:paraId="1C37A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660" w:type="dxa"/>
            <w:gridSpan w:val="5"/>
            <w:tcBorders>
              <w:top w:val="single" w:color="auto" w:sz="4" w:space="0"/>
              <w:left w:val="single" w:color="auto" w:sz="4" w:space="0"/>
              <w:bottom w:val="single" w:color="auto" w:sz="4" w:space="0"/>
              <w:right w:val="single" w:color="auto" w:sz="4" w:space="0"/>
            </w:tcBorders>
            <w:vAlign w:val="center"/>
          </w:tcPr>
          <w:p w14:paraId="744528B5">
            <w:pPr>
              <w:widowControl/>
              <w:spacing w:line="360" w:lineRule="auto"/>
              <w:ind w:firstLine="420"/>
              <w:jc w:val="center"/>
              <w:rPr>
                <w:rFonts w:hint="eastAsia" w:ascii="宋体" w:hAnsi="宋体" w:cs="宋体"/>
                <w:sz w:val="24"/>
                <w:lang w:val="zh-CN"/>
              </w:rPr>
            </w:pPr>
            <w:r>
              <w:rPr>
                <w:rFonts w:hint="eastAsia" w:ascii="宋体" w:hAnsi="宋体" w:cs="宋体"/>
                <w:sz w:val="24"/>
                <w:lang w:val="zh-CN"/>
              </w:rPr>
              <w:t>二、其他</w:t>
            </w:r>
          </w:p>
        </w:tc>
      </w:tr>
      <w:tr w14:paraId="4F220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1ED9EC41">
            <w:pPr>
              <w:widowControl/>
              <w:spacing w:line="360" w:lineRule="auto"/>
              <w:jc w:val="center"/>
              <w:rPr>
                <w:rFonts w:hint="eastAsia" w:ascii="宋体" w:hAnsi="宋体" w:cs="宋体"/>
                <w:sz w:val="24"/>
                <w:lang w:val="zh-CN"/>
              </w:rPr>
            </w:pPr>
            <w:r>
              <w:rPr>
                <w:rFonts w:hint="eastAsia" w:ascii="宋体" w:hAnsi="宋体" w:cs="宋体"/>
                <w:sz w:val="24"/>
                <w:lang w:val="zh-CN"/>
              </w:rPr>
              <w:t>系统安装</w:t>
            </w:r>
          </w:p>
        </w:tc>
        <w:tc>
          <w:tcPr>
            <w:tcW w:w="2490" w:type="dxa"/>
            <w:tcBorders>
              <w:top w:val="single" w:color="auto" w:sz="4" w:space="0"/>
              <w:left w:val="single" w:color="auto" w:sz="4" w:space="0"/>
              <w:bottom w:val="single" w:color="auto" w:sz="4" w:space="0"/>
              <w:right w:val="single" w:color="auto" w:sz="4" w:space="0"/>
            </w:tcBorders>
            <w:vAlign w:val="center"/>
          </w:tcPr>
          <w:p w14:paraId="29492AC5">
            <w:pPr>
              <w:widowControl/>
              <w:spacing w:line="360" w:lineRule="auto"/>
              <w:jc w:val="center"/>
              <w:rPr>
                <w:rFonts w:hint="eastAsia" w:ascii="宋体" w:hAnsi="宋体" w:cs="宋体"/>
                <w:sz w:val="24"/>
                <w:lang w:val="zh-CN"/>
              </w:rPr>
            </w:pPr>
            <w:r>
              <w:rPr>
                <w:rFonts w:hint="eastAsia" w:ascii="宋体" w:hAnsi="宋体" w:cs="宋体"/>
                <w:sz w:val="24"/>
                <w:lang w:val="zh-CN"/>
              </w:rPr>
              <w:t>完成培训系统的安装与调试</w:t>
            </w:r>
          </w:p>
        </w:tc>
        <w:tc>
          <w:tcPr>
            <w:tcW w:w="1230" w:type="dxa"/>
            <w:tcBorders>
              <w:top w:val="single" w:color="auto" w:sz="4" w:space="0"/>
              <w:left w:val="single" w:color="auto" w:sz="4" w:space="0"/>
              <w:bottom w:val="single" w:color="auto" w:sz="4" w:space="0"/>
              <w:right w:val="single" w:color="auto" w:sz="4" w:space="0"/>
            </w:tcBorders>
          </w:tcPr>
          <w:p w14:paraId="76FA8109">
            <w:pPr>
              <w:widowControl/>
              <w:spacing w:line="360" w:lineRule="auto"/>
              <w:ind w:firstLine="562" w:firstLineChars="227"/>
              <w:jc w:val="center"/>
              <w:rPr>
                <w:rFonts w:hint="eastAsia" w:ascii="宋体" w:hAnsi="宋体" w:cs="宋体"/>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03351C53">
            <w:pPr>
              <w:widowControl/>
              <w:spacing w:line="360" w:lineRule="auto"/>
              <w:ind w:firstLine="562" w:firstLineChars="227"/>
              <w:jc w:val="center"/>
              <w:rPr>
                <w:rFonts w:hint="eastAsia" w:ascii="宋体" w:hAnsi="宋体" w:cs="宋体"/>
                <w:sz w:val="24"/>
                <w:lang w:val="zh-CN"/>
              </w:rPr>
            </w:pPr>
          </w:p>
        </w:tc>
        <w:tc>
          <w:tcPr>
            <w:tcW w:w="848" w:type="dxa"/>
            <w:tcBorders>
              <w:top w:val="single" w:color="auto" w:sz="4" w:space="0"/>
              <w:left w:val="single" w:color="auto" w:sz="4" w:space="0"/>
              <w:bottom w:val="single" w:color="auto" w:sz="4" w:space="0"/>
              <w:right w:val="single" w:color="auto" w:sz="4" w:space="0"/>
            </w:tcBorders>
          </w:tcPr>
          <w:p w14:paraId="278C5EEA">
            <w:pPr>
              <w:widowControl/>
              <w:spacing w:line="360" w:lineRule="auto"/>
              <w:ind w:firstLine="562" w:firstLineChars="227"/>
              <w:jc w:val="center"/>
              <w:rPr>
                <w:rFonts w:hint="eastAsia" w:ascii="宋体" w:hAnsi="宋体" w:cs="宋体"/>
                <w:sz w:val="24"/>
                <w:lang w:val="zh-CN"/>
              </w:rPr>
            </w:pPr>
          </w:p>
        </w:tc>
      </w:tr>
      <w:tr w14:paraId="21A56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680467FB">
            <w:pPr>
              <w:widowControl/>
              <w:spacing w:line="360" w:lineRule="auto"/>
              <w:jc w:val="center"/>
              <w:rPr>
                <w:rFonts w:hint="eastAsia" w:ascii="宋体" w:hAnsi="宋体" w:cs="宋体"/>
                <w:sz w:val="24"/>
                <w:lang w:val="zh-CN"/>
              </w:rPr>
            </w:pPr>
            <w:r>
              <w:rPr>
                <w:rFonts w:hint="eastAsia" w:ascii="宋体" w:hAnsi="宋体" w:cs="宋体"/>
                <w:sz w:val="24"/>
                <w:lang w:val="zh-CN"/>
              </w:rPr>
              <w:t>统计学员列表</w:t>
            </w:r>
          </w:p>
        </w:tc>
        <w:tc>
          <w:tcPr>
            <w:tcW w:w="2490" w:type="dxa"/>
            <w:tcBorders>
              <w:top w:val="single" w:color="auto" w:sz="4" w:space="0"/>
              <w:left w:val="single" w:color="auto" w:sz="4" w:space="0"/>
              <w:bottom w:val="single" w:color="auto" w:sz="4" w:space="0"/>
              <w:right w:val="single" w:color="auto" w:sz="4" w:space="0"/>
            </w:tcBorders>
            <w:vAlign w:val="center"/>
          </w:tcPr>
          <w:p w14:paraId="0C15F369">
            <w:pPr>
              <w:widowControl/>
              <w:spacing w:line="360" w:lineRule="auto"/>
              <w:jc w:val="center"/>
              <w:rPr>
                <w:rFonts w:hint="eastAsia" w:ascii="宋体" w:hAnsi="宋体" w:cs="宋体"/>
                <w:sz w:val="24"/>
                <w:lang w:val="zh-CN"/>
              </w:rPr>
            </w:pPr>
            <w:r>
              <w:rPr>
                <w:rFonts w:hint="eastAsia" w:ascii="宋体" w:hAnsi="宋体" w:cs="宋体"/>
                <w:sz w:val="24"/>
                <w:lang w:val="zh-CN"/>
              </w:rPr>
              <w:t>统计计划培训的学员名单</w:t>
            </w:r>
          </w:p>
        </w:tc>
        <w:tc>
          <w:tcPr>
            <w:tcW w:w="1230" w:type="dxa"/>
            <w:tcBorders>
              <w:top w:val="single" w:color="auto" w:sz="4" w:space="0"/>
              <w:left w:val="single" w:color="auto" w:sz="4" w:space="0"/>
              <w:bottom w:val="single" w:color="auto" w:sz="4" w:space="0"/>
              <w:right w:val="single" w:color="auto" w:sz="4" w:space="0"/>
            </w:tcBorders>
          </w:tcPr>
          <w:p w14:paraId="4127B3D9">
            <w:pPr>
              <w:widowControl/>
              <w:spacing w:line="360" w:lineRule="auto"/>
              <w:ind w:firstLine="562" w:firstLineChars="227"/>
              <w:jc w:val="center"/>
              <w:rPr>
                <w:rFonts w:hint="eastAsia" w:ascii="宋体" w:hAnsi="宋体" w:cs="宋体"/>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2B2B6838">
            <w:pPr>
              <w:widowControl/>
              <w:spacing w:line="360" w:lineRule="auto"/>
              <w:ind w:firstLine="562" w:firstLineChars="227"/>
              <w:jc w:val="center"/>
              <w:rPr>
                <w:rFonts w:hint="eastAsia" w:ascii="宋体" w:hAnsi="宋体" w:cs="宋体"/>
                <w:sz w:val="24"/>
                <w:lang w:val="zh-CN"/>
              </w:rPr>
            </w:pPr>
          </w:p>
        </w:tc>
        <w:tc>
          <w:tcPr>
            <w:tcW w:w="848" w:type="dxa"/>
            <w:tcBorders>
              <w:top w:val="single" w:color="auto" w:sz="4" w:space="0"/>
              <w:left w:val="single" w:color="auto" w:sz="4" w:space="0"/>
              <w:bottom w:val="single" w:color="auto" w:sz="4" w:space="0"/>
              <w:right w:val="single" w:color="auto" w:sz="4" w:space="0"/>
            </w:tcBorders>
          </w:tcPr>
          <w:p w14:paraId="3B4A04C2">
            <w:pPr>
              <w:widowControl/>
              <w:spacing w:line="360" w:lineRule="auto"/>
              <w:ind w:firstLine="562" w:firstLineChars="227"/>
              <w:jc w:val="center"/>
              <w:rPr>
                <w:rFonts w:hint="eastAsia" w:ascii="宋体" w:hAnsi="宋体" w:cs="宋体"/>
                <w:sz w:val="24"/>
                <w:lang w:val="zh-CN"/>
              </w:rPr>
            </w:pPr>
          </w:p>
        </w:tc>
      </w:tr>
      <w:tr w14:paraId="1B415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625B3EDA">
            <w:pPr>
              <w:widowControl/>
              <w:spacing w:line="360" w:lineRule="auto"/>
              <w:jc w:val="center"/>
              <w:rPr>
                <w:rFonts w:hint="eastAsia" w:ascii="宋体" w:hAnsi="宋体" w:cs="宋体"/>
                <w:sz w:val="24"/>
                <w:lang w:val="zh-CN"/>
              </w:rPr>
            </w:pPr>
            <w:r>
              <w:rPr>
                <w:rFonts w:hint="eastAsia" w:ascii="宋体" w:hAnsi="宋体" w:cs="宋体"/>
                <w:sz w:val="24"/>
                <w:lang w:val="zh-CN"/>
              </w:rPr>
              <w:t>培训通知</w:t>
            </w:r>
          </w:p>
        </w:tc>
        <w:tc>
          <w:tcPr>
            <w:tcW w:w="2490" w:type="dxa"/>
            <w:tcBorders>
              <w:top w:val="single" w:color="auto" w:sz="4" w:space="0"/>
              <w:left w:val="single" w:color="auto" w:sz="4" w:space="0"/>
              <w:bottom w:val="single" w:color="auto" w:sz="4" w:space="0"/>
              <w:right w:val="single" w:color="auto" w:sz="4" w:space="0"/>
            </w:tcBorders>
            <w:vAlign w:val="center"/>
          </w:tcPr>
          <w:p w14:paraId="61871EAA">
            <w:pPr>
              <w:widowControl/>
              <w:spacing w:line="360" w:lineRule="auto"/>
              <w:jc w:val="center"/>
              <w:rPr>
                <w:rFonts w:hint="eastAsia" w:ascii="宋体" w:hAnsi="宋体" w:cs="宋体"/>
                <w:sz w:val="24"/>
                <w:lang w:val="zh-CN"/>
              </w:rPr>
            </w:pPr>
            <w:r>
              <w:rPr>
                <w:rFonts w:hint="eastAsia" w:ascii="宋体" w:hAnsi="宋体" w:cs="宋体"/>
                <w:sz w:val="24"/>
                <w:lang w:val="zh-CN"/>
              </w:rPr>
              <w:t>发放培训通知</w:t>
            </w:r>
          </w:p>
        </w:tc>
        <w:tc>
          <w:tcPr>
            <w:tcW w:w="1230" w:type="dxa"/>
            <w:tcBorders>
              <w:top w:val="single" w:color="auto" w:sz="4" w:space="0"/>
              <w:left w:val="single" w:color="auto" w:sz="4" w:space="0"/>
              <w:bottom w:val="single" w:color="auto" w:sz="4" w:space="0"/>
              <w:right w:val="single" w:color="auto" w:sz="4" w:space="0"/>
            </w:tcBorders>
          </w:tcPr>
          <w:p w14:paraId="17B04810">
            <w:pPr>
              <w:widowControl/>
              <w:spacing w:line="360" w:lineRule="auto"/>
              <w:ind w:firstLine="562" w:firstLineChars="227"/>
              <w:jc w:val="center"/>
              <w:rPr>
                <w:rFonts w:hint="eastAsia" w:ascii="宋体" w:hAnsi="宋体" w:cs="宋体"/>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60C93B4B">
            <w:pPr>
              <w:widowControl/>
              <w:spacing w:line="360" w:lineRule="auto"/>
              <w:ind w:firstLine="562" w:firstLineChars="227"/>
              <w:jc w:val="center"/>
              <w:rPr>
                <w:rFonts w:hint="eastAsia" w:ascii="宋体" w:hAnsi="宋体" w:cs="宋体"/>
                <w:sz w:val="24"/>
                <w:lang w:val="zh-CN"/>
              </w:rPr>
            </w:pPr>
          </w:p>
        </w:tc>
        <w:tc>
          <w:tcPr>
            <w:tcW w:w="848" w:type="dxa"/>
            <w:tcBorders>
              <w:top w:val="single" w:color="auto" w:sz="4" w:space="0"/>
              <w:left w:val="single" w:color="auto" w:sz="4" w:space="0"/>
              <w:bottom w:val="single" w:color="auto" w:sz="4" w:space="0"/>
              <w:right w:val="single" w:color="auto" w:sz="4" w:space="0"/>
            </w:tcBorders>
          </w:tcPr>
          <w:p w14:paraId="22F48FE7">
            <w:pPr>
              <w:widowControl/>
              <w:spacing w:line="360" w:lineRule="auto"/>
              <w:ind w:firstLine="562" w:firstLineChars="227"/>
              <w:jc w:val="center"/>
              <w:rPr>
                <w:rFonts w:hint="eastAsia" w:ascii="宋体" w:hAnsi="宋体" w:cs="宋体"/>
                <w:sz w:val="24"/>
                <w:lang w:val="zh-CN"/>
              </w:rPr>
            </w:pPr>
          </w:p>
        </w:tc>
      </w:tr>
      <w:tr w14:paraId="27657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2847" w:type="dxa"/>
            <w:tcBorders>
              <w:top w:val="single" w:color="auto" w:sz="4" w:space="0"/>
              <w:left w:val="single" w:color="auto" w:sz="4" w:space="0"/>
              <w:bottom w:val="single" w:color="auto" w:sz="4" w:space="0"/>
              <w:right w:val="single" w:color="auto" w:sz="4" w:space="0"/>
            </w:tcBorders>
            <w:vAlign w:val="center"/>
          </w:tcPr>
          <w:p w14:paraId="354241D3">
            <w:pPr>
              <w:widowControl/>
              <w:spacing w:line="360" w:lineRule="auto"/>
              <w:jc w:val="center"/>
              <w:rPr>
                <w:rFonts w:hint="eastAsia" w:ascii="宋体" w:hAnsi="宋体" w:cs="宋体"/>
                <w:sz w:val="24"/>
                <w:lang w:val="zh-CN"/>
              </w:rPr>
            </w:pPr>
            <w:r>
              <w:rPr>
                <w:rFonts w:hint="eastAsia" w:ascii="宋体" w:hAnsi="宋体" w:cs="宋体"/>
                <w:sz w:val="24"/>
                <w:lang w:val="zh-CN"/>
              </w:rPr>
              <w:t>学员报到</w:t>
            </w:r>
          </w:p>
        </w:tc>
        <w:tc>
          <w:tcPr>
            <w:tcW w:w="2490" w:type="dxa"/>
            <w:tcBorders>
              <w:top w:val="single" w:color="auto" w:sz="4" w:space="0"/>
              <w:left w:val="single" w:color="auto" w:sz="4" w:space="0"/>
              <w:bottom w:val="single" w:color="auto" w:sz="4" w:space="0"/>
              <w:right w:val="single" w:color="auto" w:sz="4" w:space="0"/>
            </w:tcBorders>
            <w:vAlign w:val="center"/>
          </w:tcPr>
          <w:p w14:paraId="49E41498">
            <w:pPr>
              <w:widowControl/>
              <w:spacing w:line="360" w:lineRule="auto"/>
              <w:jc w:val="center"/>
              <w:rPr>
                <w:rFonts w:hint="eastAsia" w:ascii="宋体" w:hAnsi="宋体" w:cs="宋体"/>
                <w:sz w:val="24"/>
                <w:lang w:val="zh-CN"/>
              </w:rPr>
            </w:pPr>
            <w:r>
              <w:rPr>
                <w:rFonts w:hint="eastAsia" w:ascii="宋体" w:hAnsi="宋体" w:cs="宋体"/>
                <w:sz w:val="24"/>
                <w:lang w:val="zh-CN"/>
              </w:rPr>
              <w:t>安排住宿、签到</w:t>
            </w:r>
          </w:p>
        </w:tc>
        <w:tc>
          <w:tcPr>
            <w:tcW w:w="1230" w:type="dxa"/>
            <w:tcBorders>
              <w:top w:val="single" w:color="auto" w:sz="4" w:space="0"/>
              <w:left w:val="single" w:color="auto" w:sz="4" w:space="0"/>
              <w:bottom w:val="single" w:color="auto" w:sz="4" w:space="0"/>
              <w:right w:val="single" w:color="auto" w:sz="4" w:space="0"/>
            </w:tcBorders>
          </w:tcPr>
          <w:p w14:paraId="4DF6D5FF">
            <w:pPr>
              <w:widowControl/>
              <w:spacing w:line="360" w:lineRule="auto"/>
              <w:ind w:firstLine="562" w:firstLineChars="227"/>
              <w:jc w:val="center"/>
              <w:rPr>
                <w:rFonts w:hint="eastAsia" w:ascii="宋体" w:hAnsi="宋体" w:cs="宋体"/>
                <w:sz w:val="24"/>
                <w:lang w:val="zh-CN"/>
              </w:rPr>
            </w:pPr>
          </w:p>
        </w:tc>
        <w:tc>
          <w:tcPr>
            <w:tcW w:w="1245" w:type="dxa"/>
            <w:tcBorders>
              <w:top w:val="single" w:color="auto" w:sz="4" w:space="0"/>
              <w:left w:val="single" w:color="auto" w:sz="4" w:space="0"/>
              <w:bottom w:val="single" w:color="auto" w:sz="4" w:space="0"/>
              <w:right w:val="single" w:color="auto" w:sz="4" w:space="0"/>
            </w:tcBorders>
          </w:tcPr>
          <w:p w14:paraId="117C7C1E">
            <w:pPr>
              <w:widowControl/>
              <w:spacing w:line="360" w:lineRule="auto"/>
              <w:ind w:firstLine="562" w:firstLineChars="227"/>
              <w:jc w:val="center"/>
              <w:rPr>
                <w:rFonts w:hint="eastAsia" w:ascii="宋体" w:hAnsi="宋体" w:cs="宋体"/>
                <w:sz w:val="24"/>
                <w:lang w:val="zh-CN"/>
              </w:rPr>
            </w:pPr>
          </w:p>
        </w:tc>
        <w:tc>
          <w:tcPr>
            <w:tcW w:w="848" w:type="dxa"/>
            <w:tcBorders>
              <w:top w:val="single" w:color="auto" w:sz="4" w:space="0"/>
              <w:left w:val="single" w:color="auto" w:sz="4" w:space="0"/>
              <w:bottom w:val="single" w:color="auto" w:sz="4" w:space="0"/>
              <w:right w:val="single" w:color="auto" w:sz="4" w:space="0"/>
            </w:tcBorders>
          </w:tcPr>
          <w:p w14:paraId="6FB254A0">
            <w:pPr>
              <w:widowControl/>
              <w:spacing w:line="360" w:lineRule="auto"/>
              <w:ind w:firstLine="562" w:firstLineChars="227"/>
              <w:jc w:val="center"/>
              <w:rPr>
                <w:rFonts w:hint="eastAsia" w:ascii="宋体" w:hAnsi="宋体" w:cs="宋体"/>
                <w:sz w:val="24"/>
                <w:lang w:val="zh-CN"/>
              </w:rPr>
            </w:pPr>
          </w:p>
        </w:tc>
      </w:tr>
    </w:tbl>
    <w:p w14:paraId="7A253FD9">
      <w:pPr>
        <w:spacing w:line="480" w:lineRule="exact"/>
        <w:rPr>
          <w:rFonts w:hint="eastAsia" w:ascii="宋体" w:hAnsi="宋体" w:cs="宋体"/>
          <w:b/>
          <w:sz w:val="24"/>
        </w:rPr>
      </w:pPr>
      <w:r>
        <w:rPr>
          <w:rFonts w:hint="eastAsia" w:ascii="宋体" w:hAnsi="宋体" w:cs="宋体"/>
          <w:b/>
          <w:sz w:val="24"/>
        </w:rPr>
        <w:t>B.培训实施</w:t>
      </w:r>
    </w:p>
    <w:p w14:paraId="020F5F92">
      <w:pPr>
        <w:spacing w:line="480" w:lineRule="exact"/>
        <w:ind w:firstLine="420"/>
        <w:rPr>
          <w:rFonts w:hint="eastAsia" w:ascii="宋体" w:hAnsi="宋体" w:cs="宋体"/>
          <w:sz w:val="24"/>
          <w:lang w:val="zh-CN"/>
        </w:rPr>
      </w:pPr>
      <w:r>
        <w:rPr>
          <w:rFonts w:hint="eastAsia" w:ascii="宋体" w:hAnsi="宋体" w:cs="宋体"/>
          <w:sz w:val="24"/>
          <w:lang w:val="zh-CN"/>
        </w:rPr>
        <w:t>在培训的开始，由每期培训班的课堂负责人，负责考勤及活动组织。要求每天的上午、下午正式上课时需要签到。</w:t>
      </w:r>
    </w:p>
    <w:p w14:paraId="22D221B5">
      <w:pPr>
        <w:spacing w:line="480" w:lineRule="exact"/>
        <w:ind w:firstLine="420"/>
        <w:rPr>
          <w:rFonts w:hint="eastAsia" w:ascii="宋体" w:hAnsi="宋体" w:cs="宋体"/>
          <w:sz w:val="24"/>
          <w:lang w:val="zh-CN"/>
        </w:rPr>
      </w:pPr>
      <w:r>
        <w:rPr>
          <w:rFonts w:hint="eastAsia" w:ascii="宋体" w:hAnsi="宋体" w:cs="宋体"/>
          <w:sz w:val="24"/>
          <w:lang w:val="zh-CN"/>
        </w:rPr>
        <w:t>在培训的过程中，培训讲师会根据课程表的安排进行讲解。每一期培训班的内容将设置多个环节，每一个环节都分为授课和练习两部分，授课部分将按照培训讲义对当期培训班所设置的内容进行详细的介绍，并配有培训教材以做参考。练习部分要求学员按照事先准备好的案例进行实际操作，以加强对所学知识的记忆和理解。</w:t>
      </w:r>
    </w:p>
    <w:p w14:paraId="7263E309">
      <w:pPr>
        <w:spacing w:line="480" w:lineRule="exact"/>
        <w:ind w:firstLine="420"/>
        <w:rPr>
          <w:rFonts w:hint="eastAsia" w:ascii="宋体" w:hAnsi="宋体" w:cs="宋体"/>
          <w:sz w:val="24"/>
          <w:lang w:val="zh-CN"/>
        </w:rPr>
      </w:pPr>
      <w:r>
        <w:rPr>
          <w:rFonts w:hint="eastAsia" w:ascii="宋体" w:hAnsi="宋体" w:cs="宋体"/>
          <w:sz w:val="24"/>
          <w:lang w:val="zh-CN"/>
        </w:rPr>
        <w:t>在课堂上，参与培训人员若有疑问，可先记录下来课下交给讲课老师，讲课老师将在练习阶段或下一个培训环节给予答复。</w:t>
      </w:r>
    </w:p>
    <w:p w14:paraId="7D09CFA5">
      <w:pPr>
        <w:spacing w:line="480" w:lineRule="exact"/>
        <w:ind w:firstLine="420"/>
        <w:rPr>
          <w:rFonts w:hint="eastAsia" w:ascii="宋体" w:hAnsi="宋体" w:cs="宋体"/>
          <w:sz w:val="24"/>
          <w:lang w:val="zh-CN"/>
        </w:rPr>
      </w:pPr>
      <w:r>
        <w:rPr>
          <w:rFonts w:hint="eastAsia" w:ascii="宋体" w:hAnsi="宋体" w:cs="宋体"/>
          <w:sz w:val="24"/>
          <w:lang w:val="zh-CN"/>
        </w:rPr>
        <w:t>讲课老师及辅导老师每天把培训人员的疑问进行记录下来，汇总并提炼后形成问题集锦，在培训结束时发放给每一位培训人员。</w:t>
      </w:r>
    </w:p>
    <w:p w14:paraId="7C6FE50C">
      <w:pPr>
        <w:spacing w:line="480" w:lineRule="exact"/>
        <w:rPr>
          <w:rFonts w:hint="eastAsia" w:ascii="宋体" w:hAnsi="宋体" w:cs="宋体"/>
          <w:b/>
          <w:sz w:val="24"/>
        </w:rPr>
      </w:pPr>
      <w:r>
        <w:rPr>
          <w:rFonts w:hint="eastAsia" w:ascii="宋体" w:hAnsi="宋体" w:cs="宋体"/>
          <w:b/>
          <w:sz w:val="24"/>
        </w:rPr>
        <w:t>C.培训评估</w:t>
      </w:r>
    </w:p>
    <w:p w14:paraId="6BB30427">
      <w:pPr>
        <w:spacing w:line="480" w:lineRule="exact"/>
        <w:ind w:firstLine="420"/>
        <w:rPr>
          <w:rFonts w:hint="eastAsia" w:ascii="宋体" w:hAnsi="宋体" w:cs="宋体"/>
          <w:sz w:val="24"/>
          <w:lang w:val="zh-CN"/>
        </w:rPr>
      </w:pPr>
      <w:r>
        <w:rPr>
          <w:rFonts w:hint="eastAsia" w:ascii="宋体" w:hAnsi="宋体" w:cs="宋体"/>
          <w:sz w:val="24"/>
          <w:lang w:val="zh-CN"/>
        </w:rPr>
        <w:t>培训结束后，需要对培训效果进行及时评估，以检验培训目标能否实现。培训评估由二部分组成：一是各参与培训的人员考试成绩；二是培训人员对培训提交的效果反馈。</w:t>
      </w:r>
    </w:p>
    <w:p w14:paraId="4DB343AE">
      <w:pPr>
        <w:spacing w:line="480" w:lineRule="exact"/>
        <w:ind w:firstLine="420"/>
        <w:rPr>
          <w:rFonts w:hint="eastAsia" w:ascii="宋体" w:hAnsi="宋体" w:cs="宋体"/>
          <w:sz w:val="24"/>
          <w:lang w:val="zh-CN"/>
        </w:rPr>
      </w:pPr>
      <w:r>
        <w:rPr>
          <w:rFonts w:hint="eastAsia" w:ascii="宋体" w:hAnsi="宋体" w:cs="宋体"/>
          <w:sz w:val="24"/>
          <w:lang w:val="zh-CN"/>
        </w:rPr>
        <w:t>对人员进行考试时，要包括二部分内容，理论考试与上机考核。理论考试由项目小组共同出题，类型主要是选择题与问答题。理论考试与上机考试的满分都为100分，70分为合格线。</w:t>
      </w:r>
    </w:p>
    <w:p w14:paraId="71383942">
      <w:pPr>
        <w:spacing w:line="480" w:lineRule="exact"/>
        <w:ind w:firstLine="420"/>
        <w:rPr>
          <w:rFonts w:hint="eastAsia" w:ascii="宋体" w:hAnsi="宋体" w:cs="宋体"/>
          <w:sz w:val="24"/>
          <w:lang w:val="zh-CN"/>
        </w:rPr>
      </w:pPr>
      <w:r>
        <w:rPr>
          <w:rFonts w:hint="eastAsia" w:ascii="宋体" w:hAnsi="宋体" w:cs="宋体"/>
          <w:sz w:val="24"/>
          <w:lang w:val="zh-CN"/>
        </w:rPr>
        <w:t>培训质量反馈，由参与培训的人员填完后并提交后，汇总至项目经理进行分析，特别是应关注其中的改正意见方面，积极采纳合理的反馈意见，作为下次培训工作的改进依据。</w:t>
      </w:r>
    </w:p>
    <w:p w14:paraId="14F98B05">
      <w:pPr>
        <w:spacing w:line="480" w:lineRule="exact"/>
        <w:ind w:firstLine="420"/>
        <w:rPr>
          <w:rFonts w:hint="eastAsia" w:ascii="宋体" w:hAnsi="宋体" w:cs="宋体"/>
          <w:sz w:val="24"/>
          <w:lang w:val="zh-CN"/>
        </w:rPr>
      </w:pPr>
      <w:r>
        <w:rPr>
          <w:rFonts w:hint="eastAsia" w:ascii="宋体" w:hAnsi="宋体" w:cs="宋体"/>
          <w:sz w:val="24"/>
          <w:lang w:val="zh-CN"/>
        </w:rPr>
        <w:t>培训评估后，培训负责人需将培训工作进行总结，形成培训工作报告并提交项目经理。</w:t>
      </w:r>
    </w:p>
    <w:p w14:paraId="445703FA">
      <w:pPr>
        <w:pStyle w:val="4"/>
        <w:spacing w:before="0" w:after="0" w:line="480" w:lineRule="exact"/>
        <w:rPr>
          <w:rFonts w:hint="eastAsia" w:ascii="宋体" w:hAnsi="宋体" w:eastAsia="宋体" w:cs="宋体"/>
          <w:sz w:val="24"/>
          <w:szCs w:val="24"/>
        </w:rPr>
      </w:pPr>
      <w:r>
        <w:rPr>
          <w:rFonts w:hint="eastAsia" w:ascii="宋体" w:hAnsi="宋体" w:eastAsia="宋体" w:cs="宋体"/>
          <w:sz w:val="24"/>
          <w:szCs w:val="24"/>
        </w:rPr>
        <w:t>7、培训内容及安排</w:t>
      </w:r>
    </w:p>
    <w:p w14:paraId="59405A65">
      <w:pPr>
        <w:spacing w:line="480" w:lineRule="exact"/>
        <w:rPr>
          <w:rFonts w:hint="eastAsia" w:ascii="宋体" w:hAnsi="宋体" w:cs="宋体"/>
          <w:b/>
          <w:bCs/>
          <w:sz w:val="24"/>
        </w:rPr>
      </w:pPr>
      <w:r>
        <w:rPr>
          <w:rFonts w:hint="eastAsia" w:ascii="宋体" w:hAnsi="宋体" w:cs="宋体"/>
          <w:b/>
          <w:bCs/>
          <w:sz w:val="24"/>
        </w:rPr>
        <w:t xml:space="preserve">培训计划表 </w:t>
      </w:r>
    </w:p>
    <w:p w14:paraId="14D8C6F6">
      <w:pPr>
        <w:spacing w:line="480" w:lineRule="exact"/>
        <w:rPr>
          <w:rFonts w:hint="eastAsia" w:ascii="宋体" w:hAnsi="宋体" w:cs="宋体"/>
          <w:sz w:val="24"/>
        </w:rPr>
      </w:pPr>
      <w:r>
        <w:rPr>
          <w:rFonts w:hint="eastAsia" w:ascii="宋体" w:hAnsi="宋体" w:cs="宋体"/>
          <w:sz w:val="24"/>
        </w:rPr>
        <w:t>提供3-4名技术工程师现场培训指导</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
        <w:gridCol w:w="5588"/>
        <w:gridCol w:w="2080"/>
      </w:tblGrid>
      <w:tr w14:paraId="1945C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952" w:type="dxa"/>
            <w:vAlign w:val="center"/>
          </w:tcPr>
          <w:p w14:paraId="5B557EEB">
            <w:pPr>
              <w:spacing w:line="360" w:lineRule="auto"/>
              <w:ind w:right="-17"/>
              <w:jc w:val="center"/>
              <w:textAlignment w:val="bottom"/>
              <w:rPr>
                <w:rFonts w:hint="eastAsia" w:ascii="宋体" w:hAnsi="宋体" w:cs="宋体"/>
                <w:sz w:val="24"/>
              </w:rPr>
            </w:pPr>
            <w:r>
              <w:rPr>
                <w:rFonts w:hint="eastAsia" w:ascii="宋体" w:hAnsi="宋体" w:cs="宋体"/>
                <w:sz w:val="24"/>
              </w:rPr>
              <w:t>序号</w:t>
            </w:r>
          </w:p>
        </w:tc>
        <w:tc>
          <w:tcPr>
            <w:tcW w:w="5588" w:type="dxa"/>
            <w:vAlign w:val="center"/>
          </w:tcPr>
          <w:p w14:paraId="79F2D602">
            <w:pPr>
              <w:spacing w:line="360" w:lineRule="auto"/>
              <w:ind w:right="-17"/>
              <w:jc w:val="center"/>
              <w:textAlignment w:val="bottom"/>
              <w:rPr>
                <w:rFonts w:hint="eastAsia" w:ascii="宋体" w:hAnsi="宋体" w:cs="宋体"/>
                <w:sz w:val="24"/>
              </w:rPr>
            </w:pPr>
            <w:r>
              <w:rPr>
                <w:rFonts w:hint="eastAsia" w:ascii="宋体" w:hAnsi="宋体" w:cs="宋体"/>
                <w:sz w:val="24"/>
              </w:rPr>
              <w:t>培训内容</w:t>
            </w:r>
          </w:p>
        </w:tc>
        <w:tc>
          <w:tcPr>
            <w:tcW w:w="2080" w:type="dxa"/>
            <w:vAlign w:val="center"/>
          </w:tcPr>
          <w:p w14:paraId="7409065B">
            <w:pPr>
              <w:spacing w:line="360" w:lineRule="auto"/>
              <w:ind w:right="-17"/>
              <w:textAlignment w:val="bottom"/>
              <w:rPr>
                <w:rFonts w:hint="eastAsia" w:ascii="宋体" w:hAnsi="宋体" w:cs="宋体"/>
                <w:sz w:val="24"/>
              </w:rPr>
            </w:pPr>
            <w:r>
              <w:rPr>
                <w:rFonts w:hint="eastAsia" w:ascii="宋体" w:hAnsi="宋体" w:cs="宋体"/>
                <w:sz w:val="24"/>
              </w:rPr>
              <w:t>培训课时（日历日）</w:t>
            </w:r>
          </w:p>
        </w:tc>
      </w:tr>
      <w:tr w14:paraId="19B5E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952" w:type="dxa"/>
            <w:vAlign w:val="center"/>
          </w:tcPr>
          <w:p w14:paraId="24D05C3B">
            <w:pPr>
              <w:spacing w:line="360" w:lineRule="auto"/>
              <w:ind w:right="-17"/>
              <w:jc w:val="center"/>
              <w:textAlignment w:val="bottom"/>
              <w:rPr>
                <w:rFonts w:hint="eastAsia" w:ascii="宋体" w:hAnsi="宋体" w:cs="宋体"/>
                <w:sz w:val="24"/>
              </w:rPr>
            </w:pPr>
            <w:r>
              <w:rPr>
                <w:rFonts w:hint="eastAsia" w:ascii="宋体" w:hAnsi="宋体" w:cs="宋体"/>
                <w:sz w:val="24"/>
              </w:rPr>
              <w:t>1</w:t>
            </w:r>
          </w:p>
        </w:tc>
        <w:tc>
          <w:tcPr>
            <w:tcW w:w="5588" w:type="dxa"/>
            <w:vAlign w:val="center"/>
          </w:tcPr>
          <w:p w14:paraId="686EF988">
            <w:pPr>
              <w:spacing w:line="360" w:lineRule="auto"/>
              <w:ind w:right="-17"/>
              <w:jc w:val="center"/>
              <w:textAlignment w:val="bottom"/>
              <w:rPr>
                <w:rFonts w:hint="eastAsia" w:ascii="宋体" w:hAnsi="宋体" w:cs="宋体"/>
                <w:sz w:val="24"/>
              </w:rPr>
            </w:pPr>
            <w:r>
              <w:rPr>
                <w:rFonts w:hint="eastAsia" w:ascii="宋体" w:hAnsi="宋体" w:cs="宋体"/>
                <w:sz w:val="24"/>
              </w:rPr>
              <w:t>系统设备的安装情况、设备实物介绍</w:t>
            </w:r>
          </w:p>
        </w:tc>
        <w:tc>
          <w:tcPr>
            <w:tcW w:w="2080" w:type="dxa"/>
            <w:vMerge w:val="restart"/>
            <w:vAlign w:val="center"/>
          </w:tcPr>
          <w:p w14:paraId="0467B5CB">
            <w:pPr>
              <w:spacing w:line="360" w:lineRule="auto"/>
              <w:ind w:right="-17"/>
              <w:jc w:val="center"/>
              <w:textAlignment w:val="bottom"/>
              <w:rPr>
                <w:rFonts w:hint="eastAsia" w:ascii="宋体" w:hAnsi="宋体" w:cs="宋体"/>
                <w:sz w:val="24"/>
              </w:rPr>
            </w:pPr>
            <w:r>
              <w:rPr>
                <w:rFonts w:hint="eastAsia" w:ascii="宋体" w:hAnsi="宋体" w:cs="宋体"/>
                <w:sz w:val="24"/>
              </w:rPr>
              <w:t>2</w:t>
            </w:r>
          </w:p>
        </w:tc>
      </w:tr>
      <w:tr w14:paraId="4E2F7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952" w:type="dxa"/>
            <w:vAlign w:val="center"/>
          </w:tcPr>
          <w:p w14:paraId="72B80D3F">
            <w:pPr>
              <w:spacing w:line="360" w:lineRule="auto"/>
              <w:ind w:right="-17"/>
              <w:jc w:val="center"/>
              <w:textAlignment w:val="bottom"/>
              <w:rPr>
                <w:rFonts w:hint="eastAsia" w:ascii="宋体" w:hAnsi="宋体" w:cs="宋体"/>
                <w:sz w:val="24"/>
              </w:rPr>
            </w:pPr>
            <w:r>
              <w:rPr>
                <w:rFonts w:hint="eastAsia" w:ascii="宋体" w:hAnsi="宋体" w:cs="宋体"/>
                <w:sz w:val="24"/>
              </w:rPr>
              <w:t>2</w:t>
            </w:r>
          </w:p>
        </w:tc>
        <w:tc>
          <w:tcPr>
            <w:tcW w:w="5588" w:type="dxa"/>
            <w:vAlign w:val="center"/>
          </w:tcPr>
          <w:p w14:paraId="19E113D7">
            <w:pPr>
              <w:spacing w:line="360" w:lineRule="auto"/>
              <w:ind w:right="-17"/>
              <w:jc w:val="center"/>
              <w:textAlignment w:val="bottom"/>
              <w:rPr>
                <w:rFonts w:hint="eastAsia" w:ascii="宋体" w:hAnsi="宋体" w:cs="宋体"/>
                <w:sz w:val="24"/>
              </w:rPr>
            </w:pPr>
            <w:r>
              <w:rPr>
                <w:rFonts w:hint="eastAsia" w:ascii="宋体" w:hAnsi="宋体" w:cs="宋体"/>
                <w:sz w:val="24"/>
              </w:rPr>
              <w:t>设备操作、设置，系统操作设置、管理</w:t>
            </w:r>
          </w:p>
        </w:tc>
        <w:tc>
          <w:tcPr>
            <w:tcW w:w="2080" w:type="dxa"/>
            <w:vMerge w:val="continue"/>
            <w:vAlign w:val="center"/>
          </w:tcPr>
          <w:p w14:paraId="6AC2CC96">
            <w:pPr>
              <w:spacing w:line="360" w:lineRule="auto"/>
              <w:ind w:right="-17"/>
              <w:jc w:val="center"/>
              <w:textAlignment w:val="bottom"/>
              <w:rPr>
                <w:rFonts w:hint="eastAsia" w:ascii="宋体" w:hAnsi="宋体" w:cs="宋体"/>
                <w:sz w:val="24"/>
              </w:rPr>
            </w:pPr>
          </w:p>
        </w:tc>
      </w:tr>
      <w:tr w14:paraId="1CAF6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952" w:type="dxa"/>
            <w:vAlign w:val="center"/>
          </w:tcPr>
          <w:p w14:paraId="0E6DCD9D">
            <w:pPr>
              <w:spacing w:line="360" w:lineRule="auto"/>
              <w:ind w:right="-17"/>
              <w:jc w:val="center"/>
              <w:textAlignment w:val="bottom"/>
              <w:rPr>
                <w:rFonts w:hint="eastAsia" w:ascii="宋体" w:hAnsi="宋体" w:cs="宋体"/>
                <w:sz w:val="24"/>
              </w:rPr>
            </w:pPr>
            <w:r>
              <w:rPr>
                <w:rFonts w:hint="eastAsia" w:ascii="宋体" w:hAnsi="宋体" w:cs="宋体"/>
                <w:sz w:val="24"/>
              </w:rPr>
              <w:t>3</w:t>
            </w:r>
          </w:p>
        </w:tc>
        <w:tc>
          <w:tcPr>
            <w:tcW w:w="5588" w:type="dxa"/>
            <w:vAlign w:val="center"/>
          </w:tcPr>
          <w:p w14:paraId="2575B04A">
            <w:pPr>
              <w:spacing w:line="360" w:lineRule="auto"/>
              <w:ind w:right="-17"/>
              <w:jc w:val="center"/>
              <w:textAlignment w:val="bottom"/>
              <w:rPr>
                <w:rFonts w:hint="eastAsia" w:ascii="宋体" w:hAnsi="宋体" w:cs="宋体"/>
                <w:sz w:val="24"/>
              </w:rPr>
            </w:pPr>
            <w:r>
              <w:rPr>
                <w:rFonts w:hint="eastAsia" w:ascii="宋体" w:hAnsi="宋体" w:cs="宋体"/>
                <w:sz w:val="24"/>
              </w:rPr>
              <w:t>设备的日常维护、保养</w:t>
            </w:r>
          </w:p>
        </w:tc>
        <w:tc>
          <w:tcPr>
            <w:tcW w:w="2080" w:type="dxa"/>
            <w:vMerge w:val="continue"/>
            <w:vAlign w:val="center"/>
          </w:tcPr>
          <w:p w14:paraId="2EF8DFD3">
            <w:pPr>
              <w:spacing w:line="360" w:lineRule="auto"/>
              <w:ind w:right="-17"/>
              <w:jc w:val="center"/>
              <w:textAlignment w:val="bottom"/>
              <w:rPr>
                <w:rFonts w:hint="eastAsia" w:ascii="宋体" w:hAnsi="宋体" w:cs="宋体"/>
                <w:sz w:val="24"/>
              </w:rPr>
            </w:pPr>
          </w:p>
        </w:tc>
      </w:tr>
      <w:tr w14:paraId="70BEB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952" w:type="dxa"/>
            <w:vAlign w:val="center"/>
          </w:tcPr>
          <w:p w14:paraId="10DF9C71">
            <w:pPr>
              <w:spacing w:line="360" w:lineRule="auto"/>
              <w:ind w:right="-17"/>
              <w:jc w:val="center"/>
              <w:textAlignment w:val="bottom"/>
              <w:rPr>
                <w:rFonts w:hint="eastAsia" w:ascii="宋体" w:hAnsi="宋体" w:cs="宋体"/>
                <w:sz w:val="24"/>
              </w:rPr>
            </w:pPr>
            <w:r>
              <w:rPr>
                <w:rFonts w:hint="eastAsia" w:ascii="宋体" w:hAnsi="宋体" w:cs="宋体"/>
                <w:sz w:val="24"/>
              </w:rPr>
              <w:t>4</w:t>
            </w:r>
          </w:p>
        </w:tc>
        <w:tc>
          <w:tcPr>
            <w:tcW w:w="5588" w:type="dxa"/>
            <w:vAlign w:val="center"/>
          </w:tcPr>
          <w:p w14:paraId="6D8164C7">
            <w:pPr>
              <w:spacing w:line="360" w:lineRule="auto"/>
              <w:ind w:right="-17"/>
              <w:jc w:val="center"/>
              <w:textAlignment w:val="bottom"/>
              <w:rPr>
                <w:rFonts w:hint="eastAsia" w:ascii="宋体" w:hAnsi="宋体" w:cs="宋体"/>
                <w:sz w:val="24"/>
              </w:rPr>
            </w:pPr>
            <w:r>
              <w:rPr>
                <w:rFonts w:hint="eastAsia" w:ascii="宋体" w:hAnsi="宋体" w:cs="宋体"/>
                <w:sz w:val="24"/>
              </w:rPr>
              <w:t>系统故障排查、应急处理</w:t>
            </w:r>
          </w:p>
        </w:tc>
        <w:tc>
          <w:tcPr>
            <w:tcW w:w="2080" w:type="dxa"/>
            <w:vMerge w:val="continue"/>
            <w:vAlign w:val="center"/>
          </w:tcPr>
          <w:p w14:paraId="18041C4F">
            <w:pPr>
              <w:spacing w:line="360" w:lineRule="auto"/>
              <w:ind w:right="-17"/>
              <w:jc w:val="center"/>
              <w:textAlignment w:val="bottom"/>
              <w:rPr>
                <w:rFonts w:hint="eastAsia" w:ascii="宋体" w:hAnsi="宋体" w:cs="宋体"/>
                <w:sz w:val="24"/>
              </w:rPr>
            </w:pPr>
          </w:p>
        </w:tc>
      </w:tr>
    </w:tbl>
    <w:p w14:paraId="5FDE2854">
      <w:pPr>
        <w:spacing w:line="480" w:lineRule="exact"/>
        <w:rPr>
          <w:rFonts w:hint="eastAsia" w:ascii="宋体" w:hAnsi="宋体" w:cs="宋体"/>
          <w:b/>
          <w:bCs/>
          <w:sz w:val="24"/>
        </w:rPr>
      </w:pPr>
      <w:r>
        <w:rPr>
          <w:rFonts w:hint="eastAsia" w:ascii="宋体" w:hAnsi="宋体" w:cs="宋体"/>
          <w:b/>
          <w:bCs/>
          <w:sz w:val="24"/>
        </w:rPr>
        <w:t>培训费用及地点</w:t>
      </w:r>
    </w:p>
    <w:p w14:paraId="68BE028B">
      <w:pPr>
        <w:spacing w:line="480" w:lineRule="exact"/>
        <w:ind w:firstLine="496" w:firstLineChars="200"/>
        <w:rPr>
          <w:rFonts w:hint="eastAsia" w:ascii="宋体" w:hAnsi="宋体" w:cs="宋体"/>
          <w:sz w:val="24"/>
          <w:lang w:val="zh-CN"/>
        </w:rPr>
      </w:pPr>
      <w:r>
        <w:rPr>
          <w:rFonts w:hint="eastAsia" w:ascii="宋体" w:hAnsi="宋体" w:cs="宋体"/>
          <w:sz w:val="24"/>
          <w:lang w:val="zh-CN"/>
        </w:rPr>
        <w:t>培训费用：免费培训；</w:t>
      </w:r>
    </w:p>
    <w:p w14:paraId="5C747B24">
      <w:pPr>
        <w:spacing w:line="480" w:lineRule="exact"/>
        <w:rPr>
          <w:rFonts w:hint="eastAsia" w:ascii="宋体" w:hAnsi="宋体" w:cs="宋体"/>
          <w:b/>
          <w:bCs/>
          <w:sz w:val="24"/>
        </w:rPr>
      </w:pPr>
      <w:r>
        <w:rPr>
          <w:rFonts w:hint="eastAsia" w:ascii="宋体" w:hAnsi="宋体" w:cs="宋体"/>
          <w:b/>
          <w:bCs/>
          <w:sz w:val="24"/>
        </w:rPr>
        <w:t>现场培训：</w:t>
      </w:r>
    </w:p>
    <w:p w14:paraId="7BA4FC73">
      <w:pPr>
        <w:spacing w:line="480" w:lineRule="exact"/>
        <w:ind w:firstLine="496" w:firstLineChars="200"/>
        <w:rPr>
          <w:rFonts w:hint="eastAsia" w:ascii="宋体" w:hAnsi="宋体" w:cs="宋体"/>
          <w:sz w:val="24"/>
          <w:lang w:val="zh-CN"/>
        </w:rPr>
      </w:pPr>
      <w:r>
        <w:rPr>
          <w:rFonts w:hint="eastAsia" w:ascii="宋体" w:hAnsi="宋体" w:cs="宋体"/>
          <w:sz w:val="24"/>
          <w:lang w:val="zh-CN"/>
        </w:rPr>
        <w:t>每套设备安装调试完毕后，我公司安排专门技术人员对使用单位的设备管理人员进行操作应用及维护保养方面的技能培训，使其掌握基本技能。</w:t>
      </w:r>
    </w:p>
    <w:p w14:paraId="0375C8F5">
      <w:pPr>
        <w:spacing w:line="480" w:lineRule="exact"/>
        <w:rPr>
          <w:rFonts w:hint="eastAsia" w:ascii="宋体" w:hAnsi="宋体" w:cs="宋体"/>
          <w:b/>
          <w:bCs/>
          <w:sz w:val="24"/>
        </w:rPr>
      </w:pPr>
      <w:r>
        <w:rPr>
          <w:rFonts w:hint="eastAsia" w:ascii="宋体" w:hAnsi="宋体" w:cs="宋体"/>
          <w:b/>
          <w:bCs/>
          <w:sz w:val="24"/>
        </w:rPr>
        <w:t>领导专项培训</w:t>
      </w:r>
    </w:p>
    <w:p w14:paraId="58AB182C">
      <w:pPr>
        <w:spacing w:line="480" w:lineRule="exact"/>
        <w:ind w:firstLine="496" w:firstLineChars="200"/>
        <w:rPr>
          <w:rFonts w:hint="eastAsia" w:ascii="宋体" w:hAnsi="宋体" w:cs="宋体"/>
          <w:sz w:val="24"/>
          <w:lang w:val="zh-CN"/>
        </w:rPr>
      </w:pPr>
      <w:r>
        <w:rPr>
          <w:rFonts w:hint="eastAsia" w:ascii="宋体" w:hAnsi="宋体" w:cs="宋体"/>
          <w:sz w:val="24"/>
          <w:lang w:val="zh-CN"/>
        </w:rPr>
        <w:t>培训目标：监控系统给管理提升带来改变</w:t>
      </w:r>
    </w:p>
    <w:p w14:paraId="36CB4087">
      <w:pPr>
        <w:spacing w:line="480" w:lineRule="exact"/>
        <w:ind w:firstLine="496" w:firstLineChars="200"/>
        <w:rPr>
          <w:rFonts w:hint="eastAsia" w:ascii="宋体" w:hAnsi="宋体" w:cs="宋体"/>
          <w:sz w:val="24"/>
          <w:lang w:val="zh-CN"/>
        </w:rPr>
      </w:pPr>
      <w:r>
        <w:rPr>
          <w:rFonts w:hint="eastAsia" w:ascii="宋体" w:hAnsi="宋体" w:cs="宋体"/>
          <w:sz w:val="24"/>
          <w:lang w:val="zh-CN"/>
        </w:rPr>
        <w:t>授课人员：项目经理及主要技术负责人</w:t>
      </w:r>
    </w:p>
    <w:p w14:paraId="2E774E24">
      <w:pPr>
        <w:spacing w:line="480" w:lineRule="exact"/>
        <w:ind w:firstLine="496" w:firstLineChars="200"/>
        <w:rPr>
          <w:rFonts w:hint="eastAsia" w:ascii="宋体" w:hAnsi="宋体" w:cs="宋体"/>
          <w:sz w:val="24"/>
          <w:lang w:val="zh-CN"/>
        </w:rPr>
      </w:pPr>
      <w:r>
        <w:rPr>
          <w:rFonts w:hint="eastAsia" w:ascii="宋体" w:hAnsi="宋体" w:cs="宋体"/>
          <w:sz w:val="24"/>
          <w:lang w:val="zh-CN"/>
        </w:rPr>
        <w:t>培训方式：“贴身式”培训</w:t>
      </w:r>
    </w:p>
    <w:p w14:paraId="31FD7F6A">
      <w:pPr>
        <w:spacing w:line="480" w:lineRule="exact"/>
        <w:ind w:firstLine="496" w:firstLineChars="200"/>
        <w:rPr>
          <w:rFonts w:hint="eastAsia" w:ascii="宋体" w:hAnsi="宋体" w:cs="宋体"/>
          <w:sz w:val="24"/>
          <w:lang w:val="zh-CN"/>
        </w:rPr>
      </w:pPr>
      <w:r>
        <w:rPr>
          <w:rFonts w:hint="eastAsia" w:ascii="宋体" w:hAnsi="宋体" w:cs="宋体"/>
          <w:sz w:val="24"/>
          <w:lang w:val="zh-CN"/>
        </w:rPr>
        <w:t>培训人数：依照领导人数而定</w:t>
      </w:r>
    </w:p>
    <w:p w14:paraId="650DD228">
      <w:pPr>
        <w:spacing w:line="480" w:lineRule="exact"/>
        <w:rPr>
          <w:rFonts w:hint="eastAsia" w:ascii="宋体" w:hAnsi="宋体" w:cs="宋体"/>
          <w:b/>
          <w:bCs/>
          <w:sz w:val="24"/>
        </w:rPr>
      </w:pPr>
      <w:r>
        <w:rPr>
          <w:rFonts w:hint="eastAsia" w:ascii="宋体" w:hAnsi="宋体" w:cs="宋体"/>
          <w:b/>
          <w:bCs/>
          <w:sz w:val="24"/>
        </w:rPr>
        <w:t>普通老师培训</w:t>
      </w:r>
    </w:p>
    <w:p w14:paraId="5E4441C4">
      <w:pPr>
        <w:spacing w:line="480" w:lineRule="exact"/>
        <w:ind w:firstLine="496" w:firstLineChars="200"/>
        <w:rPr>
          <w:rFonts w:hint="eastAsia" w:ascii="宋体" w:hAnsi="宋体" w:cs="宋体"/>
          <w:sz w:val="24"/>
          <w:lang w:val="zh-CN"/>
        </w:rPr>
      </w:pPr>
      <w:r>
        <w:rPr>
          <w:rFonts w:hint="eastAsia" w:ascii="宋体" w:hAnsi="宋体" w:cs="宋体"/>
          <w:sz w:val="24"/>
          <w:lang w:val="zh-CN"/>
        </w:rPr>
        <w:t>培训目标：熟练使用监控操作，能处理使用中的简单问题或故障</w:t>
      </w:r>
    </w:p>
    <w:p w14:paraId="7B9BD1FE">
      <w:pPr>
        <w:spacing w:line="480" w:lineRule="exact"/>
        <w:ind w:firstLine="496" w:firstLineChars="200"/>
        <w:rPr>
          <w:rFonts w:hint="eastAsia" w:ascii="宋体" w:hAnsi="宋体" w:cs="宋体"/>
          <w:sz w:val="24"/>
          <w:lang w:val="zh-CN"/>
        </w:rPr>
      </w:pPr>
      <w:r>
        <w:rPr>
          <w:rFonts w:hint="eastAsia" w:ascii="宋体" w:hAnsi="宋体" w:cs="宋体"/>
          <w:sz w:val="24"/>
          <w:lang w:val="zh-CN"/>
        </w:rPr>
        <w:t>授课人员：项目经理及主要技术负责人</w:t>
      </w:r>
    </w:p>
    <w:p w14:paraId="23D3FCA7">
      <w:pPr>
        <w:spacing w:line="480" w:lineRule="exact"/>
        <w:ind w:firstLine="496" w:firstLineChars="200"/>
        <w:rPr>
          <w:rFonts w:hint="eastAsia" w:ascii="宋体" w:hAnsi="宋体" w:cs="宋体"/>
          <w:sz w:val="24"/>
          <w:lang w:val="zh-CN"/>
        </w:rPr>
      </w:pPr>
      <w:r>
        <w:rPr>
          <w:rFonts w:hint="eastAsia" w:ascii="宋体" w:hAnsi="宋体" w:cs="宋体"/>
          <w:sz w:val="24"/>
          <w:lang w:val="zh-CN"/>
        </w:rPr>
        <w:t>培训形式：集中式培训</w:t>
      </w:r>
    </w:p>
    <w:p w14:paraId="1690646B">
      <w:pPr>
        <w:spacing w:line="480" w:lineRule="exact"/>
        <w:ind w:firstLine="496" w:firstLineChars="200"/>
        <w:rPr>
          <w:rFonts w:hint="eastAsia" w:ascii="宋体" w:hAnsi="宋体" w:cs="宋体"/>
          <w:sz w:val="24"/>
          <w:lang w:val="zh-CN"/>
        </w:rPr>
      </w:pPr>
      <w:r>
        <w:rPr>
          <w:rFonts w:hint="eastAsia" w:ascii="宋体" w:hAnsi="宋体" w:cs="宋体"/>
          <w:sz w:val="24"/>
          <w:lang w:val="zh-CN"/>
        </w:rPr>
        <w:t>培训人数：依照领导人数而定</w:t>
      </w:r>
    </w:p>
    <w:p w14:paraId="3C6916DE">
      <w:pPr>
        <w:spacing w:line="480" w:lineRule="exact"/>
        <w:rPr>
          <w:rFonts w:hint="eastAsia" w:ascii="宋体" w:hAnsi="宋体" w:cs="宋体"/>
          <w:b/>
          <w:bCs/>
          <w:sz w:val="24"/>
        </w:rPr>
      </w:pPr>
      <w:r>
        <w:rPr>
          <w:rFonts w:hint="eastAsia" w:ascii="宋体" w:hAnsi="宋体" w:cs="宋体"/>
          <w:b/>
          <w:bCs/>
          <w:sz w:val="24"/>
        </w:rPr>
        <w:t>系统管理运维人员培训</w:t>
      </w:r>
    </w:p>
    <w:p w14:paraId="269F0CC1">
      <w:pPr>
        <w:spacing w:line="480" w:lineRule="exact"/>
        <w:ind w:firstLine="496" w:firstLineChars="200"/>
        <w:rPr>
          <w:rFonts w:hint="eastAsia" w:ascii="宋体" w:hAnsi="宋体" w:cs="宋体"/>
          <w:sz w:val="24"/>
          <w:lang w:val="zh-CN"/>
        </w:rPr>
      </w:pPr>
      <w:r>
        <w:rPr>
          <w:rFonts w:hint="eastAsia" w:ascii="宋体" w:hAnsi="宋体" w:cs="宋体"/>
          <w:sz w:val="24"/>
          <w:lang w:val="zh-CN"/>
        </w:rPr>
        <w:t>培训目标：能够处理监控及网络系统使用过程中常见的故障</w:t>
      </w:r>
    </w:p>
    <w:p w14:paraId="3EB9143E">
      <w:pPr>
        <w:spacing w:line="480" w:lineRule="exact"/>
        <w:ind w:firstLine="496" w:firstLineChars="200"/>
        <w:rPr>
          <w:rFonts w:hint="eastAsia" w:ascii="宋体" w:hAnsi="宋体" w:cs="宋体"/>
          <w:sz w:val="24"/>
          <w:lang w:val="zh-CN"/>
        </w:rPr>
      </w:pPr>
      <w:r>
        <w:rPr>
          <w:rFonts w:hint="eastAsia" w:ascii="宋体" w:hAnsi="宋体" w:cs="宋体"/>
          <w:sz w:val="24"/>
          <w:lang w:val="zh-CN"/>
        </w:rPr>
        <w:t>授课人员：技术实施经理</w:t>
      </w:r>
    </w:p>
    <w:p w14:paraId="5D4A56FA">
      <w:pPr>
        <w:spacing w:line="480" w:lineRule="exact"/>
        <w:ind w:firstLine="496" w:firstLineChars="200"/>
        <w:rPr>
          <w:rFonts w:hint="eastAsia" w:ascii="宋体" w:hAnsi="宋体" w:cs="宋体"/>
          <w:sz w:val="24"/>
          <w:lang w:val="zh-CN"/>
        </w:rPr>
      </w:pPr>
      <w:r>
        <w:rPr>
          <w:rFonts w:hint="eastAsia" w:ascii="宋体" w:hAnsi="宋体" w:cs="宋体"/>
          <w:sz w:val="24"/>
          <w:lang w:val="zh-CN"/>
        </w:rPr>
        <w:t>培训方式：集中式培训</w:t>
      </w:r>
    </w:p>
    <w:p w14:paraId="07F7A777">
      <w:pPr>
        <w:spacing w:line="480" w:lineRule="exact"/>
        <w:ind w:firstLine="496" w:firstLineChars="200"/>
        <w:rPr>
          <w:rFonts w:hint="eastAsia" w:ascii="宋体" w:hAnsi="宋体" w:cs="宋体"/>
          <w:sz w:val="24"/>
          <w:lang w:val="zh-CN"/>
        </w:rPr>
      </w:pPr>
      <w:r>
        <w:rPr>
          <w:rFonts w:hint="eastAsia" w:ascii="宋体" w:hAnsi="宋体" w:cs="宋体"/>
          <w:sz w:val="24"/>
          <w:lang w:val="zh-CN"/>
        </w:rPr>
        <w:t>培训人数：依照领导人数而定</w:t>
      </w:r>
    </w:p>
    <w:p w14:paraId="42E03042">
      <w:pPr>
        <w:spacing w:line="480" w:lineRule="exact"/>
        <w:ind w:firstLine="496" w:firstLineChars="200"/>
        <w:rPr>
          <w:rFonts w:hint="eastAsia" w:ascii="宋体" w:hAnsi="宋体" w:cs="宋体"/>
          <w:sz w:val="24"/>
          <w:lang w:val="zh-CN"/>
        </w:rPr>
      </w:pPr>
      <w:r>
        <w:rPr>
          <w:rFonts w:hint="eastAsia" w:ascii="宋体" w:hAnsi="宋体" w:cs="宋体"/>
          <w:sz w:val="24"/>
          <w:lang w:val="zh-CN"/>
        </w:rPr>
        <w:t>时间估算：与西安铁路职业技术学院负责人协商沟通</w:t>
      </w:r>
    </w:p>
    <w:p w14:paraId="2DA83E60">
      <w:pPr>
        <w:spacing w:line="480" w:lineRule="exact"/>
        <w:ind w:firstLine="496" w:firstLineChars="200"/>
        <w:rPr>
          <w:rFonts w:hint="eastAsia" w:ascii="宋体" w:hAnsi="宋体" w:cs="宋体"/>
          <w:sz w:val="24"/>
          <w:lang w:val="zh-CN"/>
        </w:rPr>
      </w:pPr>
      <w:r>
        <w:rPr>
          <w:rFonts w:hint="eastAsia" w:ascii="宋体" w:hAnsi="宋体" w:cs="宋体"/>
          <w:sz w:val="24"/>
          <w:lang w:val="zh-CN"/>
        </w:rPr>
        <w:t>培训地点：西安铁路职业技术学院负责人指定地点</w:t>
      </w:r>
    </w:p>
    <w:p w14:paraId="2A6DC005">
      <w:pPr>
        <w:spacing w:line="480" w:lineRule="exact"/>
        <w:rPr>
          <w:rFonts w:hint="eastAsia" w:ascii="宋体" w:hAnsi="宋体" w:cs="宋体"/>
          <w:b/>
          <w:bCs/>
          <w:sz w:val="24"/>
          <w:lang w:val="zh-CN"/>
        </w:rPr>
      </w:pPr>
      <w:r>
        <w:rPr>
          <w:rFonts w:hint="eastAsia" w:ascii="宋体" w:hAnsi="宋体" w:cs="宋体"/>
          <w:b/>
          <w:bCs/>
          <w:sz w:val="24"/>
          <w:lang w:val="zh-CN"/>
        </w:rPr>
        <w:t>培训内容</w:t>
      </w:r>
    </w:p>
    <w:p w14:paraId="4F6C3CCF">
      <w:pPr>
        <w:spacing w:line="480" w:lineRule="exact"/>
        <w:ind w:firstLine="496" w:firstLineChars="200"/>
        <w:rPr>
          <w:rFonts w:hint="eastAsia" w:ascii="宋体" w:hAnsi="宋体" w:cs="宋体"/>
          <w:sz w:val="24"/>
          <w:lang w:val="zh-CN"/>
        </w:rPr>
      </w:pPr>
      <w:r>
        <w:rPr>
          <w:rFonts w:hint="eastAsia" w:ascii="宋体" w:hAnsi="宋体" w:cs="宋体"/>
          <w:sz w:val="24"/>
          <w:lang w:val="zh-CN"/>
        </w:rPr>
        <w:t>应用设备的目的和范围；应用设备的操作流程以及买方业务流程之间相对应关系；具体操作系统：基础安装、调试与维护；常见问题的处理与解决办法</w:t>
      </w:r>
    </w:p>
    <w:p w14:paraId="0665A57F">
      <w:pPr>
        <w:pStyle w:val="45"/>
        <w:spacing w:line="480" w:lineRule="exact"/>
        <w:rPr>
          <w:rFonts w:hint="eastAsia" w:ascii="宋体" w:hAnsi="宋体" w:cs="宋体"/>
          <w:kern w:val="0"/>
          <w:sz w:val="24"/>
          <w:szCs w:val="24"/>
        </w:rPr>
      </w:pPr>
    </w:p>
    <w:p w14:paraId="7C68556C">
      <w:pPr>
        <w:spacing w:line="360" w:lineRule="auto"/>
        <w:ind w:firstLine="496" w:firstLineChars="200"/>
        <w:rPr>
          <w:rFonts w:hint="eastAsia" w:ascii="宋体" w:hAnsi="宋体" w:eastAsia="宋体" w:cs="宋体"/>
          <w:sz w:val="24"/>
        </w:rPr>
      </w:pPr>
    </w:p>
    <w:p w14:paraId="0A35743E">
      <w:pPr>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sz w:val="24"/>
        </w:rPr>
        <w:br w:type="page"/>
      </w:r>
      <w:bookmarkStart w:id="320" w:name="_Toc5730"/>
    </w:p>
    <w:p w14:paraId="68CBA031">
      <w:pPr>
        <w:pStyle w:val="3"/>
        <w:bidi w:val="0"/>
      </w:pPr>
      <w:bookmarkStart w:id="321" w:name="_Toc3261"/>
      <w:r>
        <w:rPr>
          <w:rFonts w:hint="eastAsia"/>
        </w:rPr>
        <w:t>第五章  投标文件构成及格式</w:t>
      </w:r>
      <w:bookmarkEnd w:id="222"/>
      <w:bookmarkEnd w:id="320"/>
      <w:bookmarkEnd w:id="321"/>
    </w:p>
    <w:p w14:paraId="4BB2C62B">
      <w:pPr>
        <w:spacing w:line="560" w:lineRule="exact"/>
        <w:ind w:firstLine="656" w:firstLineChars="200"/>
        <w:jc w:val="both"/>
        <w:rPr>
          <w:rFonts w:ascii="宋体" w:hAnsi="宋体" w:eastAsia="宋体" w:cs="宋体"/>
          <w:color w:val="000000" w:themeColor="text1"/>
          <w:sz w:val="32"/>
          <w:szCs w:val="32"/>
          <w:highlight w:val="none"/>
          <w14:textFill>
            <w14:solidFill>
              <w14:schemeClr w14:val="tx1"/>
            </w14:solidFill>
          </w14:textFill>
        </w:rPr>
      </w:pPr>
    </w:p>
    <w:p w14:paraId="2BE02E17">
      <w:pPr>
        <w:spacing w:line="560" w:lineRule="exact"/>
        <w:jc w:val="both"/>
        <w:rPr>
          <w:rFonts w:ascii="宋体" w:hAnsi="宋体" w:eastAsia="宋体" w:cs="宋体"/>
          <w:color w:val="000000" w:themeColor="text1"/>
          <w:sz w:val="32"/>
          <w:szCs w:val="32"/>
          <w:highlight w:val="none"/>
          <w14:textFill>
            <w14:solidFill>
              <w14:schemeClr w14:val="tx1"/>
            </w14:solidFill>
          </w14:textFill>
        </w:rPr>
      </w:pPr>
    </w:p>
    <w:p w14:paraId="501EDE10">
      <w:pPr>
        <w:snapToGrid w:val="0"/>
        <w:jc w:val="center"/>
        <w:rPr>
          <w:rFonts w:hint="default" w:ascii="宋体" w:hAnsi="宋体" w:eastAsia="宋体" w:cs="宋体"/>
          <w:b/>
          <w:bCs/>
          <w:color w:val="000000" w:themeColor="text1"/>
          <w:sz w:val="56"/>
          <w:szCs w:val="56"/>
          <w:highlight w:val="none"/>
          <w:lang w:val="en-US" w:eastAsia="zh-CN"/>
          <w14:textFill>
            <w14:solidFill>
              <w14:schemeClr w14:val="tx1"/>
            </w14:solidFill>
          </w14:textFill>
        </w:rPr>
      </w:pPr>
      <w:bookmarkStart w:id="322" w:name="_Toc17434"/>
      <w:r>
        <w:rPr>
          <w:rFonts w:hint="default" w:ascii="宋体" w:hAnsi="宋体" w:eastAsia="宋体" w:cs="宋体"/>
          <w:b/>
          <w:bCs/>
          <w:color w:val="000000" w:themeColor="text1"/>
          <w:sz w:val="56"/>
          <w:szCs w:val="56"/>
          <w:highlight w:val="none"/>
          <w:lang w:val="en-US" w:eastAsia="zh-CN"/>
          <w14:textFill>
            <w14:solidFill>
              <w14:schemeClr w14:val="tx1"/>
            </w14:solidFill>
          </w14:textFill>
        </w:rPr>
        <w:t>西安铁路职业技术学院</w:t>
      </w:r>
      <w:r>
        <w:rPr>
          <w:rFonts w:hint="eastAsia" w:ascii="宋体" w:hAnsi="宋体" w:cs="宋体"/>
          <w:b/>
          <w:bCs/>
          <w:color w:val="000000" w:themeColor="text1"/>
          <w:sz w:val="56"/>
          <w:szCs w:val="56"/>
          <w:highlight w:val="none"/>
          <w:lang w:val="en-US" w:eastAsia="zh-CN"/>
          <w14:textFill>
            <w14:solidFill>
              <w14:schemeClr w14:val="tx1"/>
            </w14:solidFill>
          </w14:textFill>
        </w:rPr>
        <w:t>教学及管理服务系统改造</w:t>
      </w:r>
    </w:p>
    <w:p w14:paraId="0B72CA59">
      <w:pPr>
        <w:bidi w:val="0"/>
      </w:pPr>
    </w:p>
    <w:p w14:paraId="5C3966D4">
      <w:pPr>
        <w:bidi w:val="0"/>
      </w:pPr>
    </w:p>
    <w:p w14:paraId="61F92153">
      <w:pPr>
        <w:snapToGrid w:val="0"/>
        <w:jc w:val="center"/>
        <w:rPr>
          <w:rFonts w:ascii="宋体" w:hAnsi="宋体" w:eastAsia="宋体" w:cs="宋体"/>
          <w:b/>
          <w:bCs/>
          <w:color w:val="000000" w:themeColor="text1"/>
          <w:sz w:val="56"/>
          <w:szCs w:val="56"/>
          <w:highlight w:val="none"/>
          <w14:textFill>
            <w14:solidFill>
              <w14:schemeClr w14:val="tx1"/>
            </w14:solidFill>
          </w14:textFill>
        </w:rPr>
      </w:pPr>
      <w:r>
        <w:rPr>
          <w:rFonts w:hint="eastAsia" w:ascii="宋体" w:hAnsi="宋体" w:eastAsia="宋体" w:cs="宋体"/>
          <w:b/>
          <w:bCs/>
          <w:color w:val="000000" w:themeColor="text1"/>
          <w:sz w:val="56"/>
          <w:szCs w:val="56"/>
          <w:highlight w:val="none"/>
          <w14:textFill>
            <w14:solidFill>
              <w14:schemeClr w14:val="tx1"/>
            </w14:solidFill>
          </w14:textFill>
        </w:rPr>
        <w:t>投标文件</w:t>
      </w:r>
      <w:bookmarkEnd w:id="322"/>
    </w:p>
    <w:p w14:paraId="626BE85E">
      <w:pPr>
        <w:bidi w:val="0"/>
        <w:rPr>
          <w:rFonts w:hint="eastAsia" w:eastAsia="宋体"/>
          <w:lang w:eastAsia="zh-CN"/>
        </w:rPr>
      </w:pPr>
    </w:p>
    <w:p w14:paraId="5AADCB07">
      <w:pPr>
        <w:bidi w:val="0"/>
      </w:pPr>
    </w:p>
    <w:p w14:paraId="4E60D981">
      <w:pPr>
        <w:spacing w:line="560" w:lineRule="exact"/>
        <w:ind w:firstLine="656" w:firstLineChars="200"/>
        <w:jc w:val="center"/>
        <w:rPr>
          <w:rFonts w:hint="eastAsia" w:ascii="宋体" w:hAnsi="宋体" w:eastAsia="宋体" w:cs="宋体"/>
          <w:color w:val="000000" w:themeColor="text1"/>
          <w:sz w:val="32"/>
          <w:szCs w:val="32"/>
          <w:highlight w:val="none"/>
          <w:lang w:eastAsia="zh-CN"/>
          <w14:textFill>
            <w14:solidFill>
              <w14:schemeClr w14:val="tx1"/>
            </w14:solidFill>
          </w14:textFill>
        </w:rPr>
      </w:pPr>
      <w:bookmarkStart w:id="323" w:name="_Toc31589"/>
      <w:r>
        <w:rPr>
          <w:rFonts w:hint="eastAsia" w:ascii="宋体" w:hAnsi="宋体" w:eastAsia="宋体" w:cs="宋体"/>
          <w:b/>
          <w:bCs/>
          <w:color w:val="000000" w:themeColor="text1"/>
          <w:sz w:val="32"/>
          <w:szCs w:val="32"/>
          <w:highlight w:val="none"/>
          <w14:textFill>
            <w14:solidFill>
              <w14:schemeClr w14:val="tx1"/>
            </w14:solidFill>
          </w14:textFill>
        </w:rPr>
        <w:t>项目编号：</w:t>
      </w:r>
      <w:bookmarkEnd w:id="323"/>
      <w:r>
        <w:rPr>
          <w:rFonts w:hint="eastAsia" w:ascii="宋体" w:hAnsi="宋体" w:eastAsia="宋体" w:cs="宋体"/>
          <w:b/>
          <w:bCs/>
          <w:color w:val="000000" w:themeColor="text1"/>
          <w:sz w:val="32"/>
          <w:szCs w:val="32"/>
          <w:highlight w:val="none"/>
          <w:lang w:eastAsia="zh-CN"/>
          <w14:textFill>
            <w14:solidFill>
              <w14:schemeClr w14:val="tx1"/>
            </w14:solidFill>
          </w14:textFill>
        </w:rPr>
        <w:t>ZHPM-ZC-</w:t>
      </w:r>
      <w:r>
        <w:rPr>
          <w:rFonts w:hint="eastAsia" w:ascii="宋体" w:hAnsi="宋体" w:cs="宋体"/>
          <w:b/>
          <w:bCs/>
          <w:color w:val="000000" w:themeColor="text1"/>
          <w:sz w:val="32"/>
          <w:szCs w:val="32"/>
          <w:highlight w:val="none"/>
          <w:lang w:eastAsia="zh-CN"/>
          <w14:textFill>
            <w14:solidFill>
              <w14:schemeClr w14:val="tx1"/>
            </w14:solidFill>
          </w14:textFill>
        </w:rPr>
        <w:t>24746</w:t>
      </w:r>
    </w:p>
    <w:p w14:paraId="52CC9FCF">
      <w:pPr>
        <w:bidi w:val="0"/>
      </w:pPr>
    </w:p>
    <w:p w14:paraId="2E241201">
      <w:pPr>
        <w:bidi w:val="0"/>
        <w:rPr>
          <w:rFonts w:hint="eastAsia" w:eastAsia="宋体"/>
          <w:lang w:eastAsia="zh-CN"/>
        </w:rPr>
      </w:pPr>
    </w:p>
    <w:p w14:paraId="0DEB2D53">
      <w:pPr>
        <w:bidi w:val="0"/>
      </w:pPr>
    </w:p>
    <w:p w14:paraId="3CBA1E66">
      <w:pPr>
        <w:snapToGrid w:val="0"/>
        <w:spacing w:line="480" w:lineRule="auto"/>
        <w:ind w:firstLine="1152" w:firstLineChars="400"/>
        <w:rPr>
          <w:rFonts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lang w:val="zh-CN"/>
          <w14:textFill>
            <w14:solidFill>
              <w14:schemeClr w14:val="tx1"/>
            </w14:solidFill>
          </w14:textFill>
        </w:rPr>
        <w:t>供应商（单位名称及公章）：</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p>
    <w:p w14:paraId="682BFE83">
      <w:pPr>
        <w:snapToGrid w:val="0"/>
        <w:spacing w:line="480" w:lineRule="auto"/>
        <w:ind w:firstLine="1152" w:firstLineChars="400"/>
        <w:jc w:val="both"/>
        <w:rPr>
          <w:rFonts w:ascii="宋体" w:hAnsi="宋体" w:eastAsia="宋体" w:cs="宋体"/>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法定代表人或被授权人（签字或盖章）：</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p>
    <w:p w14:paraId="0ED853A7">
      <w:pPr>
        <w:snapToGrid w:val="0"/>
        <w:spacing w:line="480" w:lineRule="auto"/>
        <w:ind w:firstLine="1152" w:firstLineChars="400"/>
        <w:rPr>
          <w:rFonts w:ascii="宋体" w:hAnsi="宋体" w:eastAsia="宋体" w:cs="宋体"/>
          <w:color w:val="000000" w:themeColor="text1"/>
          <w:sz w:val="28"/>
          <w:szCs w:val="28"/>
          <w:highlight w:val="none"/>
          <w:u w:val="singl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日   期</w:t>
      </w:r>
      <w:r>
        <w:rPr>
          <w:rFonts w:hint="eastAsia" w:ascii="宋体" w:hAnsi="宋体" w:eastAsia="宋体" w:cs="宋体"/>
          <w:color w:val="000000" w:themeColor="text1"/>
          <w:sz w:val="28"/>
          <w:szCs w:val="28"/>
          <w:highlight w:val="none"/>
          <w:lang w:val="zh-CN"/>
          <w14:textFill>
            <w14:solidFill>
              <w14:schemeClr w14:val="tx1"/>
            </w14:solidFill>
          </w14:textFill>
        </w:rPr>
        <w:t>：</w:t>
      </w:r>
      <w:r>
        <w:rPr>
          <w:rFonts w:hint="eastAsia" w:ascii="宋体" w:hAnsi="宋体" w:eastAsia="宋体" w:cs="宋体"/>
          <w:color w:val="000000" w:themeColor="text1"/>
          <w:sz w:val="28"/>
          <w:szCs w:val="28"/>
          <w:highlight w:val="none"/>
          <w:u w:val="single"/>
          <w14:textFill>
            <w14:solidFill>
              <w14:schemeClr w14:val="tx1"/>
            </w14:solidFill>
          </w14:textFill>
        </w:rPr>
        <w:t xml:space="preserve">                                  </w:t>
      </w:r>
    </w:p>
    <w:p w14:paraId="429A2716">
      <w:pPr>
        <w:spacing w:line="560" w:lineRule="exact"/>
        <w:ind w:firstLine="656" w:firstLineChars="200"/>
        <w:jc w:val="both"/>
        <w:rPr>
          <w:rFonts w:ascii="宋体" w:hAnsi="宋体" w:eastAsia="宋体" w:cs="宋体"/>
          <w:color w:val="000000" w:themeColor="text1"/>
          <w:sz w:val="44"/>
          <w:szCs w:val="44"/>
          <w:highlight w:val="none"/>
          <w14:textFill>
            <w14:solidFill>
              <w14:schemeClr w14:val="tx1"/>
            </w14:solidFill>
          </w14:textFill>
        </w:rPr>
      </w:pPr>
      <w:r>
        <w:rPr>
          <w:rFonts w:hint="eastAsia" w:ascii="宋体" w:hAnsi="宋体" w:eastAsia="宋体" w:cs="宋体"/>
          <w:color w:val="000000" w:themeColor="text1"/>
          <w:sz w:val="32"/>
          <w:szCs w:val="32"/>
          <w:highlight w:val="none"/>
          <w14:textFill>
            <w14:solidFill>
              <w14:schemeClr w14:val="tx1"/>
            </w14:solidFill>
          </w14:textFill>
        </w:rPr>
        <w:br w:type="page"/>
      </w:r>
    </w:p>
    <w:p w14:paraId="3C23EFB8">
      <w:pPr>
        <w:spacing w:line="560" w:lineRule="exact"/>
        <w:ind w:firstLine="896" w:firstLineChars="200"/>
        <w:jc w:val="center"/>
        <w:rPr>
          <w:rFonts w:ascii="宋体" w:hAnsi="宋体" w:eastAsia="宋体" w:cs="宋体"/>
          <w:color w:val="000000" w:themeColor="text1"/>
          <w:sz w:val="44"/>
          <w:szCs w:val="44"/>
          <w:highlight w:val="none"/>
          <w14:textFill>
            <w14:solidFill>
              <w14:schemeClr w14:val="tx1"/>
            </w14:solidFill>
          </w14:textFill>
        </w:rPr>
      </w:pPr>
      <w:bookmarkStart w:id="324" w:name="_Toc28284"/>
      <w:r>
        <w:rPr>
          <w:rFonts w:hint="eastAsia" w:ascii="宋体" w:hAnsi="宋体" w:eastAsia="宋体" w:cs="宋体"/>
          <w:color w:val="000000" w:themeColor="text1"/>
          <w:sz w:val="44"/>
          <w:szCs w:val="44"/>
          <w:highlight w:val="none"/>
          <w14:textFill>
            <w14:solidFill>
              <w14:schemeClr w14:val="tx1"/>
            </w14:solidFill>
          </w14:textFill>
        </w:rPr>
        <w:t>目    录</w:t>
      </w:r>
      <w:bookmarkEnd w:id="324"/>
    </w:p>
    <w:p w14:paraId="58B31231">
      <w:pPr>
        <w:spacing w:line="560" w:lineRule="exact"/>
        <w:ind w:firstLine="656" w:firstLineChars="200"/>
        <w:jc w:val="both"/>
        <w:rPr>
          <w:rFonts w:ascii="宋体" w:hAnsi="宋体" w:eastAsia="宋体" w:cs="宋体"/>
          <w:color w:val="000000" w:themeColor="text1"/>
          <w:sz w:val="32"/>
          <w:szCs w:val="32"/>
          <w:highlight w:val="none"/>
          <w14:textFill>
            <w14:solidFill>
              <w14:schemeClr w14:val="tx1"/>
            </w14:solidFill>
          </w14:textFill>
        </w:rPr>
      </w:pPr>
    </w:p>
    <w:p w14:paraId="5A80BA67">
      <w:pPr>
        <w:pStyle w:val="20"/>
        <w:snapToGrid w:val="0"/>
        <w:spacing w:line="480" w:lineRule="auto"/>
        <w:ind w:firstLine="576" w:firstLineChars="200"/>
        <w:rPr>
          <w:rFonts w:hAnsi="宋体" w:eastAsia="宋体" w:cs="宋体"/>
          <w:b/>
          <w:bCs/>
          <w:color w:val="000000" w:themeColor="text1"/>
          <w:sz w:val="28"/>
          <w:szCs w:val="28"/>
          <w:highlight w:val="none"/>
          <w14:textFill>
            <w14:solidFill>
              <w14:schemeClr w14:val="tx1"/>
            </w14:solidFill>
          </w14:textFill>
        </w:rPr>
      </w:pPr>
      <w:r>
        <w:rPr>
          <w:rFonts w:hint="eastAsia" w:hAnsi="宋体" w:eastAsia="宋体" w:cs="宋体"/>
          <w:b/>
          <w:bCs/>
          <w:color w:val="000000" w:themeColor="text1"/>
          <w:sz w:val="28"/>
          <w:szCs w:val="28"/>
          <w:highlight w:val="none"/>
          <w14:textFill>
            <w14:solidFill>
              <w14:schemeClr w14:val="tx1"/>
            </w14:solidFill>
          </w14:textFill>
        </w:rPr>
        <w:t>第一部分   投标函</w:t>
      </w:r>
    </w:p>
    <w:p w14:paraId="6FE13C3D">
      <w:pPr>
        <w:snapToGrid w:val="0"/>
        <w:spacing w:line="480" w:lineRule="auto"/>
        <w:ind w:firstLine="576" w:firstLineChars="200"/>
        <w:rPr>
          <w:rFonts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color w:val="000000" w:themeColor="text1"/>
          <w:sz w:val="28"/>
          <w:szCs w:val="28"/>
          <w:highlight w:val="none"/>
          <w14:textFill>
            <w14:solidFill>
              <w14:schemeClr w14:val="tx1"/>
            </w14:solidFill>
          </w14:textFill>
        </w:rPr>
        <w:t>第二</w:t>
      </w:r>
      <w:r>
        <w:rPr>
          <w:rFonts w:hint="eastAsia" w:ascii="宋体" w:hAnsi="宋体" w:eastAsia="宋体" w:cs="宋体"/>
          <w:b/>
          <w:bCs/>
          <w:color w:val="000000" w:themeColor="text1"/>
          <w:sz w:val="28"/>
          <w:szCs w:val="28"/>
          <w:highlight w:val="none"/>
          <w14:textFill>
            <w14:solidFill>
              <w14:schemeClr w14:val="tx1"/>
            </w14:solidFill>
          </w14:textFill>
        </w:rPr>
        <w:t>部分</w:t>
      </w:r>
      <w:r>
        <w:rPr>
          <w:rFonts w:hint="eastAsia" w:ascii="宋体" w:hAnsi="宋体" w:eastAsia="宋体" w:cs="宋体"/>
          <w:b/>
          <w:color w:val="000000" w:themeColor="text1"/>
          <w:sz w:val="28"/>
          <w:szCs w:val="28"/>
          <w:highlight w:val="none"/>
          <w14:textFill>
            <w14:solidFill>
              <w14:schemeClr w14:val="tx1"/>
            </w14:solidFill>
          </w14:textFill>
        </w:rPr>
        <w:t xml:space="preserve">   开标一览表 </w:t>
      </w:r>
    </w:p>
    <w:p w14:paraId="654E4364">
      <w:pPr>
        <w:pStyle w:val="20"/>
        <w:snapToGrid w:val="0"/>
        <w:spacing w:line="480" w:lineRule="auto"/>
        <w:ind w:firstLine="576" w:firstLineChars="200"/>
        <w:rPr>
          <w:rFonts w:hint="eastAsia" w:hAnsi="宋体" w:eastAsia="宋体" w:cs="宋体"/>
          <w:b/>
          <w:bCs/>
          <w:color w:val="000000" w:themeColor="text1"/>
          <w:sz w:val="28"/>
          <w:szCs w:val="28"/>
          <w:highlight w:val="none"/>
          <w:lang w:eastAsia="zh-CN"/>
          <w14:textFill>
            <w14:solidFill>
              <w14:schemeClr w14:val="tx1"/>
            </w14:solidFill>
          </w14:textFill>
        </w:rPr>
      </w:pPr>
      <w:r>
        <w:rPr>
          <w:rFonts w:hint="eastAsia" w:hAnsi="宋体" w:eastAsia="宋体" w:cs="宋体"/>
          <w:b/>
          <w:bCs/>
          <w:color w:val="000000" w:themeColor="text1"/>
          <w:sz w:val="28"/>
          <w:szCs w:val="28"/>
          <w:highlight w:val="none"/>
          <w14:textFill>
            <w14:solidFill>
              <w14:schemeClr w14:val="tx1"/>
            </w14:solidFill>
          </w14:textFill>
        </w:rPr>
        <w:t xml:space="preserve">第三部分   </w:t>
      </w:r>
      <w:r>
        <w:rPr>
          <w:rFonts w:hint="eastAsia" w:hAnsi="宋体" w:cs="宋体"/>
          <w:b/>
          <w:color w:val="000000" w:themeColor="text1"/>
          <w:sz w:val="28"/>
          <w:szCs w:val="28"/>
          <w:highlight w:val="none"/>
          <w:lang w:eastAsia="zh-CN"/>
          <w14:textFill>
            <w14:solidFill>
              <w14:schemeClr w14:val="tx1"/>
            </w14:solidFill>
          </w14:textFill>
        </w:rPr>
        <w:t>资质证明文件</w:t>
      </w:r>
    </w:p>
    <w:p w14:paraId="7B58223D">
      <w:pPr>
        <w:pStyle w:val="20"/>
        <w:snapToGrid w:val="0"/>
        <w:spacing w:line="480" w:lineRule="auto"/>
        <w:ind w:firstLine="576" w:firstLineChars="200"/>
        <w:rPr>
          <w:rFonts w:hAnsi="宋体" w:eastAsia="宋体" w:cs="宋体"/>
          <w:b/>
          <w:bCs/>
          <w:color w:val="000000" w:themeColor="text1"/>
          <w:sz w:val="28"/>
          <w:szCs w:val="28"/>
          <w:highlight w:val="none"/>
          <w14:textFill>
            <w14:solidFill>
              <w14:schemeClr w14:val="tx1"/>
            </w14:solidFill>
          </w14:textFill>
        </w:rPr>
      </w:pPr>
      <w:r>
        <w:rPr>
          <w:rFonts w:hint="eastAsia" w:hAnsi="宋体" w:eastAsia="宋体" w:cs="宋体"/>
          <w:b/>
          <w:color w:val="000000" w:themeColor="text1"/>
          <w:sz w:val="28"/>
          <w:szCs w:val="28"/>
          <w:highlight w:val="none"/>
          <w14:textFill>
            <w14:solidFill>
              <w14:schemeClr w14:val="tx1"/>
            </w14:solidFill>
          </w14:textFill>
        </w:rPr>
        <w:t>第四</w:t>
      </w:r>
      <w:r>
        <w:rPr>
          <w:rFonts w:hint="eastAsia" w:hAnsi="宋体" w:eastAsia="宋体" w:cs="宋体"/>
          <w:b/>
          <w:bCs/>
          <w:color w:val="000000" w:themeColor="text1"/>
          <w:sz w:val="28"/>
          <w:szCs w:val="28"/>
          <w:highlight w:val="none"/>
          <w14:textFill>
            <w14:solidFill>
              <w14:schemeClr w14:val="tx1"/>
            </w14:solidFill>
          </w14:textFill>
        </w:rPr>
        <w:t>部分</w:t>
      </w:r>
      <w:r>
        <w:rPr>
          <w:rFonts w:hint="eastAsia" w:hAnsi="宋体" w:eastAsia="宋体" w:cs="宋体"/>
          <w:b/>
          <w:color w:val="000000" w:themeColor="text1"/>
          <w:sz w:val="28"/>
          <w:szCs w:val="28"/>
          <w:highlight w:val="none"/>
          <w14:textFill>
            <w14:solidFill>
              <w14:schemeClr w14:val="tx1"/>
            </w14:solidFill>
          </w14:textFill>
        </w:rPr>
        <w:t xml:space="preserve">   供应商概况</w:t>
      </w:r>
    </w:p>
    <w:p w14:paraId="0BC7734B">
      <w:pPr>
        <w:pStyle w:val="20"/>
        <w:snapToGrid w:val="0"/>
        <w:spacing w:line="480" w:lineRule="auto"/>
        <w:ind w:firstLine="576" w:firstLineChars="200"/>
        <w:rPr>
          <w:rFonts w:hAnsi="宋体" w:eastAsia="宋体" w:cs="宋体"/>
          <w:b/>
          <w:color w:val="000000" w:themeColor="text1"/>
          <w:sz w:val="28"/>
          <w:szCs w:val="28"/>
          <w:highlight w:val="none"/>
          <w14:textFill>
            <w14:solidFill>
              <w14:schemeClr w14:val="tx1"/>
            </w14:solidFill>
          </w14:textFill>
        </w:rPr>
      </w:pPr>
      <w:r>
        <w:rPr>
          <w:rFonts w:hint="eastAsia" w:hAnsi="宋体" w:eastAsia="宋体" w:cs="宋体"/>
          <w:b/>
          <w:color w:val="000000" w:themeColor="text1"/>
          <w:sz w:val="28"/>
          <w:szCs w:val="28"/>
          <w:highlight w:val="none"/>
          <w14:textFill>
            <w14:solidFill>
              <w14:schemeClr w14:val="tx1"/>
            </w14:solidFill>
          </w14:textFill>
        </w:rPr>
        <w:t>第五</w:t>
      </w:r>
      <w:r>
        <w:rPr>
          <w:rFonts w:hint="eastAsia" w:hAnsi="宋体" w:eastAsia="宋体" w:cs="宋体"/>
          <w:b/>
          <w:bCs/>
          <w:color w:val="000000" w:themeColor="text1"/>
          <w:sz w:val="28"/>
          <w:szCs w:val="28"/>
          <w:highlight w:val="none"/>
          <w14:textFill>
            <w14:solidFill>
              <w14:schemeClr w14:val="tx1"/>
            </w14:solidFill>
          </w14:textFill>
        </w:rPr>
        <w:t>部分</w:t>
      </w:r>
      <w:r>
        <w:rPr>
          <w:rFonts w:hint="eastAsia" w:hAnsi="宋体" w:eastAsia="宋体" w:cs="宋体"/>
          <w:b/>
          <w:color w:val="000000" w:themeColor="text1"/>
          <w:sz w:val="28"/>
          <w:szCs w:val="28"/>
          <w:highlight w:val="none"/>
          <w14:textFill>
            <w14:solidFill>
              <w14:schemeClr w14:val="tx1"/>
            </w14:solidFill>
          </w14:textFill>
        </w:rPr>
        <w:t xml:space="preserve">   商务和技术响应偏离表</w:t>
      </w:r>
    </w:p>
    <w:p w14:paraId="577EDB0B">
      <w:pPr>
        <w:pStyle w:val="20"/>
        <w:snapToGrid w:val="0"/>
        <w:spacing w:line="480" w:lineRule="auto"/>
        <w:ind w:firstLine="576" w:firstLineChars="200"/>
        <w:rPr>
          <w:rFonts w:hAnsi="宋体" w:eastAsia="宋体" w:cs="宋体"/>
          <w:b/>
          <w:color w:val="000000" w:themeColor="text1"/>
          <w:sz w:val="28"/>
          <w:szCs w:val="28"/>
          <w:highlight w:val="none"/>
          <w14:textFill>
            <w14:solidFill>
              <w14:schemeClr w14:val="tx1"/>
            </w14:solidFill>
          </w14:textFill>
        </w:rPr>
      </w:pPr>
      <w:r>
        <w:rPr>
          <w:rFonts w:hint="eastAsia" w:hAnsi="宋体" w:eastAsia="宋体" w:cs="宋体"/>
          <w:b/>
          <w:color w:val="000000" w:themeColor="text1"/>
          <w:sz w:val="28"/>
          <w:szCs w:val="28"/>
          <w:highlight w:val="none"/>
          <w14:textFill>
            <w14:solidFill>
              <w14:schemeClr w14:val="tx1"/>
            </w14:solidFill>
          </w14:textFill>
        </w:rPr>
        <w:t>第六</w:t>
      </w:r>
      <w:r>
        <w:rPr>
          <w:rFonts w:hint="eastAsia" w:hAnsi="宋体" w:eastAsia="宋体" w:cs="宋体"/>
          <w:b/>
          <w:bCs/>
          <w:color w:val="000000" w:themeColor="text1"/>
          <w:sz w:val="28"/>
          <w:szCs w:val="28"/>
          <w:highlight w:val="none"/>
          <w14:textFill>
            <w14:solidFill>
              <w14:schemeClr w14:val="tx1"/>
            </w14:solidFill>
          </w14:textFill>
        </w:rPr>
        <w:t>部分</w:t>
      </w:r>
      <w:r>
        <w:rPr>
          <w:rFonts w:hint="eastAsia" w:hAnsi="宋体" w:eastAsia="宋体" w:cs="宋体"/>
          <w:b/>
          <w:color w:val="000000" w:themeColor="text1"/>
          <w:sz w:val="28"/>
          <w:szCs w:val="28"/>
          <w:highlight w:val="none"/>
          <w14:textFill>
            <w14:solidFill>
              <w14:schemeClr w14:val="tx1"/>
            </w14:solidFill>
          </w14:textFill>
        </w:rPr>
        <w:t xml:space="preserve">   </w:t>
      </w:r>
      <w:r>
        <w:rPr>
          <w:rFonts w:hint="eastAsia" w:hAnsi="宋体" w:eastAsia="宋体" w:cs="宋体"/>
          <w:b/>
          <w:color w:val="000000" w:themeColor="text1"/>
          <w:sz w:val="28"/>
          <w:szCs w:val="28"/>
          <w:highlight w:val="none"/>
          <w:lang w:val="en-US" w:eastAsia="zh-CN"/>
          <w14:textFill>
            <w14:solidFill>
              <w14:schemeClr w14:val="tx1"/>
            </w14:solidFill>
          </w14:textFill>
        </w:rPr>
        <w:t>投标</w:t>
      </w:r>
      <w:r>
        <w:rPr>
          <w:rFonts w:hint="eastAsia" w:hAnsi="宋体" w:eastAsia="宋体" w:cs="宋体"/>
          <w:b/>
          <w:color w:val="000000" w:themeColor="text1"/>
          <w:sz w:val="28"/>
          <w:szCs w:val="28"/>
          <w:highlight w:val="none"/>
          <w14:textFill>
            <w14:solidFill>
              <w14:schemeClr w14:val="tx1"/>
            </w14:solidFill>
          </w14:textFill>
        </w:rPr>
        <w:t>方案</w:t>
      </w:r>
    </w:p>
    <w:p w14:paraId="005CD29C">
      <w:pPr>
        <w:pStyle w:val="20"/>
        <w:snapToGrid w:val="0"/>
        <w:spacing w:line="480" w:lineRule="auto"/>
        <w:ind w:firstLine="576" w:firstLineChars="200"/>
        <w:rPr>
          <w:rFonts w:hAnsi="宋体" w:eastAsia="宋体" w:cs="宋体"/>
          <w:b/>
          <w:color w:val="000000" w:themeColor="text1"/>
          <w:sz w:val="28"/>
          <w:szCs w:val="28"/>
          <w:highlight w:val="none"/>
          <w14:textFill>
            <w14:solidFill>
              <w14:schemeClr w14:val="tx1"/>
            </w14:solidFill>
          </w14:textFill>
        </w:rPr>
      </w:pPr>
      <w:r>
        <w:rPr>
          <w:rFonts w:hint="eastAsia" w:hAnsi="宋体" w:eastAsia="宋体" w:cs="宋体"/>
          <w:b/>
          <w:color w:val="000000" w:themeColor="text1"/>
          <w:sz w:val="28"/>
          <w:szCs w:val="28"/>
          <w:highlight w:val="none"/>
          <w14:textFill>
            <w14:solidFill>
              <w14:schemeClr w14:val="tx1"/>
            </w14:solidFill>
          </w14:textFill>
        </w:rPr>
        <w:t>第</w:t>
      </w:r>
      <w:r>
        <w:rPr>
          <w:rFonts w:hint="eastAsia" w:hAnsi="宋体" w:cs="宋体"/>
          <w:b/>
          <w:color w:val="000000" w:themeColor="text1"/>
          <w:sz w:val="28"/>
          <w:szCs w:val="28"/>
          <w:highlight w:val="none"/>
          <w:lang w:val="en-US" w:eastAsia="zh-CN"/>
          <w14:textFill>
            <w14:solidFill>
              <w14:schemeClr w14:val="tx1"/>
            </w14:solidFill>
          </w14:textFill>
        </w:rPr>
        <w:t>七</w:t>
      </w:r>
      <w:r>
        <w:rPr>
          <w:rFonts w:hint="eastAsia" w:hAnsi="宋体" w:eastAsia="宋体" w:cs="宋体"/>
          <w:b/>
          <w:bCs/>
          <w:color w:val="000000" w:themeColor="text1"/>
          <w:sz w:val="28"/>
          <w:szCs w:val="28"/>
          <w:highlight w:val="none"/>
          <w14:textFill>
            <w14:solidFill>
              <w14:schemeClr w14:val="tx1"/>
            </w14:solidFill>
          </w14:textFill>
        </w:rPr>
        <w:t>部分</w:t>
      </w:r>
      <w:r>
        <w:rPr>
          <w:rFonts w:hint="eastAsia" w:hAnsi="宋体" w:eastAsia="宋体" w:cs="宋体"/>
          <w:b/>
          <w:color w:val="000000" w:themeColor="text1"/>
          <w:sz w:val="28"/>
          <w:szCs w:val="28"/>
          <w:highlight w:val="none"/>
          <w14:textFill>
            <w14:solidFill>
              <w14:schemeClr w14:val="tx1"/>
            </w14:solidFill>
          </w14:textFill>
        </w:rPr>
        <w:t xml:space="preserve">   供应商业绩一览表</w:t>
      </w:r>
    </w:p>
    <w:p w14:paraId="6D2BC887">
      <w:pPr>
        <w:pStyle w:val="20"/>
        <w:snapToGrid w:val="0"/>
        <w:spacing w:line="480" w:lineRule="auto"/>
        <w:ind w:firstLine="576" w:firstLineChars="200"/>
        <w:rPr>
          <w:rFonts w:hint="eastAsia" w:hAnsi="宋体" w:cs="宋体"/>
          <w:b/>
          <w:color w:val="000000" w:themeColor="text1"/>
          <w:sz w:val="28"/>
          <w:szCs w:val="28"/>
          <w:highlight w:val="none"/>
          <w:lang w:eastAsia="zh-CN"/>
          <w14:textFill>
            <w14:solidFill>
              <w14:schemeClr w14:val="tx1"/>
            </w14:solidFill>
          </w14:textFill>
        </w:rPr>
      </w:pPr>
      <w:r>
        <w:rPr>
          <w:rFonts w:hint="eastAsia" w:hAnsi="宋体" w:eastAsia="宋体" w:cs="宋体"/>
          <w:b/>
          <w:color w:val="000000" w:themeColor="text1"/>
          <w:sz w:val="28"/>
          <w:szCs w:val="28"/>
          <w:highlight w:val="none"/>
          <w14:textFill>
            <w14:solidFill>
              <w14:schemeClr w14:val="tx1"/>
            </w14:solidFill>
          </w14:textFill>
        </w:rPr>
        <w:t>第</w:t>
      </w:r>
      <w:r>
        <w:rPr>
          <w:rFonts w:hint="eastAsia" w:hAnsi="宋体" w:cs="宋体"/>
          <w:b/>
          <w:color w:val="000000" w:themeColor="text1"/>
          <w:sz w:val="28"/>
          <w:szCs w:val="28"/>
          <w:highlight w:val="none"/>
          <w:lang w:val="en-US" w:eastAsia="zh-CN"/>
          <w14:textFill>
            <w14:solidFill>
              <w14:schemeClr w14:val="tx1"/>
            </w14:solidFill>
          </w14:textFill>
        </w:rPr>
        <w:t>八</w:t>
      </w:r>
      <w:r>
        <w:rPr>
          <w:rFonts w:hint="eastAsia" w:hAnsi="宋体" w:eastAsia="宋体" w:cs="宋体"/>
          <w:b/>
          <w:bCs/>
          <w:color w:val="000000" w:themeColor="text1"/>
          <w:sz w:val="28"/>
          <w:szCs w:val="28"/>
          <w:highlight w:val="none"/>
          <w14:textFill>
            <w14:solidFill>
              <w14:schemeClr w14:val="tx1"/>
            </w14:solidFill>
          </w14:textFill>
        </w:rPr>
        <w:t>部分</w:t>
      </w:r>
      <w:r>
        <w:rPr>
          <w:rFonts w:hint="eastAsia" w:hAnsi="宋体" w:eastAsia="宋体" w:cs="宋体"/>
          <w:b/>
          <w:color w:val="000000" w:themeColor="text1"/>
          <w:sz w:val="28"/>
          <w:szCs w:val="28"/>
          <w:highlight w:val="none"/>
          <w14:textFill>
            <w14:solidFill>
              <w14:schemeClr w14:val="tx1"/>
            </w14:solidFill>
          </w14:textFill>
        </w:rPr>
        <w:t xml:space="preserve">   </w:t>
      </w:r>
      <w:r>
        <w:rPr>
          <w:rFonts w:hint="eastAsia" w:hAnsi="宋体" w:cs="宋体"/>
          <w:b/>
          <w:color w:val="000000" w:themeColor="text1"/>
          <w:sz w:val="28"/>
          <w:szCs w:val="28"/>
          <w:highlight w:val="none"/>
          <w:lang w:eastAsia="zh-CN"/>
          <w14:textFill>
            <w14:solidFill>
              <w14:schemeClr w14:val="tx1"/>
            </w14:solidFill>
          </w14:textFill>
        </w:rPr>
        <w:t>供应商参加政府采购活动承诺书</w:t>
      </w:r>
    </w:p>
    <w:p w14:paraId="474E912D">
      <w:pPr>
        <w:pStyle w:val="20"/>
        <w:snapToGrid w:val="0"/>
        <w:spacing w:line="480" w:lineRule="auto"/>
        <w:ind w:firstLine="576" w:firstLineChars="200"/>
        <w:rPr>
          <w:rFonts w:hint="default" w:hAnsi="宋体" w:cs="宋体"/>
          <w:b/>
          <w:color w:val="000000" w:themeColor="text1"/>
          <w:sz w:val="28"/>
          <w:szCs w:val="28"/>
          <w:highlight w:val="none"/>
          <w:lang w:val="en-US" w:eastAsia="zh-CN"/>
          <w14:textFill>
            <w14:solidFill>
              <w14:schemeClr w14:val="tx1"/>
            </w14:solidFill>
          </w14:textFill>
        </w:rPr>
      </w:pPr>
      <w:r>
        <w:rPr>
          <w:rFonts w:hint="eastAsia" w:hAnsi="宋体" w:eastAsia="宋体" w:cs="宋体"/>
          <w:b/>
          <w:color w:val="000000" w:themeColor="text1"/>
          <w:sz w:val="28"/>
          <w:szCs w:val="28"/>
          <w:highlight w:val="none"/>
          <w14:textFill>
            <w14:solidFill>
              <w14:schemeClr w14:val="tx1"/>
            </w14:solidFill>
          </w14:textFill>
        </w:rPr>
        <w:t>第</w:t>
      </w:r>
      <w:r>
        <w:rPr>
          <w:rFonts w:hint="eastAsia" w:hAnsi="宋体" w:cs="宋体"/>
          <w:b/>
          <w:color w:val="000000" w:themeColor="text1"/>
          <w:sz w:val="28"/>
          <w:szCs w:val="28"/>
          <w:highlight w:val="none"/>
          <w:lang w:val="en-US" w:eastAsia="zh-CN"/>
          <w14:textFill>
            <w14:solidFill>
              <w14:schemeClr w14:val="tx1"/>
            </w14:solidFill>
          </w14:textFill>
        </w:rPr>
        <w:t>九</w:t>
      </w:r>
      <w:r>
        <w:rPr>
          <w:rFonts w:hint="eastAsia" w:hAnsi="宋体" w:eastAsia="宋体" w:cs="宋体"/>
          <w:b/>
          <w:bCs/>
          <w:color w:val="000000" w:themeColor="text1"/>
          <w:sz w:val="28"/>
          <w:szCs w:val="28"/>
          <w:highlight w:val="none"/>
          <w14:textFill>
            <w14:solidFill>
              <w14:schemeClr w14:val="tx1"/>
            </w14:solidFill>
          </w14:textFill>
        </w:rPr>
        <w:t>部分</w:t>
      </w:r>
      <w:r>
        <w:rPr>
          <w:rFonts w:hint="eastAsia" w:hAnsi="宋体" w:eastAsia="宋体" w:cs="宋体"/>
          <w:b/>
          <w:color w:val="000000" w:themeColor="text1"/>
          <w:sz w:val="28"/>
          <w:szCs w:val="28"/>
          <w:highlight w:val="none"/>
          <w14:textFill>
            <w14:solidFill>
              <w14:schemeClr w14:val="tx1"/>
            </w14:solidFill>
          </w14:textFill>
        </w:rPr>
        <w:t xml:space="preserve">   </w:t>
      </w:r>
      <w:r>
        <w:rPr>
          <w:rFonts w:hint="eastAsia" w:hAnsi="宋体" w:cs="宋体"/>
          <w:b/>
          <w:color w:val="000000" w:themeColor="text1"/>
          <w:sz w:val="28"/>
          <w:szCs w:val="28"/>
          <w:highlight w:val="none"/>
          <w:lang w:val="en-US" w:eastAsia="zh-CN"/>
          <w14:textFill>
            <w14:solidFill>
              <w14:schemeClr w14:val="tx1"/>
            </w14:solidFill>
          </w14:textFill>
        </w:rPr>
        <w:t>其他资料</w:t>
      </w:r>
    </w:p>
    <w:p w14:paraId="57928847">
      <w:pPr>
        <w:rPr>
          <w:rFonts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br w:type="page"/>
      </w:r>
    </w:p>
    <w:p w14:paraId="51A817F9">
      <w:pPr>
        <w:pStyle w:val="4"/>
        <w:ind w:firstLine="657"/>
        <w:jc w:val="center"/>
        <w:rPr>
          <w:rFonts w:ascii="宋体" w:hAnsi="宋体" w:eastAsia="宋体" w:cs="宋体"/>
          <w:color w:val="000000" w:themeColor="text1"/>
          <w:highlight w:val="none"/>
          <w14:textFill>
            <w14:solidFill>
              <w14:schemeClr w14:val="tx1"/>
            </w14:solidFill>
          </w14:textFill>
        </w:rPr>
      </w:pPr>
      <w:bookmarkStart w:id="325" w:name="_Toc9160"/>
      <w:bookmarkStart w:id="326" w:name="_Toc22015"/>
      <w:r>
        <w:rPr>
          <w:rFonts w:hint="eastAsia" w:ascii="宋体" w:hAnsi="宋体" w:eastAsia="宋体" w:cs="宋体"/>
          <w:color w:val="000000" w:themeColor="text1"/>
          <w:highlight w:val="none"/>
          <w14:textFill>
            <w14:solidFill>
              <w14:schemeClr w14:val="tx1"/>
            </w14:solidFill>
          </w14:textFill>
        </w:rPr>
        <w:t>第一部分  投标函</w:t>
      </w:r>
      <w:bookmarkEnd w:id="325"/>
      <w:bookmarkEnd w:id="326"/>
    </w:p>
    <w:p w14:paraId="4D2EA948">
      <w:pPr>
        <w:spacing w:line="560" w:lineRule="exact"/>
        <w:ind w:firstLine="496" w:firstLineChars="200"/>
        <w:jc w:val="both"/>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中昊项目管理有限公司</w:t>
      </w:r>
      <w:r>
        <w:rPr>
          <w:rFonts w:hint="eastAsia" w:ascii="宋体" w:hAnsi="宋体" w:eastAsia="宋体" w:cs="宋体"/>
          <w:color w:val="000000" w:themeColor="text1"/>
          <w:sz w:val="24"/>
          <w:szCs w:val="24"/>
          <w:highlight w:val="none"/>
          <w14:textFill>
            <w14:solidFill>
              <w14:schemeClr w14:val="tx1"/>
            </w14:solidFill>
          </w14:textFill>
        </w:rPr>
        <w:t>：</w:t>
      </w:r>
    </w:p>
    <w:p w14:paraId="1D5BBE3D">
      <w:pPr>
        <w:spacing w:line="560" w:lineRule="exact"/>
        <w:ind w:firstLine="496" w:firstLineChars="200"/>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我单位收到项目名称为：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（项目编号为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的招标文件，经详细研究，我公司决定参加本次招标活动。为此，我方郑重承诺以下诸点，并负法律责任。</w:t>
      </w:r>
    </w:p>
    <w:p w14:paraId="2035360B">
      <w:pPr>
        <w:spacing w:line="560" w:lineRule="exact"/>
        <w:ind w:firstLine="496" w:firstLineChars="200"/>
        <w:jc w:val="both"/>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1．我方已详细阅读了招标文件，完全理解并同意招标文件的所有事项及内容。</w:t>
      </w:r>
    </w:p>
    <w:p w14:paraId="5E74F120">
      <w:pPr>
        <w:spacing w:line="560" w:lineRule="exact"/>
        <w:ind w:firstLine="496" w:firstLineChars="200"/>
        <w:jc w:val="both"/>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我方已悉知并及时关注了贵单位在陕西省政府采购网、全国公共资源交易平台（陕西省·西安市）上发布的关于本项目的有关变更公告（包括但不限于对招标文件做出的修改或澄清、答疑纪要，以及项目暂停、重启、延期、终止等）。</w:t>
      </w:r>
    </w:p>
    <w:p w14:paraId="7120C7B1">
      <w:pPr>
        <w:spacing w:line="560" w:lineRule="exact"/>
        <w:ind w:firstLine="496" w:firstLineChars="200"/>
        <w:jc w:val="both"/>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3．我方同意向贵单位提供与本次招标有关的全部证明材料，并保证所提交的证明材料真实、合法、有效。</w:t>
      </w:r>
    </w:p>
    <w:p w14:paraId="3FD81629">
      <w:pPr>
        <w:spacing w:line="560" w:lineRule="exact"/>
        <w:ind w:firstLine="496" w:firstLineChars="200"/>
        <w:jc w:val="both"/>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4．我方理解最低价不是中标的唯一条件，并尊重评标委员会的评审结果。</w:t>
      </w:r>
    </w:p>
    <w:p w14:paraId="3CE8E1DF">
      <w:pPr>
        <w:spacing w:line="560" w:lineRule="exact"/>
        <w:ind w:firstLine="496" w:firstLineChars="200"/>
        <w:jc w:val="both"/>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5．我方投标文件在开启之日起___个日历日（应不少于90个日历日）内有效。</w:t>
      </w:r>
    </w:p>
    <w:p w14:paraId="2DFF72A8">
      <w:pPr>
        <w:spacing w:line="560" w:lineRule="exact"/>
        <w:ind w:firstLine="496" w:firstLineChars="200"/>
        <w:jc w:val="both"/>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6．若我方中标，我方承诺：（1）将投标文件有效期延长至合同执行完毕。（2）遵照招标文件中的要求，完成本项目的合同责任和义务。</w:t>
      </w:r>
    </w:p>
    <w:p w14:paraId="395BCCCF">
      <w:pPr>
        <w:spacing w:line="560" w:lineRule="exact"/>
        <w:ind w:firstLine="496" w:firstLineChars="200"/>
        <w:jc w:val="both"/>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7．所有关于此次招标活动的函电，请按下列方式联系：</w:t>
      </w:r>
    </w:p>
    <w:p w14:paraId="61AD9A2B">
      <w:pPr>
        <w:spacing w:line="560" w:lineRule="exact"/>
        <w:ind w:firstLine="496" w:firstLineChars="200"/>
        <w:jc w:val="both"/>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供应商：（供应商全称并加盖公章）</w:t>
      </w:r>
    </w:p>
    <w:p w14:paraId="6B0D2398">
      <w:pPr>
        <w:spacing w:line="560" w:lineRule="exact"/>
        <w:ind w:firstLine="496" w:firstLineChars="200"/>
        <w:jc w:val="both"/>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法定代表人或委托代理人：（签字或盖章）</w:t>
      </w:r>
    </w:p>
    <w:p w14:paraId="04B5998D">
      <w:pPr>
        <w:spacing w:line="560" w:lineRule="exact"/>
        <w:ind w:firstLine="496" w:firstLineChars="200"/>
        <w:jc w:val="both"/>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联系电话：</w:t>
      </w:r>
    </w:p>
    <w:p w14:paraId="33F7EE0D">
      <w:pPr>
        <w:spacing w:line="560" w:lineRule="exact"/>
        <w:ind w:firstLine="496" w:firstLineChars="200"/>
        <w:jc w:val="both"/>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通讯地址：</w:t>
      </w:r>
    </w:p>
    <w:p w14:paraId="794A05E6">
      <w:pPr>
        <w:spacing w:line="560" w:lineRule="exact"/>
        <w:ind w:firstLine="496" w:firstLineChars="200"/>
        <w:jc w:val="both"/>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邮    编：</w:t>
      </w:r>
    </w:p>
    <w:p w14:paraId="5F47CF22">
      <w:pPr>
        <w:spacing w:line="560" w:lineRule="exact"/>
        <w:ind w:firstLine="496" w:firstLineChars="200"/>
        <w:jc w:val="both"/>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电子邮箱：</w:t>
      </w:r>
    </w:p>
    <w:p w14:paraId="309D6E75">
      <w:pPr>
        <w:spacing w:line="560" w:lineRule="exact"/>
        <w:ind w:firstLine="496" w:firstLineChars="200"/>
        <w:jc w:val="both"/>
        <w:rPr>
          <w:rFonts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    期：    年  月  日</w:t>
      </w:r>
    </w:p>
    <w:p w14:paraId="4B7728DD">
      <w:pPr>
        <w:rPr>
          <w:rFonts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br w:type="page"/>
      </w:r>
    </w:p>
    <w:p w14:paraId="56772B80">
      <w:pPr>
        <w:pStyle w:val="4"/>
        <w:numPr>
          <w:ilvl w:val="0"/>
          <w:numId w:val="19"/>
        </w:numPr>
        <w:ind w:firstLine="657"/>
        <w:jc w:val="center"/>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 xml:space="preserve">  </w:t>
      </w:r>
      <w:bookmarkStart w:id="327" w:name="_Toc3282"/>
      <w:bookmarkStart w:id="328" w:name="_Toc9518"/>
      <w:r>
        <w:rPr>
          <w:rFonts w:hint="eastAsia" w:ascii="宋体" w:hAnsi="宋体" w:eastAsia="宋体" w:cs="宋体"/>
          <w:color w:val="000000" w:themeColor="text1"/>
          <w:highlight w:val="none"/>
          <w14:textFill>
            <w14:solidFill>
              <w14:schemeClr w14:val="tx1"/>
            </w14:solidFill>
          </w14:textFill>
        </w:rPr>
        <w:t>开标一览表</w:t>
      </w:r>
      <w:bookmarkEnd w:id="327"/>
      <w:bookmarkEnd w:id="328"/>
    </w:p>
    <w:p w14:paraId="32F729F0">
      <w:pPr>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 w:val="32"/>
          <w:szCs w:val="32"/>
          <w:highlight w:val="none"/>
          <w14:textFill>
            <w14:solidFill>
              <w14:schemeClr w14:val="tx1"/>
            </w14:solidFill>
          </w14:textFill>
        </w:rPr>
        <w:t>2.</w:t>
      </w:r>
      <w:r>
        <w:rPr>
          <w:rFonts w:hint="eastAsia" w:ascii="宋体" w:hAnsi="宋体" w:cs="宋体"/>
          <w:color w:val="000000" w:themeColor="text1"/>
          <w:sz w:val="32"/>
          <w:szCs w:val="32"/>
          <w:highlight w:val="none"/>
          <w:lang w:val="en-US" w:eastAsia="zh-CN"/>
          <w14:textFill>
            <w14:solidFill>
              <w14:schemeClr w14:val="tx1"/>
            </w14:solidFill>
          </w14:textFill>
        </w:rPr>
        <w:t>1</w:t>
      </w:r>
      <w:r>
        <w:rPr>
          <w:rFonts w:hint="eastAsia" w:ascii="宋体" w:hAnsi="宋体" w:cs="宋体"/>
          <w:b/>
          <w:bCs/>
          <w:color w:val="000000" w:themeColor="text1"/>
          <w:sz w:val="32"/>
          <w:szCs w:val="32"/>
          <w:highlight w:val="none"/>
          <w:lang w:val="en-US" w:eastAsia="zh-CN"/>
          <w14:textFill>
            <w14:solidFill>
              <w14:schemeClr w14:val="tx1"/>
            </w14:solidFill>
          </w14:textFill>
        </w:rPr>
        <w:t>开标一览</w:t>
      </w:r>
      <w:r>
        <w:rPr>
          <w:rFonts w:hint="eastAsia" w:ascii="宋体" w:hAnsi="宋体" w:eastAsia="宋体" w:cs="宋体"/>
          <w:b/>
          <w:bCs/>
          <w:color w:val="000000" w:themeColor="text1"/>
          <w:sz w:val="32"/>
          <w:szCs w:val="32"/>
          <w:highlight w:val="none"/>
          <w14:textFill>
            <w14:solidFill>
              <w14:schemeClr w14:val="tx1"/>
            </w14:solidFill>
          </w14:textFill>
        </w:rPr>
        <w:t>表</w:t>
      </w:r>
    </w:p>
    <w:p w14:paraId="3EDB3AD8">
      <w:pPr>
        <w:wordWrap w:val="0"/>
        <w:spacing w:line="360" w:lineRule="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项目名称：</w:t>
      </w:r>
      <w:r>
        <w:rPr>
          <w:rFonts w:hint="eastAsia" w:ascii="宋体" w:hAnsi="宋体" w:eastAsia="宋体" w:cs="宋体"/>
          <w:kern w:val="0"/>
          <w:sz w:val="24"/>
          <w:szCs w:val="24"/>
          <w:lang w:eastAsia="zh-CN"/>
        </w:rPr>
        <w:t>西安铁路职业技术学院</w:t>
      </w:r>
      <w:r>
        <w:rPr>
          <w:rFonts w:hint="eastAsia" w:ascii="宋体" w:hAnsi="宋体" w:cs="宋体"/>
          <w:i w:val="0"/>
          <w:iCs w:val="0"/>
          <w:color w:val="auto"/>
          <w:kern w:val="0"/>
          <w:sz w:val="24"/>
          <w:szCs w:val="24"/>
          <w:highlight w:val="none"/>
          <w:u w:val="none"/>
          <w:lang w:eastAsia="zh-CN"/>
        </w:rPr>
        <w:t>教学及管理服务系统改造</w:t>
      </w:r>
      <w:r>
        <w:rPr>
          <w:rFonts w:hint="eastAsia" w:ascii="宋体" w:hAnsi="宋体" w:eastAsia="宋体" w:cs="宋体"/>
          <w:color w:val="000000" w:themeColor="text1"/>
          <w:highlight w:val="none"/>
          <w14:textFill>
            <w14:solidFill>
              <w14:schemeClr w14:val="tx1"/>
            </w14:solidFill>
          </w14:textFill>
        </w:rPr>
        <w:t xml:space="preserve">   </w:t>
      </w:r>
    </w:p>
    <w:p w14:paraId="4FBE66E0">
      <w:pPr>
        <w:wordWrap w:val="0"/>
        <w:spacing w:line="360" w:lineRule="auto"/>
        <w:rPr>
          <w:rFonts w:hint="eastAsia" w:ascii="宋体" w:hAnsi="宋体" w:eastAsia="宋体" w:cs="宋体"/>
          <w:color w:val="000000" w:themeColor="text1"/>
          <w:highlight w:val="none"/>
          <w:u w:val="single"/>
          <w:lang w:eastAsia="zh-CN"/>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项目编号：</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highlight w:val="none"/>
          <w:u w:val="single"/>
          <w:lang w:eastAsia="zh-CN"/>
          <w14:textFill>
            <w14:solidFill>
              <w14:schemeClr w14:val="tx1"/>
            </w14:solidFill>
          </w14:textFill>
        </w:rPr>
        <w:t>ZHPM-ZC-</w:t>
      </w:r>
      <w:r>
        <w:rPr>
          <w:rFonts w:hint="eastAsia" w:ascii="宋体" w:hAnsi="宋体" w:cs="宋体"/>
          <w:color w:val="000000" w:themeColor="text1"/>
          <w:highlight w:val="none"/>
          <w:u w:val="single"/>
          <w:lang w:eastAsia="zh-CN"/>
          <w14:textFill>
            <w14:solidFill>
              <w14:schemeClr w14:val="tx1"/>
            </w14:solidFill>
          </w14:textFill>
        </w:rPr>
        <w:t>24746</w:t>
      </w:r>
    </w:p>
    <w:p w14:paraId="3DB37749">
      <w:pPr>
        <w:kinsoku w:val="0"/>
        <w:spacing w:line="360" w:lineRule="auto"/>
        <w:rPr>
          <w:rFonts w:ascii="宋体" w:hAnsi="宋体" w:eastAsia="宋体" w:cs="宋体"/>
          <w:b/>
          <w:bCs/>
          <w:color w:val="000000" w:themeColor="text1"/>
          <w:spacing w:val="20"/>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单    位：元</w:t>
      </w:r>
    </w:p>
    <w:tbl>
      <w:tblPr>
        <w:tblStyle w:val="35"/>
        <w:tblW w:w="100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76"/>
        <w:gridCol w:w="2093"/>
        <w:gridCol w:w="2250"/>
        <w:gridCol w:w="2475"/>
      </w:tblGrid>
      <w:tr w14:paraId="26A9E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7" w:hRule="atLeast"/>
          <w:jc w:val="center"/>
        </w:trPr>
        <w:tc>
          <w:tcPr>
            <w:tcW w:w="3276" w:type="dxa"/>
            <w:tcBorders>
              <w:tl2br w:val="single" w:color="auto" w:sz="4" w:space="0"/>
            </w:tcBorders>
          </w:tcPr>
          <w:p w14:paraId="5D22D3DB">
            <w:pPr>
              <w:kinsoku w:val="0"/>
              <w:spacing w:line="480" w:lineRule="auto"/>
              <w:ind w:firstLine="992" w:firstLineChars="400"/>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报价内容</w:t>
            </w:r>
          </w:p>
          <w:p w14:paraId="4A7CA42D">
            <w:pPr>
              <w:kinsoku w:val="0"/>
              <w:spacing w:line="480" w:lineRule="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投标内容</w:t>
            </w:r>
          </w:p>
        </w:tc>
        <w:tc>
          <w:tcPr>
            <w:tcW w:w="2093" w:type="dxa"/>
            <w:vAlign w:val="center"/>
          </w:tcPr>
          <w:p w14:paraId="29489EE6">
            <w:pPr>
              <w:kinsoku w:val="0"/>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投标总报价</w:t>
            </w:r>
          </w:p>
          <w:p w14:paraId="54F8FFCB">
            <w:pPr>
              <w:kinsoku w:val="0"/>
              <w:spacing w:line="360" w:lineRule="auto"/>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元</w:t>
            </w:r>
            <w:r>
              <w:rPr>
                <w:rFonts w:hint="eastAsia" w:ascii="宋体" w:hAnsi="宋体" w:eastAsia="宋体" w:cs="宋体"/>
                <w:color w:val="000000" w:themeColor="text1"/>
                <w:szCs w:val="21"/>
                <w:highlight w:val="none"/>
                <w:lang w:eastAsia="zh-CN"/>
                <w14:textFill>
                  <w14:solidFill>
                    <w14:schemeClr w14:val="tx1"/>
                  </w14:solidFill>
                </w14:textFill>
              </w:rPr>
              <w:t>）</w:t>
            </w:r>
          </w:p>
        </w:tc>
        <w:tc>
          <w:tcPr>
            <w:tcW w:w="2250" w:type="dxa"/>
            <w:vAlign w:val="center"/>
          </w:tcPr>
          <w:p w14:paraId="70129A8A">
            <w:pPr>
              <w:kinsoku w:val="0"/>
              <w:spacing w:line="360" w:lineRule="auto"/>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交货期</w:t>
            </w:r>
          </w:p>
          <w:p w14:paraId="63BEB392">
            <w:pPr>
              <w:kinsoku w:val="0"/>
              <w:spacing w:line="360" w:lineRule="auto"/>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日历日</w:t>
            </w:r>
            <w:r>
              <w:rPr>
                <w:rFonts w:hint="eastAsia" w:ascii="宋体" w:hAnsi="宋体" w:eastAsia="宋体" w:cs="宋体"/>
                <w:color w:val="000000" w:themeColor="text1"/>
                <w:szCs w:val="21"/>
                <w:highlight w:val="none"/>
                <w:lang w:eastAsia="zh-CN"/>
                <w14:textFill>
                  <w14:solidFill>
                    <w14:schemeClr w14:val="tx1"/>
                  </w14:solidFill>
                </w14:textFill>
              </w:rPr>
              <w:t>）</w:t>
            </w:r>
          </w:p>
        </w:tc>
        <w:tc>
          <w:tcPr>
            <w:tcW w:w="2475" w:type="dxa"/>
            <w:vAlign w:val="center"/>
          </w:tcPr>
          <w:p w14:paraId="1471A935">
            <w:pPr>
              <w:kinsoku w:val="0"/>
              <w:spacing w:line="480" w:lineRule="auto"/>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质保期</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年</w:t>
            </w:r>
            <w:r>
              <w:rPr>
                <w:rFonts w:hint="eastAsia" w:ascii="宋体" w:hAnsi="宋体" w:eastAsia="宋体" w:cs="宋体"/>
                <w:color w:val="000000" w:themeColor="text1"/>
                <w:szCs w:val="21"/>
                <w:highlight w:val="none"/>
                <w:lang w:eastAsia="zh-CN"/>
                <w14:textFill>
                  <w14:solidFill>
                    <w14:schemeClr w14:val="tx1"/>
                  </w14:solidFill>
                </w14:textFill>
              </w:rPr>
              <w:t>）</w:t>
            </w:r>
          </w:p>
        </w:tc>
      </w:tr>
      <w:tr w14:paraId="6F80F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7" w:hRule="atLeast"/>
          <w:jc w:val="center"/>
        </w:trPr>
        <w:tc>
          <w:tcPr>
            <w:tcW w:w="3276" w:type="dxa"/>
            <w:vAlign w:val="center"/>
          </w:tcPr>
          <w:p w14:paraId="531DF896">
            <w:pPr>
              <w:kinsoku w:val="0"/>
              <w:spacing w:line="360" w:lineRule="auto"/>
              <w:jc w:val="both"/>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kern w:val="0"/>
                <w:sz w:val="24"/>
                <w:szCs w:val="24"/>
                <w:lang w:eastAsia="zh-CN"/>
              </w:rPr>
              <w:t>西安铁路职业技术学院</w:t>
            </w:r>
            <w:r>
              <w:rPr>
                <w:rFonts w:hint="eastAsia" w:ascii="宋体" w:hAnsi="宋体" w:cs="宋体"/>
                <w:i w:val="0"/>
                <w:iCs w:val="0"/>
                <w:color w:val="auto"/>
                <w:kern w:val="0"/>
                <w:sz w:val="24"/>
                <w:szCs w:val="24"/>
                <w:highlight w:val="none"/>
                <w:u w:val="none"/>
                <w:lang w:eastAsia="zh-CN"/>
              </w:rPr>
              <w:t>教学及管理服务系统改造</w:t>
            </w:r>
          </w:p>
        </w:tc>
        <w:tc>
          <w:tcPr>
            <w:tcW w:w="2093" w:type="dxa"/>
            <w:vAlign w:val="center"/>
          </w:tcPr>
          <w:p w14:paraId="23C00938">
            <w:pPr>
              <w:kinsoku w:val="0"/>
              <w:spacing w:line="480" w:lineRule="auto"/>
              <w:rPr>
                <w:rFonts w:ascii="宋体" w:hAnsi="宋体" w:eastAsia="宋体" w:cs="宋体"/>
                <w:color w:val="000000" w:themeColor="text1"/>
                <w:szCs w:val="21"/>
                <w:highlight w:val="none"/>
                <w14:textFill>
                  <w14:solidFill>
                    <w14:schemeClr w14:val="tx1"/>
                  </w14:solidFill>
                </w14:textFill>
              </w:rPr>
            </w:pPr>
          </w:p>
        </w:tc>
        <w:tc>
          <w:tcPr>
            <w:tcW w:w="2250" w:type="dxa"/>
            <w:vAlign w:val="center"/>
          </w:tcPr>
          <w:p w14:paraId="120F878E">
            <w:pPr>
              <w:kinsoku w:val="0"/>
              <w:spacing w:line="480" w:lineRule="auto"/>
              <w:ind w:firstLine="496" w:firstLineChars="200"/>
              <w:rPr>
                <w:rFonts w:ascii="宋体" w:hAnsi="宋体" w:eastAsia="宋体" w:cs="宋体"/>
                <w:color w:val="000000" w:themeColor="text1"/>
                <w:szCs w:val="21"/>
                <w:highlight w:val="none"/>
                <w14:textFill>
                  <w14:solidFill>
                    <w14:schemeClr w14:val="tx1"/>
                  </w14:solidFill>
                </w14:textFill>
              </w:rPr>
            </w:pPr>
          </w:p>
        </w:tc>
        <w:tc>
          <w:tcPr>
            <w:tcW w:w="2475" w:type="dxa"/>
            <w:vAlign w:val="center"/>
          </w:tcPr>
          <w:p w14:paraId="00D8DE90">
            <w:pPr>
              <w:kinsoku w:val="0"/>
              <w:spacing w:line="480" w:lineRule="auto"/>
              <w:ind w:firstLine="496" w:firstLineChars="200"/>
              <w:rPr>
                <w:rFonts w:ascii="宋体" w:hAnsi="宋体" w:eastAsia="宋体" w:cs="宋体"/>
                <w:color w:val="000000" w:themeColor="text1"/>
                <w:szCs w:val="21"/>
                <w:highlight w:val="none"/>
                <w14:textFill>
                  <w14:solidFill>
                    <w14:schemeClr w14:val="tx1"/>
                  </w14:solidFill>
                </w14:textFill>
              </w:rPr>
            </w:pPr>
          </w:p>
        </w:tc>
      </w:tr>
      <w:tr w14:paraId="0C448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7" w:hRule="atLeast"/>
          <w:jc w:val="center"/>
        </w:trPr>
        <w:tc>
          <w:tcPr>
            <w:tcW w:w="10094" w:type="dxa"/>
            <w:gridSpan w:val="4"/>
            <w:vAlign w:val="center"/>
          </w:tcPr>
          <w:p w14:paraId="2B63DDAE">
            <w:pPr>
              <w:kinsoku w:val="0"/>
              <w:spacing w:line="480" w:lineRule="auto"/>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投标总报价：人民币</w:t>
            </w:r>
            <w:r>
              <w:rPr>
                <w:rFonts w:hint="eastAsia" w:ascii="宋体" w:hAnsi="宋体" w:eastAsia="宋体" w:cs="宋体"/>
                <w:color w:val="000000" w:themeColor="text1"/>
                <w:szCs w:val="21"/>
                <w:highlight w:val="none"/>
                <w:u w:val="single"/>
                <w14:textFill>
                  <w14:solidFill>
                    <w14:schemeClr w14:val="tx1"/>
                  </w14:solidFill>
                </w14:textFill>
              </w:rPr>
              <w:t>（大写）                           （小写）￥        元</w:t>
            </w:r>
          </w:p>
        </w:tc>
      </w:tr>
      <w:tr w14:paraId="5390A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5" w:hRule="atLeast"/>
          <w:jc w:val="center"/>
        </w:trPr>
        <w:tc>
          <w:tcPr>
            <w:tcW w:w="10094" w:type="dxa"/>
            <w:gridSpan w:val="4"/>
            <w:vAlign w:val="center"/>
          </w:tcPr>
          <w:p w14:paraId="27122A25">
            <w:pPr>
              <w:kinsoku w:val="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备注：</w:t>
            </w:r>
          </w:p>
          <w:p w14:paraId="38EDF6FD">
            <w:pPr>
              <w:kinsoku w:val="0"/>
              <w:ind w:firstLine="496"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 xml:space="preserve">1、表内报价内容以元为单位，精确到小数点后两位。 </w:t>
            </w:r>
          </w:p>
          <w:p w14:paraId="1889EE80">
            <w:pPr>
              <w:ind w:firstLine="496"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2、交货期、质保期要求详见第三章招标内容及要求中</w:t>
            </w:r>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color w:val="000000" w:themeColor="text1"/>
                <w:highlight w:val="none"/>
                <w:lang w:val="en-US" w:eastAsia="zh-CN"/>
                <w14:textFill>
                  <w14:solidFill>
                    <w14:schemeClr w14:val="tx1"/>
                  </w14:solidFill>
                </w14:textFill>
              </w:rPr>
              <w:t>五</w:t>
            </w:r>
            <w:r>
              <w:rPr>
                <w:rFonts w:hint="eastAsia" w:ascii="宋体" w:hAnsi="宋体" w:eastAsia="宋体" w:cs="宋体"/>
                <w:color w:val="000000" w:themeColor="text1"/>
                <w:highlight w:val="none"/>
                <w14:textFill>
                  <w14:solidFill>
                    <w14:schemeClr w14:val="tx1"/>
                  </w14:solidFill>
                </w14:textFill>
              </w:rPr>
              <w:t>、商务</w:t>
            </w:r>
            <w:r>
              <w:rPr>
                <w:rFonts w:hint="eastAsia" w:ascii="宋体" w:hAnsi="宋体" w:cs="宋体"/>
                <w:color w:val="000000" w:themeColor="text1"/>
                <w:highlight w:val="none"/>
                <w:lang w:val="en-US" w:eastAsia="zh-CN"/>
                <w14:textFill>
                  <w14:solidFill>
                    <w14:schemeClr w14:val="tx1"/>
                  </w14:solidFill>
                </w14:textFill>
              </w:rPr>
              <w:t>要求</w:t>
            </w:r>
            <w:r>
              <w:rPr>
                <w:rFonts w:hint="default" w:ascii="宋体" w:hAnsi="宋体" w:cs="宋体"/>
                <w:color w:val="000000" w:themeColor="text1"/>
                <w:highlight w:val="none"/>
                <w:lang w:val="en-US"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w:t>
            </w:r>
          </w:p>
        </w:tc>
      </w:tr>
    </w:tbl>
    <w:p w14:paraId="4BC198C4">
      <w:pPr>
        <w:tabs>
          <w:tab w:val="left" w:pos="4000"/>
        </w:tabs>
        <w:snapToGrid w:val="0"/>
        <w:spacing w:line="300" w:lineRule="auto"/>
        <w:rPr>
          <w:rFonts w:ascii="宋体" w:hAnsi="宋体" w:eastAsia="宋体" w:cs="宋体"/>
          <w:b/>
          <w:bCs/>
          <w:color w:val="000000" w:themeColor="text1"/>
          <w:spacing w:val="20"/>
          <w:sz w:val="28"/>
          <w:szCs w:val="28"/>
          <w:highlight w:val="none"/>
          <w14:textFill>
            <w14:solidFill>
              <w14:schemeClr w14:val="tx1"/>
            </w14:solidFill>
          </w14:textFill>
        </w:rPr>
      </w:pPr>
    </w:p>
    <w:p w14:paraId="3D183B21">
      <w:pPr>
        <w:adjustRightInd w:val="0"/>
        <w:snapToGrid w:val="0"/>
        <w:spacing w:line="480" w:lineRule="auto"/>
        <w:rPr>
          <w:rFonts w:ascii="宋体" w:hAnsi="宋体" w:eastAsia="宋体" w:cs="宋体"/>
          <w:color w:val="000000" w:themeColor="text1"/>
          <w:sz w:val="28"/>
          <w:szCs w:val="28"/>
          <w:highlight w:val="none"/>
          <w:u w:val="singl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供应商（单位名称及公章）：</w:t>
      </w:r>
    </w:p>
    <w:p w14:paraId="293D6FE9">
      <w:pPr>
        <w:adjustRightInd w:val="0"/>
        <w:snapToGrid w:val="0"/>
        <w:spacing w:line="480" w:lineRule="auto"/>
        <w:rPr>
          <w:rFonts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法定代表人或被授权人（签字或盖章）：</w:t>
      </w:r>
    </w:p>
    <w:p w14:paraId="78F685E5">
      <w:pPr>
        <w:adjustRightInd w:val="0"/>
        <w:snapToGrid w:val="0"/>
        <w:spacing w:line="480" w:lineRule="auto"/>
        <w:rPr>
          <w:rFonts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日    期：年  月  日</w:t>
      </w:r>
    </w:p>
    <w:p w14:paraId="03A20469">
      <w:pPr>
        <w:spacing w:line="560" w:lineRule="exact"/>
        <w:ind w:firstLine="656" w:firstLineChars="200"/>
        <w:jc w:val="both"/>
        <w:rPr>
          <w:rFonts w:ascii="宋体" w:hAnsi="宋体" w:eastAsia="宋体" w:cs="宋体"/>
          <w:color w:val="000000" w:themeColor="text1"/>
          <w:sz w:val="32"/>
          <w:szCs w:val="32"/>
          <w:highlight w:val="none"/>
          <w14:textFill>
            <w14:solidFill>
              <w14:schemeClr w14:val="tx1"/>
            </w14:solidFill>
          </w14:textFill>
        </w:rPr>
      </w:pPr>
    </w:p>
    <w:p w14:paraId="1ECF2FBF">
      <w:pPr>
        <w:spacing w:line="560" w:lineRule="exact"/>
        <w:ind w:firstLine="656" w:firstLineChars="200"/>
        <w:jc w:val="both"/>
        <w:rPr>
          <w:rFonts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32"/>
          <w:szCs w:val="32"/>
          <w:highlight w:val="none"/>
          <w14:textFill>
            <w14:solidFill>
              <w14:schemeClr w14:val="tx1"/>
            </w14:solidFill>
          </w14:textFill>
        </w:rPr>
        <w:br w:type="page"/>
      </w:r>
    </w:p>
    <w:p w14:paraId="5523A47A">
      <w:pPr>
        <w:jc w:val="center"/>
        <w:rPr>
          <w:rFonts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32"/>
          <w:szCs w:val="32"/>
          <w:highlight w:val="none"/>
          <w14:textFill>
            <w14:solidFill>
              <w14:schemeClr w14:val="tx1"/>
            </w14:solidFill>
          </w14:textFill>
        </w:rPr>
        <w:t>2.2</w:t>
      </w:r>
      <w:r>
        <w:rPr>
          <w:rFonts w:hint="eastAsia" w:ascii="宋体" w:hAnsi="宋体" w:eastAsia="宋体" w:cs="宋体"/>
          <w:b/>
          <w:bCs/>
          <w:color w:val="000000" w:themeColor="text1"/>
          <w:sz w:val="32"/>
          <w:szCs w:val="32"/>
          <w:highlight w:val="none"/>
          <w14:textFill>
            <w14:solidFill>
              <w14:schemeClr w14:val="tx1"/>
            </w14:solidFill>
          </w14:textFill>
        </w:rPr>
        <w:t>分项报价表</w:t>
      </w:r>
    </w:p>
    <w:p w14:paraId="6C78C86A">
      <w:pPr>
        <w:wordWrap w:val="0"/>
        <w:spacing w:line="360" w:lineRule="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项目名称：</w:t>
      </w:r>
      <w:r>
        <w:rPr>
          <w:rFonts w:hint="eastAsia" w:ascii="宋体" w:hAnsi="宋体" w:eastAsia="宋体" w:cs="宋体"/>
          <w:kern w:val="0"/>
          <w:sz w:val="24"/>
          <w:szCs w:val="24"/>
          <w:lang w:eastAsia="zh-CN"/>
        </w:rPr>
        <w:t>西安铁路职业技术学院</w:t>
      </w:r>
      <w:r>
        <w:rPr>
          <w:rFonts w:hint="eastAsia" w:ascii="宋体" w:hAnsi="宋体" w:cs="宋体"/>
          <w:i w:val="0"/>
          <w:iCs w:val="0"/>
          <w:color w:val="auto"/>
          <w:kern w:val="0"/>
          <w:sz w:val="24"/>
          <w:szCs w:val="24"/>
          <w:highlight w:val="none"/>
          <w:u w:val="none"/>
          <w:lang w:eastAsia="zh-CN"/>
        </w:rPr>
        <w:t>教学及管理服务系统改造</w:t>
      </w:r>
      <w:r>
        <w:rPr>
          <w:rFonts w:hint="eastAsia" w:ascii="宋体" w:hAnsi="宋体" w:eastAsia="宋体" w:cs="宋体"/>
          <w:color w:val="000000" w:themeColor="text1"/>
          <w:highlight w:val="none"/>
          <w14:textFill>
            <w14:solidFill>
              <w14:schemeClr w14:val="tx1"/>
            </w14:solidFill>
          </w14:textFill>
        </w:rPr>
        <w:t xml:space="preserve">   </w:t>
      </w:r>
    </w:p>
    <w:p w14:paraId="54D49EF4">
      <w:pPr>
        <w:wordWrap w:val="0"/>
        <w:spacing w:line="360" w:lineRule="auto"/>
        <w:rPr>
          <w:rFonts w:hint="eastAsia" w:ascii="宋体" w:hAnsi="宋体" w:eastAsia="宋体" w:cs="宋体"/>
          <w:color w:val="000000" w:themeColor="text1"/>
          <w:highlight w:val="none"/>
          <w:u w:val="single"/>
          <w:lang w:eastAsia="zh-CN"/>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项目编号：</w:t>
      </w:r>
      <w:r>
        <w:rPr>
          <w:rFonts w:hint="eastAsia" w:ascii="宋体" w:hAnsi="宋体" w:eastAsia="宋体" w:cs="宋体"/>
          <w:color w:val="000000" w:themeColor="text1"/>
          <w:highlight w:val="none"/>
          <w:u w:val="single"/>
          <w14:textFill>
            <w14:solidFill>
              <w14:schemeClr w14:val="tx1"/>
            </w14:solidFill>
          </w14:textFill>
        </w:rPr>
        <w:t xml:space="preserve"> </w:t>
      </w:r>
      <w:r>
        <w:rPr>
          <w:rFonts w:hint="eastAsia" w:ascii="宋体" w:hAnsi="宋体" w:eastAsia="宋体" w:cs="宋体"/>
          <w:color w:val="000000" w:themeColor="text1"/>
          <w:highlight w:val="none"/>
          <w:u w:val="single"/>
          <w:lang w:eastAsia="zh-CN"/>
          <w14:textFill>
            <w14:solidFill>
              <w14:schemeClr w14:val="tx1"/>
            </w14:solidFill>
          </w14:textFill>
        </w:rPr>
        <w:t>ZHPM-ZC-</w:t>
      </w:r>
      <w:r>
        <w:rPr>
          <w:rFonts w:hint="eastAsia" w:ascii="宋体" w:hAnsi="宋体" w:cs="宋体"/>
          <w:color w:val="000000" w:themeColor="text1"/>
          <w:highlight w:val="none"/>
          <w:u w:val="single"/>
          <w:lang w:eastAsia="zh-CN"/>
          <w14:textFill>
            <w14:solidFill>
              <w14:schemeClr w14:val="tx1"/>
            </w14:solidFill>
          </w14:textFill>
        </w:rPr>
        <w:t>24746</w:t>
      </w:r>
    </w:p>
    <w:p w14:paraId="5693C15B">
      <w:pPr>
        <w:wordWrap w:val="0"/>
        <w:spacing w:line="360" w:lineRule="auto"/>
        <w:rPr>
          <w:rFonts w:ascii="宋体" w:hAnsi="宋体" w:eastAsia="宋体" w:cs="宋体"/>
          <w:b/>
          <w:color w:val="000000" w:themeColor="text1"/>
          <w:sz w:val="36"/>
          <w:szCs w:val="36"/>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共  页，第  页</w:t>
      </w:r>
    </w:p>
    <w:p w14:paraId="0F36A596">
      <w:pPr>
        <w:spacing w:line="560" w:lineRule="exact"/>
        <w:ind w:firstLine="496"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单位：元</w:t>
      </w:r>
    </w:p>
    <w:tbl>
      <w:tblPr>
        <w:tblStyle w:val="35"/>
        <w:tblW w:w="10399"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0" w:type="dxa"/>
          <w:bottom w:w="0" w:type="dxa"/>
          <w:right w:w="0" w:type="dxa"/>
        </w:tblCellMar>
      </w:tblPr>
      <w:tblGrid>
        <w:gridCol w:w="775"/>
        <w:gridCol w:w="1642"/>
        <w:gridCol w:w="1821"/>
        <w:gridCol w:w="1560"/>
        <w:gridCol w:w="1112"/>
        <w:gridCol w:w="16"/>
        <w:gridCol w:w="1097"/>
        <w:gridCol w:w="16"/>
        <w:gridCol w:w="1201"/>
        <w:gridCol w:w="16"/>
        <w:gridCol w:w="1143"/>
      </w:tblGrid>
      <w:tr w14:paraId="3B4A9D4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10" w:hRule="atLeast"/>
          <w:jc w:val="center"/>
        </w:trPr>
        <w:tc>
          <w:tcPr>
            <w:tcW w:w="775" w:type="dxa"/>
            <w:shd w:val="clear" w:color="auto" w:fill="F1F1F1" w:themeFill="background1" w:themeFillShade="F2"/>
            <w:noWrap/>
            <w:tcMar>
              <w:top w:w="20" w:type="dxa"/>
              <w:left w:w="20" w:type="dxa"/>
              <w:bottom w:w="0" w:type="dxa"/>
              <w:right w:w="20" w:type="dxa"/>
            </w:tcMar>
            <w:vAlign w:val="center"/>
          </w:tcPr>
          <w:p w14:paraId="46DD11BE">
            <w:pPr>
              <w:jc w:val="center"/>
              <w:rPr>
                <w:rFonts w:ascii="宋体" w:hAnsi="宋体" w:eastAsia="宋体" w:cs="宋体"/>
                <w:b/>
                <w:bCs/>
                <w:color w:val="000000" w:themeColor="text1"/>
                <w:highlight w:val="none"/>
                <w14:textFill>
                  <w14:solidFill>
                    <w14:schemeClr w14:val="tx1"/>
                  </w14:solidFill>
                </w14:textFill>
              </w:rPr>
            </w:pPr>
            <w:r>
              <w:rPr>
                <w:rFonts w:hint="eastAsia" w:ascii="宋体" w:hAnsi="宋体" w:eastAsia="宋体" w:cs="宋体"/>
                <w:b/>
                <w:bCs/>
                <w:color w:val="000000" w:themeColor="text1"/>
                <w:highlight w:val="none"/>
                <w14:textFill>
                  <w14:solidFill>
                    <w14:schemeClr w14:val="tx1"/>
                  </w14:solidFill>
                </w14:textFill>
              </w:rPr>
              <w:t>一</w:t>
            </w:r>
          </w:p>
        </w:tc>
        <w:tc>
          <w:tcPr>
            <w:tcW w:w="9624" w:type="dxa"/>
            <w:gridSpan w:val="10"/>
            <w:shd w:val="clear" w:color="auto" w:fill="F1F1F1" w:themeFill="background1" w:themeFillShade="F2"/>
            <w:noWrap/>
            <w:tcMar>
              <w:top w:w="20" w:type="dxa"/>
              <w:left w:w="20" w:type="dxa"/>
              <w:bottom w:w="0" w:type="dxa"/>
              <w:right w:w="20" w:type="dxa"/>
            </w:tcMar>
            <w:vAlign w:val="center"/>
          </w:tcPr>
          <w:p w14:paraId="744D15B9">
            <w:pPr>
              <w:jc w:val="center"/>
              <w:rPr>
                <w:rFonts w:ascii="宋体" w:hAnsi="宋体" w:eastAsia="宋体" w:cs="宋体"/>
                <w:b/>
                <w:bCs/>
                <w:color w:val="000000" w:themeColor="text1"/>
                <w:highlight w:val="none"/>
                <w14:textFill>
                  <w14:solidFill>
                    <w14:schemeClr w14:val="tx1"/>
                  </w14:solidFill>
                </w14:textFill>
              </w:rPr>
            </w:pPr>
            <w:r>
              <w:rPr>
                <w:rFonts w:hint="eastAsia" w:ascii="宋体" w:hAnsi="宋体" w:eastAsia="宋体" w:cs="宋体"/>
                <w:b/>
                <w:bCs/>
                <w:color w:val="000000" w:themeColor="text1"/>
                <w:highlight w:val="none"/>
                <w14:textFill>
                  <w14:solidFill>
                    <w14:schemeClr w14:val="tx1"/>
                  </w14:solidFill>
                </w14:textFill>
              </w:rPr>
              <w:t>产品购置费</w:t>
            </w:r>
          </w:p>
        </w:tc>
      </w:tr>
      <w:tr w14:paraId="538C00F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1192" w:hRule="atLeast"/>
          <w:jc w:val="center"/>
        </w:trPr>
        <w:tc>
          <w:tcPr>
            <w:tcW w:w="775" w:type="dxa"/>
            <w:shd w:val="clear" w:color="auto" w:fill="auto"/>
            <w:noWrap/>
            <w:tcMar>
              <w:top w:w="20" w:type="dxa"/>
              <w:left w:w="20" w:type="dxa"/>
              <w:bottom w:w="0" w:type="dxa"/>
              <w:right w:w="20" w:type="dxa"/>
            </w:tcMar>
            <w:vAlign w:val="center"/>
          </w:tcPr>
          <w:p w14:paraId="6AE59BA3">
            <w:pPr>
              <w:jc w:val="center"/>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序号</w:t>
            </w:r>
          </w:p>
        </w:tc>
        <w:tc>
          <w:tcPr>
            <w:tcW w:w="1642" w:type="dxa"/>
            <w:shd w:val="clear" w:color="auto" w:fill="auto"/>
            <w:noWrap/>
            <w:tcMar>
              <w:top w:w="20" w:type="dxa"/>
              <w:left w:w="20" w:type="dxa"/>
              <w:bottom w:w="0" w:type="dxa"/>
              <w:right w:w="20" w:type="dxa"/>
            </w:tcMar>
            <w:vAlign w:val="center"/>
          </w:tcPr>
          <w:p w14:paraId="485C2947">
            <w:pPr>
              <w:jc w:val="center"/>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产品名称</w:t>
            </w:r>
          </w:p>
        </w:tc>
        <w:tc>
          <w:tcPr>
            <w:tcW w:w="1821" w:type="dxa"/>
            <w:shd w:val="clear" w:color="auto" w:fill="auto"/>
            <w:noWrap/>
            <w:tcMar>
              <w:top w:w="20" w:type="dxa"/>
              <w:left w:w="20" w:type="dxa"/>
              <w:bottom w:w="0" w:type="dxa"/>
              <w:right w:w="20" w:type="dxa"/>
            </w:tcMar>
            <w:vAlign w:val="center"/>
          </w:tcPr>
          <w:p w14:paraId="1F700CC3">
            <w:pPr>
              <w:jc w:val="center"/>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品牌及</w:t>
            </w:r>
          </w:p>
          <w:p w14:paraId="37D47B82">
            <w:pPr>
              <w:jc w:val="center"/>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规格型号</w:t>
            </w:r>
          </w:p>
        </w:tc>
        <w:tc>
          <w:tcPr>
            <w:tcW w:w="1560" w:type="dxa"/>
            <w:shd w:val="clear" w:color="auto" w:fill="auto"/>
            <w:noWrap/>
            <w:tcMar>
              <w:top w:w="20" w:type="dxa"/>
              <w:left w:w="20" w:type="dxa"/>
              <w:bottom w:w="0" w:type="dxa"/>
              <w:right w:w="20" w:type="dxa"/>
            </w:tcMar>
            <w:vAlign w:val="center"/>
          </w:tcPr>
          <w:p w14:paraId="4E02B2CC">
            <w:pPr>
              <w:jc w:val="center"/>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生产厂家</w:t>
            </w:r>
          </w:p>
        </w:tc>
        <w:tc>
          <w:tcPr>
            <w:tcW w:w="1112" w:type="dxa"/>
            <w:shd w:val="clear" w:color="auto" w:fill="auto"/>
            <w:noWrap/>
            <w:tcMar>
              <w:top w:w="20" w:type="dxa"/>
              <w:left w:w="20" w:type="dxa"/>
              <w:bottom w:w="0" w:type="dxa"/>
              <w:right w:w="20" w:type="dxa"/>
            </w:tcMar>
            <w:vAlign w:val="center"/>
          </w:tcPr>
          <w:p w14:paraId="1E772223">
            <w:pPr>
              <w:jc w:val="center"/>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是否小微企业产品</w:t>
            </w:r>
          </w:p>
        </w:tc>
        <w:tc>
          <w:tcPr>
            <w:tcW w:w="1113" w:type="dxa"/>
            <w:gridSpan w:val="2"/>
            <w:shd w:val="clear" w:color="auto" w:fill="auto"/>
            <w:noWrap/>
            <w:tcMar>
              <w:top w:w="20" w:type="dxa"/>
              <w:left w:w="20" w:type="dxa"/>
              <w:bottom w:w="0" w:type="dxa"/>
              <w:right w:w="20" w:type="dxa"/>
            </w:tcMar>
            <w:vAlign w:val="center"/>
          </w:tcPr>
          <w:p w14:paraId="531F4932">
            <w:pPr>
              <w:jc w:val="center"/>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数量</w:t>
            </w:r>
          </w:p>
        </w:tc>
        <w:tc>
          <w:tcPr>
            <w:tcW w:w="1217" w:type="dxa"/>
            <w:gridSpan w:val="2"/>
            <w:shd w:val="clear" w:color="auto" w:fill="auto"/>
            <w:noWrap/>
            <w:tcMar>
              <w:top w:w="20" w:type="dxa"/>
              <w:left w:w="20" w:type="dxa"/>
              <w:bottom w:w="0" w:type="dxa"/>
              <w:right w:w="20" w:type="dxa"/>
            </w:tcMar>
            <w:vAlign w:val="center"/>
          </w:tcPr>
          <w:p w14:paraId="77BC4099">
            <w:pPr>
              <w:jc w:val="center"/>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单价</w:t>
            </w:r>
          </w:p>
        </w:tc>
        <w:tc>
          <w:tcPr>
            <w:tcW w:w="1159" w:type="dxa"/>
            <w:gridSpan w:val="2"/>
            <w:shd w:val="clear" w:color="auto" w:fill="auto"/>
            <w:vAlign w:val="center"/>
          </w:tcPr>
          <w:p w14:paraId="79CD12B0">
            <w:pPr>
              <w:jc w:val="center"/>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总价</w:t>
            </w:r>
          </w:p>
        </w:tc>
      </w:tr>
      <w:tr w14:paraId="5AB2F76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65" w:hRule="atLeast"/>
          <w:jc w:val="center"/>
        </w:trPr>
        <w:tc>
          <w:tcPr>
            <w:tcW w:w="775" w:type="dxa"/>
            <w:noWrap/>
            <w:tcMar>
              <w:top w:w="20" w:type="dxa"/>
              <w:left w:w="20" w:type="dxa"/>
              <w:bottom w:w="0" w:type="dxa"/>
              <w:right w:w="20" w:type="dxa"/>
            </w:tcMar>
            <w:vAlign w:val="center"/>
          </w:tcPr>
          <w:p w14:paraId="3502F42A">
            <w:pPr>
              <w:jc w:val="center"/>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w:t>
            </w:r>
          </w:p>
        </w:tc>
        <w:tc>
          <w:tcPr>
            <w:tcW w:w="1642" w:type="dxa"/>
            <w:noWrap/>
            <w:tcMar>
              <w:top w:w="20" w:type="dxa"/>
              <w:left w:w="20" w:type="dxa"/>
              <w:bottom w:w="0" w:type="dxa"/>
              <w:right w:w="20" w:type="dxa"/>
            </w:tcMar>
            <w:vAlign w:val="center"/>
          </w:tcPr>
          <w:p w14:paraId="2B2F5126">
            <w:pPr>
              <w:jc w:val="center"/>
              <w:rPr>
                <w:rFonts w:ascii="宋体" w:hAnsi="宋体" w:eastAsia="宋体" w:cs="宋体"/>
                <w:color w:val="000000" w:themeColor="text1"/>
                <w:highlight w:val="none"/>
                <w14:textFill>
                  <w14:solidFill>
                    <w14:schemeClr w14:val="tx1"/>
                  </w14:solidFill>
                </w14:textFill>
              </w:rPr>
            </w:pPr>
          </w:p>
        </w:tc>
        <w:tc>
          <w:tcPr>
            <w:tcW w:w="1821" w:type="dxa"/>
            <w:noWrap/>
            <w:tcMar>
              <w:top w:w="20" w:type="dxa"/>
              <w:left w:w="20" w:type="dxa"/>
              <w:bottom w:w="0" w:type="dxa"/>
              <w:right w:w="20" w:type="dxa"/>
            </w:tcMar>
            <w:vAlign w:val="center"/>
          </w:tcPr>
          <w:p w14:paraId="5036F03F">
            <w:pPr>
              <w:jc w:val="center"/>
              <w:rPr>
                <w:rFonts w:ascii="宋体" w:hAnsi="宋体" w:eastAsia="宋体" w:cs="宋体"/>
                <w:color w:val="000000" w:themeColor="text1"/>
                <w:highlight w:val="none"/>
                <w14:textFill>
                  <w14:solidFill>
                    <w14:schemeClr w14:val="tx1"/>
                  </w14:solidFill>
                </w14:textFill>
              </w:rPr>
            </w:pPr>
          </w:p>
        </w:tc>
        <w:tc>
          <w:tcPr>
            <w:tcW w:w="1560" w:type="dxa"/>
            <w:noWrap/>
            <w:tcMar>
              <w:top w:w="20" w:type="dxa"/>
              <w:left w:w="20" w:type="dxa"/>
              <w:bottom w:w="0" w:type="dxa"/>
              <w:right w:w="20" w:type="dxa"/>
            </w:tcMar>
            <w:vAlign w:val="center"/>
          </w:tcPr>
          <w:p w14:paraId="56E6FA77">
            <w:pPr>
              <w:jc w:val="center"/>
              <w:rPr>
                <w:rFonts w:ascii="宋体" w:hAnsi="宋体" w:eastAsia="宋体" w:cs="宋体"/>
                <w:color w:val="000000" w:themeColor="text1"/>
                <w:highlight w:val="none"/>
                <w14:textFill>
                  <w14:solidFill>
                    <w14:schemeClr w14:val="tx1"/>
                  </w14:solidFill>
                </w14:textFill>
              </w:rPr>
            </w:pPr>
          </w:p>
        </w:tc>
        <w:tc>
          <w:tcPr>
            <w:tcW w:w="1112" w:type="dxa"/>
            <w:noWrap/>
            <w:tcMar>
              <w:top w:w="20" w:type="dxa"/>
              <w:left w:w="20" w:type="dxa"/>
              <w:bottom w:w="0" w:type="dxa"/>
              <w:right w:w="20" w:type="dxa"/>
            </w:tcMar>
            <w:vAlign w:val="center"/>
          </w:tcPr>
          <w:p w14:paraId="615AC064">
            <w:pPr>
              <w:jc w:val="center"/>
              <w:rPr>
                <w:rFonts w:ascii="宋体" w:hAnsi="宋体" w:eastAsia="宋体" w:cs="宋体"/>
                <w:color w:val="000000" w:themeColor="text1"/>
                <w:highlight w:val="none"/>
                <w14:textFill>
                  <w14:solidFill>
                    <w14:schemeClr w14:val="tx1"/>
                  </w14:solidFill>
                </w14:textFill>
              </w:rPr>
            </w:pPr>
          </w:p>
        </w:tc>
        <w:tc>
          <w:tcPr>
            <w:tcW w:w="1113" w:type="dxa"/>
            <w:gridSpan w:val="2"/>
            <w:noWrap/>
            <w:tcMar>
              <w:top w:w="20" w:type="dxa"/>
              <w:left w:w="20" w:type="dxa"/>
              <w:bottom w:w="0" w:type="dxa"/>
              <w:right w:w="20" w:type="dxa"/>
            </w:tcMar>
            <w:vAlign w:val="center"/>
          </w:tcPr>
          <w:p w14:paraId="168D203F">
            <w:pPr>
              <w:jc w:val="center"/>
              <w:rPr>
                <w:rFonts w:ascii="宋体" w:hAnsi="宋体" w:eastAsia="宋体" w:cs="宋体"/>
                <w:color w:val="000000" w:themeColor="text1"/>
                <w:highlight w:val="none"/>
                <w14:textFill>
                  <w14:solidFill>
                    <w14:schemeClr w14:val="tx1"/>
                  </w14:solidFill>
                </w14:textFill>
              </w:rPr>
            </w:pPr>
          </w:p>
        </w:tc>
        <w:tc>
          <w:tcPr>
            <w:tcW w:w="1217" w:type="dxa"/>
            <w:gridSpan w:val="2"/>
            <w:noWrap/>
            <w:tcMar>
              <w:top w:w="20" w:type="dxa"/>
              <w:left w:w="20" w:type="dxa"/>
              <w:bottom w:w="0" w:type="dxa"/>
              <w:right w:w="20" w:type="dxa"/>
            </w:tcMar>
            <w:vAlign w:val="center"/>
          </w:tcPr>
          <w:p w14:paraId="20807255">
            <w:pPr>
              <w:jc w:val="center"/>
              <w:rPr>
                <w:rFonts w:ascii="宋体" w:hAnsi="宋体" w:eastAsia="宋体" w:cs="宋体"/>
                <w:color w:val="000000" w:themeColor="text1"/>
                <w:highlight w:val="none"/>
                <w14:textFill>
                  <w14:solidFill>
                    <w14:schemeClr w14:val="tx1"/>
                  </w14:solidFill>
                </w14:textFill>
              </w:rPr>
            </w:pPr>
          </w:p>
        </w:tc>
        <w:tc>
          <w:tcPr>
            <w:tcW w:w="1159" w:type="dxa"/>
            <w:gridSpan w:val="2"/>
            <w:vAlign w:val="center"/>
          </w:tcPr>
          <w:p w14:paraId="3078FBA5">
            <w:pPr>
              <w:jc w:val="center"/>
              <w:rPr>
                <w:rFonts w:ascii="宋体" w:hAnsi="宋体" w:eastAsia="宋体" w:cs="宋体"/>
                <w:color w:val="000000" w:themeColor="text1"/>
                <w:highlight w:val="none"/>
                <w14:textFill>
                  <w14:solidFill>
                    <w14:schemeClr w14:val="tx1"/>
                  </w14:solidFill>
                </w14:textFill>
              </w:rPr>
            </w:pPr>
          </w:p>
        </w:tc>
      </w:tr>
      <w:tr w14:paraId="576BAD9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65" w:hRule="atLeast"/>
          <w:jc w:val="center"/>
        </w:trPr>
        <w:tc>
          <w:tcPr>
            <w:tcW w:w="775" w:type="dxa"/>
            <w:noWrap/>
            <w:tcMar>
              <w:top w:w="20" w:type="dxa"/>
              <w:left w:w="20" w:type="dxa"/>
              <w:bottom w:w="0" w:type="dxa"/>
              <w:right w:w="20" w:type="dxa"/>
            </w:tcMar>
            <w:vAlign w:val="center"/>
          </w:tcPr>
          <w:p w14:paraId="2DA44262">
            <w:pPr>
              <w:jc w:val="center"/>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w:t>
            </w:r>
          </w:p>
        </w:tc>
        <w:tc>
          <w:tcPr>
            <w:tcW w:w="1642" w:type="dxa"/>
            <w:noWrap/>
            <w:tcMar>
              <w:top w:w="20" w:type="dxa"/>
              <w:left w:w="20" w:type="dxa"/>
              <w:bottom w:w="0" w:type="dxa"/>
              <w:right w:w="20" w:type="dxa"/>
            </w:tcMar>
            <w:vAlign w:val="center"/>
          </w:tcPr>
          <w:p w14:paraId="7BC946AF">
            <w:pPr>
              <w:jc w:val="center"/>
              <w:rPr>
                <w:rFonts w:ascii="宋体" w:hAnsi="宋体" w:eastAsia="宋体" w:cs="宋体"/>
                <w:color w:val="000000" w:themeColor="text1"/>
                <w:highlight w:val="none"/>
                <w14:textFill>
                  <w14:solidFill>
                    <w14:schemeClr w14:val="tx1"/>
                  </w14:solidFill>
                </w14:textFill>
              </w:rPr>
            </w:pPr>
          </w:p>
        </w:tc>
        <w:tc>
          <w:tcPr>
            <w:tcW w:w="1821" w:type="dxa"/>
            <w:noWrap/>
            <w:tcMar>
              <w:top w:w="20" w:type="dxa"/>
              <w:left w:w="20" w:type="dxa"/>
              <w:bottom w:w="0" w:type="dxa"/>
              <w:right w:w="20" w:type="dxa"/>
            </w:tcMar>
            <w:vAlign w:val="center"/>
          </w:tcPr>
          <w:p w14:paraId="36182EF1">
            <w:pPr>
              <w:jc w:val="center"/>
              <w:rPr>
                <w:rFonts w:ascii="宋体" w:hAnsi="宋体" w:eastAsia="宋体" w:cs="宋体"/>
                <w:color w:val="000000" w:themeColor="text1"/>
                <w:highlight w:val="none"/>
                <w14:textFill>
                  <w14:solidFill>
                    <w14:schemeClr w14:val="tx1"/>
                  </w14:solidFill>
                </w14:textFill>
              </w:rPr>
            </w:pPr>
          </w:p>
        </w:tc>
        <w:tc>
          <w:tcPr>
            <w:tcW w:w="1560" w:type="dxa"/>
            <w:noWrap/>
            <w:tcMar>
              <w:top w:w="20" w:type="dxa"/>
              <w:left w:w="20" w:type="dxa"/>
              <w:bottom w:w="0" w:type="dxa"/>
              <w:right w:w="20" w:type="dxa"/>
            </w:tcMar>
            <w:vAlign w:val="center"/>
          </w:tcPr>
          <w:p w14:paraId="0CCE06A5">
            <w:pPr>
              <w:jc w:val="center"/>
              <w:rPr>
                <w:rFonts w:ascii="宋体" w:hAnsi="宋体" w:eastAsia="宋体" w:cs="宋体"/>
                <w:color w:val="000000" w:themeColor="text1"/>
                <w:highlight w:val="none"/>
                <w14:textFill>
                  <w14:solidFill>
                    <w14:schemeClr w14:val="tx1"/>
                  </w14:solidFill>
                </w14:textFill>
              </w:rPr>
            </w:pPr>
          </w:p>
        </w:tc>
        <w:tc>
          <w:tcPr>
            <w:tcW w:w="1112" w:type="dxa"/>
            <w:noWrap/>
            <w:tcMar>
              <w:top w:w="20" w:type="dxa"/>
              <w:left w:w="20" w:type="dxa"/>
              <w:bottom w:w="0" w:type="dxa"/>
              <w:right w:w="20" w:type="dxa"/>
            </w:tcMar>
            <w:vAlign w:val="center"/>
          </w:tcPr>
          <w:p w14:paraId="0E5067DF">
            <w:pPr>
              <w:jc w:val="center"/>
              <w:rPr>
                <w:rFonts w:ascii="宋体" w:hAnsi="宋体" w:eastAsia="宋体" w:cs="宋体"/>
                <w:color w:val="000000" w:themeColor="text1"/>
                <w:highlight w:val="none"/>
                <w14:textFill>
                  <w14:solidFill>
                    <w14:schemeClr w14:val="tx1"/>
                  </w14:solidFill>
                </w14:textFill>
              </w:rPr>
            </w:pPr>
          </w:p>
        </w:tc>
        <w:tc>
          <w:tcPr>
            <w:tcW w:w="1113" w:type="dxa"/>
            <w:gridSpan w:val="2"/>
            <w:noWrap/>
            <w:tcMar>
              <w:top w:w="20" w:type="dxa"/>
              <w:left w:w="20" w:type="dxa"/>
              <w:bottom w:w="0" w:type="dxa"/>
              <w:right w:w="20" w:type="dxa"/>
            </w:tcMar>
            <w:vAlign w:val="center"/>
          </w:tcPr>
          <w:p w14:paraId="62FF65A4">
            <w:pPr>
              <w:jc w:val="center"/>
              <w:rPr>
                <w:rFonts w:ascii="宋体" w:hAnsi="宋体" w:eastAsia="宋体" w:cs="宋体"/>
                <w:color w:val="000000" w:themeColor="text1"/>
                <w:highlight w:val="none"/>
                <w14:textFill>
                  <w14:solidFill>
                    <w14:schemeClr w14:val="tx1"/>
                  </w14:solidFill>
                </w14:textFill>
              </w:rPr>
            </w:pPr>
          </w:p>
        </w:tc>
        <w:tc>
          <w:tcPr>
            <w:tcW w:w="1217" w:type="dxa"/>
            <w:gridSpan w:val="2"/>
            <w:noWrap/>
            <w:tcMar>
              <w:top w:w="20" w:type="dxa"/>
              <w:left w:w="20" w:type="dxa"/>
              <w:bottom w:w="0" w:type="dxa"/>
              <w:right w:w="20" w:type="dxa"/>
            </w:tcMar>
            <w:vAlign w:val="center"/>
          </w:tcPr>
          <w:p w14:paraId="723286FD">
            <w:pPr>
              <w:jc w:val="center"/>
              <w:rPr>
                <w:rFonts w:ascii="宋体" w:hAnsi="宋体" w:eastAsia="宋体" w:cs="宋体"/>
                <w:color w:val="000000" w:themeColor="text1"/>
                <w:highlight w:val="none"/>
                <w14:textFill>
                  <w14:solidFill>
                    <w14:schemeClr w14:val="tx1"/>
                  </w14:solidFill>
                </w14:textFill>
              </w:rPr>
            </w:pPr>
          </w:p>
        </w:tc>
        <w:tc>
          <w:tcPr>
            <w:tcW w:w="1159" w:type="dxa"/>
            <w:gridSpan w:val="2"/>
            <w:vAlign w:val="center"/>
          </w:tcPr>
          <w:p w14:paraId="7857F0F9">
            <w:pPr>
              <w:jc w:val="center"/>
              <w:rPr>
                <w:rFonts w:ascii="宋体" w:hAnsi="宋体" w:eastAsia="宋体" w:cs="宋体"/>
                <w:color w:val="000000" w:themeColor="text1"/>
                <w:highlight w:val="none"/>
                <w14:textFill>
                  <w14:solidFill>
                    <w14:schemeClr w14:val="tx1"/>
                  </w14:solidFill>
                </w14:textFill>
              </w:rPr>
            </w:pPr>
          </w:p>
        </w:tc>
      </w:tr>
      <w:tr w14:paraId="644E500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65" w:hRule="atLeast"/>
          <w:jc w:val="center"/>
        </w:trPr>
        <w:tc>
          <w:tcPr>
            <w:tcW w:w="775" w:type="dxa"/>
            <w:noWrap/>
            <w:tcMar>
              <w:top w:w="20" w:type="dxa"/>
              <w:left w:w="20" w:type="dxa"/>
              <w:bottom w:w="0" w:type="dxa"/>
              <w:right w:w="20" w:type="dxa"/>
            </w:tcMar>
            <w:vAlign w:val="center"/>
          </w:tcPr>
          <w:p w14:paraId="48F39C4C">
            <w:pPr>
              <w:jc w:val="center"/>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w:t>
            </w:r>
          </w:p>
        </w:tc>
        <w:tc>
          <w:tcPr>
            <w:tcW w:w="1642" w:type="dxa"/>
            <w:noWrap/>
            <w:tcMar>
              <w:top w:w="20" w:type="dxa"/>
              <w:left w:w="20" w:type="dxa"/>
              <w:bottom w:w="0" w:type="dxa"/>
              <w:right w:w="20" w:type="dxa"/>
            </w:tcMar>
            <w:vAlign w:val="center"/>
          </w:tcPr>
          <w:p w14:paraId="7ED76866">
            <w:pPr>
              <w:jc w:val="center"/>
              <w:rPr>
                <w:rFonts w:ascii="宋体" w:hAnsi="宋体" w:eastAsia="宋体" w:cs="宋体"/>
                <w:color w:val="000000" w:themeColor="text1"/>
                <w:highlight w:val="none"/>
                <w14:textFill>
                  <w14:solidFill>
                    <w14:schemeClr w14:val="tx1"/>
                  </w14:solidFill>
                </w14:textFill>
              </w:rPr>
            </w:pPr>
          </w:p>
        </w:tc>
        <w:tc>
          <w:tcPr>
            <w:tcW w:w="1821" w:type="dxa"/>
            <w:noWrap/>
            <w:tcMar>
              <w:top w:w="20" w:type="dxa"/>
              <w:left w:w="20" w:type="dxa"/>
              <w:bottom w:w="0" w:type="dxa"/>
              <w:right w:w="20" w:type="dxa"/>
            </w:tcMar>
            <w:vAlign w:val="center"/>
          </w:tcPr>
          <w:p w14:paraId="454DE373">
            <w:pPr>
              <w:jc w:val="center"/>
              <w:rPr>
                <w:rFonts w:ascii="宋体" w:hAnsi="宋体" w:eastAsia="宋体" w:cs="宋体"/>
                <w:color w:val="000000" w:themeColor="text1"/>
                <w:highlight w:val="none"/>
                <w14:textFill>
                  <w14:solidFill>
                    <w14:schemeClr w14:val="tx1"/>
                  </w14:solidFill>
                </w14:textFill>
              </w:rPr>
            </w:pPr>
          </w:p>
        </w:tc>
        <w:tc>
          <w:tcPr>
            <w:tcW w:w="1560" w:type="dxa"/>
            <w:noWrap/>
            <w:tcMar>
              <w:top w:w="20" w:type="dxa"/>
              <w:left w:w="20" w:type="dxa"/>
              <w:bottom w:w="0" w:type="dxa"/>
              <w:right w:w="20" w:type="dxa"/>
            </w:tcMar>
            <w:vAlign w:val="center"/>
          </w:tcPr>
          <w:p w14:paraId="5FD512AF">
            <w:pPr>
              <w:jc w:val="center"/>
              <w:rPr>
                <w:rFonts w:ascii="宋体" w:hAnsi="宋体" w:eastAsia="宋体" w:cs="宋体"/>
                <w:color w:val="000000" w:themeColor="text1"/>
                <w:highlight w:val="none"/>
                <w14:textFill>
                  <w14:solidFill>
                    <w14:schemeClr w14:val="tx1"/>
                  </w14:solidFill>
                </w14:textFill>
              </w:rPr>
            </w:pPr>
          </w:p>
        </w:tc>
        <w:tc>
          <w:tcPr>
            <w:tcW w:w="1112" w:type="dxa"/>
            <w:noWrap/>
            <w:tcMar>
              <w:top w:w="20" w:type="dxa"/>
              <w:left w:w="20" w:type="dxa"/>
              <w:bottom w:w="0" w:type="dxa"/>
              <w:right w:w="20" w:type="dxa"/>
            </w:tcMar>
            <w:vAlign w:val="center"/>
          </w:tcPr>
          <w:p w14:paraId="0E58C413">
            <w:pPr>
              <w:jc w:val="center"/>
              <w:rPr>
                <w:rFonts w:ascii="宋体" w:hAnsi="宋体" w:eastAsia="宋体" w:cs="宋体"/>
                <w:color w:val="000000" w:themeColor="text1"/>
                <w:highlight w:val="none"/>
                <w14:textFill>
                  <w14:solidFill>
                    <w14:schemeClr w14:val="tx1"/>
                  </w14:solidFill>
                </w14:textFill>
              </w:rPr>
            </w:pPr>
          </w:p>
        </w:tc>
        <w:tc>
          <w:tcPr>
            <w:tcW w:w="1113" w:type="dxa"/>
            <w:gridSpan w:val="2"/>
            <w:noWrap/>
            <w:tcMar>
              <w:top w:w="20" w:type="dxa"/>
              <w:left w:w="20" w:type="dxa"/>
              <w:bottom w:w="0" w:type="dxa"/>
              <w:right w:w="20" w:type="dxa"/>
            </w:tcMar>
            <w:vAlign w:val="center"/>
          </w:tcPr>
          <w:p w14:paraId="5C8C6E3C">
            <w:pPr>
              <w:jc w:val="center"/>
              <w:rPr>
                <w:rFonts w:ascii="宋体" w:hAnsi="宋体" w:eastAsia="宋体" w:cs="宋体"/>
                <w:color w:val="000000" w:themeColor="text1"/>
                <w:highlight w:val="none"/>
                <w14:textFill>
                  <w14:solidFill>
                    <w14:schemeClr w14:val="tx1"/>
                  </w14:solidFill>
                </w14:textFill>
              </w:rPr>
            </w:pPr>
          </w:p>
        </w:tc>
        <w:tc>
          <w:tcPr>
            <w:tcW w:w="1217" w:type="dxa"/>
            <w:gridSpan w:val="2"/>
            <w:noWrap/>
            <w:tcMar>
              <w:top w:w="20" w:type="dxa"/>
              <w:left w:w="20" w:type="dxa"/>
              <w:bottom w:w="0" w:type="dxa"/>
              <w:right w:w="20" w:type="dxa"/>
            </w:tcMar>
            <w:vAlign w:val="center"/>
          </w:tcPr>
          <w:p w14:paraId="0646C544">
            <w:pPr>
              <w:jc w:val="center"/>
              <w:rPr>
                <w:rFonts w:ascii="宋体" w:hAnsi="宋体" w:eastAsia="宋体" w:cs="宋体"/>
                <w:color w:val="000000" w:themeColor="text1"/>
                <w:highlight w:val="none"/>
                <w14:textFill>
                  <w14:solidFill>
                    <w14:schemeClr w14:val="tx1"/>
                  </w14:solidFill>
                </w14:textFill>
              </w:rPr>
            </w:pPr>
          </w:p>
        </w:tc>
        <w:tc>
          <w:tcPr>
            <w:tcW w:w="1159" w:type="dxa"/>
            <w:gridSpan w:val="2"/>
            <w:vAlign w:val="center"/>
          </w:tcPr>
          <w:p w14:paraId="012746DD">
            <w:pPr>
              <w:jc w:val="center"/>
              <w:rPr>
                <w:rFonts w:ascii="宋体" w:hAnsi="宋体" w:eastAsia="宋体" w:cs="宋体"/>
                <w:color w:val="000000" w:themeColor="text1"/>
                <w:highlight w:val="none"/>
                <w14:textFill>
                  <w14:solidFill>
                    <w14:schemeClr w14:val="tx1"/>
                  </w14:solidFill>
                </w14:textFill>
              </w:rPr>
            </w:pPr>
          </w:p>
        </w:tc>
      </w:tr>
      <w:tr w14:paraId="173F1FC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65" w:hRule="atLeast"/>
          <w:jc w:val="center"/>
        </w:trPr>
        <w:tc>
          <w:tcPr>
            <w:tcW w:w="775" w:type="dxa"/>
            <w:noWrap/>
            <w:tcMar>
              <w:top w:w="20" w:type="dxa"/>
              <w:left w:w="20" w:type="dxa"/>
              <w:bottom w:w="0" w:type="dxa"/>
              <w:right w:w="20" w:type="dxa"/>
            </w:tcMar>
            <w:vAlign w:val="center"/>
          </w:tcPr>
          <w:p w14:paraId="784154E8">
            <w:pPr>
              <w:jc w:val="center"/>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w:t>
            </w:r>
          </w:p>
        </w:tc>
        <w:tc>
          <w:tcPr>
            <w:tcW w:w="1642" w:type="dxa"/>
            <w:noWrap/>
            <w:tcMar>
              <w:top w:w="20" w:type="dxa"/>
              <w:left w:w="20" w:type="dxa"/>
              <w:bottom w:w="0" w:type="dxa"/>
              <w:right w:w="20" w:type="dxa"/>
            </w:tcMar>
            <w:vAlign w:val="center"/>
          </w:tcPr>
          <w:p w14:paraId="3B63A85C">
            <w:pPr>
              <w:jc w:val="center"/>
              <w:rPr>
                <w:rFonts w:ascii="宋体" w:hAnsi="宋体" w:eastAsia="宋体" w:cs="宋体"/>
                <w:color w:val="000000" w:themeColor="text1"/>
                <w:highlight w:val="none"/>
                <w14:textFill>
                  <w14:solidFill>
                    <w14:schemeClr w14:val="tx1"/>
                  </w14:solidFill>
                </w14:textFill>
              </w:rPr>
            </w:pPr>
          </w:p>
        </w:tc>
        <w:tc>
          <w:tcPr>
            <w:tcW w:w="1821" w:type="dxa"/>
            <w:noWrap/>
            <w:tcMar>
              <w:top w:w="20" w:type="dxa"/>
              <w:left w:w="20" w:type="dxa"/>
              <w:bottom w:w="0" w:type="dxa"/>
              <w:right w:w="20" w:type="dxa"/>
            </w:tcMar>
            <w:vAlign w:val="center"/>
          </w:tcPr>
          <w:p w14:paraId="6086D792">
            <w:pPr>
              <w:jc w:val="center"/>
              <w:rPr>
                <w:rFonts w:ascii="宋体" w:hAnsi="宋体" w:eastAsia="宋体" w:cs="宋体"/>
                <w:color w:val="000000" w:themeColor="text1"/>
                <w:highlight w:val="none"/>
                <w14:textFill>
                  <w14:solidFill>
                    <w14:schemeClr w14:val="tx1"/>
                  </w14:solidFill>
                </w14:textFill>
              </w:rPr>
            </w:pPr>
          </w:p>
        </w:tc>
        <w:tc>
          <w:tcPr>
            <w:tcW w:w="1560" w:type="dxa"/>
            <w:noWrap/>
            <w:tcMar>
              <w:top w:w="20" w:type="dxa"/>
              <w:left w:w="20" w:type="dxa"/>
              <w:bottom w:w="0" w:type="dxa"/>
              <w:right w:w="20" w:type="dxa"/>
            </w:tcMar>
            <w:vAlign w:val="center"/>
          </w:tcPr>
          <w:p w14:paraId="1A9E0F42">
            <w:pPr>
              <w:jc w:val="center"/>
              <w:rPr>
                <w:rFonts w:ascii="宋体" w:hAnsi="宋体" w:eastAsia="宋体" w:cs="宋体"/>
                <w:color w:val="000000" w:themeColor="text1"/>
                <w:highlight w:val="none"/>
                <w14:textFill>
                  <w14:solidFill>
                    <w14:schemeClr w14:val="tx1"/>
                  </w14:solidFill>
                </w14:textFill>
              </w:rPr>
            </w:pPr>
          </w:p>
        </w:tc>
        <w:tc>
          <w:tcPr>
            <w:tcW w:w="1112" w:type="dxa"/>
            <w:noWrap/>
            <w:tcMar>
              <w:top w:w="20" w:type="dxa"/>
              <w:left w:w="20" w:type="dxa"/>
              <w:bottom w:w="0" w:type="dxa"/>
              <w:right w:w="20" w:type="dxa"/>
            </w:tcMar>
            <w:vAlign w:val="center"/>
          </w:tcPr>
          <w:p w14:paraId="252FA595">
            <w:pPr>
              <w:jc w:val="center"/>
              <w:rPr>
                <w:rFonts w:ascii="宋体" w:hAnsi="宋体" w:eastAsia="宋体" w:cs="宋体"/>
                <w:color w:val="000000" w:themeColor="text1"/>
                <w:highlight w:val="none"/>
                <w14:textFill>
                  <w14:solidFill>
                    <w14:schemeClr w14:val="tx1"/>
                  </w14:solidFill>
                </w14:textFill>
              </w:rPr>
            </w:pPr>
          </w:p>
        </w:tc>
        <w:tc>
          <w:tcPr>
            <w:tcW w:w="1113" w:type="dxa"/>
            <w:gridSpan w:val="2"/>
            <w:noWrap/>
            <w:tcMar>
              <w:top w:w="20" w:type="dxa"/>
              <w:left w:w="20" w:type="dxa"/>
              <w:bottom w:w="0" w:type="dxa"/>
              <w:right w:w="20" w:type="dxa"/>
            </w:tcMar>
            <w:vAlign w:val="center"/>
          </w:tcPr>
          <w:p w14:paraId="62DE2704">
            <w:pPr>
              <w:jc w:val="center"/>
              <w:rPr>
                <w:rFonts w:ascii="宋体" w:hAnsi="宋体" w:eastAsia="宋体" w:cs="宋体"/>
                <w:color w:val="000000" w:themeColor="text1"/>
                <w:highlight w:val="none"/>
                <w14:textFill>
                  <w14:solidFill>
                    <w14:schemeClr w14:val="tx1"/>
                  </w14:solidFill>
                </w14:textFill>
              </w:rPr>
            </w:pPr>
          </w:p>
        </w:tc>
        <w:tc>
          <w:tcPr>
            <w:tcW w:w="1217" w:type="dxa"/>
            <w:gridSpan w:val="2"/>
            <w:noWrap/>
            <w:tcMar>
              <w:top w:w="20" w:type="dxa"/>
              <w:left w:w="20" w:type="dxa"/>
              <w:bottom w:w="0" w:type="dxa"/>
              <w:right w:w="20" w:type="dxa"/>
            </w:tcMar>
            <w:vAlign w:val="center"/>
          </w:tcPr>
          <w:p w14:paraId="704000F5">
            <w:pPr>
              <w:jc w:val="center"/>
              <w:rPr>
                <w:rFonts w:ascii="宋体" w:hAnsi="宋体" w:eastAsia="宋体" w:cs="宋体"/>
                <w:color w:val="000000" w:themeColor="text1"/>
                <w:highlight w:val="none"/>
                <w14:textFill>
                  <w14:solidFill>
                    <w14:schemeClr w14:val="tx1"/>
                  </w14:solidFill>
                </w14:textFill>
              </w:rPr>
            </w:pPr>
          </w:p>
        </w:tc>
        <w:tc>
          <w:tcPr>
            <w:tcW w:w="1159" w:type="dxa"/>
            <w:gridSpan w:val="2"/>
            <w:vAlign w:val="center"/>
          </w:tcPr>
          <w:p w14:paraId="70D290EE">
            <w:pPr>
              <w:jc w:val="center"/>
              <w:rPr>
                <w:rFonts w:ascii="宋体" w:hAnsi="宋体" w:eastAsia="宋体" w:cs="宋体"/>
                <w:color w:val="000000" w:themeColor="text1"/>
                <w:highlight w:val="none"/>
                <w14:textFill>
                  <w14:solidFill>
                    <w14:schemeClr w14:val="tx1"/>
                  </w14:solidFill>
                </w14:textFill>
              </w:rPr>
            </w:pPr>
          </w:p>
        </w:tc>
      </w:tr>
      <w:tr w14:paraId="7A29D23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65" w:hRule="atLeast"/>
          <w:jc w:val="center"/>
        </w:trPr>
        <w:tc>
          <w:tcPr>
            <w:tcW w:w="775" w:type="dxa"/>
            <w:noWrap/>
            <w:tcMar>
              <w:top w:w="20" w:type="dxa"/>
              <w:left w:w="20" w:type="dxa"/>
              <w:bottom w:w="0" w:type="dxa"/>
              <w:right w:w="20" w:type="dxa"/>
            </w:tcMar>
            <w:vAlign w:val="center"/>
          </w:tcPr>
          <w:p w14:paraId="6FB6A2A8">
            <w:pPr>
              <w:jc w:val="center"/>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w:t>
            </w:r>
          </w:p>
        </w:tc>
        <w:tc>
          <w:tcPr>
            <w:tcW w:w="1642" w:type="dxa"/>
            <w:noWrap/>
            <w:tcMar>
              <w:top w:w="20" w:type="dxa"/>
              <w:left w:w="20" w:type="dxa"/>
              <w:bottom w:w="0" w:type="dxa"/>
              <w:right w:w="20" w:type="dxa"/>
            </w:tcMar>
            <w:vAlign w:val="center"/>
          </w:tcPr>
          <w:p w14:paraId="797A929E">
            <w:pPr>
              <w:jc w:val="center"/>
              <w:rPr>
                <w:rFonts w:ascii="宋体" w:hAnsi="宋体" w:eastAsia="宋体" w:cs="宋体"/>
                <w:color w:val="000000" w:themeColor="text1"/>
                <w:highlight w:val="none"/>
                <w14:textFill>
                  <w14:solidFill>
                    <w14:schemeClr w14:val="tx1"/>
                  </w14:solidFill>
                </w14:textFill>
              </w:rPr>
            </w:pPr>
          </w:p>
        </w:tc>
        <w:tc>
          <w:tcPr>
            <w:tcW w:w="1821" w:type="dxa"/>
            <w:noWrap/>
            <w:tcMar>
              <w:top w:w="20" w:type="dxa"/>
              <w:left w:w="20" w:type="dxa"/>
              <w:bottom w:w="0" w:type="dxa"/>
              <w:right w:w="20" w:type="dxa"/>
            </w:tcMar>
            <w:vAlign w:val="center"/>
          </w:tcPr>
          <w:p w14:paraId="7C3D42F7">
            <w:pPr>
              <w:jc w:val="center"/>
              <w:rPr>
                <w:rFonts w:ascii="宋体" w:hAnsi="宋体" w:eastAsia="宋体" w:cs="宋体"/>
                <w:color w:val="000000" w:themeColor="text1"/>
                <w:highlight w:val="none"/>
                <w14:textFill>
                  <w14:solidFill>
                    <w14:schemeClr w14:val="tx1"/>
                  </w14:solidFill>
                </w14:textFill>
              </w:rPr>
            </w:pPr>
          </w:p>
        </w:tc>
        <w:tc>
          <w:tcPr>
            <w:tcW w:w="1560" w:type="dxa"/>
            <w:noWrap/>
            <w:tcMar>
              <w:top w:w="20" w:type="dxa"/>
              <w:left w:w="20" w:type="dxa"/>
              <w:bottom w:w="0" w:type="dxa"/>
              <w:right w:w="20" w:type="dxa"/>
            </w:tcMar>
            <w:vAlign w:val="center"/>
          </w:tcPr>
          <w:p w14:paraId="7A5A3266">
            <w:pPr>
              <w:jc w:val="center"/>
              <w:rPr>
                <w:rFonts w:ascii="宋体" w:hAnsi="宋体" w:eastAsia="宋体" w:cs="宋体"/>
                <w:color w:val="000000" w:themeColor="text1"/>
                <w:highlight w:val="none"/>
                <w14:textFill>
                  <w14:solidFill>
                    <w14:schemeClr w14:val="tx1"/>
                  </w14:solidFill>
                </w14:textFill>
              </w:rPr>
            </w:pPr>
          </w:p>
        </w:tc>
        <w:tc>
          <w:tcPr>
            <w:tcW w:w="1112" w:type="dxa"/>
            <w:noWrap/>
            <w:tcMar>
              <w:top w:w="20" w:type="dxa"/>
              <w:left w:w="20" w:type="dxa"/>
              <w:bottom w:w="0" w:type="dxa"/>
              <w:right w:w="20" w:type="dxa"/>
            </w:tcMar>
            <w:vAlign w:val="center"/>
          </w:tcPr>
          <w:p w14:paraId="1470DDB2">
            <w:pPr>
              <w:jc w:val="center"/>
              <w:rPr>
                <w:rFonts w:ascii="宋体" w:hAnsi="宋体" w:eastAsia="宋体" w:cs="宋体"/>
                <w:color w:val="000000" w:themeColor="text1"/>
                <w:highlight w:val="none"/>
                <w14:textFill>
                  <w14:solidFill>
                    <w14:schemeClr w14:val="tx1"/>
                  </w14:solidFill>
                </w14:textFill>
              </w:rPr>
            </w:pPr>
          </w:p>
        </w:tc>
        <w:tc>
          <w:tcPr>
            <w:tcW w:w="1113" w:type="dxa"/>
            <w:gridSpan w:val="2"/>
            <w:noWrap/>
            <w:tcMar>
              <w:top w:w="20" w:type="dxa"/>
              <w:left w:w="20" w:type="dxa"/>
              <w:bottom w:w="0" w:type="dxa"/>
              <w:right w:w="20" w:type="dxa"/>
            </w:tcMar>
            <w:vAlign w:val="center"/>
          </w:tcPr>
          <w:p w14:paraId="53ADEF49">
            <w:pPr>
              <w:jc w:val="center"/>
              <w:rPr>
                <w:rFonts w:ascii="宋体" w:hAnsi="宋体" w:eastAsia="宋体" w:cs="宋体"/>
                <w:color w:val="000000" w:themeColor="text1"/>
                <w:highlight w:val="none"/>
                <w14:textFill>
                  <w14:solidFill>
                    <w14:schemeClr w14:val="tx1"/>
                  </w14:solidFill>
                </w14:textFill>
              </w:rPr>
            </w:pPr>
          </w:p>
        </w:tc>
        <w:tc>
          <w:tcPr>
            <w:tcW w:w="1217" w:type="dxa"/>
            <w:gridSpan w:val="2"/>
            <w:noWrap/>
            <w:tcMar>
              <w:top w:w="20" w:type="dxa"/>
              <w:left w:w="20" w:type="dxa"/>
              <w:bottom w:w="0" w:type="dxa"/>
              <w:right w:w="20" w:type="dxa"/>
            </w:tcMar>
            <w:vAlign w:val="center"/>
          </w:tcPr>
          <w:p w14:paraId="38E67B1D">
            <w:pPr>
              <w:jc w:val="center"/>
              <w:rPr>
                <w:rFonts w:ascii="宋体" w:hAnsi="宋体" w:eastAsia="宋体" w:cs="宋体"/>
                <w:color w:val="000000" w:themeColor="text1"/>
                <w:highlight w:val="none"/>
                <w14:textFill>
                  <w14:solidFill>
                    <w14:schemeClr w14:val="tx1"/>
                  </w14:solidFill>
                </w14:textFill>
              </w:rPr>
            </w:pPr>
          </w:p>
        </w:tc>
        <w:tc>
          <w:tcPr>
            <w:tcW w:w="1159" w:type="dxa"/>
            <w:gridSpan w:val="2"/>
            <w:vAlign w:val="center"/>
          </w:tcPr>
          <w:p w14:paraId="027E91F8">
            <w:pPr>
              <w:jc w:val="center"/>
              <w:rPr>
                <w:rFonts w:ascii="宋体" w:hAnsi="宋体" w:eastAsia="宋体" w:cs="宋体"/>
                <w:color w:val="000000" w:themeColor="text1"/>
                <w:highlight w:val="none"/>
                <w14:textFill>
                  <w14:solidFill>
                    <w14:schemeClr w14:val="tx1"/>
                  </w14:solidFill>
                </w14:textFill>
              </w:rPr>
            </w:pPr>
          </w:p>
        </w:tc>
      </w:tr>
      <w:tr w14:paraId="74B1AC7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65" w:hRule="atLeast"/>
          <w:jc w:val="center"/>
        </w:trPr>
        <w:tc>
          <w:tcPr>
            <w:tcW w:w="775" w:type="dxa"/>
            <w:noWrap/>
            <w:tcMar>
              <w:top w:w="20" w:type="dxa"/>
              <w:left w:w="20" w:type="dxa"/>
              <w:bottom w:w="0" w:type="dxa"/>
              <w:right w:w="20" w:type="dxa"/>
            </w:tcMar>
            <w:vAlign w:val="center"/>
          </w:tcPr>
          <w:p w14:paraId="53C46808">
            <w:pPr>
              <w:jc w:val="center"/>
              <w:rPr>
                <w:rFonts w:ascii="宋体" w:hAnsi="宋体" w:eastAsia="宋体" w:cs="宋体"/>
                <w:color w:val="000000" w:themeColor="text1"/>
                <w:highlight w:val="none"/>
                <w14:textFill>
                  <w14:solidFill>
                    <w14:schemeClr w14:val="tx1"/>
                  </w14:solidFill>
                </w14:textFill>
              </w:rPr>
            </w:pPr>
          </w:p>
        </w:tc>
        <w:tc>
          <w:tcPr>
            <w:tcW w:w="1642" w:type="dxa"/>
            <w:noWrap/>
            <w:tcMar>
              <w:top w:w="20" w:type="dxa"/>
              <w:left w:w="20" w:type="dxa"/>
              <w:bottom w:w="0" w:type="dxa"/>
              <w:right w:w="20" w:type="dxa"/>
            </w:tcMar>
            <w:vAlign w:val="center"/>
          </w:tcPr>
          <w:p w14:paraId="218D659C">
            <w:pPr>
              <w:jc w:val="center"/>
              <w:rPr>
                <w:rFonts w:ascii="宋体" w:hAnsi="宋体" w:eastAsia="宋体" w:cs="宋体"/>
                <w:color w:val="000000" w:themeColor="text1"/>
                <w:highlight w:val="none"/>
                <w14:textFill>
                  <w14:solidFill>
                    <w14:schemeClr w14:val="tx1"/>
                  </w14:solidFill>
                </w14:textFill>
              </w:rPr>
            </w:pPr>
          </w:p>
        </w:tc>
        <w:tc>
          <w:tcPr>
            <w:tcW w:w="1821" w:type="dxa"/>
            <w:noWrap/>
            <w:tcMar>
              <w:top w:w="20" w:type="dxa"/>
              <w:left w:w="20" w:type="dxa"/>
              <w:bottom w:w="0" w:type="dxa"/>
              <w:right w:w="20" w:type="dxa"/>
            </w:tcMar>
            <w:vAlign w:val="center"/>
          </w:tcPr>
          <w:p w14:paraId="258518F9">
            <w:pPr>
              <w:jc w:val="center"/>
              <w:rPr>
                <w:rFonts w:ascii="宋体" w:hAnsi="宋体" w:eastAsia="宋体" w:cs="宋体"/>
                <w:color w:val="000000" w:themeColor="text1"/>
                <w:highlight w:val="none"/>
                <w14:textFill>
                  <w14:solidFill>
                    <w14:schemeClr w14:val="tx1"/>
                  </w14:solidFill>
                </w14:textFill>
              </w:rPr>
            </w:pPr>
          </w:p>
        </w:tc>
        <w:tc>
          <w:tcPr>
            <w:tcW w:w="1560" w:type="dxa"/>
            <w:noWrap/>
            <w:tcMar>
              <w:top w:w="20" w:type="dxa"/>
              <w:left w:w="20" w:type="dxa"/>
              <w:bottom w:w="0" w:type="dxa"/>
              <w:right w:w="20" w:type="dxa"/>
            </w:tcMar>
            <w:vAlign w:val="center"/>
          </w:tcPr>
          <w:p w14:paraId="6CEB5F07">
            <w:pPr>
              <w:jc w:val="center"/>
              <w:rPr>
                <w:rFonts w:ascii="宋体" w:hAnsi="宋体" w:eastAsia="宋体" w:cs="宋体"/>
                <w:color w:val="000000" w:themeColor="text1"/>
                <w:highlight w:val="none"/>
                <w14:textFill>
                  <w14:solidFill>
                    <w14:schemeClr w14:val="tx1"/>
                  </w14:solidFill>
                </w14:textFill>
              </w:rPr>
            </w:pPr>
          </w:p>
        </w:tc>
        <w:tc>
          <w:tcPr>
            <w:tcW w:w="1112" w:type="dxa"/>
            <w:noWrap/>
            <w:tcMar>
              <w:top w:w="20" w:type="dxa"/>
              <w:left w:w="20" w:type="dxa"/>
              <w:bottom w:w="0" w:type="dxa"/>
              <w:right w:w="20" w:type="dxa"/>
            </w:tcMar>
            <w:vAlign w:val="center"/>
          </w:tcPr>
          <w:p w14:paraId="16C0FBC4">
            <w:pPr>
              <w:jc w:val="center"/>
              <w:rPr>
                <w:rFonts w:ascii="宋体" w:hAnsi="宋体" w:eastAsia="宋体" w:cs="宋体"/>
                <w:color w:val="000000" w:themeColor="text1"/>
                <w:highlight w:val="none"/>
                <w14:textFill>
                  <w14:solidFill>
                    <w14:schemeClr w14:val="tx1"/>
                  </w14:solidFill>
                </w14:textFill>
              </w:rPr>
            </w:pPr>
          </w:p>
        </w:tc>
        <w:tc>
          <w:tcPr>
            <w:tcW w:w="1113" w:type="dxa"/>
            <w:gridSpan w:val="2"/>
            <w:noWrap/>
            <w:tcMar>
              <w:top w:w="20" w:type="dxa"/>
              <w:left w:w="20" w:type="dxa"/>
              <w:bottom w:w="0" w:type="dxa"/>
              <w:right w:w="20" w:type="dxa"/>
            </w:tcMar>
            <w:vAlign w:val="center"/>
          </w:tcPr>
          <w:p w14:paraId="58F11077">
            <w:pPr>
              <w:jc w:val="center"/>
              <w:rPr>
                <w:rFonts w:ascii="宋体" w:hAnsi="宋体" w:eastAsia="宋体" w:cs="宋体"/>
                <w:color w:val="000000" w:themeColor="text1"/>
                <w:highlight w:val="none"/>
                <w14:textFill>
                  <w14:solidFill>
                    <w14:schemeClr w14:val="tx1"/>
                  </w14:solidFill>
                </w14:textFill>
              </w:rPr>
            </w:pPr>
          </w:p>
        </w:tc>
        <w:tc>
          <w:tcPr>
            <w:tcW w:w="1217" w:type="dxa"/>
            <w:gridSpan w:val="2"/>
            <w:noWrap/>
            <w:tcMar>
              <w:top w:w="20" w:type="dxa"/>
              <w:left w:w="20" w:type="dxa"/>
              <w:bottom w:w="0" w:type="dxa"/>
              <w:right w:w="20" w:type="dxa"/>
            </w:tcMar>
            <w:vAlign w:val="center"/>
          </w:tcPr>
          <w:p w14:paraId="01440EE1">
            <w:pPr>
              <w:jc w:val="center"/>
              <w:rPr>
                <w:rFonts w:ascii="宋体" w:hAnsi="宋体" w:eastAsia="宋体" w:cs="宋体"/>
                <w:color w:val="000000" w:themeColor="text1"/>
                <w:highlight w:val="none"/>
                <w14:textFill>
                  <w14:solidFill>
                    <w14:schemeClr w14:val="tx1"/>
                  </w14:solidFill>
                </w14:textFill>
              </w:rPr>
            </w:pPr>
          </w:p>
        </w:tc>
        <w:tc>
          <w:tcPr>
            <w:tcW w:w="1159" w:type="dxa"/>
            <w:gridSpan w:val="2"/>
            <w:vAlign w:val="center"/>
          </w:tcPr>
          <w:p w14:paraId="0F14AD64">
            <w:pPr>
              <w:jc w:val="center"/>
              <w:rPr>
                <w:rFonts w:ascii="宋体" w:hAnsi="宋体" w:eastAsia="宋体" w:cs="宋体"/>
                <w:color w:val="000000" w:themeColor="text1"/>
                <w:highlight w:val="none"/>
                <w14:textFill>
                  <w14:solidFill>
                    <w14:schemeClr w14:val="tx1"/>
                  </w14:solidFill>
                </w14:textFill>
              </w:rPr>
            </w:pPr>
          </w:p>
        </w:tc>
      </w:tr>
      <w:tr w14:paraId="4900096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65" w:hRule="atLeast"/>
          <w:jc w:val="center"/>
        </w:trPr>
        <w:tc>
          <w:tcPr>
            <w:tcW w:w="775" w:type="dxa"/>
            <w:shd w:val="clear" w:color="auto" w:fill="F1F1F1" w:themeFill="background1" w:themeFillShade="F2"/>
            <w:noWrap/>
            <w:tcMar>
              <w:top w:w="20" w:type="dxa"/>
              <w:left w:w="20" w:type="dxa"/>
              <w:bottom w:w="0" w:type="dxa"/>
              <w:right w:w="20" w:type="dxa"/>
            </w:tcMar>
            <w:vAlign w:val="center"/>
          </w:tcPr>
          <w:p w14:paraId="6EEE84D6">
            <w:pPr>
              <w:jc w:val="center"/>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二</w:t>
            </w:r>
          </w:p>
        </w:tc>
        <w:tc>
          <w:tcPr>
            <w:tcW w:w="9624" w:type="dxa"/>
            <w:gridSpan w:val="10"/>
            <w:shd w:val="clear" w:color="auto" w:fill="F1F1F1" w:themeFill="background1" w:themeFillShade="F2"/>
            <w:noWrap/>
            <w:tcMar>
              <w:top w:w="20" w:type="dxa"/>
              <w:left w:w="20" w:type="dxa"/>
              <w:bottom w:w="0" w:type="dxa"/>
              <w:right w:w="20" w:type="dxa"/>
            </w:tcMar>
            <w:vAlign w:val="center"/>
          </w:tcPr>
          <w:p w14:paraId="54BAC625">
            <w:pPr>
              <w:jc w:val="center"/>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其他费用</w:t>
            </w:r>
          </w:p>
        </w:tc>
      </w:tr>
      <w:tr w14:paraId="664D6B4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65" w:hRule="atLeast"/>
          <w:jc w:val="center"/>
        </w:trPr>
        <w:tc>
          <w:tcPr>
            <w:tcW w:w="775" w:type="dxa"/>
            <w:noWrap/>
            <w:tcMar>
              <w:top w:w="20" w:type="dxa"/>
              <w:left w:w="20" w:type="dxa"/>
              <w:bottom w:w="0" w:type="dxa"/>
              <w:right w:w="20" w:type="dxa"/>
            </w:tcMar>
            <w:vAlign w:val="center"/>
          </w:tcPr>
          <w:p w14:paraId="31544568">
            <w:pPr>
              <w:jc w:val="center"/>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序号</w:t>
            </w:r>
          </w:p>
        </w:tc>
        <w:tc>
          <w:tcPr>
            <w:tcW w:w="1642" w:type="dxa"/>
            <w:noWrap/>
            <w:tcMar>
              <w:top w:w="20" w:type="dxa"/>
              <w:left w:w="20" w:type="dxa"/>
              <w:bottom w:w="0" w:type="dxa"/>
              <w:right w:w="20" w:type="dxa"/>
            </w:tcMar>
            <w:vAlign w:val="center"/>
          </w:tcPr>
          <w:p w14:paraId="1726EA67">
            <w:pPr>
              <w:jc w:val="center"/>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费用名称</w:t>
            </w:r>
          </w:p>
        </w:tc>
        <w:tc>
          <w:tcPr>
            <w:tcW w:w="4509" w:type="dxa"/>
            <w:gridSpan w:val="4"/>
            <w:noWrap/>
            <w:tcMar>
              <w:top w:w="20" w:type="dxa"/>
              <w:left w:w="20" w:type="dxa"/>
              <w:bottom w:w="0" w:type="dxa"/>
              <w:right w:w="20" w:type="dxa"/>
            </w:tcMar>
            <w:vAlign w:val="center"/>
          </w:tcPr>
          <w:p w14:paraId="2FFEF98E">
            <w:pPr>
              <w:jc w:val="center"/>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费用描述</w:t>
            </w:r>
          </w:p>
        </w:tc>
        <w:tc>
          <w:tcPr>
            <w:tcW w:w="1113" w:type="dxa"/>
            <w:gridSpan w:val="2"/>
            <w:noWrap/>
            <w:tcMar>
              <w:top w:w="20" w:type="dxa"/>
              <w:left w:w="20" w:type="dxa"/>
              <w:bottom w:w="0" w:type="dxa"/>
              <w:right w:w="20" w:type="dxa"/>
            </w:tcMar>
            <w:vAlign w:val="center"/>
          </w:tcPr>
          <w:p w14:paraId="49D708A2">
            <w:pPr>
              <w:jc w:val="center"/>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数量</w:t>
            </w:r>
          </w:p>
        </w:tc>
        <w:tc>
          <w:tcPr>
            <w:tcW w:w="1217" w:type="dxa"/>
            <w:gridSpan w:val="2"/>
            <w:noWrap/>
            <w:tcMar>
              <w:top w:w="20" w:type="dxa"/>
              <w:left w:w="20" w:type="dxa"/>
              <w:bottom w:w="0" w:type="dxa"/>
              <w:right w:w="20" w:type="dxa"/>
            </w:tcMar>
            <w:vAlign w:val="center"/>
          </w:tcPr>
          <w:p w14:paraId="6289F2C2">
            <w:pPr>
              <w:jc w:val="center"/>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单价</w:t>
            </w:r>
          </w:p>
        </w:tc>
        <w:tc>
          <w:tcPr>
            <w:tcW w:w="1143" w:type="dxa"/>
            <w:vAlign w:val="center"/>
          </w:tcPr>
          <w:p w14:paraId="2A1C1CF0">
            <w:pPr>
              <w:jc w:val="center"/>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总价</w:t>
            </w:r>
          </w:p>
        </w:tc>
      </w:tr>
      <w:tr w14:paraId="377FC17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65" w:hRule="atLeast"/>
          <w:jc w:val="center"/>
        </w:trPr>
        <w:tc>
          <w:tcPr>
            <w:tcW w:w="775" w:type="dxa"/>
            <w:noWrap/>
            <w:tcMar>
              <w:top w:w="20" w:type="dxa"/>
              <w:left w:w="20" w:type="dxa"/>
              <w:bottom w:w="0" w:type="dxa"/>
              <w:right w:w="20" w:type="dxa"/>
            </w:tcMar>
            <w:vAlign w:val="center"/>
          </w:tcPr>
          <w:p w14:paraId="42DD5423">
            <w:pPr>
              <w:jc w:val="center"/>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1</w:t>
            </w:r>
          </w:p>
        </w:tc>
        <w:tc>
          <w:tcPr>
            <w:tcW w:w="1642" w:type="dxa"/>
            <w:noWrap/>
            <w:tcMar>
              <w:top w:w="20" w:type="dxa"/>
              <w:left w:w="20" w:type="dxa"/>
              <w:bottom w:w="0" w:type="dxa"/>
              <w:right w:w="20" w:type="dxa"/>
            </w:tcMar>
            <w:vAlign w:val="center"/>
          </w:tcPr>
          <w:p w14:paraId="770CF866">
            <w:pPr>
              <w:jc w:val="center"/>
              <w:rPr>
                <w:rFonts w:ascii="宋体" w:hAnsi="宋体" w:eastAsia="宋体" w:cs="宋体"/>
                <w:color w:val="000000" w:themeColor="text1"/>
                <w:highlight w:val="none"/>
                <w14:textFill>
                  <w14:solidFill>
                    <w14:schemeClr w14:val="tx1"/>
                  </w14:solidFill>
                </w14:textFill>
              </w:rPr>
            </w:pPr>
          </w:p>
        </w:tc>
        <w:tc>
          <w:tcPr>
            <w:tcW w:w="4509" w:type="dxa"/>
            <w:gridSpan w:val="4"/>
            <w:noWrap/>
            <w:tcMar>
              <w:top w:w="20" w:type="dxa"/>
              <w:left w:w="20" w:type="dxa"/>
              <w:bottom w:w="0" w:type="dxa"/>
              <w:right w:w="20" w:type="dxa"/>
            </w:tcMar>
            <w:vAlign w:val="center"/>
          </w:tcPr>
          <w:p w14:paraId="4B2E58A0">
            <w:pPr>
              <w:jc w:val="center"/>
              <w:rPr>
                <w:rFonts w:ascii="宋体" w:hAnsi="宋体" w:eastAsia="宋体" w:cs="宋体"/>
                <w:color w:val="000000" w:themeColor="text1"/>
                <w:highlight w:val="none"/>
                <w14:textFill>
                  <w14:solidFill>
                    <w14:schemeClr w14:val="tx1"/>
                  </w14:solidFill>
                </w14:textFill>
              </w:rPr>
            </w:pPr>
          </w:p>
        </w:tc>
        <w:tc>
          <w:tcPr>
            <w:tcW w:w="1113" w:type="dxa"/>
            <w:gridSpan w:val="2"/>
            <w:noWrap/>
            <w:tcMar>
              <w:top w:w="20" w:type="dxa"/>
              <w:left w:w="20" w:type="dxa"/>
              <w:bottom w:w="0" w:type="dxa"/>
              <w:right w:w="20" w:type="dxa"/>
            </w:tcMar>
            <w:vAlign w:val="center"/>
          </w:tcPr>
          <w:p w14:paraId="22891581">
            <w:pPr>
              <w:jc w:val="center"/>
              <w:rPr>
                <w:rFonts w:ascii="宋体" w:hAnsi="宋体" w:eastAsia="宋体" w:cs="宋体"/>
                <w:color w:val="000000" w:themeColor="text1"/>
                <w:highlight w:val="none"/>
                <w14:textFill>
                  <w14:solidFill>
                    <w14:schemeClr w14:val="tx1"/>
                  </w14:solidFill>
                </w14:textFill>
              </w:rPr>
            </w:pPr>
          </w:p>
        </w:tc>
        <w:tc>
          <w:tcPr>
            <w:tcW w:w="1217" w:type="dxa"/>
            <w:gridSpan w:val="2"/>
            <w:noWrap/>
            <w:tcMar>
              <w:top w:w="20" w:type="dxa"/>
              <w:left w:w="20" w:type="dxa"/>
              <w:bottom w:w="0" w:type="dxa"/>
              <w:right w:w="20" w:type="dxa"/>
            </w:tcMar>
            <w:vAlign w:val="center"/>
          </w:tcPr>
          <w:p w14:paraId="01B2799D">
            <w:pPr>
              <w:jc w:val="center"/>
              <w:rPr>
                <w:rFonts w:ascii="宋体" w:hAnsi="宋体" w:eastAsia="宋体" w:cs="宋体"/>
                <w:color w:val="000000" w:themeColor="text1"/>
                <w:highlight w:val="none"/>
                <w14:textFill>
                  <w14:solidFill>
                    <w14:schemeClr w14:val="tx1"/>
                  </w14:solidFill>
                </w14:textFill>
              </w:rPr>
            </w:pPr>
          </w:p>
        </w:tc>
        <w:tc>
          <w:tcPr>
            <w:tcW w:w="1143" w:type="dxa"/>
            <w:vAlign w:val="center"/>
          </w:tcPr>
          <w:p w14:paraId="7BF367D4">
            <w:pPr>
              <w:jc w:val="center"/>
              <w:rPr>
                <w:rFonts w:ascii="宋体" w:hAnsi="宋体" w:eastAsia="宋体" w:cs="宋体"/>
                <w:color w:val="000000" w:themeColor="text1"/>
                <w:highlight w:val="none"/>
                <w14:textFill>
                  <w14:solidFill>
                    <w14:schemeClr w14:val="tx1"/>
                  </w14:solidFill>
                </w14:textFill>
              </w:rPr>
            </w:pPr>
          </w:p>
        </w:tc>
      </w:tr>
      <w:tr w14:paraId="64D8D81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65" w:hRule="atLeast"/>
          <w:jc w:val="center"/>
        </w:trPr>
        <w:tc>
          <w:tcPr>
            <w:tcW w:w="775" w:type="dxa"/>
            <w:noWrap/>
            <w:tcMar>
              <w:top w:w="20" w:type="dxa"/>
              <w:left w:w="20" w:type="dxa"/>
              <w:bottom w:w="0" w:type="dxa"/>
              <w:right w:w="20" w:type="dxa"/>
            </w:tcMar>
            <w:vAlign w:val="center"/>
          </w:tcPr>
          <w:p w14:paraId="5EE84F38">
            <w:pPr>
              <w:jc w:val="center"/>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w:t>
            </w:r>
          </w:p>
        </w:tc>
        <w:tc>
          <w:tcPr>
            <w:tcW w:w="1642" w:type="dxa"/>
            <w:noWrap/>
            <w:tcMar>
              <w:top w:w="20" w:type="dxa"/>
              <w:left w:w="20" w:type="dxa"/>
              <w:bottom w:w="0" w:type="dxa"/>
              <w:right w:w="20" w:type="dxa"/>
            </w:tcMar>
            <w:vAlign w:val="center"/>
          </w:tcPr>
          <w:p w14:paraId="43992DDF">
            <w:pPr>
              <w:jc w:val="center"/>
              <w:rPr>
                <w:rFonts w:ascii="宋体" w:hAnsi="宋体" w:eastAsia="宋体" w:cs="宋体"/>
                <w:color w:val="000000" w:themeColor="text1"/>
                <w:highlight w:val="none"/>
                <w14:textFill>
                  <w14:solidFill>
                    <w14:schemeClr w14:val="tx1"/>
                  </w14:solidFill>
                </w14:textFill>
              </w:rPr>
            </w:pPr>
          </w:p>
        </w:tc>
        <w:tc>
          <w:tcPr>
            <w:tcW w:w="4509" w:type="dxa"/>
            <w:gridSpan w:val="4"/>
            <w:noWrap/>
            <w:tcMar>
              <w:top w:w="20" w:type="dxa"/>
              <w:left w:w="20" w:type="dxa"/>
              <w:bottom w:w="0" w:type="dxa"/>
              <w:right w:w="20" w:type="dxa"/>
            </w:tcMar>
            <w:vAlign w:val="center"/>
          </w:tcPr>
          <w:p w14:paraId="3B9131CD">
            <w:pPr>
              <w:jc w:val="center"/>
              <w:rPr>
                <w:rFonts w:ascii="宋体" w:hAnsi="宋体" w:eastAsia="宋体" w:cs="宋体"/>
                <w:color w:val="000000" w:themeColor="text1"/>
                <w:highlight w:val="none"/>
                <w14:textFill>
                  <w14:solidFill>
                    <w14:schemeClr w14:val="tx1"/>
                  </w14:solidFill>
                </w14:textFill>
              </w:rPr>
            </w:pPr>
          </w:p>
        </w:tc>
        <w:tc>
          <w:tcPr>
            <w:tcW w:w="1113" w:type="dxa"/>
            <w:gridSpan w:val="2"/>
            <w:noWrap/>
            <w:tcMar>
              <w:top w:w="20" w:type="dxa"/>
              <w:left w:w="20" w:type="dxa"/>
              <w:bottom w:w="0" w:type="dxa"/>
              <w:right w:w="20" w:type="dxa"/>
            </w:tcMar>
            <w:vAlign w:val="center"/>
          </w:tcPr>
          <w:p w14:paraId="482EAB4C">
            <w:pPr>
              <w:jc w:val="center"/>
              <w:rPr>
                <w:rFonts w:ascii="宋体" w:hAnsi="宋体" w:eastAsia="宋体" w:cs="宋体"/>
                <w:color w:val="000000" w:themeColor="text1"/>
                <w:highlight w:val="none"/>
                <w14:textFill>
                  <w14:solidFill>
                    <w14:schemeClr w14:val="tx1"/>
                  </w14:solidFill>
                </w14:textFill>
              </w:rPr>
            </w:pPr>
          </w:p>
        </w:tc>
        <w:tc>
          <w:tcPr>
            <w:tcW w:w="1217" w:type="dxa"/>
            <w:gridSpan w:val="2"/>
            <w:noWrap/>
            <w:tcMar>
              <w:top w:w="20" w:type="dxa"/>
              <w:left w:w="20" w:type="dxa"/>
              <w:bottom w:w="0" w:type="dxa"/>
              <w:right w:w="20" w:type="dxa"/>
            </w:tcMar>
            <w:vAlign w:val="center"/>
          </w:tcPr>
          <w:p w14:paraId="20FD64F1">
            <w:pPr>
              <w:jc w:val="center"/>
              <w:rPr>
                <w:rFonts w:ascii="宋体" w:hAnsi="宋体" w:eastAsia="宋体" w:cs="宋体"/>
                <w:color w:val="000000" w:themeColor="text1"/>
                <w:highlight w:val="none"/>
                <w14:textFill>
                  <w14:solidFill>
                    <w14:schemeClr w14:val="tx1"/>
                  </w14:solidFill>
                </w14:textFill>
              </w:rPr>
            </w:pPr>
          </w:p>
        </w:tc>
        <w:tc>
          <w:tcPr>
            <w:tcW w:w="1143" w:type="dxa"/>
            <w:vAlign w:val="center"/>
          </w:tcPr>
          <w:p w14:paraId="68D77F36">
            <w:pPr>
              <w:jc w:val="center"/>
              <w:rPr>
                <w:rFonts w:ascii="宋体" w:hAnsi="宋体" w:eastAsia="宋体" w:cs="宋体"/>
                <w:color w:val="000000" w:themeColor="text1"/>
                <w:highlight w:val="none"/>
                <w14:textFill>
                  <w14:solidFill>
                    <w14:schemeClr w14:val="tx1"/>
                  </w14:solidFill>
                </w14:textFill>
              </w:rPr>
            </w:pPr>
          </w:p>
        </w:tc>
      </w:tr>
      <w:tr w14:paraId="0649C89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65" w:hRule="atLeast"/>
          <w:jc w:val="center"/>
        </w:trPr>
        <w:tc>
          <w:tcPr>
            <w:tcW w:w="775" w:type="dxa"/>
            <w:noWrap/>
            <w:tcMar>
              <w:top w:w="20" w:type="dxa"/>
              <w:left w:w="20" w:type="dxa"/>
              <w:bottom w:w="0" w:type="dxa"/>
              <w:right w:w="20" w:type="dxa"/>
            </w:tcMar>
            <w:vAlign w:val="center"/>
          </w:tcPr>
          <w:p w14:paraId="1A0CDECC">
            <w:pPr>
              <w:jc w:val="center"/>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3</w:t>
            </w:r>
          </w:p>
        </w:tc>
        <w:tc>
          <w:tcPr>
            <w:tcW w:w="1642" w:type="dxa"/>
            <w:noWrap/>
            <w:tcMar>
              <w:top w:w="20" w:type="dxa"/>
              <w:left w:w="20" w:type="dxa"/>
              <w:bottom w:w="0" w:type="dxa"/>
              <w:right w:w="20" w:type="dxa"/>
            </w:tcMar>
            <w:vAlign w:val="center"/>
          </w:tcPr>
          <w:p w14:paraId="53815FD8">
            <w:pPr>
              <w:jc w:val="center"/>
              <w:rPr>
                <w:rFonts w:ascii="宋体" w:hAnsi="宋体" w:eastAsia="宋体" w:cs="宋体"/>
                <w:color w:val="000000" w:themeColor="text1"/>
                <w:highlight w:val="none"/>
                <w14:textFill>
                  <w14:solidFill>
                    <w14:schemeClr w14:val="tx1"/>
                  </w14:solidFill>
                </w14:textFill>
              </w:rPr>
            </w:pPr>
          </w:p>
        </w:tc>
        <w:tc>
          <w:tcPr>
            <w:tcW w:w="4509" w:type="dxa"/>
            <w:gridSpan w:val="4"/>
            <w:noWrap/>
            <w:tcMar>
              <w:top w:w="20" w:type="dxa"/>
              <w:left w:w="20" w:type="dxa"/>
              <w:bottom w:w="0" w:type="dxa"/>
              <w:right w:w="20" w:type="dxa"/>
            </w:tcMar>
            <w:vAlign w:val="center"/>
          </w:tcPr>
          <w:p w14:paraId="2F7B347B">
            <w:pPr>
              <w:jc w:val="center"/>
              <w:rPr>
                <w:rFonts w:ascii="宋体" w:hAnsi="宋体" w:eastAsia="宋体" w:cs="宋体"/>
                <w:color w:val="000000" w:themeColor="text1"/>
                <w:highlight w:val="none"/>
                <w14:textFill>
                  <w14:solidFill>
                    <w14:schemeClr w14:val="tx1"/>
                  </w14:solidFill>
                </w14:textFill>
              </w:rPr>
            </w:pPr>
          </w:p>
        </w:tc>
        <w:tc>
          <w:tcPr>
            <w:tcW w:w="1113" w:type="dxa"/>
            <w:gridSpan w:val="2"/>
            <w:noWrap/>
            <w:tcMar>
              <w:top w:w="20" w:type="dxa"/>
              <w:left w:w="20" w:type="dxa"/>
              <w:bottom w:w="0" w:type="dxa"/>
              <w:right w:w="20" w:type="dxa"/>
            </w:tcMar>
            <w:vAlign w:val="center"/>
          </w:tcPr>
          <w:p w14:paraId="43B96E65">
            <w:pPr>
              <w:jc w:val="center"/>
              <w:rPr>
                <w:rFonts w:ascii="宋体" w:hAnsi="宋体" w:eastAsia="宋体" w:cs="宋体"/>
                <w:color w:val="000000" w:themeColor="text1"/>
                <w:highlight w:val="none"/>
                <w14:textFill>
                  <w14:solidFill>
                    <w14:schemeClr w14:val="tx1"/>
                  </w14:solidFill>
                </w14:textFill>
              </w:rPr>
            </w:pPr>
          </w:p>
        </w:tc>
        <w:tc>
          <w:tcPr>
            <w:tcW w:w="1217" w:type="dxa"/>
            <w:gridSpan w:val="2"/>
            <w:noWrap/>
            <w:tcMar>
              <w:top w:w="20" w:type="dxa"/>
              <w:left w:w="20" w:type="dxa"/>
              <w:bottom w:w="0" w:type="dxa"/>
              <w:right w:w="20" w:type="dxa"/>
            </w:tcMar>
            <w:vAlign w:val="center"/>
          </w:tcPr>
          <w:p w14:paraId="58949A04">
            <w:pPr>
              <w:jc w:val="center"/>
              <w:rPr>
                <w:rFonts w:ascii="宋体" w:hAnsi="宋体" w:eastAsia="宋体" w:cs="宋体"/>
                <w:color w:val="000000" w:themeColor="text1"/>
                <w:highlight w:val="none"/>
                <w14:textFill>
                  <w14:solidFill>
                    <w14:schemeClr w14:val="tx1"/>
                  </w14:solidFill>
                </w14:textFill>
              </w:rPr>
            </w:pPr>
          </w:p>
        </w:tc>
        <w:tc>
          <w:tcPr>
            <w:tcW w:w="1143" w:type="dxa"/>
            <w:vAlign w:val="center"/>
          </w:tcPr>
          <w:p w14:paraId="1123A7CF">
            <w:pPr>
              <w:jc w:val="center"/>
              <w:rPr>
                <w:rFonts w:ascii="宋体" w:hAnsi="宋体" w:eastAsia="宋体" w:cs="宋体"/>
                <w:color w:val="000000" w:themeColor="text1"/>
                <w:highlight w:val="none"/>
                <w14:textFill>
                  <w14:solidFill>
                    <w14:schemeClr w14:val="tx1"/>
                  </w14:solidFill>
                </w14:textFill>
              </w:rPr>
            </w:pPr>
          </w:p>
        </w:tc>
      </w:tr>
      <w:tr w14:paraId="3511EAC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65" w:hRule="atLeast"/>
          <w:jc w:val="center"/>
        </w:trPr>
        <w:tc>
          <w:tcPr>
            <w:tcW w:w="775" w:type="dxa"/>
            <w:noWrap/>
            <w:tcMar>
              <w:top w:w="20" w:type="dxa"/>
              <w:left w:w="20" w:type="dxa"/>
              <w:bottom w:w="0" w:type="dxa"/>
              <w:right w:w="20" w:type="dxa"/>
            </w:tcMar>
            <w:vAlign w:val="center"/>
          </w:tcPr>
          <w:p w14:paraId="4F43E7FF">
            <w:pPr>
              <w:jc w:val="center"/>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w:t>
            </w:r>
          </w:p>
        </w:tc>
        <w:tc>
          <w:tcPr>
            <w:tcW w:w="1642" w:type="dxa"/>
            <w:noWrap/>
            <w:tcMar>
              <w:top w:w="20" w:type="dxa"/>
              <w:left w:w="20" w:type="dxa"/>
              <w:bottom w:w="0" w:type="dxa"/>
              <w:right w:w="20" w:type="dxa"/>
            </w:tcMar>
            <w:vAlign w:val="center"/>
          </w:tcPr>
          <w:p w14:paraId="333D18CC">
            <w:pPr>
              <w:jc w:val="center"/>
              <w:rPr>
                <w:rFonts w:ascii="宋体" w:hAnsi="宋体" w:eastAsia="宋体" w:cs="宋体"/>
                <w:color w:val="000000" w:themeColor="text1"/>
                <w:highlight w:val="none"/>
                <w14:textFill>
                  <w14:solidFill>
                    <w14:schemeClr w14:val="tx1"/>
                  </w14:solidFill>
                </w14:textFill>
              </w:rPr>
            </w:pPr>
          </w:p>
        </w:tc>
        <w:tc>
          <w:tcPr>
            <w:tcW w:w="4509" w:type="dxa"/>
            <w:gridSpan w:val="4"/>
            <w:noWrap/>
            <w:tcMar>
              <w:top w:w="20" w:type="dxa"/>
              <w:left w:w="20" w:type="dxa"/>
              <w:bottom w:w="0" w:type="dxa"/>
              <w:right w:w="20" w:type="dxa"/>
            </w:tcMar>
            <w:vAlign w:val="center"/>
          </w:tcPr>
          <w:p w14:paraId="321C6B6E">
            <w:pPr>
              <w:jc w:val="center"/>
              <w:rPr>
                <w:rFonts w:ascii="宋体" w:hAnsi="宋体" w:eastAsia="宋体" w:cs="宋体"/>
                <w:color w:val="000000" w:themeColor="text1"/>
                <w:highlight w:val="none"/>
                <w14:textFill>
                  <w14:solidFill>
                    <w14:schemeClr w14:val="tx1"/>
                  </w14:solidFill>
                </w14:textFill>
              </w:rPr>
            </w:pPr>
          </w:p>
        </w:tc>
        <w:tc>
          <w:tcPr>
            <w:tcW w:w="1113" w:type="dxa"/>
            <w:gridSpan w:val="2"/>
            <w:noWrap/>
            <w:tcMar>
              <w:top w:w="20" w:type="dxa"/>
              <w:left w:w="20" w:type="dxa"/>
              <w:bottom w:w="0" w:type="dxa"/>
              <w:right w:w="20" w:type="dxa"/>
            </w:tcMar>
            <w:vAlign w:val="center"/>
          </w:tcPr>
          <w:p w14:paraId="2350EE8B">
            <w:pPr>
              <w:jc w:val="center"/>
              <w:rPr>
                <w:rFonts w:ascii="宋体" w:hAnsi="宋体" w:eastAsia="宋体" w:cs="宋体"/>
                <w:color w:val="000000" w:themeColor="text1"/>
                <w:highlight w:val="none"/>
                <w14:textFill>
                  <w14:solidFill>
                    <w14:schemeClr w14:val="tx1"/>
                  </w14:solidFill>
                </w14:textFill>
              </w:rPr>
            </w:pPr>
          </w:p>
        </w:tc>
        <w:tc>
          <w:tcPr>
            <w:tcW w:w="1217" w:type="dxa"/>
            <w:gridSpan w:val="2"/>
            <w:noWrap/>
            <w:tcMar>
              <w:top w:w="20" w:type="dxa"/>
              <w:left w:w="20" w:type="dxa"/>
              <w:bottom w:w="0" w:type="dxa"/>
              <w:right w:w="20" w:type="dxa"/>
            </w:tcMar>
            <w:vAlign w:val="center"/>
          </w:tcPr>
          <w:p w14:paraId="4F2760E9">
            <w:pPr>
              <w:jc w:val="center"/>
              <w:rPr>
                <w:rFonts w:ascii="宋体" w:hAnsi="宋体" w:eastAsia="宋体" w:cs="宋体"/>
                <w:color w:val="000000" w:themeColor="text1"/>
                <w:highlight w:val="none"/>
                <w14:textFill>
                  <w14:solidFill>
                    <w14:schemeClr w14:val="tx1"/>
                  </w14:solidFill>
                </w14:textFill>
              </w:rPr>
            </w:pPr>
          </w:p>
        </w:tc>
        <w:tc>
          <w:tcPr>
            <w:tcW w:w="1143" w:type="dxa"/>
            <w:vAlign w:val="center"/>
          </w:tcPr>
          <w:p w14:paraId="1C10EB5B">
            <w:pPr>
              <w:jc w:val="center"/>
              <w:rPr>
                <w:rFonts w:ascii="宋体" w:hAnsi="宋体" w:eastAsia="宋体" w:cs="宋体"/>
                <w:color w:val="000000" w:themeColor="text1"/>
                <w:highlight w:val="none"/>
                <w14:textFill>
                  <w14:solidFill>
                    <w14:schemeClr w14:val="tx1"/>
                  </w14:solidFill>
                </w14:textFill>
              </w:rPr>
            </w:pPr>
          </w:p>
        </w:tc>
      </w:tr>
      <w:tr w14:paraId="50E1573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65" w:hRule="atLeast"/>
          <w:jc w:val="center"/>
        </w:trPr>
        <w:tc>
          <w:tcPr>
            <w:tcW w:w="2417" w:type="dxa"/>
            <w:gridSpan w:val="2"/>
            <w:noWrap/>
            <w:tcMar>
              <w:top w:w="20" w:type="dxa"/>
              <w:left w:w="20" w:type="dxa"/>
              <w:bottom w:w="0" w:type="dxa"/>
              <w:right w:w="20" w:type="dxa"/>
            </w:tcMar>
            <w:vAlign w:val="center"/>
          </w:tcPr>
          <w:p w14:paraId="3FAD9DE8">
            <w:pPr>
              <w:jc w:val="center"/>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投标总报价</w:t>
            </w:r>
          </w:p>
        </w:tc>
        <w:tc>
          <w:tcPr>
            <w:tcW w:w="7982" w:type="dxa"/>
            <w:gridSpan w:val="9"/>
            <w:noWrap/>
            <w:tcMar>
              <w:top w:w="20" w:type="dxa"/>
              <w:left w:w="20" w:type="dxa"/>
              <w:bottom w:w="0" w:type="dxa"/>
              <w:right w:w="20" w:type="dxa"/>
            </w:tcMar>
            <w:vAlign w:val="center"/>
          </w:tcPr>
          <w:p w14:paraId="1DAFACA9">
            <w:pPr>
              <w:jc w:val="center"/>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大写：                       小写：元</w:t>
            </w:r>
          </w:p>
        </w:tc>
      </w:tr>
      <w:tr w14:paraId="1465F50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465" w:hRule="atLeast"/>
          <w:jc w:val="center"/>
        </w:trPr>
        <w:tc>
          <w:tcPr>
            <w:tcW w:w="2417" w:type="dxa"/>
            <w:gridSpan w:val="2"/>
            <w:noWrap/>
            <w:tcMar>
              <w:top w:w="20" w:type="dxa"/>
              <w:left w:w="20" w:type="dxa"/>
              <w:bottom w:w="0" w:type="dxa"/>
              <w:right w:w="20" w:type="dxa"/>
            </w:tcMar>
            <w:vAlign w:val="center"/>
          </w:tcPr>
          <w:p w14:paraId="352DBF44">
            <w:pPr>
              <w:jc w:val="center"/>
              <w:rPr>
                <w:rFonts w:ascii="宋体" w:hAnsi="宋体" w:eastAsia="宋体" w:cs="宋体"/>
                <w:color w:val="000000" w:themeColor="text1"/>
                <w:sz w:val="22"/>
                <w:highlight w:val="none"/>
                <w14:textFill>
                  <w14:solidFill>
                    <w14:schemeClr w14:val="tx1"/>
                  </w14:solidFill>
                </w14:textFill>
              </w:rPr>
            </w:pPr>
            <w:r>
              <w:rPr>
                <w:rFonts w:hint="eastAsia" w:ascii="宋体" w:hAnsi="宋体" w:eastAsia="宋体" w:cs="宋体"/>
                <w:color w:val="000000" w:themeColor="text1"/>
                <w:sz w:val="22"/>
                <w:highlight w:val="none"/>
                <w14:textFill>
                  <w14:solidFill>
                    <w14:schemeClr w14:val="tx1"/>
                  </w14:solidFill>
                </w14:textFill>
              </w:rPr>
              <w:t>备注</w:t>
            </w:r>
          </w:p>
        </w:tc>
        <w:tc>
          <w:tcPr>
            <w:tcW w:w="7982" w:type="dxa"/>
            <w:gridSpan w:val="9"/>
            <w:noWrap/>
            <w:tcMar>
              <w:top w:w="20" w:type="dxa"/>
              <w:left w:w="20" w:type="dxa"/>
              <w:bottom w:w="0" w:type="dxa"/>
              <w:right w:w="20" w:type="dxa"/>
            </w:tcMar>
            <w:vAlign w:val="center"/>
          </w:tcPr>
          <w:p w14:paraId="1973B0FE">
            <w:pPr>
              <w:spacing w:beforeLines="50"/>
              <w:jc w:val="center"/>
              <w:rPr>
                <w:rFonts w:ascii="宋体" w:hAnsi="宋体" w:eastAsia="宋体" w:cs="宋体"/>
                <w:color w:val="000000" w:themeColor="text1"/>
                <w:sz w:val="22"/>
                <w:highlight w:val="none"/>
                <w14:textFill>
                  <w14:solidFill>
                    <w14:schemeClr w14:val="tx1"/>
                  </w14:solidFill>
                </w14:textFill>
              </w:rPr>
            </w:pPr>
            <w:r>
              <w:rPr>
                <w:rFonts w:hint="eastAsia" w:ascii="宋体" w:hAnsi="宋体" w:eastAsia="宋体" w:cs="宋体"/>
                <w:color w:val="000000" w:themeColor="text1"/>
                <w:sz w:val="22"/>
                <w:highlight w:val="none"/>
                <w14:textFill>
                  <w14:solidFill>
                    <w14:schemeClr w14:val="tx1"/>
                  </w14:solidFill>
                </w14:textFill>
              </w:rPr>
              <w:t>精确到小数点后两位</w:t>
            </w:r>
          </w:p>
        </w:tc>
      </w:tr>
    </w:tbl>
    <w:p w14:paraId="1FBC5F8B">
      <w:pPr>
        <w:spacing w:line="560" w:lineRule="exact"/>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说明：1.此表由供应商按项目情况自行列支，仅作参考。</w:t>
      </w:r>
    </w:p>
    <w:p w14:paraId="586B1410">
      <w:pPr>
        <w:adjustRightInd w:val="0"/>
        <w:snapToGrid w:val="0"/>
        <w:spacing w:line="480" w:lineRule="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2.表格空间不足时，可自行扩展。</w:t>
      </w:r>
    </w:p>
    <w:p w14:paraId="0825F6EE">
      <w:pPr>
        <w:adjustRightInd w:val="0"/>
        <w:snapToGrid w:val="0"/>
        <w:spacing w:line="480" w:lineRule="auto"/>
        <w:rPr>
          <w:rFonts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供应商（供应商名称及公章）：</w:t>
      </w:r>
    </w:p>
    <w:p w14:paraId="151CFCDF">
      <w:pPr>
        <w:adjustRightInd w:val="0"/>
        <w:snapToGrid w:val="0"/>
        <w:spacing w:line="480" w:lineRule="auto"/>
        <w:rPr>
          <w:rFonts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法定代表人或被授权人（签字或盖章）：</w:t>
      </w:r>
    </w:p>
    <w:p w14:paraId="1765B70C">
      <w:pPr>
        <w:adjustRightInd w:val="0"/>
        <w:snapToGrid w:val="0"/>
        <w:spacing w:line="480" w:lineRule="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日      期：</w:t>
      </w:r>
    </w:p>
    <w:p w14:paraId="1189B05B">
      <w:pPr>
        <w:adjustRightInd w:val="0"/>
        <w:snapToGrid w:val="0"/>
        <w:spacing w:line="480" w:lineRule="auto"/>
        <w:rPr>
          <w:rFonts w:ascii="宋体" w:hAnsi="宋体" w:eastAsia="宋体" w:cs="宋体"/>
          <w:color w:val="000000" w:themeColor="text1"/>
          <w:sz w:val="36"/>
          <w:szCs w:val="36"/>
          <w:highlight w:val="none"/>
          <w14:textFill>
            <w14:solidFill>
              <w14:schemeClr w14:val="tx1"/>
            </w14:solidFill>
          </w14:textFill>
        </w:rPr>
        <w:sectPr>
          <w:headerReference r:id="rId12" w:type="first"/>
          <w:footerReference r:id="rId14" w:type="first"/>
          <w:headerReference r:id="rId11" w:type="default"/>
          <w:footerReference r:id="rId13" w:type="default"/>
          <w:pgSz w:w="11906" w:h="16838"/>
          <w:pgMar w:top="1440" w:right="1083" w:bottom="1440" w:left="1083" w:header="850" w:footer="992" w:gutter="0"/>
          <w:pgNumType w:fmt="decimal"/>
          <w:cols w:space="0" w:num="1"/>
          <w:titlePg/>
          <w:docGrid w:type="linesAndChars" w:linePitch="395" w:charSpace="1724"/>
        </w:sectPr>
      </w:pPr>
    </w:p>
    <w:p w14:paraId="0EA1F1D3">
      <w:pPr>
        <w:pStyle w:val="4"/>
        <w:ind w:firstLine="657"/>
        <w:jc w:val="center"/>
        <w:rPr>
          <w:rFonts w:hint="eastAsia" w:ascii="宋体" w:hAnsi="宋体" w:eastAsia="宋体" w:cs="宋体"/>
          <w:color w:val="000000" w:themeColor="text1"/>
          <w:highlight w:val="none"/>
          <w:lang w:eastAsia="zh-CN"/>
          <w14:textFill>
            <w14:solidFill>
              <w14:schemeClr w14:val="tx1"/>
            </w14:solidFill>
          </w14:textFill>
        </w:rPr>
      </w:pPr>
      <w:bookmarkStart w:id="329" w:name="_Toc27005"/>
      <w:bookmarkStart w:id="330" w:name="_Toc26305"/>
      <w:r>
        <w:rPr>
          <w:rFonts w:hint="eastAsia" w:ascii="宋体" w:hAnsi="宋体" w:eastAsia="宋体" w:cs="宋体"/>
          <w:color w:val="000000" w:themeColor="text1"/>
          <w:highlight w:val="none"/>
          <w14:textFill>
            <w14:solidFill>
              <w14:schemeClr w14:val="tx1"/>
            </w14:solidFill>
          </w14:textFill>
        </w:rPr>
        <w:t xml:space="preserve">第三部分  </w:t>
      </w:r>
      <w:bookmarkEnd w:id="329"/>
      <w:bookmarkEnd w:id="330"/>
      <w:r>
        <w:rPr>
          <w:rFonts w:hint="eastAsia" w:ascii="宋体" w:hAnsi="宋体" w:cs="宋体"/>
          <w:color w:val="000000" w:themeColor="text1"/>
          <w:highlight w:val="none"/>
          <w:lang w:eastAsia="zh-CN"/>
          <w14:textFill>
            <w14:solidFill>
              <w14:schemeClr w14:val="tx1"/>
            </w14:solidFill>
          </w14:textFill>
        </w:rPr>
        <w:t>资质证明文件</w:t>
      </w:r>
    </w:p>
    <w:p w14:paraId="6DE272B7">
      <w:pPr>
        <w:spacing w:line="360" w:lineRule="auto"/>
        <w:ind w:firstLine="496" w:firstLineChars="200"/>
        <w:rPr>
          <w:rFonts w:hint="eastAsia" w:ascii="宋体" w:hAnsi="宋体" w:eastAsia="宋体" w:cs="宋体"/>
          <w:sz w:val="24"/>
        </w:rPr>
      </w:pPr>
      <w:bookmarkStart w:id="331" w:name="_Toc30568"/>
      <w:bookmarkStart w:id="332" w:name="_Toc28294"/>
      <w:bookmarkStart w:id="333" w:name="_Toc32575"/>
      <w:bookmarkStart w:id="334" w:name="_Toc9106"/>
      <w:bookmarkStart w:id="335" w:name="_Toc29109"/>
      <w:bookmarkStart w:id="336" w:name="_Toc18738"/>
      <w:bookmarkStart w:id="337" w:name="_Toc14575"/>
      <w:bookmarkStart w:id="338" w:name="_Toc26570"/>
    </w:p>
    <w:p w14:paraId="4F868752">
      <w:pPr>
        <w:spacing w:line="360" w:lineRule="auto"/>
        <w:ind w:firstLine="496" w:firstLineChars="200"/>
        <w:rPr>
          <w:rFonts w:hint="eastAsia" w:ascii="宋体" w:hAnsi="宋体" w:eastAsia="宋体" w:cs="宋体"/>
          <w:sz w:val="24"/>
        </w:rPr>
      </w:pPr>
      <w:r>
        <w:rPr>
          <w:rFonts w:hint="eastAsia" w:ascii="宋体" w:hAnsi="宋体" w:eastAsia="宋体" w:cs="宋体"/>
          <w:sz w:val="24"/>
        </w:rPr>
        <w:t>1、具有独立承担民事责任能力的法人、其他组织或自然人并出具合法有效的营业执照或事业单位法人证书等国家规定的相关证明，自然人参与的提供其身份证明；</w:t>
      </w:r>
    </w:p>
    <w:p w14:paraId="32D52E33">
      <w:pPr>
        <w:spacing w:line="360" w:lineRule="auto"/>
        <w:ind w:firstLine="496" w:firstLineChars="200"/>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val="en-US" w:eastAsia="zh-CN"/>
        </w:rPr>
        <w:t>法定代表人直接参加投标的，需提供法定代表人身份证明（含法定代表人身份证复印件），法定代表人委托代理人参加投标的，需提供法定代表人授权委托书（含法定代表人及代理人身份证复印件）</w:t>
      </w:r>
      <w:r>
        <w:rPr>
          <w:rFonts w:hint="eastAsia" w:ascii="宋体" w:hAnsi="宋体" w:eastAsia="宋体" w:cs="宋体"/>
          <w:sz w:val="24"/>
        </w:rPr>
        <w:t>；</w:t>
      </w:r>
    </w:p>
    <w:p w14:paraId="47A3A7F7">
      <w:pPr>
        <w:spacing w:line="360" w:lineRule="auto"/>
        <w:ind w:firstLine="496" w:firstLineChars="200"/>
        <w:rPr>
          <w:rFonts w:hint="eastAsia" w:ascii="宋体" w:hAnsi="宋体" w:eastAsia="宋体" w:cs="宋体"/>
          <w:sz w:val="24"/>
        </w:rPr>
      </w:pPr>
      <w:r>
        <w:rPr>
          <w:rFonts w:hint="eastAsia" w:ascii="宋体" w:hAnsi="宋体" w:eastAsia="宋体" w:cs="宋体"/>
          <w:sz w:val="24"/>
        </w:rPr>
        <w:t>3、供应商应提供202</w:t>
      </w:r>
      <w:r>
        <w:rPr>
          <w:rFonts w:hint="eastAsia" w:ascii="宋体" w:hAnsi="宋体" w:cs="宋体"/>
          <w:sz w:val="24"/>
          <w:lang w:val="en-US" w:eastAsia="zh-CN"/>
        </w:rPr>
        <w:t>3</w:t>
      </w:r>
      <w:r>
        <w:rPr>
          <w:rFonts w:hint="eastAsia" w:ascii="宋体" w:hAnsi="宋体" w:eastAsia="宋体" w:cs="宋体"/>
          <w:sz w:val="24"/>
        </w:rPr>
        <w:t>年</w:t>
      </w:r>
      <w:r>
        <w:rPr>
          <w:rFonts w:hint="eastAsia" w:ascii="宋体" w:hAnsi="宋体" w:cs="宋体"/>
          <w:sz w:val="24"/>
          <w:lang w:val="en-US" w:eastAsia="zh-CN"/>
        </w:rPr>
        <w:t>度</w:t>
      </w:r>
      <w:r>
        <w:rPr>
          <w:rFonts w:hint="eastAsia" w:ascii="宋体" w:hAnsi="宋体" w:eastAsia="宋体" w:cs="宋体"/>
          <w:sz w:val="24"/>
        </w:rPr>
        <w:t>的财务审计报告（成立时间至提交</w:t>
      </w:r>
      <w:r>
        <w:rPr>
          <w:rFonts w:hint="eastAsia" w:ascii="宋体" w:hAnsi="宋体" w:eastAsia="宋体" w:cs="宋体"/>
          <w:sz w:val="24"/>
          <w:lang w:val="en-US" w:eastAsia="zh-CN"/>
        </w:rPr>
        <w:t>投标</w:t>
      </w:r>
      <w:r>
        <w:rPr>
          <w:rFonts w:hint="eastAsia" w:ascii="宋体" w:hAnsi="宋体" w:eastAsia="宋体" w:cs="宋体"/>
          <w:sz w:val="24"/>
        </w:rPr>
        <w:t>文件截止时间不足一年的可提供成立后任意时段的资产负债表）或其基本存款账户开户银行出具的资信证明及基本存款账户开户许可证（或基本账户存款信息）；</w:t>
      </w:r>
    </w:p>
    <w:p w14:paraId="6BF52592">
      <w:pPr>
        <w:spacing w:line="360" w:lineRule="auto"/>
        <w:ind w:firstLine="480"/>
        <w:rPr>
          <w:rFonts w:hint="eastAsia" w:ascii="宋体" w:hAnsi="宋体" w:eastAsia="宋体" w:cs="宋体"/>
          <w:sz w:val="24"/>
          <w:szCs w:val="24"/>
        </w:rPr>
      </w:pPr>
      <w:r>
        <w:rPr>
          <w:rFonts w:hint="eastAsia" w:ascii="宋体" w:hAnsi="宋体" w:eastAsia="宋体" w:cs="宋体"/>
          <w:sz w:val="24"/>
        </w:rPr>
        <w:t>4、</w:t>
      </w:r>
      <w:r>
        <w:rPr>
          <w:rFonts w:hint="eastAsia" w:ascii="宋体" w:hAnsi="宋体" w:cs="宋体"/>
          <w:sz w:val="24"/>
          <w:lang w:eastAsia="zh-CN"/>
        </w:rPr>
        <w:t>供应商应提供具有履行合同所必需的设备和专业技术能力的说明</w:t>
      </w:r>
      <w:r>
        <w:rPr>
          <w:rFonts w:hint="eastAsia" w:ascii="宋体" w:hAnsi="宋体" w:eastAsia="宋体" w:cs="宋体"/>
          <w:sz w:val="24"/>
        </w:rPr>
        <w:t>；</w:t>
      </w:r>
    </w:p>
    <w:p w14:paraId="5D068266">
      <w:pPr>
        <w:spacing w:line="360" w:lineRule="auto"/>
        <w:ind w:firstLine="496" w:firstLineChars="200"/>
        <w:rPr>
          <w:rFonts w:hint="eastAsia" w:ascii="宋体" w:hAnsi="宋体" w:eastAsia="宋体" w:cs="宋体"/>
          <w:bCs/>
          <w:sz w:val="24"/>
          <w:lang w:eastAsia="zh-CN"/>
        </w:rPr>
      </w:pPr>
      <w:r>
        <w:rPr>
          <w:rFonts w:hint="eastAsia" w:ascii="宋体" w:hAnsi="宋体" w:eastAsia="宋体" w:cs="宋体"/>
          <w:sz w:val="24"/>
        </w:rPr>
        <w:t>5、供应商应提供202</w:t>
      </w:r>
      <w:r>
        <w:rPr>
          <w:rFonts w:hint="eastAsia" w:ascii="宋体" w:hAnsi="宋体" w:cs="宋体"/>
          <w:sz w:val="24"/>
          <w:lang w:val="en-US" w:eastAsia="zh-CN"/>
        </w:rPr>
        <w:t>4</w:t>
      </w:r>
      <w:r>
        <w:rPr>
          <w:rFonts w:hint="eastAsia" w:ascii="宋体" w:hAnsi="宋体" w:eastAsia="宋体" w:cs="宋体"/>
          <w:sz w:val="24"/>
        </w:rPr>
        <w:t>年至今任意一月的纳税凭据或完税证明，依法免税的应提供相关证明材料</w:t>
      </w:r>
      <w:r>
        <w:rPr>
          <w:rFonts w:hint="eastAsia" w:ascii="宋体" w:hAnsi="宋体" w:eastAsia="宋体" w:cs="宋体"/>
          <w:sz w:val="24"/>
          <w:lang w:eastAsia="zh-CN"/>
        </w:rPr>
        <w:t>；</w:t>
      </w:r>
    </w:p>
    <w:p w14:paraId="7DE74A8A">
      <w:pPr>
        <w:spacing w:line="360" w:lineRule="auto"/>
        <w:ind w:firstLine="496" w:firstLineChars="200"/>
        <w:rPr>
          <w:rFonts w:hint="eastAsia" w:ascii="宋体" w:hAnsi="宋体" w:eastAsia="宋体" w:cs="宋体"/>
          <w:sz w:val="24"/>
        </w:rPr>
      </w:pPr>
      <w:r>
        <w:rPr>
          <w:rFonts w:hint="eastAsia" w:ascii="宋体" w:hAnsi="宋体" w:eastAsia="宋体" w:cs="宋体"/>
          <w:sz w:val="24"/>
        </w:rPr>
        <w:t>6、供应商应提供202</w:t>
      </w:r>
      <w:r>
        <w:rPr>
          <w:rFonts w:hint="eastAsia" w:ascii="宋体" w:hAnsi="宋体" w:cs="宋体"/>
          <w:sz w:val="24"/>
          <w:lang w:val="en-US" w:eastAsia="zh-CN"/>
        </w:rPr>
        <w:t>4</w:t>
      </w:r>
      <w:r>
        <w:rPr>
          <w:rFonts w:hint="eastAsia" w:ascii="宋体" w:hAnsi="宋体" w:eastAsia="宋体" w:cs="宋体"/>
          <w:sz w:val="24"/>
        </w:rPr>
        <w:t>年至今任意一月的社会保障资金缴存单据或社保机构开具的社会保险参保缴费情况证明，依法不需要缴纳社会保障资金的应提供相关证明材料</w:t>
      </w:r>
      <w:r>
        <w:rPr>
          <w:rFonts w:hint="eastAsia" w:ascii="宋体" w:hAnsi="宋体" w:eastAsia="宋体" w:cs="宋体"/>
          <w:sz w:val="24"/>
          <w:lang w:eastAsia="zh-CN"/>
        </w:rPr>
        <w:t>；</w:t>
      </w:r>
      <w:r>
        <w:rPr>
          <w:rFonts w:hint="eastAsia" w:ascii="宋体" w:hAnsi="宋体" w:eastAsia="宋体" w:cs="宋体"/>
          <w:sz w:val="24"/>
        </w:rPr>
        <w:t xml:space="preserve"> </w:t>
      </w:r>
    </w:p>
    <w:p w14:paraId="44A45C7D">
      <w:pPr>
        <w:spacing w:line="360" w:lineRule="auto"/>
        <w:ind w:firstLine="496" w:firstLineChars="200"/>
        <w:rPr>
          <w:rFonts w:hint="eastAsia" w:ascii="宋体" w:hAnsi="宋体" w:eastAsia="宋体" w:cs="宋体"/>
          <w:sz w:val="24"/>
          <w:szCs w:val="24"/>
        </w:rPr>
      </w:pPr>
      <w:r>
        <w:rPr>
          <w:rFonts w:hint="eastAsia" w:ascii="宋体" w:hAnsi="宋体" w:eastAsia="宋体" w:cs="宋体"/>
          <w:sz w:val="24"/>
        </w:rPr>
        <w:t>7、供应商应</w:t>
      </w:r>
      <w:r>
        <w:rPr>
          <w:rFonts w:hint="eastAsia" w:ascii="宋体" w:hAnsi="宋体" w:eastAsia="宋体" w:cs="宋体"/>
          <w:sz w:val="24"/>
          <w:lang w:val="en-US" w:eastAsia="zh-CN"/>
        </w:rPr>
        <w:t>提供</w:t>
      </w:r>
      <w:r>
        <w:rPr>
          <w:rFonts w:hint="eastAsia" w:ascii="宋体" w:hAnsi="宋体" w:eastAsia="宋体" w:cs="宋体"/>
          <w:sz w:val="24"/>
        </w:rPr>
        <w:t>参加本次政府采购活动前3年内在经营活动中没有重大违法违纪，以及未被列入失信被执行人、</w:t>
      </w:r>
      <w:r>
        <w:rPr>
          <w:rFonts w:hint="eastAsia" w:ascii="宋体" w:hAnsi="宋体" w:eastAsia="宋体" w:cs="宋体"/>
          <w:sz w:val="24"/>
          <w:lang w:eastAsia="zh-CN"/>
        </w:rPr>
        <w:t>重大税收违法失信主体</w:t>
      </w:r>
      <w:r>
        <w:rPr>
          <w:rFonts w:hint="eastAsia" w:ascii="宋体" w:hAnsi="宋体" w:eastAsia="宋体" w:cs="宋体"/>
          <w:sz w:val="24"/>
        </w:rPr>
        <w:t>、政府采购严重违法失信行为记录名单的书面声明</w:t>
      </w:r>
      <w:r>
        <w:rPr>
          <w:rFonts w:hint="eastAsia" w:ascii="宋体" w:hAnsi="宋体" w:eastAsia="宋体" w:cs="宋体"/>
          <w:sz w:val="24"/>
          <w:szCs w:val="24"/>
        </w:rPr>
        <w:t>；</w:t>
      </w:r>
    </w:p>
    <w:p w14:paraId="144A28A9">
      <w:pPr>
        <w:spacing w:line="360" w:lineRule="auto"/>
        <w:ind w:firstLine="496" w:firstLineChars="200"/>
        <w:rPr>
          <w:rFonts w:hint="default"/>
          <w:lang w:val="en-US" w:eastAsia="zh-CN"/>
        </w:rPr>
      </w:pPr>
      <w:r>
        <w:rPr>
          <w:rFonts w:hint="eastAsia" w:ascii="宋体" w:hAnsi="宋体" w:eastAsia="宋体" w:cs="宋体"/>
          <w:sz w:val="24"/>
          <w:szCs w:val="24"/>
        </w:rPr>
        <w:t>8</w:t>
      </w:r>
      <w:r>
        <w:rPr>
          <w:rFonts w:hint="eastAsia" w:ascii="宋体" w:hAnsi="宋体" w:eastAsia="宋体" w:cs="宋体"/>
          <w:sz w:val="24"/>
          <w:szCs w:val="24"/>
          <w:lang w:val="en-US" w:eastAsia="zh-CN"/>
        </w:rPr>
        <w:t>、</w:t>
      </w:r>
      <w:r>
        <w:rPr>
          <w:rFonts w:hint="eastAsia" w:cs="宋体"/>
          <w:i w:val="0"/>
          <w:iCs w:val="0"/>
          <w:caps w:val="0"/>
          <w:color w:val="auto"/>
          <w:spacing w:val="0"/>
          <w:sz w:val="24"/>
          <w:szCs w:val="24"/>
          <w:shd w:val="clear" w:fill="FFFFFF"/>
          <w:lang w:val="en-US" w:eastAsia="zh-CN"/>
        </w:rPr>
        <w:t>（1）单位负责人为同一人或者存在直接控股、管理关系的不同投标人，不得参加本次采购活动；（2）为本项目提供整体设计、规范编制或者项目管理、监理、检测等服务的投标人，不得再参加该采购项目的其他采购活动</w:t>
      </w:r>
      <w:r>
        <w:rPr>
          <w:rFonts w:hint="eastAsia" w:ascii="宋体" w:hAnsi="宋体" w:cs="宋体"/>
          <w:b w:val="0"/>
          <w:bCs w:val="0"/>
          <w:sz w:val="24"/>
          <w:szCs w:val="24"/>
          <w:highlight w:val="none"/>
          <w:lang w:val="en-US" w:eastAsia="zh-CN"/>
        </w:rPr>
        <w:t>。</w:t>
      </w:r>
    </w:p>
    <w:p w14:paraId="2903CAE9">
      <w:pPr>
        <w:spacing w:line="360" w:lineRule="auto"/>
        <w:ind w:firstLine="496" w:firstLineChars="200"/>
        <w:rPr>
          <w:rFonts w:hint="default" w:ascii="宋体" w:hAnsi="宋体" w:eastAsia="宋体" w:cs="宋体"/>
          <w:sz w:val="24"/>
          <w:szCs w:val="24"/>
          <w:lang w:val="en-US" w:eastAsia="zh-CN" w:bidi="ar-SA"/>
        </w:rPr>
      </w:pPr>
      <w:r>
        <w:rPr>
          <w:rFonts w:hint="eastAsia" w:ascii="宋体" w:hAnsi="宋体" w:cs="宋体"/>
          <w:sz w:val="24"/>
          <w:szCs w:val="24"/>
          <w:lang w:val="en-US" w:eastAsia="zh-CN" w:bidi="ar-SA"/>
        </w:rPr>
        <w:t>9、本合同包不接受联合体投标。</w:t>
      </w:r>
    </w:p>
    <w:p w14:paraId="4B9F370F">
      <w:pPr>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br w:type="page"/>
      </w:r>
    </w:p>
    <w:p w14:paraId="72FE4488">
      <w:pPr>
        <w:snapToGrid w:val="0"/>
        <w:spacing w:line="360" w:lineRule="auto"/>
        <w:rPr>
          <w:rFonts w:hint="eastAsia" w:ascii="宋体" w:hAnsi="宋体" w:cs="宋体"/>
          <w:b/>
          <w:bCs/>
          <w:sz w:val="28"/>
          <w:szCs w:val="28"/>
        </w:rPr>
      </w:pPr>
      <w:bookmarkStart w:id="339" w:name="_Toc27179"/>
      <w:bookmarkStart w:id="340" w:name="_Toc26943"/>
      <w:r>
        <w:rPr>
          <w:rFonts w:hint="eastAsia" w:ascii="宋体" w:hAnsi="宋体" w:cs="宋体"/>
          <w:b/>
          <w:bCs/>
          <w:sz w:val="28"/>
          <w:szCs w:val="28"/>
        </w:rPr>
        <w:t>附件1-</w:t>
      </w:r>
      <w:r>
        <w:rPr>
          <w:rFonts w:hint="eastAsia" w:ascii="宋体" w:hAnsi="宋体" w:cs="宋体"/>
          <w:b/>
          <w:bCs/>
          <w:sz w:val="28"/>
          <w:szCs w:val="28"/>
          <w:lang w:val="en-US" w:eastAsia="zh-CN"/>
        </w:rPr>
        <w:t>5</w:t>
      </w:r>
      <w:r>
        <w:rPr>
          <w:rFonts w:hint="eastAsia" w:ascii="宋体" w:hAnsi="宋体" w:cs="宋体"/>
          <w:b/>
          <w:bCs/>
          <w:sz w:val="28"/>
          <w:szCs w:val="28"/>
        </w:rPr>
        <w:t>为给定格式，其余格式自拟</w:t>
      </w:r>
    </w:p>
    <w:p w14:paraId="66D120E4">
      <w:pPr>
        <w:adjustRightInd w:val="0"/>
        <w:snapToGrid w:val="0"/>
        <w:spacing w:line="360" w:lineRule="auto"/>
        <w:jc w:val="left"/>
        <w:rPr>
          <w:rFonts w:hint="eastAsia" w:ascii="宋体" w:hAnsi="宋体" w:cs="宋体"/>
          <w:b/>
          <w:bCs/>
          <w:sz w:val="24"/>
          <w:szCs w:val="24"/>
        </w:rPr>
      </w:pPr>
      <w:r>
        <w:rPr>
          <w:rFonts w:hint="eastAsia" w:ascii="宋体" w:hAnsi="宋体" w:cs="宋体"/>
          <w:b/>
          <w:sz w:val="24"/>
          <w:szCs w:val="24"/>
        </w:rPr>
        <w:t>附件</w:t>
      </w:r>
      <w:r>
        <w:rPr>
          <w:rFonts w:hint="eastAsia" w:ascii="宋体" w:hAnsi="宋体" w:cs="宋体"/>
          <w:b/>
          <w:bCs/>
          <w:sz w:val="24"/>
          <w:szCs w:val="24"/>
        </w:rPr>
        <w:t>1</w:t>
      </w:r>
    </w:p>
    <w:p w14:paraId="6E0DEC2E">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rPr>
        <w:t>法定代表人身份证明</w:t>
      </w:r>
    </w:p>
    <w:p w14:paraId="33D33B97">
      <w:pPr>
        <w:autoSpaceDE w:val="0"/>
        <w:autoSpaceDN w:val="0"/>
        <w:adjustRightInd w:val="0"/>
        <w:snapToGrid w:val="0"/>
        <w:spacing w:before="120" w:beforeLines="50" w:line="360" w:lineRule="auto"/>
        <w:ind w:firstLine="496" w:firstLineChars="200"/>
        <w:jc w:val="left"/>
        <w:rPr>
          <w:rFonts w:hint="eastAsia" w:ascii="宋体" w:hAnsi="宋体" w:cs="宋体"/>
          <w:kern w:val="0"/>
          <w:sz w:val="24"/>
          <w:szCs w:val="24"/>
        </w:rPr>
      </w:pPr>
      <w:r>
        <w:rPr>
          <w:rFonts w:hint="eastAsia" w:ascii="宋体" w:hAnsi="宋体" w:cs="宋体"/>
          <w:sz w:val="24"/>
          <w:szCs w:val="24"/>
        </w:rPr>
        <w:t>供应商</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14:paraId="0314169C">
      <w:pPr>
        <w:autoSpaceDE w:val="0"/>
        <w:autoSpaceDN w:val="0"/>
        <w:adjustRightInd w:val="0"/>
        <w:snapToGrid w:val="0"/>
        <w:spacing w:before="120" w:beforeLines="50" w:line="360" w:lineRule="auto"/>
        <w:ind w:firstLine="496" w:firstLineChars="200"/>
        <w:jc w:val="left"/>
        <w:rPr>
          <w:rFonts w:hint="eastAsia" w:ascii="宋体" w:hAnsi="宋体" w:cs="宋体"/>
          <w:kern w:val="0"/>
          <w:sz w:val="24"/>
          <w:szCs w:val="24"/>
        </w:rPr>
      </w:pPr>
      <w:r>
        <w:rPr>
          <w:rFonts w:hint="eastAsia" w:ascii="宋体" w:hAnsi="宋体" w:cs="宋体"/>
          <w:kern w:val="0"/>
          <w:sz w:val="24"/>
          <w:szCs w:val="24"/>
        </w:rPr>
        <w:t>统一社会信用代码：</w:t>
      </w:r>
      <w:r>
        <w:rPr>
          <w:rFonts w:hint="eastAsia" w:ascii="宋体" w:hAnsi="宋体" w:cs="宋体"/>
          <w:kern w:val="0"/>
          <w:sz w:val="24"/>
          <w:szCs w:val="24"/>
          <w:u w:val="single"/>
        </w:rPr>
        <w:t xml:space="preserve">                                    </w:t>
      </w:r>
    </w:p>
    <w:p w14:paraId="180B9DBA">
      <w:pPr>
        <w:autoSpaceDE w:val="0"/>
        <w:autoSpaceDN w:val="0"/>
        <w:adjustRightInd w:val="0"/>
        <w:snapToGrid w:val="0"/>
        <w:spacing w:before="120" w:beforeLines="50" w:line="360" w:lineRule="auto"/>
        <w:ind w:firstLine="496" w:firstLineChars="200"/>
        <w:jc w:val="left"/>
        <w:rPr>
          <w:rFonts w:hint="eastAsia" w:ascii="宋体" w:hAnsi="宋体" w:cs="宋体"/>
          <w:kern w:val="0"/>
          <w:sz w:val="24"/>
          <w:szCs w:val="24"/>
          <w:u w:val="single"/>
        </w:rPr>
      </w:pPr>
      <w:r>
        <w:rPr>
          <w:rFonts w:hint="eastAsia" w:ascii="宋体" w:hAnsi="宋体" w:cs="宋体"/>
          <w:kern w:val="0"/>
          <w:sz w:val="24"/>
          <w:szCs w:val="24"/>
        </w:rPr>
        <w:t>注册地址：</w:t>
      </w:r>
      <w:r>
        <w:rPr>
          <w:rFonts w:hint="eastAsia" w:ascii="宋体" w:hAnsi="宋体" w:cs="宋体"/>
          <w:kern w:val="0"/>
          <w:sz w:val="24"/>
          <w:szCs w:val="24"/>
          <w:u w:val="single"/>
        </w:rPr>
        <w:t xml:space="preserve">                                            </w:t>
      </w:r>
    </w:p>
    <w:p w14:paraId="7EA572BA">
      <w:pPr>
        <w:autoSpaceDE w:val="0"/>
        <w:autoSpaceDN w:val="0"/>
        <w:adjustRightInd w:val="0"/>
        <w:snapToGrid w:val="0"/>
        <w:spacing w:before="120" w:beforeLines="50" w:line="360" w:lineRule="auto"/>
        <w:ind w:firstLine="496" w:firstLineChars="200"/>
        <w:jc w:val="left"/>
        <w:rPr>
          <w:rFonts w:hint="eastAsia" w:ascii="宋体" w:hAnsi="宋体" w:cs="宋体"/>
          <w:kern w:val="0"/>
          <w:sz w:val="24"/>
          <w:szCs w:val="24"/>
        </w:rPr>
      </w:pPr>
      <w:r>
        <w:rPr>
          <w:rFonts w:hint="eastAsia" w:ascii="宋体" w:hAnsi="宋体" w:cs="宋体"/>
          <w:kern w:val="0"/>
          <w:sz w:val="24"/>
          <w:szCs w:val="24"/>
        </w:rPr>
        <w:t>成立时间：</w:t>
      </w:r>
      <w:r>
        <w:rPr>
          <w:rFonts w:hint="eastAsia" w:ascii="宋体" w:hAnsi="宋体" w:cs="宋体"/>
          <w:kern w:val="0"/>
          <w:sz w:val="24"/>
          <w:szCs w:val="24"/>
          <w:u w:val="single"/>
        </w:rPr>
        <w:t xml:space="preserve">    </w:t>
      </w:r>
      <w:r>
        <w:rPr>
          <w:rFonts w:hint="eastAsia" w:ascii="宋体" w:hAnsi="宋体" w:cs="宋体"/>
          <w:kern w:val="0"/>
          <w:sz w:val="24"/>
          <w:szCs w:val="24"/>
        </w:rPr>
        <w:t xml:space="preserve">年 </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rPr>
        <w:t xml:space="preserve">  </w:t>
      </w:r>
      <w:r>
        <w:rPr>
          <w:rFonts w:hint="eastAsia" w:ascii="宋体" w:hAnsi="宋体" w:cs="宋体"/>
          <w:kern w:val="0"/>
          <w:sz w:val="24"/>
          <w:szCs w:val="24"/>
        </w:rPr>
        <w:t>日；经营期限：</w:t>
      </w:r>
    </w:p>
    <w:p w14:paraId="3FFB56C2">
      <w:pPr>
        <w:autoSpaceDE w:val="0"/>
        <w:autoSpaceDN w:val="0"/>
        <w:adjustRightInd w:val="0"/>
        <w:snapToGrid w:val="0"/>
        <w:spacing w:before="120" w:beforeLines="50" w:line="360" w:lineRule="auto"/>
        <w:ind w:firstLine="496" w:firstLineChars="200"/>
        <w:jc w:val="left"/>
        <w:rPr>
          <w:rFonts w:hint="eastAsia" w:ascii="宋体" w:hAnsi="宋体" w:cs="宋体"/>
          <w:kern w:val="0"/>
          <w:sz w:val="24"/>
          <w:szCs w:val="24"/>
          <w:u w:val="single"/>
        </w:rPr>
      </w:pPr>
      <w:r>
        <w:rPr>
          <w:rFonts w:hint="eastAsia" w:ascii="宋体" w:hAnsi="宋体" w:cs="宋体"/>
          <w:kern w:val="0"/>
          <w:sz w:val="24"/>
          <w:szCs w:val="24"/>
        </w:rPr>
        <w:t>经营范围：主营：</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；兼营：</w:t>
      </w:r>
      <w:r>
        <w:rPr>
          <w:rFonts w:hint="eastAsia" w:ascii="宋体" w:hAnsi="宋体" w:cs="宋体"/>
          <w:kern w:val="0"/>
          <w:sz w:val="24"/>
          <w:szCs w:val="24"/>
          <w:u w:val="single"/>
        </w:rPr>
        <w:t xml:space="preserve">               </w:t>
      </w:r>
    </w:p>
    <w:p w14:paraId="47B61CC0">
      <w:pPr>
        <w:autoSpaceDE w:val="0"/>
        <w:autoSpaceDN w:val="0"/>
        <w:adjustRightInd w:val="0"/>
        <w:snapToGrid w:val="0"/>
        <w:spacing w:before="120" w:beforeLines="50" w:line="360" w:lineRule="auto"/>
        <w:ind w:firstLine="496" w:firstLineChars="200"/>
        <w:jc w:val="left"/>
        <w:rPr>
          <w:rFonts w:hint="eastAsia"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性别：</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系</w:t>
      </w:r>
      <w:r>
        <w:rPr>
          <w:rFonts w:hint="eastAsia" w:ascii="宋体" w:hAnsi="宋体" w:cs="宋体"/>
          <w:kern w:val="0"/>
          <w:sz w:val="24"/>
          <w:szCs w:val="24"/>
          <w:u w:val="single"/>
        </w:rPr>
        <w:t xml:space="preserve">  （</w:t>
      </w:r>
      <w:r>
        <w:rPr>
          <w:rFonts w:hint="eastAsia" w:ascii="宋体" w:hAnsi="宋体" w:cs="宋体"/>
          <w:sz w:val="24"/>
          <w:szCs w:val="24"/>
          <w:u w:val="single"/>
        </w:rPr>
        <w:t>供应商</w:t>
      </w:r>
      <w:r>
        <w:rPr>
          <w:rFonts w:hint="eastAsia" w:ascii="宋体" w:hAnsi="宋体" w:cs="宋体"/>
          <w:kern w:val="0"/>
          <w:sz w:val="24"/>
          <w:szCs w:val="24"/>
          <w:u w:val="single"/>
        </w:rPr>
        <w:t xml:space="preserve">名称）  </w:t>
      </w:r>
      <w:r>
        <w:rPr>
          <w:rFonts w:hint="eastAsia" w:ascii="宋体" w:hAnsi="宋体" w:cs="宋体"/>
          <w:kern w:val="0"/>
          <w:sz w:val="24"/>
          <w:szCs w:val="24"/>
        </w:rPr>
        <w:t>的法定代表人。</w:t>
      </w:r>
    </w:p>
    <w:p w14:paraId="319BF23D">
      <w:pPr>
        <w:autoSpaceDE w:val="0"/>
        <w:autoSpaceDN w:val="0"/>
        <w:adjustRightInd w:val="0"/>
        <w:snapToGrid w:val="0"/>
        <w:spacing w:before="120" w:beforeLines="50" w:line="360" w:lineRule="auto"/>
        <w:ind w:firstLine="496" w:firstLineChars="200"/>
        <w:jc w:val="left"/>
        <w:rPr>
          <w:rFonts w:hint="eastAsia" w:ascii="宋体" w:hAnsi="宋体" w:cs="宋体"/>
          <w:kern w:val="0"/>
          <w:sz w:val="24"/>
          <w:szCs w:val="24"/>
        </w:rPr>
      </w:pPr>
      <w:r>
        <w:rPr>
          <w:rFonts w:hint="eastAsia" w:ascii="宋体" w:hAnsi="宋体" w:cs="宋体"/>
          <w:kern w:val="0"/>
          <w:sz w:val="24"/>
          <w:szCs w:val="24"/>
        </w:rPr>
        <w:t>特此证明。</w:t>
      </w:r>
    </w:p>
    <w:p w14:paraId="02A6219D">
      <w:pPr>
        <w:autoSpaceDE w:val="0"/>
        <w:autoSpaceDN w:val="0"/>
        <w:adjustRightInd w:val="0"/>
        <w:snapToGrid w:val="0"/>
        <w:spacing w:before="120" w:beforeLines="50" w:line="360" w:lineRule="auto"/>
        <w:ind w:firstLine="496" w:firstLineChars="200"/>
        <w:jc w:val="left"/>
        <w:rPr>
          <w:rFonts w:hint="eastAsia" w:ascii="宋体" w:hAnsi="宋体" w:cs="宋体"/>
          <w:sz w:val="24"/>
          <w:szCs w:val="24"/>
        </w:rPr>
      </w:pPr>
    </w:p>
    <w:tbl>
      <w:tblPr>
        <w:tblStyle w:val="35"/>
        <w:tblW w:w="0" w:type="auto"/>
        <w:jc w:val="center"/>
        <w:tblLayout w:type="fixed"/>
        <w:tblCellMar>
          <w:top w:w="0" w:type="dxa"/>
          <w:left w:w="108" w:type="dxa"/>
          <w:bottom w:w="0" w:type="dxa"/>
          <w:right w:w="108" w:type="dxa"/>
        </w:tblCellMar>
      </w:tblPr>
      <w:tblGrid>
        <w:gridCol w:w="7753"/>
      </w:tblGrid>
      <w:tr w14:paraId="7C45DB44">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62DBED4F">
            <w:pPr>
              <w:snapToGrid w:val="0"/>
              <w:spacing w:line="360" w:lineRule="auto"/>
              <w:jc w:val="center"/>
              <w:rPr>
                <w:rFonts w:hint="eastAsia" w:ascii="宋体" w:hAnsi="宋体" w:cs="宋体"/>
                <w:szCs w:val="21"/>
                <w:lang w:val="zh-CN"/>
              </w:rPr>
            </w:pPr>
          </w:p>
          <w:p w14:paraId="7D57E6AB">
            <w:pPr>
              <w:snapToGrid w:val="0"/>
              <w:spacing w:line="360" w:lineRule="auto"/>
              <w:jc w:val="center"/>
              <w:rPr>
                <w:rFonts w:hint="eastAsia" w:ascii="宋体" w:hAnsi="宋体" w:cs="宋体"/>
                <w:szCs w:val="21"/>
              </w:rPr>
            </w:pPr>
            <w:r>
              <w:rPr>
                <w:rFonts w:hint="eastAsia" w:ascii="宋体" w:hAnsi="宋体" w:cs="宋体"/>
                <w:szCs w:val="21"/>
                <w:lang w:val="zh-CN"/>
              </w:rPr>
              <w:t>法定代表人身份证复印件</w:t>
            </w:r>
            <w:r>
              <w:rPr>
                <w:rFonts w:hint="eastAsia" w:ascii="宋体" w:hAnsi="宋体" w:cs="宋体"/>
                <w:szCs w:val="21"/>
              </w:rPr>
              <w:t>或扫描件</w:t>
            </w:r>
          </w:p>
          <w:p w14:paraId="694D5B3A">
            <w:pPr>
              <w:snapToGrid w:val="0"/>
              <w:spacing w:line="360" w:lineRule="auto"/>
              <w:jc w:val="center"/>
              <w:rPr>
                <w:rFonts w:hint="eastAsia" w:ascii="宋体" w:hAnsi="宋体" w:eastAsia="宋体" w:cs="宋体"/>
                <w:szCs w:val="21"/>
                <w:u w:val="single"/>
                <w:lang w:eastAsia="zh-CN"/>
              </w:rPr>
            </w:pPr>
            <w:r>
              <w:rPr>
                <w:rFonts w:hint="eastAsia" w:ascii="宋体" w:hAnsi="宋体" w:cs="宋体"/>
                <w:szCs w:val="21"/>
                <w:u w:val="none"/>
                <w:lang w:eastAsia="zh-CN"/>
              </w:rPr>
              <w:t>（国徽面、人像面）</w:t>
            </w:r>
          </w:p>
        </w:tc>
      </w:tr>
    </w:tbl>
    <w:p w14:paraId="09E840A6">
      <w:pPr>
        <w:autoSpaceDE w:val="0"/>
        <w:autoSpaceDN w:val="0"/>
        <w:adjustRightInd w:val="0"/>
        <w:snapToGrid w:val="0"/>
        <w:spacing w:before="120" w:beforeLines="50" w:line="360" w:lineRule="auto"/>
        <w:ind w:firstLine="496" w:firstLineChars="200"/>
        <w:jc w:val="left"/>
        <w:rPr>
          <w:rFonts w:hint="eastAsia" w:ascii="宋体" w:hAnsi="宋体" w:cs="宋体"/>
          <w:sz w:val="24"/>
          <w:szCs w:val="24"/>
        </w:rPr>
      </w:pPr>
      <w:r>
        <w:rPr>
          <w:rFonts w:hint="eastAsia" w:ascii="宋体" w:hAnsi="宋体" w:cs="宋体"/>
          <w:sz w:val="24"/>
          <w:szCs w:val="24"/>
        </w:rPr>
        <w:t xml:space="preserve"> </w:t>
      </w:r>
    </w:p>
    <w:p w14:paraId="39179191">
      <w:pPr>
        <w:snapToGrid w:val="0"/>
        <w:spacing w:line="360" w:lineRule="auto"/>
        <w:ind w:firstLine="1984" w:firstLineChars="800"/>
        <w:rPr>
          <w:rFonts w:hint="eastAsia" w:ascii="宋体" w:hAnsi="宋体" w:cs="宋体"/>
          <w:kern w:val="0"/>
          <w:sz w:val="24"/>
          <w:szCs w:val="24"/>
        </w:rPr>
      </w:pPr>
    </w:p>
    <w:p w14:paraId="6D2CBA97">
      <w:pPr>
        <w:snapToGrid w:val="0"/>
        <w:spacing w:line="360" w:lineRule="auto"/>
        <w:rPr>
          <w:rFonts w:hint="eastAsia"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7DF44E78">
      <w:pPr>
        <w:snapToGrid w:val="0"/>
        <w:spacing w:line="360" w:lineRule="auto"/>
        <w:rPr>
          <w:rFonts w:hint="eastAsia" w:ascii="宋体" w:hAnsi="宋体" w:cs="宋体"/>
          <w:sz w:val="24"/>
          <w:szCs w:val="24"/>
          <w:u w:val="single"/>
        </w:rPr>
      </w:pPr>
      <w:r>
        <w:rPr>
          <w:rFonts w:hint="eastAsia" w:ascii="宋体" w:hAnsi="宋体" w:cs="宋体"/>
          <w:sz w:val="24"/>
          <w:szCs w:val="24"/>
        </w:rPr>
        <w:t>日    期：</w:t>
      </w:r>
      <w:r>
        <w:rPr>
          <w:rFonts w:hint="eastAsia" w:ascii="宋体" w:hAnsi="宋体" w:cs="宋体"/>
          <w:sz w:val="24"/>
          <w:szCs w:val="24"/>
          <w:u w:val="single"/>
        </w:rPr>
        <w:t xml:space="preserve">                            </w:t>
      </w:r>
    </w:p>
    <w:p w14:paraId="586C3900">
      <w:pPr>
        <w:spacing w:line="360" w:lineRule="auto"/>
        <w:rPr>
          <w:rFonts w:hint="eastAsia" w:ascii="宋体" w:hAnsi="宋体" w:cs="宋体"/>
          <w:b w:val="0"/>
          <w:bCs/>
          <w:color w:val="333333"/>
          <w:kern w:val="0"/>
          <w:sz w:val="24"/>
          <w:szCs w:val="24"/>
          <w:highlight w:val="none"/>
          <w:lang w:val="en-US" w:eastAsia="zh-CN" w:bidi="ar"/>
        </w:rPr>
      </w:pPr>
    </w:p>
    <w:p w14:paraId="25C840E4">
      <w:pPr>
        <w:spacing w:line="360" w:lineRule="auto"/>
        <w:rPr>
          <w:rFonts w:hint="eastAsia" w:ascii="宋体" w:hAnsi="宋体" w:eastAsia="宋体" w:cs="宋体"/>
          <w:sz w:val="24"/>
          <w:szCs w:val="24"/>
        </w:rPr>
      </w:pPr>
      <w:r>
        <w:rPr>
          <w:rFonts w:hint="eastAsia" w:ascii="宋体" w:hAnsi="宋体" w:cs="宋体"/>
          <w:b w:val="0"/>
          <w:bCs/>
          <w:color w:val="333333"/>
          <w:kern w:val="0"/>
          <w:sz w:val="24"/>
          <w:szCs w:val="24"/>
          <w:highlight w:val="none"/>
          <w:lang w:val="en-US" w:eastAsia="zh-CN" w:bidi="ar"/>
        </w:rPr>
        <w:t>注：</w:t>
      </w:r>
      <w:r>
        <w:rPr>
          <w:rFonts w:hint="eastAsia" w:ascii="宋体" w:hAnsi="宋体" w:eastAsia="宋体" w:cs="宋体"/>
          <w:b w:val="0"/>
          <w:bCs/>
          <w:color w:val="333333"/>
          <w:kern w:val="0"/>
          <w:sz w:val="24"/>
          <w:szCs w:val="24"/>
          <w:highlight w:val="none"/>
          <w:lang w:val="en-US" w:eastAsia="zh-CN" w:bidi="ar"/>
        </w:rPr>
        <w:t>法定代表人直接参加</w:t>
      </w:r>
      <w:r>
        <w:rPr>
          <w:rFonts w:hint="eastAsia" w:ascii="宋体" w:hAnsi="宋体" w:cs="宋体"/>
          <w:b w:val="0"/>
          <w:bCs/>
          <w:color w:val="333333"/>
          <w:kern w:val="0"/>
          <w:sz w:val="24"/>
          <w:szCs w:val="24"/>
          <w:highlight w:val="none"/>
          <w:lang w:val="en-US" w:eastAsia="zh-CN" w:bidi="ar"/>
        </w:rPr>
        <w:t>投标</w:t>
      </w:r>
      <w:r>
        <w:rPr>
          <w:rFonts w:hint="eastAsia" w:ascii="宋体" w:hAnsi="宋体" w:eastAsia="宋体" w:cs="宋体"/>
          <w:b w:val="0"/>
          <w:bCs/>
          <w:color w:val="333333"/>
          <w:kern w:val="0"/>
          <w:sz w:val="24"/>
          <w:szCs w:val="24"/>
          <w:highlight w:val="none"/>
          <w:lang w:val="en-US" w:eastAsia="zh-CN" w:bidi="ar"/>
        </w:rPr>
        <w:t>的，</w:t>
      </w:r>
      <w:r>
        <w:rPr>
          <w:rFonts w:hint="eastAsia" w:ascii="宋体" w:hAnsi="宋体" w:eastAsia="宋体" w:cs="宋体"/>
          <w:i w:val="0"/>
          <w:iCs w:val="0"/>
          <w:caps w:val="0"/>
          <w:color w:val="000000"/>
          <w:spacing w:val="0"/>
          <w:kern w:val="0"/>
          <w:sz w:val="24"/>
          <w:szCs w:val="24"/>
          <w:highlight w:val="none"/>
          <w:shd w:val="clear" w:color="auto" w:fill="FFFFFF"/>
          <w:vertAlign w:val="baseline"/>
          <w:lang w:val="en-US" w:eastAsia="zh-CN" w:bidi="ar"/>
        </w:rPr>
        <w:t>提供法定代表人身份证明</w:t>
      </w:r>
      <w:r>
        <w:rPr>
          <w:rFonts w:hint="eastAsia" w:ascii="宋体" w:hAnsi="宋体" w:cs="宋体"/>
          <w:i w:val="0"/>
          <w:iCs w:val="0"/>
          <w:caps w:val="0"/>
          <w:color w:val="000000"/>
          <w:spacing w:val="0"/>
          <w:kern w:val="0"/>
          <w:sz w:val="24"/>
          <w:szCs w:val="24"/>
          <w:highlight w:val="none"/>
          <w:shd w:val="clear" w:color="auto" w:fill="FFFFFF"/>
          <w:vertAlign w:val="baseline"/>
          <w:lang w:val="en-US" w:eastAsia="zh-CN" w:bidi="ar"/>
        </w:rPr>
        <w:t>（含法定代表人</w:t>
      </w:r>
      <w:r>
        <w:rPr>
          <w:rFonts w:hint="eastAsia" w:ascii="宋体" w:hAnsi="宋体" w:eastAsia="宋体" w:cs="宋体"/>
          <w:i w:val="0"/>
          <w:iCs w:val="0"/>
          <w:caps w:val="0"/>
          <w:color w:val="000000"/>
          <w:spacing w:val="0"/>
          <w:kern w:val="0"/>
          <w:sz w:val="24"/>
          <w:szCs w:val="24"/>
          <w:highlight w:val="none"/>
          <w:shd w:val="clear" w:color="auto" w:fill="FFFFFF"/>
          <w:vertAlign w:val="baseline"/>
          <w:lang w:val="en-US" w:eastAsia="zh-CN" w:bidi="ar"/>
        </w:rPr>
        <w:t>身份证</w:t>
      </w:r>
      <w:r>
        <w:rPr>
          <w:rFonts w:hint="eastAsia" w:ascii="宋体" w:hAnsi="宋体" w:cs="宋体"/>
          <w:i w:val="0"/>
          <w:iCs w:val="0"/>
          <w:caps w:val="0"/>
          <w:color w:val="000000"/>
          <w:spacing w:val="0"/>
          <w:kern w:val="0"/>
          <w:sz w:val="24"/>
          <w:szCs w:val="24"/>
          <w:highlight w:val="none"/>
          <w:shd w:val="clear" w:color="auto" w:fill="FFFFFF"/>
          <w:vertAlign w:val="baseline"/>
          <w:lang w:val="en-US" w:eastAsia="zh-CN" w:bidi="ar"/>
        </w:rPr>
        <w:t>复印件）。</w:t>
      </w:r>
    </w:p>
    <w:p w14:paraId="635F65BF">
      <w:pPr>
        <w:snapToGrid w:val="0"/>
        <w:spacing w:line="360" w:lineRule="auto"/>
        <w:rPr>
          <w:rFonts w:hint="eastAsia" w:ascii="宋体" w:hAnsi="宋体" w:cs="宋体"/>
          <w:b/>
          <w:sz w:val="28"/>
          <w:szCs w:val="28"/>
        </w:rPr>
      </w:pPr>
      <w:r>
        <w:rPr>
          <w:rFonts w:hint="eastAsia" w:ascii="宋体" w:hAnsi="宋体" w:cs="宋体"/>
          <w:sz w:val="24"/>
          <w:szCs w:val="24"/>
          <w:u w:val="single"/>
        </w:rPr>
        <w:br w:type="page"/>
      </w:r>
      <w:r>
        <w:rPr>
          <w:rFonts w:hint="eastAsia" w:ascii="宋体" w:hAnsi="宋体" w:cs="宋体"/>
          <w:b/>
          <w:sz w:val="24"/>
          <w:szCs w:val="24"/>
        </w:rPr>
        <w:t>附件2</w:t>
      </w:r>
    </w:p>
    <w:p w14:paraId="1ED65CC0">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rPr>
        <w:t>法定代表人授权书</w:t>
      </w:r>
    </w:p>
    <w:p w14:paraId="4C4B377A">
      <w:pPr>
        <w:adjustRightInd w:val="0"/>
        <w:snapToGrid w:val="0"/>
        <w:spacing w:line="360" w:lineRule="auto"/>
        <w:rPr>
          <w:rFonts w:hint="eastAsia" w:ascii="宋体" w:hAnsi="宋体" w:cs="宋体"/>
          <w:sz w:val="24"/>
          <w:szCs w:val="24"/>
          <w:lang w:val="zh-CN"/>
        </w:rPr>
      </w:pPr>
    </w:p>
    <w:p w14:paraId="1B7DC89D">
      <w:pPr>
        <w:snapToGrid w:val="0"/>
        <w:spacing w:line="360" w:lineRule="auto"/>
        <w:rPr>
          <w:rFonts w:hint="eastAsia" w:ascii="宋体" w:hAnsi="宋体" w:cs="宋体"/>
          <w:sz w:val="24"/>
          <w:szCs w:val="24"/>
        </w:rPr>
      </w:pPr>
      <w:bookmarkStart w:id="341" w:name="_Toc12199_WPSOffice_Level1"/>
      <w:r>
        <w:rPr>
          <w:rFonts w:hint="eastAsia" w:ascii="宋体" w:hAnsi="宋体" w:cs="宋体"/>
          <w:sz w:val="24"/>
          <w:szCs w:val="24"/>
        </w:rPr>
        <w:t xml:space="preserve">    本授权书声明：注</w:t>
      </w:r>
      <w:r>
        <w:rPr>
          <w:rFonts w:hint="eastAsia" w:ascii="宋体" w:hAnsi="宋体" w:cs="宋体"/>
          <w:sz w:val="24"/>
          <w:szCs w:val="24"/>
          <w:lang w:val="zh-CN"/>
        </w:rPr>
        <w:t>册于</w:t>
      </w:r>
      <w:r>
        <w:rPr>
          <w:rFonts w:hint="eastAsia" w:ascii="宋体" w:hAnsi="宋体" w:cs="宋体"/>
          <w:sz w:val="24"/>
          <w:szCs w:val="24"/>
          <w:u w:val="single"/>
          <w:lang w:val="zh-CN"/>
        </w:rPr>
        <w:t xml:space="preserve">  （供应商地址） </w:t>
      </w:r>
      <w:r>
        <w:rPr>
          <w:rFonts w:hint="eastAsia" w:ascii="宋体" w:hAnsi="宋体" w:cs="宋体"/>
          <w:sz w:val="24"/>
          <w:szCs w:val="24"/>
          <w:u w:val="single"/>
        </w:rPr>
        <w:t xml:space="preserve"> </w:t>
      </w:r>
      <w:r>
        <w:rPr>
          <w:rFonts w:hint="eastAsia" w:ascii="宋体" w:hAnsi="宋体" w:cs="宋体"/>
          <w:sz w:val="24"/>
          <w:szCs w:val="24"/>
          <w:lang w:val="zh-CN"/>
        </w:rPr>
        <w:t>之</w:t>
      </w:r>
      <w:r>
        <w:rPr>
          <w:rFonts w:hint="eastAsia" w:ascii="宋体" w:hAnsi="宋体" w:cs="宋体"/>
          <w:sz w:val="24"/>
          <w:szCs w:val="24"/>
          <w:u w:val="single"/>
          <w:lang w:val="zh-CN"/>
        </w:rPr>
        <w:t xml:space="preserve">  （供应商全称）</w:t>
      </w:r>
      <w:r>
        <w:rPr>
          <w:rFonts w:hint="eastAsia" w:ascii="宋体" w:hAnsi="宋体" w:cs="宋体"/>
          <w:sz w:val="24"/>
          <w:szCs w:val="24"/>
          <w:u w:val="single"/>
        </w:rPr>
        <w:t xml:space="preserve">  </w:t>
      </w:r>
      <w:r>
        <w:rPr>
          <w:rFonts w:hint="eastAsia" w:ascii="宋体" w:hAnsi="宋体" w:cs="宋体"/>
          <w:sz w:val="24"/>
          <w:szCs w:val="24"/>
          <w:lang w:val="zh-CN"/>
        </w:rPr>
        <w:t>的法定代表人</w:t>
      </w:r>
      <w:r>
        <w:rPr>
          <w:rFonts w:hint="eastAsia" w:ascii="宋体" w:hAnsi="宋体" w:cs="宋体"/>
          <w:sz w:val="24"/>
          <w:szCs w:val="24"/>
          <w:u w:val="single"/>
          <w:lang w:val="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zh-CN"/>
        </w:rPr>
        <w:t>（姓名）</w:t>
      </w:r>
      <w:r>
        <w:rPr>
          <w:rFonts w:hint="eastAsia" w:ascii="宋体" w:hAnsi="宋体" w:cs="宋体"/>
          <w:sz w:val="24"/>
          <w:szCs w:val="24"/>
          <w:u w:val="single"/>
        </w:rPr>
        <w:t xml:space="preserve">  </w:t>
      </w:r>
      <w:r>
        <w:rPr>
          <w:rFonts w:hint="eastAsia" w:ascii="宋体" w:hAnsi="宋体" w:cs="宋体"/>
          <w:sz w:val="24"/>
          <w:szCs w:val="24"/>
          <w:lang w:val="zh-CN"/>
        </w:rPr>
        <w:t>授权</w:t>
      </w:r>
      <w:r>
        <w:rPr>
          <w:rFonts w:hint="eastAsia" w:ascii="宋体" w:hAnsi="宋体" w:cs="宋体"/>
          <w:sz w:val="24"/>
          <w:szCs w:val="24"/>
          <w:u w:val="single"/>
          <w:lang w:val="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zh-CN"/>
        </w:rPr>
        <w:t>（被授权人姓名）</w:t>
      </w:r>
      <w:r>
        <w:rPr>
          <w:rFonts w:hint="eastAsia" w:ascii="宋体" w:hAnsi="宋体" w:cs="宋体"/>
          <w:sz w:val="24"/>
          <w:szCs w:val="24"/>
          <w:u w:val="single"/>
        </w:rPr>
        <w:t xml:space="preserve"> </w:t>
      </w:r>
      <w:r>
        <w:rPr>
          <w:rFonts w:hint="eastAsia" w:ascii="宋体" w:hAnsi="宋体" w:cs="宋体"/>
          <w:sz w:val="24"/>
          <w:szCs w:val="24"/>
        </w:rPr>
        <w:t>为我方合法代理人。代理人根据授权，以我方名义签署、澄清、说明、递交、撤回、修改</w:t>
      </w:r>
      <w:r>
        <w:rPr>
          <w:rFonts w:hint="eastAsia" w:ascii="宋体" w:hAnsi="宋体" w:cs="宋体"/>
          <w:sz w:val="24"/>
          <w:szCs w:val="24"/>
          <w:u w:val="single"/>
        </w:rPr>
        <w:t xml:space="preserve">   （项目名称）（项目编号） </w:t>
      </w:r>
      <w:r>
        <w:rPr>
          <w:rFonts w:hint="eastAsia" w:ascii="宋体" w:hAnsi="宋体" w:cs="宋体"/>
          <w:sz w:val="24"/>
          <w:szCs w:val="24"/>
        </w:rPr>
        <w:t>的</w:t>
      </w:r>
      <w:r>
        <w:rPr>
          <w:rFonts w:hint="eastAsia" w:ascii="宋体" w:hAnsi="宋体" w:cs="宋体"/>
          <w:sz w:val="24"/>
          <w:szCs w:val="24"/>
          <w:lang w:val="en-US" w:eastAsia="zh-CN"/>
        </w:rPr>
        <w:t>投标</w:t>
      </w:r>
      <w:r>
        <w:rPr>
          <w:rFonts w:hint="eastAsia" w:ascii="宋体" w:hAnsi="宋体" w:cs="宋体"/>
          <w:sz w:val="24"/>
          <w:szCs w:val="24"/>
        </w:rPr>
        <w:t>文件、签订合同和处理有关事宜，其法律后果由我方承担。代理人无转委托权。</w:t>
      </w:r>
    </w:p>
    <w:p w14:paraId="7DE93E23">
      <w:pPr>
        <w:snapToGrid w:val="0"/>
        <w:spacing w:line="360" w:lineRule="auto"/>
        <w:ind w:firstLine="496" w:firstLineChars="200"/>
        <w:rPr>
          <w:rFonts w:ascii="宋体" w:hAnsi="宋体" w:cs="宋体"/>
          <w:sz w:val="24"/>
          <w:szCs w:val="24"/>
        </w:rPr>
      </w:pPr>
      <w:r>
        <w:rPr>
          <w:rFonts w:hint="eastAsia" w:ascii="宋体" w:hAnsi="宋体" w:cs="宋体"/>
          <w:sz w:val="24"/>
          <w:szCs w:val="24"/>
        </w:rPr>
        <w:t>本授权书签字生效。</w:t>
      </w:r>
    </w:p>
    <w:tbl>
      <w:tblPr>
        <w:tblStyle w:val="35"/>
        <w:tblW w:w="0" w:type="auto"/>
        <w:tblInd w:w="633" w:type="dxa"/>
        <w:tblLayout w:type="fixed"/>
        <w:tblCellMar>
          <w:top w:w="0" w:type="dxa"/>
          <w:left w:w="108" w:type="dxa"/>
          <w:bottom w:w="0" w:type="dxa"/>
          <w:right w:w="108" w:type="dxa"/>
        </w:tblCellMar>
      </w:tblPr>
      <w:tblGrid>
        <w:gridCol w:w="4045"/>
        <w:gridCol w:w="3844"/>
      </w:tblGrid>
      <w:tr w14:paraId="240C825E">
        <w:tblPrEx>
          <w:tblCellMar>
            <w:top w:w="0" w:type="dxa"/>
            <w:left w:w="108" w:type="dxa"/>
            <w:bottom w:w="0" w:type="dxa"/>
            <w:right w:w="108" w:type="dxa"/>
          </w:tblCellMar>
        </w:tblPrEx>
        <w:trPr>
          <w:trHeight w:val="600" w:hRule="atLeast"/>
        </w:trPr>
        <w:tc>
          <w:tcPr>
            <w:tcW w:w="4045" w:type="dxa"/>
            <w:noWrap w:val="0"/>
            <w:vAlign w:val="top"/>
          </w:tcPr>
          <w:p w14:paraId="062E02DA">
            <w:pPr>
              <w:snapToGrid w:val="0"/>
              <w:spacing w:line="360" w:lineRule="auto"/>
              <w:jc w:val="left"/>
              <w:rPr>
                <w:rFonts w:hint="eastAsia" w:ascii="宋体" w:hAnsi="宋体" w:cs="宋体"/>
                <w:spacing w:val="4"/>
                <w:sz w:val="24"/>
                <w:szCs w:val="24"/>
              </w:rPr>
            </w:pPr>
            <w:r>
              <w:rPr>
                <w:rFonts w:hint="eastAsia" w:ascii="宋体" w:hAnsi="宋体" w:cs="宋体"/>
                <w:spacing w:val="4"/>
                <w:sz w:val="24"/>
                <w:szCs w:val="24"/>
              </w:rPr>
              <w:t xml:space="preserve">法定代表人签字：   </w:t>
            </w:r>
          </w:p>
        </w:tc>
        <w:tc>
          <w:tcPr>
            <w:tcW w:w="3844" w:type="dxa"/>
            <w:noWrap w:val="0"/>
            <w:vAlign w:val="top"/>
          </w:tcPr>
          <w:p w14:paraId="792B375B">
            <w:pPr>
              <w:snapToGrid w:val="0"/>
              <w:spacing w:line="360" w:lineRule="auto"/>
              <w:ind w:firstLine="256" w:firstLineChars="100"/>
              <w:jc w:val="left"/>
              <w:rPr>
                <w:rFonts w:hint="eastAsia" w:ascii="宋体" w:hAnsi="宋体" w:cs="宋体"/>
                <w:spacing w:val="4"/>
                <w:sz w:val="24"/>
                <w:szCs w:val="24"/>
              </w:rPr>
            </w:pPr>
            <w:r>
              <w:rPr>
                <w:rFonts w:hint="eastAsia" w:ascii="宋体" w:hAnsi="宋体" w:cs="宋体"/>
                <w:spacing w:val="4"/>
                <w:sz w:val="24"/>
                <w:szCs w:val="24"/>
              </w:rPr>
              <w:t>被授权人签字：</w:t>
            </w:r>
          </w:p>
        </w:tc>
      </w:tr>
      <w:tr w14:paraId="78600C28">
        <w:tblPrEx>
          <w:tblCellMar>
            <w:top w:w="0" w:type="dxa"/>
            <w:left w:w="108" w:type="dxa"/>
            <w:bottom w:w="0" w:type="dxa"/>
            <w:right w:w="108" w:type="dxa"/>
          </w:tblCellMar>
        </w:tblPrEx>
        <w:trPr>
          <w:trHeight w:val="600" w:hRule="atLeast"/>
        </w:trPr>
        <w:tc>
          <w:tcPr>
            <w:tcW w:w="4045" w:type="dxa"/>
            <w:noWrap w:val="0"/>
            <w:vAlign w:val="top"/>
          </w:tcPr>
          <w:p w14:paraId="7F9CFB28">
            <w:pPr>
              <w:snapToGrid w:val="0"/>
              <w:spacing w:line="360" w:lineRule="auto"/>
              <w:jc w:val="left"/>
              <w:rPr>
                <w:rFonts w:hint="eastAsia" w:ascii="宋体" w:hAnsi="宋体" w:cs="宋体"/>
                <w:spacing w:val="4"/>
                <w:sz w:val="24"/>
                <w:szCs w:val="24"/>
              </w:rPr>
            </w:pPr>
            <w:r>
              <w:rPr>
                <w:rFonts w:hint="eastAsia" w:ascii="宋体" w:hAnsi="宋体" w:cs="宋体"/>
                <w:spacing w:val="4"/>
                <w:sz w:val="24"/>
                <w:szCs w:val="24"/>
              </w:rPr>
              <w:t xml:space="preserve">职务：                     </w:t>
            </w:r>
          </w:p>
        </w:tc>
        <w:tc>
          <w:tcPr>
            <w:tcW w:w="3844" w:type="dxa"/>
            <w:noWrap w:val="0"/>
            <w:vAlign w:val="top"/>
          </w:tcPr>
          <w:p w14:paraId="4A78E6C6">
            <w:pPr>
              <w:snapToGrid w:val="0"/>
              <w:spacing w:line="360" w:lineRule="auto"/>
              <w:ind w:firstLine="256" w:firstLineChars="100"/>
              <w:jc w:val="left"/>
              <w:rPr>
                <w:rFonts w:hint="eastAsia" w:ascii="宋体" w:hAnsi="宋体" w:cs="宋体"/>
                <w:spacing w:val="4"/>
                <w:sz w:val="24"/>
                <w:szCs w:val="24"/>
              </w:rPr>
            </w:pPr>
            <w:r>
              <w:rPr>
                <w:rFonts w:hint="eastAsia" w:ascii="宋体" w:hAnsi="宋体" w:cs="宋体"/>
                <w:spacing w:val="4"/>
                <w:sz w:val="24"/>
                <w:szCs w:val="24"/>
              </w:rPr>
              <w:t>职务：</w:t>
            </w:r>
          </w:p>
        </w:tc>
      </w:tr>
      <w:tr w14:paraId="450B15ED">
        <w:tblPrEx>
          <w:tblCellMar>
            <w:top w:w="0" w:type="dxa"/>
            <w:left w:w="108" w:type="dxa"/>
            <w:bottom w:w="0" w:type="dxa"/>
            <w:right w:w="108" w:type="dxa"/>
          </w:tblCellMar>
        </w:tblPrEx>
        <w:trPr>
          <w:trHeight w:val="600" w:hRule="atLeast"/>
        </w:trPr>
        <w:tc>
          <w:tcPr>
            <w:tcW w:w="4045" w:type="dxa"/>
            <w:noWrap w:val="0"/>
            <w:vAlign w:val="top"/>
          </w:tcPr>
          <w:p w14:paraId="2FCDACF4">
            <w:pPr>
              <w:snapToGrid w:val="0"/>
              <w:spacing w:line="360" w:lineRule="auto"/>
              <w:jc w:val="left"/>
              <w:rPr>
                <w:rFonts w:hint="eastAsia" w:ascii="宋体" w:hAnsi="宋体" w:cs="宋体"/>
                <w:spacing w:val="4"/>
                <w:sz w:val="24"/>
                <w:szCs w:val="24"/>
              </w:rPr>
            </w:pPr>
            <w:r>
              <w:rPr>
                <w:rFonts w:hint="eastAsia" w:ascii="宋体" w:hAnsi="宋体" w:cs="宋体"/>
                <w:spacing w:val="4"/>
                <w:sz w:val="24"/>
                <w:szCs w:val="24"/>
              </w:rPr>
              <w:t xml:space="preserve">                           </w:t>
            </w:r>
          </w:p>
        </w:tc>
        <w:tc>
          <w:tcPr>
            <w:tcW w:w="3844" w:type="dxa"/>
            <w:noWrap w:val="0"/>
            <w:vAlign w:val="top"/>
          </w:tcPr>
          <w:p w14:paraId="65E329AD">
            <w:pPr>
              <w:snapToGrid w:val="0"/>
              <w:spacing w:line="360" w:lineRule="auto"/>
              <w:ind w:firstLine="256" w:firstLineChars="100"/>
              <w:jc w:val="left"/>
              <w:rPr>
                <w:rFonts w:hint="eastAsia" w:ascii="宋体" w:hAnsi="宋体" w:cs="宋体"/>
                <w:spacing w:val="4"/>
                <w:sz w:val="24"/>
                <w:szCs w:val="24"/>
              </w:rPr>
            </w:pPr>
            <w:r>
              <w:rPr>
                <w:rFonts w:hint="eastAsia" w:ascii="宋体" w:hAnsi="宋体" w:cs="宋体"/>
                <w:spacing w:val="4"/>
                <w:sz w:val="24"/>
                <w:szCs w:val="24"/>
              </w:rPr>
              <w:t>所在部门：</w:t>
            </w:r>
          </w:p>
        </w:tc>
      </w:tr>
    </w:tbl>
    <w:p w14:paraId="07AB01F7">
      <w:pPr>
        <w:snapToGrid w:val="0"/>
        <w:spacing w:line="360" w:lineRule="auto"/>
        <w:ind w:right="1120" w:firstLine="248" w:firstLineChars="100"/>
        <w:jc w:val="right"/>
        <w:rPr>
          <w:rFonts w:hint="eastAsia" w:ascii="宋体" w:hAnsi="宋体" w:cs="宋体"/>
          <w:sz w:val="24"/>
          <w:szCs w:val="24"/>
        </w:rPr>
      </w:pPr>
    </w:p>
    <w:p w14:paraId="7341FBF0">
      <w:pPr>
        <w:snapToGrid w:val="0"/>
        <w:spacing w:line="360" w:lineRule="auto"/>
        <w:rPr>
          <w:rFonts w:hint="eastAsia"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109633D4">
      <w:pPr>
        <w:pStyle w:val="25"/>
        <w:tabs>
          <w:tab w:val="right" w:leader="dot" w:pos="9060"/>
        </w:tabs>
        <w:ind w:left="0" w:leftChars="0" w:firstLine="0" w:firstLineChars="0"/>
        <w:rPr>
          <w:rFonts w:hint="eastAsia"/>
          <w:b w:val="0"/>
          <w:bCs/>
        </w:rPr>
      </w:pPr>
      <w:r>
        <w:rPr>
          <w:rFonts w:hint="eastAsia" w:ascii="宋体" w:hAnsi="宋体" w:cs="宋体"/>
          <w:b w:val="0"/>
          <w:bCs/>
          <w:sz w:val="24"/>
          <w:szCs w:val="24"/>
        </w:rPr>
        <w:t>日    期：</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0E2C6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0"/>
            <w:vAlign w:val="center"/>
          </w:tcPr>
          <w:p w14:paraId="510758CA">
            <w:pPr>
              <w:snapToGrid w:val="0"/>
              <w:spacing w:line="360" w:lineRule="auto"/>
              <w:jc w:val="center"/>
              <w:rPr>
                <w:rFonts w:hint="eastAsia" w:ascii="宋体" w:hAnsi="宋体" w:cs="宋体"/>
                <w:szCs w:val="21"/>
              </w:rPr>
            </w:pPr>
          </w:p>
          <w:p w14:paraId="60DEE27D">
            <w:pPr>
              <w:snapToGrid w:val="0"/>
              <w:spacing w:line="360" w:lineRule="auto"/>
              <w:jc w:val="center"/>
              <w:rPr>
                <w:rFonts w:hint="eastAsia" w:ascii="宋体" w:hAnsi="宋体" w:cs="宋体"/>
                <w:szCs w:val="21"/>
              </w:rPr>
            </w:pPr>
            <w:r>
              <w:rPr>
                <w:rFonts w:hint="eastAsia" w:ascii="宋体" w:hAnsi="宋体" w:cs="宋体"/>
                <w:szCs w:val="21"/>
              </w:rPr>
              <w:t>法定代表人身份证复印件或扫描件</w:t>
            </w:r>
          </w:p>
          <w:p w14:paraId="65DE8C00">
            <w:pPr>
              <w:snapToGrid w:val="0"/>
              <w:spacing w:line="360" w:lineRule="auto"/>
              <w:jc w:val="center"/>
              <w:rPr>
                <w:rFonts w:hint="eastAsia" w:ascii="宋体" w:hAnsi="宋体" w:cs="宋体"/>
                <w:szCs w:val="21"/>
              </w:rPr>
            </w:pPr>
            <w:r>
              <w:rPr>
                <w:rFonts w:hint="eastAsia" w:ascii="宋体" w:hAnsi="宋体" w:cs="宋体"/>
                <w:szCs w:val="21"/>
                <w:u w:val="none"/>
                <w:lang w:eastAsia="zh-CN"/>
              </w:rPr>
              <w:t>（国徽面、人像面）</w:t>
            </w:r>
          </w:p>
        </w:tc>
        <w:tc>
          <w:tcPr>
            <w:tcW w:w="4644" w:type="dxa"/>
            <w:noWrap w:val="0"/>
            <w:vAlign w:val="center"/>
          </w:tcPr>
          <w:p w14:paraId="09BA206F">
            <w:pPr>
              <w:snapToGrid w:val="0"/>
              <w:spacing w:line="360" w:lineRule="auto"/>
              <w:jc w:val="center"/>
              <w:rPr>
                <w:rFonts w:hint="eastAsia" w:ascii="宋体" w:hAnsi="宋体" w:cs="宋体"/>
                <w:szCs w:val="21"/>
              </w:rPr>
            </w:pPr>
          </w:p>
          <w:p w14:paraId="0F87782E">
            <w:pPr>
              <w:snapToGrid w:val="0"/>
              <w:spacing w:line="360" w:lineRule="auto"/>
              <w:jc w:val="center"/>
              <w:rPr>
                <w:rFonts w:hint="eastAsia" w:ascii="宋体" w:hAnsi="宋体" w:cs="宋体"/>
                <w:szCs w:val="21"/>
              </w:rPr>
            </w:pPr>
            <w:r>
              <w:rPr>
                <w:rFonts w:hint="eastAsia" w:ascii="宋体" w:hAnsi="宋体" w:cs="宋体"/>
                <w:szCs w:val="21"/>
              </w:rPr>
              <w:t>代理人身份证复印件或扫描件</w:t>
            </w:r>
          </w:p>
          <w:p w14:paraId="493CCE69">
            <w:pPr>
              <w:snapToGrid w:val="0"/>
              <w:spacing w:line="360" w:lineRule="auto"/>
              <w:jc w:val="center"/>
              <w:rPr>
                <w:rFonts w:hint="eastAsia" w:ascii="宋体" w:hAnsi="宋体" w:cs="宋体"/>
                <w:szCs w:val="21"/>
              </w:rPr>
            </w:pPr>
            <w:r>
              <w:rPr>
                <w:rFonts w:hint="eastAsia" w:ascii="宋体" w:hAnsi="宋体" w:cs="宋体"/>
                <w:szCs w:val="21"/>
                <w:u w:val="none"/>
                <w:lang w:eastAsia="zh-CN"/>
              </w:rPr>
              <w:t>（国徽面、人像面）</w:t>
            </w:r>
          </w:p>
        </w:tc>
      </w:tr>
    </w:tbl>
    <w:p w14:paraId="3265D679">
      <w:pPr>
        <w:adjustRightInd w:val="0"/>
        <w:snapToGrid w:val="0"/>
        <w:spacing w:line="360" w:lineRule="auto"/>
        <w:jc w:val="left"/>
        <w:rPr>
          <w:rFonts w:hint="eastAsia" w:ascii="宋体" w:hAnsi="宋体" w:cs="宋体"/>
          <w:sz w:val="24"/>
          <w:szCs w:val="24"/>
        </w:rPr>
      </w:pPr>
    </w:p>
    <w:p w14:paraId="300EB561">
      <w:pPr>
        <w:pStyle w:val="25"/>
        <w:rPr>
          <w:rFonts w:hint="eastAsia"/>
          <w:lang w:val="en-US" w:eastAsia="zh-CN"/>
        </w:rPr>
      </w:pPr>
      <w:r>
        <w:rPr>
          <w:rFonts w:hint="eastAsia" w:ascii="宋体" w:hAnsi="宋体" w:eastAsia="宋体" w:cs="宋体"/>
          <w:b w:val="0"/>
          <w:bCs/>
          <w:color w:val="333333"/>
          <w:kern w:val="0"/>
          <w:sz w:val="24"/>
          <w:szCs w:val="24"/>
          <w:highlight w:val="none"/>
          <w:lang w:val="en-US" w:eastAsia="zh-CN" w:bidi="ar"/>
        </w:rPr>
        <w:t>注：法定代表人委托代理人参加</w:t>
      </w:r>
      <w:r>
        <w:rPr>
          <w:rFonts w:hint="eastAsia" w:ascii="宋体" w:hAnsi="宋体" w:cs="宋体"/>
          <w:b w:val="0"/>
          <w:bCs/>
          <w:color w:val="333333"/>
          <w:kern w:val="0"/>
          <w:sz w:val="24"/>
          <w:szCs w:val="24"/>
          <w:highlight w:val="none"/>
          <w:lang w:val="en-US" w:eastAsia="zh-CN" w:bidi="ar"/>
        </w:rPr>
        <w:t>投标</w:t>
      </w:r>
      <w:r>
        <w:rPr>
          <w:rFonts w:hint="eastAsia" w:ascii="宋体" w:hAnsi="宋体" w:eastAsia="宋体" w:cs="宋体"/>
          <w:b w:val="0"/>
          <w:bCs/>
          <w:color w:val="333333"/>
          <w:kern w:val="0"/>
          <w:sz w:val="24"/>
          <w:szCs w:val="24"/>
          <w:highlight w:val="none"/>
          <w:lang w:val="en-US" w:eastAsia="zh-CN" w:bidi="ar"/>
        </w:rPr>
        <w:t>的，</w:t>
      </w:r>
      <w:r>
        <w:rPr>
          <w:rFonts w:hint="eastAsia" w:ascii="宋体" w:hAnsi="宋体" w:eastAsia="宋体" w:cs="宋体"/>
          <w:i w:val="0"/>
          <w:iCs w:val="0"/>
          <w:caps w:val="0"/>
          <w:color w:val="000000"/>
          <w:spacing w:val="0"/>
          <w:kern w:val="0"/>
          <w:sz w:val="24"/>
          <w:szCs w:val="24"/>
          <w:highlight w:val="none"/>
          <w:shd w:val="clear" w:color="auto" w:fill="FFFFFF"/>
          <w:vertAlign w:val="baseline"/>
          <w:lang w:val="en-US" w:eastAsia="zh-CN" w:bidi="ar"/>
        </w:rPr>
        <w:t>提供法定代表人授权委托书</w:t>
      </w:r>
      <w:r>
        <w:rPr>
          <w:rFonts w:hint="eastAsia" w:ascii="宋体" w:hAnsi="宋体" w:cs="宋体"/>
          <w:i w:val="0"/>
          <w:iCs w:val="0"/>
          <w:caps w:val="0"/>
          <w:color w:val="000000"/>
          <w:spacing w:val="0"/>
          <w:kern w:val="0"/>
          <w:sz w:val="24"/>
          <w:szCs w:val="24"/>
          <w:highlight w:val="none"/>
          <w:shd w:val="clear" w:color="auto" w:fill="FFFFFF"/>
          <w:vertAlign w:val="baseline"/>
          <w:lang w:val="en-US" w:eastAsia="zh-CN" w:bidi="ar"/>
        </w:rPr>
        <w:t>（含法定代表人及</w:t>
      </w:r>
      <w:r>
        <w:rPr>
          <w:rFonts w:hint="eastAsia" w:ascii="宋体" w:hAnsi="宋体" w:cs="宋体"/>
          <w:kern w:val="0"/>
          <w:sz w:val="24"/>
          <w:szCs w:val="24"/>
          <w:lang w:val="en-US" w:eastAsia="zh-CN"/>
        </w:rPr>
        <w:t>代理人身份证复印件）。</w:t>
      </w:r>
    </w:p>
    <w:p w14:paraId="66EEBC52">
      <w:pPr>
        <w:adjustRightInd w:val="0"/>
        <w:snapToGrid w:val="0"/>
        <w:spacing w:line="360" w:lineRule="auto"/>
        <w:jc w:val="left"/>
        <w:rPr>
          <w:rFonts w:hint="eastAsia" w:ascii="宋体" w:hAnsi="宋体" w:cs="宋体"/>
          <w:sz w:val="24"/>
          <w:szCs w:val="24"/>
        </w:rPr>
      </w:pPr>
    </w:p>
    <w:p w14:paraId="363D30AC">
      <w:pPr>
        <w:adjustRightInd w:val="0"/>
        <w:snapToGrid w:val="0"/>
        <w:spacing w:line="360" w:lineRule="auto"/>
        <w:jc w:val="left"/>
        <w:rPr>
          <w:rFonts w:hint="eastAsia"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附件3</w:t>
      </w:r>
    </w:p>
    <w:p w14:paraId="21F52DA2">
      <w:pPr>
        <w:adjustRightInd w:val="0"/>
        <w:snapToGrid w:val="0"/>
        <w:spacing w:line="360" w:lineRule="auto"/>
        <w:jc w:val="center"/>
        <w:rPr>
          <w:rFonts w:hint="eastAsia" w:ascii="宋体" w:hAnsi="宋体" w:eastAsia="宋体" w:cs="宋体"/>
          <w:b/>
          <w:sz w:val="24"/>
          <w:szCs w:val="24"/>
          <w:lang w:eastAsia="zh-CN"/>
        </w:rPr>
      </w:pPr>
      <w:r>
        <w:rPr>
          <w:rFonts w:hint="eastAsia" w:ascii="宋体" w:hAnsi="宋体" w:cs="宋体"/>
          <w:b/>
          <w:sz w:val="24"/>
          <w:szCs w:val="24"/>
          <w:lang w:eastAsia="zh-CN"/>
        </w:rPr>
        <w:t>供应商应提供具有履行合同所必需的设备和专业技术能力的说明</w:t>
      </w:r>
    </w:p>
    <w:p w14:paraId="51160FE2">
      <w:pPr>
        <w:adjustRightInd w:val="0"/>
        <w:snapToGrid w:val="0"/>
        <w:spacing w:line="360" w:lineRule="auto"/>
        <w:jc w:val="center"/>
        <w:rPr>
          <w:rFonts w:hint="eastAsia" w:ascii="宋体" w:hAnsi="宋体" w:cs="宋体"/>
          <w:b/>
          <w:sz w:val="28"/>
          <w:szCs w:val="28"/>
        </w:rPr>
      </w:pPr>
    </w:p>
    <w:p w14:paraId="5CFB0975">
      <w:pPr>
        <w:snapToGrid w:val="0"/>
        <w:spacing w:line="360" w:lineRule="auto"/>
        <w:rPr>
          <w:rFonts w:hint="eastAsia" w:ascii="宋体" w:hAnsi="宋体" w:cs="宋体"/>
          <w:spacing w:val="4"/>
          <w:sz w:val="24"/>
          <w:szCs w:val="24"/>
          <w:u w:val="single"/>
        </w:rPr>
      </w:pPr>
      <w:r>
        <w:rPr>
          <w:rFonts w:hint="eastAsia" w:ascii="宋体" w:hAnsi="宋体" w:cs="宋体"/>
          <w:spacing w:val="4"/>
          <w:sz w:val="24"/>
          <w:szCs w:val="24"/>
          <w:u w:val="single"/>
        </w:rPr>
        <w:t>（采购人名称）：</w:t>
      </w:r>
    </w:p>
    <w:p w14:paraId="7687668E">
      <w:pPr>
        <w:snapToGrid w:val="0"/>
        <w:spacing w:before="240" w:beforeLines="100" w:after="120" w:afterLines="50" w:line="360" w:lineRule="auto"/>
        <w:ind w:firstLine="640" w:firstLineChars="250"/>
        <w:rPr>
          <w:rFonts w:hint="eastAsia" w:ascii="宋体" w:hAnsi="宋体" w:cs="宋体"/>
          <w:spacing w:val="4"/>
          <w:sz w:val="24"/>
          <w:szCs w:val="24"/>
        </w:rPr>
      </w:pPr>
      <w:r>
        <w:rPr>
          <w:rFonts w:hint="eastAsia" w:ascii="宋体" w:hAnsi="宋体" w:cs="宋体"/>
          <w:spacing w:val="4"/>
          <w:sz w:val="24"/>
          <w:szCs w:val="24"/>
          <w:u w:val="single"/>
        </w:rPr>
        <w:t xml:space="preserve">   （供应商名称）    </w:t>
      </w:r>
      <w:r>
        <w:rPr>
          <w:rFonts w:hint="eastAsia" w:ascii="宋体" w:hAnsi="宋体" w:cs="宋体"/>
          <w:spacing w:val="4"/>
          <w:sz w:val="24"/>
          <w:szCs w:val="24"/>
        </w:rPr>
        <w:t xml:space="preserve"> 于</w:t>
      </w:r>
      <w:r>
        <w:rPr>
          <w:rFonts w:hint="eastAsia" w:ascii="宋体" w:hAnsi="宋体" w:cs="宋体"/>
          <w:spacing w:val="4"/>
          <w:sz w:val="24"/>
          <w:szCs w:val="24"/>
          <w:u w:val="single"/>
        </w:rPr>
        <w:t xml:space="preserve">     </w:t>
      </w:r>
      <w:r>
        <w:rPr>
          <w:rFonts w:hint="eastAsia" w:ascii="宋体" w:hAnsi="宋体" w:cs="宋体"/>
          <w:spacing w:val="4"/>
          <w:sz w:val="24"/>
          <w:szCs w:val="24"/>
        </w:rPr>
        <w:t>年</w:t>
      </w:r>
      <w:r>
        <w:rPr>
          <w:rFonts w:hint="eastAsia" w:ascii="宋体" w:hAnsi="宋体" w:cs="宋体"/>
          <w:spacing w:val="4"/>
          <w:sz w:val="24"/>
          <w:szCs w:val="24"/>
          <w:u w:val="single"/>
        </w:rPr>
        <w:t xml:space="preserve">    </w:t>
      </w:r>
      <w:r>
        <w:rPr>
          <w:rFonts w:hint="eastAsia" w:ascii="宋体" w:hAnsi="宋体" w:cs="宋体"/>
          <w:spacing w:val="4"/>
          <w:sz w:val="24"/>
          <w:szCs w:val="24"/>
        </w:rPr>
        <w:t>月</w:t>
      </w:r>
      <w:r>
        <w:rPr>
          <w:rFonts w:hint="eastAsia" w:ascii="宋体" w:hAnsi="宋体" w:cs="宋体"/>
          <w:spacing w:val="4"/>
          <w:sz w:val="24"/>
          <w:szCs w:val="24"/>
          <w:u w:val="single"/>
        </w:rPr>
        <w:t xml:space="preserve">   </w:t>
      </w:r>
      <w:r>
        <w:rPr>
          <w:rFonts w:hint="eastAsia" w:ascii="宋体" w:hAnsi="宋体" w:cs="宋体"/>
          <w:spacing w:val="4"/>
          <w:sz w:val="24"/>
          <w:szCs w:val="24"/>
        </w:rPr>
        <w:t>日在中华人民共和国境内</w:t>
      </w:r>
      <w:r>
        <w:rPr>
          <w:rFonts w:hint="eastAsia" w:ascii="宋体" w:hAnsi="宋体" w:cs="宋体"/>
          <w:spacing w:val="4"/>
          <w:sz w:val="24"/>
          <w:szCs w:val="24"/>
          <w:u w:val="single"/>
        </w:rPr>
        <w:t xml:space="preserve">               （详细注册地址）     </w:t>
      </w:r>
      <w:r>
        <w:rPr>
          <w:rFonts w:hint="eastAsia" w:ascii="宋体" w:hAnsi="宋体" w:cs="宋体"/>
          <w:spacing w:val="4"/>
          <w:sz w:val="24"/>
          <w:szCs w:val="24"/>
        </w:rPr>
        <w:t>合法注册并经营，公司主营业务为</w:t>
      </w:r>
      <w:r>
        <w:rPr>
          <w:rFonts w:hint="eastAsia" w:ascii="宋体" w:hAnsi="宋体" w:cs="宋体"/>
          <w:spacing w:val="4"/>
          <w:sz w:val="24"/>
          <w:szCs w:val="24"/>
          <w:u w:val="single"/>
        </w:rPr>
        <w:t xml:space="preserve">                          </w:t>
      </w:r>
      <w:r>
        <w:rPr>
          <w:rFonts w:hint="eastAsia" w:ascii="宋体" w:hAnsi="宋体" w:cs="宋体"/>
          <w:spacing w:val="4"/>
          <w:sz w:val="24"/>
          <w:szCs w:val="24"/>
        </w:rPr>
        <w:t>，营业（生产经营）面积为</w:t>
      </w:r>
      <w:r>
        <w:rPr>
          <w:rFonts w:hint="eastAsia" w:ascii="宋体" w:hAnsi="宋体" w:cs="宋体"/>
          <w:spacing w:val="4"/>
          <w:sz w:val="24"/>
          <w:szCs w:val="24"/>
          <w:u w:val="single"/>
        </w:rPr>
        <w:t xml:space="preserve">             </w:t>
      </w:r>
      <w:r>
        <w:rPr>
          <w:rFonts w:hint="eastAsia" w:ascii="宋体" w:hAnsi="宋体" w:cs="宋体"/>
          <w:spacing w:val="4"/>
          <w:sz w:val="24"/>
          <w:szCs w:val="24"/>
        </w:rPr>
        <w:t xml:space="preserve"> ，现有员工数量为</w:t>
      </w:r>
      <w:r>
        <w:rPr>
          <w:rFonts w:hint="eastAsia" w:ascii="宋体" w:hAnsi="宋体" w:cs="宋体"/>
          <w:spacing w:val="4"/>
          <w:sz w:val="24"/>
          <w:szCs w:val="24"/>
          <w:u w:val="single"/>
        </w:rPr>
        <w:t xml:space="preserve">         </w:t>
      </w:r>
      <w:r>
        <w:rPr>
          <w:rFonts w:hint="eastAsia" w:ascii="宋体" w:hAnsi="宋体" w:cs="宋体"/>
          <w:spacing w:val="4"/>
          <w:sz w:val="24"/>
          <w:szCs w:val="24"/>
        </w:rPr>
        <w:t>，其中与履行本合同相关的专业技术人员有（</w:t>
      </w:r>
      <w:r>
        <w:rPr>
          <w:rFonts w:hint="eastAsia" w:ascii="宋体" w:hAnsi="宋体" w:cs="宋体"/>
          <w:spacing w:val="4"/>
          <w:sz w:val="24"/>
          <w:szCs w:val="24"/>
          <w:u w:val="single"/>
        </w:rPr>
        <w:t xml:space="preserve">             专业能力、数量        </w:t>
      </w:r>
      <w:r>
        <w:rPr>
          <w:rFonts w:hint="eastAsia" w:ascii="宋体" w:hAnsi="宋体" w:cs="宋体"/>
          <w:spacing w:val="4"/>
          <w:sz w:val="24"/>
          <w:szCs w:val="24"/>
        </w:rPr>
        <w:t>），本公司郑重承诺，我单位具有履行本合同所必需的设备和专业技术能力。</w:t>
      </w:r>
    </w:p>
    <w:p w14:paraId="1A7DD15C">
      <w:pPr>
        <w:snapToGrid w:val="0"/>
        <w:spacing w:before="240" w:beforeLines="100" w:after="120" w:afterLines="50" w:line="360" w:lineRule="auto"/>
        <w:ind w:firstLine="170"/>
        <w:rPr>
          <w:rFonts w:hint="eastAsia" w:ascii="宋体" w:hAnsi="宋体" w:cs="宋体"/>
          <w:spacing w:val="4"/>
          <w:sz w:val="24"/>
          <w:szCs w:val="24"/>
        </w:rPr>
      </w:pPr>
    </w:p>
    <w:p w14:paraId="53A88F00">
      <w:pPr>
        <w:snapToGrid w:val="0"/>
        <w:spacing w:before="240" w:beforeLines="100" w:after="120" w:afterLines="50" w:line="360" w:lineRule="auto"/>
        <w:ind w:firstLine="170"/>
        <w:rPr>
          <w:rFonts w:hint="eastAsia" w:ascii="宋体" w:hAnsi="宋体" w:cs="宋体"/>
          <w:spacing w:val="4"/>
          <w:sz w:val="24"/>
          <w:szCs w:val="24"/>
        </w:rPr>
      </w:pPr>
    </w:p>
    <w:p w14:paraId="08AC52C0">
      <w:pPr>
        <w:tabs>
          <w:tab w:val="center" w:pos="4153"/>
          <w:tab w:val="right" w:pos="8306"/>
        </w:tabs>
        <w:snapToGrid w:val="0"/>
        <w:spacing w:line="360" w:lineRule="auto"/>
        <w:jc w:val="left"/>
        <w:rPr>
          <w:rFonts w:hint="eastAsia" w:ascii="宋体" w:hAnsi="宋体" w:cs="宋体"/>
          <w:sz w:val="24"/>
          <w:szCs w:val="24"/>
        </w:rPr>
      </w:pPr>
    </w:p>
    <w:p w14:paraId="7108C4D7">
      <w:pPr>
        <w:snapToGrid w:val="0"/>
        <w:spacing w:line="360" w:lineRule="auto"/>
        <w:rPr>
          <w:rFonts w:hint="eastAsia"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7DA62313">
      <w:pPr>
        <w:snapToGrid w:val="0"/>
        <w:spacing w:line="360" w:lineRule="auto"/>
        <w:rPr>
          <w:rFonts w:hint="eastAsia" w:ascii="宋体" w:hAnsi="宋体" w:cs="宋体"/>
          <w:sz w:val="24"/>
          <w:szCs w:val="24"/>
          <w:u w:val="single"/>
        </w:rPr>
      </w:pPr>
      <w:r>
        <w:rPr>
          <w:rFonts w:hint="eastAsia" w:ascii="宋体" w:hAnsi="宋体" w:cs="宋体"/>
          <w:sz w:val="24"/>
          <w:szCs w:val="24"/>
        </w:rPr>
        <w:t xml:space="preserve">法定代表人/授权代表（签字或盖章）： </w:t>
      </w:r>
      <w:r>
        <w:rPr>
          <w:rFonts w:hint="eastAsia" w:ascii="宋体" w:hAnsi="宋体" w:cs="宋体"/>
          <w:sz w:val="24"/>
          <w:szCs w:val="24"/>
          <w:u w:val="single"/>
        </w:rPr>
        <w:t xml:space="preserve">       </w:t>
      </w:r>
      <w:r>
        <w:rPr>
          <w:rFonts w:hint="eastAsia" w:ascii="宋体" w:hAnsi="宋体" w:cs="宋体"/>
          <w:sz w:val="24"/>
          <w:szCs w:val="24"/>
        </w:rPr>
        <w:t xml:space="preserve"> </w:t>
      </w:r>
    </w:p>
    <w:p w14:paraId="63D71336">
      <w:pPr>
        <w:adjustRightInd w:val="0"/>
        <w:snapToGrid w:val="0"/>
        <w:spacing w:line="360" w:lineRule="auto"/>
        <w:rPr>
          <w:rFonts w:hint="eastAsia" w:ascii="宋体" w:hAnsi="宋体" w:cs="宋体"/>
          <w:sz w:val="24"/>
          <w:szCs w:val="24"/>
          <w:u w:val="single"/>
        </w:rPr>
      </w:pPr>
      <w:r>
        <w:rPr>
          <w:rFonts w:hint="eastAsia" w:ascii="宋体" w:hAnsi="宋体" w:cs="宋体"/>
          <w:sz w:val="24"/>
          <w:szCs w:val="24"/>
        </w:rPr>
        <w:t>日    期：</w:t>
      </w:r>
    </w:p>
    <w:p w14:paraId="345EAC1F">
      <w:pPr>
        <w:adjustRightInd w:val="0"/>
        <w:snapToGrid w:val="0"/>
        <w:spacing w:line="360" w:lineRule="auto"/>
        <w:jc w:val="left"/>
        <w:rPr>
          <w:rFonts w:hint="eastAsia" w:ascii="宋体" w:hAnsi="宋体" w:cs="宋体"/>
          <w:b/>
          <w:sz w:val="24"/>
          <w:szCs w:val="24"/>
        </w:rPr>
      </w:pPr>
      <w:r>
        <w:rPr>
          <w:rFonts w:hint="eastAsia" w:ascii="宋体" w:hAnsi="宋体" w:cs="宋体"/>
          <w:b/>
          <w:bCs/>
          <w:sz w:val="24"/>
          <w:szCs w:val="24"/>
          <w:lang w:val="zh-CN"/>
        </w:rPr>
        <w:br w:type="page"/>
      </w:r>
      <w:r>
        <w:rPr>
          <w:rFonts w:hint="eastAsia" w:ascii="宋体" w:hAnsi="宋体" w:cs="宋体"/>
          <w:b/>
          <w:sz w:val="24"/>
          <w:szCs w:val="24"/>
        </w:rPr>
        <w:t>附件4</w:t>
      </w:r>
    </w:p>
    <w:bookmarkEnd w:id="341"/>
    <w:p w14:paraId="176428DE">
      <w:pPr>
        <w:pStyle w:val="20"/>
        <w:adjustRightInd w:val="0"/>
        <w:snapToGrid w:val="0"/>
        <w:spacing w:line="360" w:lineRule="auto"/>
        <w:jc w:val="center"/>
        <w:rPr>
          <w:rFonts w:hint="eastAsia" w:ascii="宋体" w:hAnsi="宋体" w:cs="宋体" w:eastAsiaTheme="minorEastAsia"/>
          <w:b/>
          <w:sz w:val="24"/>
          <w:szCs w:val="24"/>
          <w:lang w:val="en-US" w:eastAsia="zh-CN" w:bidi="ar-SA"/>
        </w:rPr>
      </w:pPr>
      <w:r>
        <w:rPr>
          <w:rFonts w:hint="eastAsia" w:ascii="宋体" w:hAnsi="宋体" w:cs="宋体" w:eastAsiaTheme="minorEastAsia"/>
          <w:b/>
          <w:sz w:val="24"/>
          <w:szCs w:val="24"/>
          <w:lang w:val="en-US" w:eastAsia="zh-CN" w:bidi="ar-SA"/>
        </w:rPr>
        <w:t>供应商应出具参加本次政府采购活动前3年内在经营活动中没有重大违法违纪，以及未被列入失信被执行人、</w:t>
      </w:r>
      <w:r>
        <w:rPr>
          <w:rFonts w:hint="eastAsia" w:hAnsi="宋体" w:cs="宋体"/>
          <w:b/>
          <w:sz w:val="24"/>
          <w:szCs w:val="24"/>
          <w:lang w:val="en-US" w:eastAsia="zh-CN" w:bidi="ar-SA"/>
        </w:rPr>
        <w:t>重大税收违法失信主体</w:t>
      </w:r>
      <w:r>
        <w:rPr>
          <w:rFonts w:hint="eastAsia" w:ascii="宋体" w:hAnsi="宋体" w:cs="宋体" w:eastAsiaTheme="minorEastAsia"/>
          <w:b/>
          <w:sz w:val="24"/>
          <w:szCs w:val="24"/>
          <w:lang w:val="en-US" w:eastAsia="zh-CN" w:bidi="ar-SA"/>
        </w:rPr>
        <w:t>、政府采购严重违法失信行为记录名单的书面声明</w:t>
      </w:r>
    </w:p>
    <w:p w14:paraId="737DBB4D">
      <w:pPr>
        <w:pStyle w:val="20"/>
        <w:adjustRightInd w:val="0"/>
        <w:snapToGrid w:val="0"/>
        <w:spacing w:line="360" w:lineRule="auto"/>
        <w:jc w:val="center"/>
        <w:rPr>
          <w:rFonts w:hint="eastAsia" w:hAnsi="宋体" w:cs="宋体"/>
          <w:b/>
          <w:sz w:val="13"/>
          <w:szCs w:val="13"/>
        </w:rPr>
      </w:pPr>
    </w:p>
    <w:p w14:paraId="47A2479E">
      <w:pPr>
        <w:autoSpaceDE w:val="0"/>
        <w:autoSpaceDN w:val="0"/>
        <w:adjustRightInd w:val="0"/>
        <w:snapToGrid w:val="0"/>
        <w:spacing w:line="360" w:lineRule="auto"/>
        <w:rPr>
          <w:rFonts w:hint="eastAsia" w:ascii="宋体" w:hAnsi="宋体" w:eastAsia="宋体" w:cs="宋体"/>
          <w:spacing w:val="4"/>
          <w:sz w:val="24"/>
          <w:szCs w:val="24"/>
          <w:lang w:eastAsia="zh-CN"/>
        </w:rPr>
      </w:pPr>
      <w:r>
        <w:rPr>
          <w:rFonts w:hint="eastAsia" w:ascii="宋体" w:hAnsi="宋体" w:cs="宋体"/>
          <w:spacing w:val="4"/>
          <w:sz w:val="24"/>
          <w:szCs w:val="24"/>
          <w:u w:val="single"/>
        </w:rPr>
        <w:t>（采购人名称）</w:t>
      </w:r>
      <w:r>
        <w:rPr>
          <w:rFonts w:hint="eastAsia" w:ascii="宋体" w:hAnsi="宋体" w:cs="宋体"/>
          <w:spacing w:val="4"/>
          <w:sz w:val="24"/>
          <w:szCs w:val="24"/>
        </w:rPr>
        <w:t>：</w:t>
      </w:r>
    </w:p>
    <w:p w14:paraId="50529F64">
      <w:pPr>
        <w:autoSpaceDE w:val="0"/>
        <w:autoSpaceDN w:val="0"/>
        <w:adjustRightInd w:val="0"/>
        <w:snapToGrid w:val="0"/>
        <w:spacing w:line="360" w:lineRule="auto"/>
        <w:rPr>
          <w:rFonts w:hint="eastAsia" w:ascii="宋体" w:hAnsi="宋体" w:eastAsia="宋体" w:cs="宋体"/>
          <w:sz w:val="24"/>
          <w:szCs w:val="24"/>
          <w:lang w:eastAsia="zh-CN"/>
        </w:rPr>
      </w:pPr>
      <w:r>
        <w:rPr>
          <w:rFonts w:hint="eastAsia" w:ascii="宋体" w:hAnsi="宋体" w:cs="宋体"/>
          <w:sz w:val="24"/>
          <w:szCs w:val="24"/>
        </w:rPr>
        <w:t xml:space="preserve">    我方郑重声明在参加本次政府采购活动前3年内的经营活动没有重大违法记录，以及未被列入失信被执行人、</w:t>
      </w:r>
      <w:r>
        <w:rPr>
          <w:rFonts w:hint="eastAsia" w:ascii="宋体" w:hAnsi="宋体" w:cs="宋体"/>
          <w:sz w:val="24"/>
          <w:szCs w:val="24"/>
          <w:lang w:eastAsia="zh-CN"/>
        </w:rPr>
        <w:t>重大税收违法失信主体</w:t>
      </w:r>
      <w:r>
        <w:rPr>
          <w:rFonts w:hint="eastAsia" w:ascii="宋体" w:hAnsi="宋体" w:cs="宋体"/>
          <w:sz w:val="24"/>
          <w:szCs w:val="24"/>
        </w:rPr>
        <w:t>、政府采购严重违法失信行为记录名单。如有不实，我方将无条件退出本项目的采购活动，并遵照有关"提供虚假材料的规定"接受处罚。</w:t>
      </w:r>
    </w:p>
    <w:p w14:paraId="1871A5DE">
      <w:pPr>
        <w:autoSpaceDE w:val="0"/>
        <w:autoSpaceDN w:val="0"/>
        <w:adjustRightInd w:val="0"/>
        <w:snapToGrid w:val="0"/>
        <w:spacing w:line="360" w:lineRule="auto"/>
        <w:rPr>
          <w:rFonts w:hint="eastAsia" w:ascii="宋体" w:hAnsi="宋体" w:cs="宋体"/>
          <w:sz w:val="24"/>
          <w:szCs w:val="24"/>
        </w:rPr>
      </w:pPr>
      <w:r>
        <w:rPr>
          <w:rFonts w:hint="eastAsia" w:ascii="宋体" w:hAnsi="宋体" w:cs="宋体"/>
          <w:sz w:val="24"/>
          <w:szCs w:val="24"/>
        </w:rPr>
        <w:t xml:space="preserve">    </w:t>
      </w:r>
    </w:p>
    <w:p w14:paraId="3CEB563E">
      <w:pPr>
        <w:autoSpaceDE w:val="0"/>
        <w:autoSpaceDN w:val="0"/>
        <w:adjustRightInd w:val="0"/>
        <w:snapToGrid w:val="0"/>
        <w:spacing w:line="360" w:lineRule="auto"/>
        <w:rPr>
          <w:rFonts w:hint="eastAsia" w:ascii="宋体" w:hAnsi="宋体" w:cs="宋体"/>
          <w:sz w:val="24"/>
          <w:szCs w:val="24"/>
        </w:rPr>
      </w:pPr>
      <w:r>
        <w:rPr>
          <w:rFonts w:hint="eastAsia" w:ascii="宋体" w:hAnsi="宋体" w:cs="宋体"/>
          <w:sz w:val="24"/>
          <w:szCs w:val="24"/>
        </w:rPr>
        <w:t>特此声明。</w:t>
      </w:r>
    </w:p>
    <w:p w14:paraId="67A2FD71">
      <w:pPr>
        <w:autoSpaceDE w:val="0"/>
        <w:autoSpaceDN w:val="0"/>
        <w:adjustRightInd w:val="0"/>
        <w:snapToGrid w:val="0"/>
        <w:spacing w:line="360" w:lineRule="auto"/>
        <w:rPr>
          <w:rFonts w:hint="eastAsia" w:ascii="宋体" w:hAnsi="宋体" w:cs="宋体"/>
          <w:sz w:val="24"/>
          <w:szCs w:val="24"/>
        </w:rPr>
      </w:pPr>
    </w:p>
    <w:p w14:paraId="36369F2F">
      <w:pPr>
        <w:autoSpaceDE w:val="0"/>
        <w:autoSpaceDN w:val="0"/>
        <w:adjustRightInd w:val="0"/>
        <w:snapToGrid w:val="0"/>
        <w:spacing w:line="360" w:lineRule="auto"/>
        <w:ind w:firstLine="496" w:firstLineChars="200"/>
        <w:rPr>
          <w:rFonts w:hint="eastAsia" w:ascii="宋体" w:hAnsi="宋体" w:cs="宋体"/>
          <w:sz w:val="24"/>
          <w:szCs w:val="24"/>
        </w:rPr>
      </w:pPr>
    </w:p>
    <w:p w14:paraId="21989F43">
      <w:pPr>
        <w:autoSpaceDE w:val="0"/>
        <w:autoSpaceDN w:val="0"/>
        <w:adjustRightInd w:val="0"/>
        <w:snapToGrid w:val="0"/>
        <w:spacing w:line="360" w:lineRule="auto"/>
        <w:ind w:firstLine="496" w:firstLineChars="200"/>
        <w:rPr>
          <w:rFonts w:hint="eastAsia" w:ascii="宋体" w:hAnsi="宋体" w:cs="宋体"/>
          <w:sz w:val="24"/>
          <w:szCs w:val="24"/>
        </w:rPr>
      </w:pPr>
    </w:p>
    <w:p w14:paraId="2C8C2EFE">
      <w:pPr>
        <w:snapToGrid w:val="0"/>
        <w:spacing w:line="360" w:lineRule="auto"/>
        <w:rPr>
          <w:rFonts w:hint="eastAsia"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20B17BE7">
      <w:pPr>
        <w:snapToGrid w:val="0"/>
        <w:spacing w:line="360" w:lineRule="auto"/>
        <w:rPr>
          <w:rFonts w:hint="eastAsia" w:ascii="宋体" w:hAnsi="宋体" w:cs="宋体"/>
          <w:sz w:val="24"/>
          <w:szCs w:val="24"/>
          <w:u w:val="single"/>
        </w:rPr>
      </w:pPr>
      <w:r>
        <w:rPr>
          <w:rFonts w:hint="eastAsia" w:ascii="宋体" w:hAnsi="宋体" w:cs="宋体"/>
          <w:sz w:val="24"/>
          <w:szCs w:val="24"/>
        </w:rPr>
        <w:t xml:space="preserve">法定代表人/授权代表（签字或盖章）： </w:t>
      </w:r>
      <w:r>
        <w:rPr>
          <w:rFonts w:hint="eastAsia" w:ascii="宋体" w:hAnsi="宋体" w:cs="宋体"/>
          <w:sz w:val="24"/>
          <w:szCs w:val="24"/>
          <w:u w:val="single"/>
        </w:rPr>
        <w:t xml:space="preserve">       </w:t>
      </w:r>
      <w:r>
        <w:rPr>
          <w:rFonts w:hint="eastAsia" w:ascii="宋体" w:hAnsi="宋体" w:cs="宋体"/>
          <w:sz w:val="24"/>
          <w:szCs w:val="24"/>
        </w:rPr>
        <w:t xml:space="preserve"> </w:t>
      </w:r>
    </w:p>
    <w:p w14:paraId="6D7FBDB2">
      <w:pPr>
        <w:autoSpaceDE w:val="0"/>
        <w:autoSpaceDN w:val="0"/>
        <w:adjustRightInd w:val="0"/>
        <w:snapToGrid w:val="0"/>
        <w:spacing w:line="360" w:lineRule="auto"/>
        <w:rPr>
          <w:rFonts w:hint="eastAsia" w:ascii="宋体" w:hAnsi="宋体" w:cs="宋体"/>
          <w:sz w:val="24"/>
          <w:szCs w:val="24"/>
          <w:u w:val="single"/>
        </w:rPr>
      </w:pPr>
      <w:r>
        <w:rPr>
          <w:rFonts w:hint="eastAsia" w:ascii="宋体" w:hAnsi="宋体" w:cs="宋体"/>
          <w:sz w:val="24"/>
          <w:szCs w:val="24"/>
        </w:rPr>
        <w:t>日    期：</w:t>
      </w:r>
    </w:p>
    <w:p w14:paraId="3EA480D1">
      <w:pPr>
        <w:pStyle w:val="20"/>
        <w:adjustRightInd w:val="0"/>
        <w:snapToGrid w:val="0"/>
        <w:spacing w:line="360" w:lineRule="auto"/>
        <w:jc w:val="center"/>
        <w:rPr>
          <w:rFonts w:hint="eastAsia" w:hAnsi="宋体" w:cs="宋体"/>
          <w:sz w:val="24"/>
          <w:szCs w:val="24"/>
          <w:u w:val="single"/>
        </w:rPr>
      </w:pPr>
    </w:p>
    <w:p w14:paraId="383F5CAD">
      <w:pPr>
        <w:adjustRightInd w:val="0"/>
        <w:snapToGrid w:val="0"/>
        <w:spacing w:line="360" w:lineRule="auto"/>
        <w:jc w:val="left"/>
        <w:rPr>
          <w:rFonts w:hint="eastAsia" w:ascii="宋体" w:hAnsi="宋体" w:cs="宋体"/>
          <w:sz w:val="28"/>
          <w:szCs w:val="28"/>
          <w:lang w:val="zh-CN"/>
        </w:rPr>
      </w:pPr>
      <w:r>
        <w:rPr>
          <w:rFonts w:hint="eastAsia" w:ascii="宋体" w:hAnsi="宋体" w:cs="宋体"/>
          <w:sz w:val="28"/>
          <w:szCs w:val="28"/>
          <w:lang w:val="zh-CN"/>
        </w:rPr>
        <w:br w:type="page"/>
      </w:r>
      <w:bookmarkStart w:id="342" w:name="_Toc35362678"/>
      <w:bookmarkStart w:id="343" w:name="_Toc7150"/>
      <w:r>
        <w:rPr>
          <w:rFonts w:hint="eastAsia" w:ascii="宋体" w:hAnsi="宋体" w:cs="宋体"/>
          <w:b/>
          <w:sz w:val="24"/>
          <w:szCs w:val="24"/>
        </w:rPr>
        <w:t>附件5</w:t>
      </w:r>
    </w:p>
    <w:bookmarkEnd w:id="342"/>
    <w:bookmarkEnd w:id="343"/>
    <w:p w14:paraId="54297943">
      <w:pPr>
        <w:adjustRightInd w:val="0"/>
        <w:snapToGrid w:val="0"/>
        <w:spacing w:line="360" w:lineRule="auto"/>
        <w:jc w:val="center"/>
        <w:rPr>
          <w:rFonts w:hint="eastAsia" w:ascii="宋体" w:hAnsi="宋体" w:cs="宋体"/>
          <w:b/>
          <w:kern w:val="0"/>
          <w:sz w:val="24"/>
          <w:szCs w:val="24"/>
        </w:rPr>
      </w:pPr>
      <w:r>
        <w:rPr>
          <w:rFonts w:hint="eastAsia" w:ascii="宋体" w:hAnsi="宋体" w:cs="宋体"/>
          <w:b/>
          <w:kern w:val="0"/>
          <w:sz w:val="24"/>
          <w:szCs w:val="24"/>
        </w:rPr>
        <w:t>供应商企业关系关联承诺书</w:t>
      </w:r>
    </w:p>
    <w:p w14:paraId="2A33479C">
      <w:pPr>
        <w:autoSpaceDE w:val="0"/>
        <w:autoSpaceDN w:val="0"/>
        <w:adjustRightInd w:val="0"/>
        <w:snapToGrid w:val="0"/>
        <w:spacing w:line="360" w:lineRule="auto"/>
        <w:ind w:firstLine="496" w:firstLineChars="200"/>
        <w:jc w:val="left"/>
        <w:rPr>
          <w:rFonts w:hint="eastAsia" w:ascii="宋体" w:hAnsi="宋体" w:cs="宋体"/>
          <w:sz w:val="24"/>
          <w:szCs w:val="24"/>
          <w:lang w:val="zh-CN"/>
        </w:rPr>
      </w:pPr>
      <w:r>
        <w:rPr>
          <w:rFonts w:hint="eastAsia" w:ascii="宋体" w:hAnsi="宋体" w:cs="宋体"/>
          <w:sz w:val="24"/>
          <w:szCs w:val="24"/>
          <w:lang w:val="zh-CN"/>
        </w:rPr>
        <w:t>我方承诺，不存在相关法律法规规定的禁止</w:t>
      </w:r>
      <w:r>
        <w:rPr>
          <w:rFonts w:hint="eastAsia" w:ascii="宋体" w:hAnsi="宋体" w:cs="宋体"/>
          <w:sz w:val="24"/>
          <w:szCs w:val="24"/>
          <w:lang w:val="en-US" w:eastAsia="zh-CN"/>
        </w:rPr>
        <w:t>投标</w:t>
      </w:r>
      <w:r>
        <w:rPr>
          <w:rFonts w:hint="eastAsia" w:ascii="宋体" w:hAnsi="宋体" w:cs="宋体"/>
          <w:sz w:val="24"/>
          <w:szCs w:val="24"/>
          <w:lang w:val="zh-CN"/>
        </w:rPr>
        <w:t>的情形。我单位的股权关系、与其他单位的管理关系和其他与本项目有关的利害关系等，作如下说明和承诺：</w:t>
      </w:r>
    </w:p>
    <w:p w14:paraId="00A9B395">
      <w:pPr>
        <w:autoSpaceDE w:val="0"/>
        <w:autoSpaceDN w:val="0"/>
        <w:adjustRightInd w:val="0"/>
        <w:snapToGrid w:val="0"/>
        <w:spacing w:line="360" w:lineRule="auto"/>
        <w:ind w:firstLine="496" w:firstLineChars="200"/>
        <w:jc w:val="left"/>
        <w:rPr>
          <w:rFonts w:hint="eastAsia" w:ascii="宋体" w:hAnsi="宋体" w:cs="宋体"/>
          <w:sz w:val="24"/>
          <w:szCs w:val="24"/>
          <w:lang w:val="zh-CN"/>
        </w:rPr>
      </w:pPr>
      <w:r>
        <w:rPr>
          <w:rFonts w:hint="eastAsia" w:ascii="宋体" w:hAnsi="宋体" w:cs="宋体"/>
          <w:sz w:val="24"/>
          <w:szCs w:val="24"/>
          <w:lang w:val="zh-CN"/>
        </w:rPr>
        <w:t>1.我方在本项目</w:t>
      </w:r>
      <w:r>
        <w:rPr>
          <w:rFonts w:hint="eastAsia" w:ascii="宋体" w:hAnsi="宋体" w:cs="宋体"/>
          <w:sz w:val="24"/>
          <w:szCs w:val="24"/>
          <w:lang w:val="en-US" w:eastAsia="zh-CN"/>
        </w:rPr>
        <w:t>投标</w:t>
      </w:r>
      <w:r>
        <w:rPr>
          <w:rFonts w:hint="eastAsia" w:ascii="宋体" w:hAnsi="宋体" w:cs="宋体"/>
          <w:sz w:val="24"/>
          <w:szCs w:val="24"/>
          <w:lang w:val="zh-CN"/>
        </w:rPr>
        <w:t>中，不存在与其他供应商单位负责人为同一人或者存在直接控股、管理关系。</w:t>
      </w:r>
    </w:p>
    <w:p w14:paraId="6EE58B44">
      <w:pPr>
        <w:autoSpaceDE w:val="0"/>
        <w:autoSpaceDN w:val="0"/>
        <w:adjustRightInd w:val="0"/>
        <w:snapToGrid w:val="0"/>
        <w:spacing w:line="360" w:lineRule="auto"/>
        <w:ind w:firstLine="496" w:firstLineChars="200"/>
        <w:jc w:val="left"/>
        <w:rPr>
          <w:rFonts w:hint="eastAsia" w:ascii="宋体" w:hAnsi="宋体" w:cs="宋体"/>
          <w:sz w:val="24"/>
          <w:szCs w:val="24"/>
          <w:lang w:val="zh-CN"/>
        </w:rPr>
      </w:pPr>
      <w:r>
        <w:rPr>
          <w:rFonts w:hint="eastAsia" w:ascii="宋体" w:hAnsi="宋体" w:cs="宋体"/>
          <w:sz w:val="24"/>
          <w:szCs w:val="24"/>
          <w:lang w:val="zh-CN"/>
        </w:rPr>
        <w:t>1.1 股权关系说明</w:t>
      </w:r>
    </w:p>
    <w:p w14:paraId="73A919BB">
      <w:pPr>
        <w:autoSpaceDE w:val="0"/>
        <w:autoSpaceDN w:val="0"/>
        <w:adjustRightInd w:val="0"/>
        <w:snapToGrid w:val="0"/>
        <w:spacing w:line="360" w:lineRule="auto"/>
        <w:ind w:firstLine="496" w:firstLineChars="200"/>
        <w:jc w:val="left"/>
        <w:rPr>
          <w:rFonts w:hint="eastAsia" w:ascii="宋体" w:hAnsi="宋体" w:cs="宋体"/>
          <w:sz w:val="24"/>
          <w:szCs w:val="24"/>
          <w:lang w:val="zh-CN"/>
        </w:rPr>
      </w:pPr>
      <w:r>
        <w:rPr>
          <w:rFonts w:hint="eastAsia" w:ascii="宋体" w:hAnsi="宋体" w:cs="宋体"/>
          <w:sz w:val="24"/>
          <w:szCs w:val="24"/>
          <w:lang w:val="zh-CN"/>
        </w:rPr>
        <w:t>1.1.1 我单位法定代表人（单位负责人）姓名：</w:t>
      </w:r>
      <w:r>
        <w:rPr>
          <w:rFonts w:hint="eastAsia" w:ascii="宋体" w:hAnsi="宋体" w:cs="宋体"/>
          <w:sz w:val="24"/>
          <w:szCs w:val="24"/>
          <w:u w:val="single"/>
          <w:lang w:val="zh-CN"/>
        </w:rPr>
        <w:t xml:space="preserve">               </w:t>
      </w:r>
      <w:r>
        <w:rPr>
          <w:rFonts w:hint="eastAsia" w:ascii="宋体" w:hAnsi="宋体" w:cs="宋体"/>
          <w:sz w:val="24"/>
          <w:szCs w:val="24"/>
          <w:lang w:val="zh-CN"/>
        </w:rPr>
        <w:t>。</w:t>
      </w:r>
    </w:p>
    <w:p w14:paraId="68E66901">
      <w:pPr>
        <w:autoSpaceDE w:val="0"/>
        <w:autoSpaceDN w:val="0"/>
        <w:adjustRightInd w:val="0"/>
        <w:snapToGrid w:val="0"/>
        <w:spacing w:line="360" w:lineRule="auto"/>
        <w:ind w:firstLine="496" w:firstLineChars="200"/>
        <w:jc w:val="left"/>
        <w:rPr>
          <w:rFonts w:hint="eastAsia" w:ascii="宋体" w:hAnsi="宋体" w:cs="宋体"/>
          <w:sz w:val="24"/>
          <w:szCs w:val="24"/>
          <w:u w:val="single"/>
          <w:lang w:val="zh-CN"/>
        </w:rPr>
      </w:pPr>
      <w:r>
        <w:rPr>
          <w:rFonts w:hint="eastAsia" w:ascii="宋体" w:hAnsi="宋体" w:cs="宋体"/>
          <w:sz w:val="24"/>
          <w:szCs w:val="24"/>
          <w:lang w:val="zh-CN"/>
        </w:rPr>
        <w:t>1.1.2 我单位控股的单位有</w:t>
      </w:r>
      <w:r>
        <w:rPr>
          <w:rFonts w:hint="eastAsia" w:ascii="宋体" w:hAnsi="宋体" w:cs="宋体"/>
          <w:sz w:val="24"/>
          <w:szCs w:val="24"/>
          <w:u w:val="single"/>
          <w:lang w:val="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63D1D0A3">
      <w:pPr>
        <w:autoSpaceDE w:val="0"/>
        <w:autoSpaceDN w:val="0"/>
        <w:adjustRightInd w:val="0"/>
        <w:snapToGrid w:val="0"/>
        <w:spacing w:line="360" w:lineRule="auto"/>
        <w:ind w:firstLine="496" w:firstLineChars="200"/>
        <w:jc w:val="left"/>
        <w:rPr>
          <w:rFonts w:hint="eastAsia" w:ascii="宋体" w:hAnsi="宋体" w:cs="宋体"/>
          <w:sz w:val="24"/>
          <w:szCs w:val="24"/>
          <w:lang w:val="zh-CN"/>
        </w:rPr>
      </w:pPr>
      <w:r>
        <w:rPr>
          <w:rFonts w:hint="eastAsia" w:ascii="宋体" w:hAnsi="宋体" w:cs="宋体"/>
          <w:sz w:val="24"/>
          <w:szCs w:val="24"/>
          <w:lang w:val="zh-CN"/>
        </w:rPr>
        <w:t>1.1.3 我单位被</w:t>
      </w:r>
      <w:r>
        <w:rPr>
          <w:rFonts w:hint="eastAsia" w:ascii="宋体" w:hAnsi="宋体" w:cs="宋体"/>
          <w:sz w:val="24"/>
          <w:szCs w:val="24"/>
          <w:u w:val="single"/>
          <w:lang w:val="zh-CN"/>
        </w:rPr>
        <w:t xml:space="preserve">      （单位或自然人）        </w:t>
      </w:r>
      <w:r>
        <w:rPr>
          <w:rFonts w:hint="eastAsia" w:ascii="宋体" w:hAnsi="宋体" w:cs="宋体"/>
          <w:sz w:val="24"/>
          <w:szCs w:val="24"/>
          <w:lang w:val="zh-CN"/>
        </w:rPr>
        <w:t>控股。</w:t>
      </w:r>
      <w:r>
        <w:rPr>
          <w:rFonts w:hint="eastAsia" w:ascii="宋体" w:hAnsi="宋体" w:cs="宋体"/>
          <w:sz w:val="24"/>
          <w:szCs w:val="24"/>
        </w:rPr>
        <w:t>(没有填“无”)</w:t>
      </w:r>
    </w:p>
    <w:p w14:paraId="27B313B3">
      <w:pPr>
        <w:autoSpaceDE w:val="0"/>
        <w:autoSpaceDN w:val="0"/>
        <w:adjustRightInd w:val="0"/>
        <w:snapToGrid w:val="0"/>
        <w:spacing w:line="360" w:lineRule="auto"/>
        <w:ind w:firstLine="496" w:firstLineChars="200"/>
        <w:jc w:val="left"/>
        <w:rPr>
          <w:rFonts w:hint="eastAsia" w:ascii="宋体" w:hAnsi="宋体" w:cs="宋体"/>
          <w:sz w:val="24"/>
          <w:szCs w:val="24"/>
          <w:lang w:val="zh-CN"/>
        </w:rPr>
      </w:pPr>
      <w:r>
        <w:rPr>
          <w:rFonts w:hint="eastAsia" w:ascii="宋体" w:hAnsi="宋体" w:cs="宋体"/>
          <w:sz w:val="24"/>
          <w:szCs w:val="24"/>
          <w:lang w:val="zh-CN"/>
        </w:rPr>
        <w:t>1.2.管理关系说明</w:t>
      </w:r>
    </w:p>
    <w:p w14:paraId="5D3AB843">
      <w:pPr>
        <w:autoSpaceDE w:val="0"/>
        <w:autoSpaceDN w:val="0"/>
        <w:adjustRightInd w:val="0"/>
        <w:snapToGrid w:val="0"/>
        <w:spacing w:line="360" w:lineRule="auto"/>
        <w:ind w:firstLine="496" w:firstLineChars="200"/>
        <w:jc w:val="left"/>
        <w:rPr>
          <w:rFonts w:hint="eastAsia" w:ascii="宋体" w:hAnsi="宋体" w:cs="宋体"/>
          <w:sz w:val="24"/>
          <w:szCs w:val="24"/>
          <w:lang w:val="zh-CN"/>
        </w:rPr>
      </w:pPr>
      <w:r>
        <w:rPr>
          <w:rFonts w:hint="eastAsia" w:ascii="宋体" w:hAnsi="宋体" w:cs="宋体"/>
          <w:sz w:val="24"/>
          <w:szCs w:val="24"/>
          <w:lang w:val="zh-CN"/>
        </w:rPr>
        <w:t>1.2.1 我单位管理的下属单位有</w:t>
      </w:r>
      <w:r>
        <w:rPr>
          <w:rFonts w:hint="eastAsia" w:ascii="宋体" w:hAnsi="宋体" w:cs="宋体"/>
          <w:sz w:val="24"/>
          <w:szCs w:val="24"/>
          <w:u w:val="single"/>
          <w:lang w:val="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60D853D8">
      <w:pPr>
        <w:autoSpaceDE w:val="0"/>
        <w:autoSpaceDN w:val="0"/>
        <w:adjustRightInd w:val="0"/>
        <w:snapToGrid w:val="0"/>
        <w:spacing w:line="360" w:lineRule="auto"/>
        <w:ind w:firstLine="496" w:firstLineChars="200"/>
        <w:jc w:val="left"/>
        <w:rPr>
          <w:rFonts w:hint="eastAsia" w:ascii="宋体" w:hAnsi="宋体" w:cs="宋体"/>
          <w:sz w:val="24"/>
          <w:szCs w:val="24"/>
          <w:lang w:val="zh-CN"/>
        </w:rPr>
      </w:pPr>
      <w:r>
        <w:rPr>
          <w:rFonts w:hint="eastAsia" w:ascii="宋体" w:hAnsi="宋体" w:cs="宋体"/>
          <w:sz w:val="24"/>
          <w:szCs w:val="24"/>
          <w:lang w:val="zh-CN"/>
        </w:rPr>
        <w:t>1.2.2 我单位的上级管理单位有</w:t>
      </w:r>
      <w:r>
        <w:rPr>
          <w:rFonts w:hint="eastAsia" w:ascii="宋体" w:hAnsi="宋体" w:cs="宋体"/>
          <w:sz w:val="24"/>
          <w:szCs w:val="24"/>
          <w:u w:val="single"/>
          <w:lang w:val="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73BCBA63">
      <w:pPr>
        <w:autoSpaceDE w:val="0"/>
        <w:autoSpaceDN w:val="0"/>
        <w:adjustRightInd w:val="0"/>
        <w:snapToGrid w:val="0"/>
        <w:spacing w:line="360" w:lineRule="auto"/>
        <w:ind w:firstLine="496" w:firstLineChars="200"/>
        <w:jc w:val="left"/>
        <w:rPr>
          <w:rFonts w:hint="eastAsia" w:ascii="宋体" w:hAnsi="宋体" w:cs="宋体"/>
          <w:sz w:val="24"/>
          <w:szCs w:val="24"/>
          <w:lang w:val="zh-CN"/>
        </w:rPr>
      </w:pPr>
      <w:r>
        <w:rPr>
          <w:rFonts w:hint="eastAsia" w:ascii="宋体" w:hAnsi="宋体" w:cs="宋体"/>
          <w:sz w:val="24"/>
          <w:szCs w:val="24"/>
          <w:lang w:val="zh-CN"/>
        </w:rPr>
        <w:t>2.我方与采购人不存在利害关系及其他可能影响招标公正性的情形。</w:t>
      </w:r>
    </w:p>
    <w:p w14:paraId="4AF8B5A2">
      <w:pPr>
        <w:autoSpaceDE w:val="0"/>
        <w:autoSpaceDN w:val="0"/>
        <w:adjustRightInd w:val="0"/>
        <w:snapToGrid w:val="0"/>
        <w:spacing w:line="360" w:lineRule="auto"/>
        <w:ind w:firstLine="496" w:firstLineChars="200"/>
        <w:jc w:val="left"/>
        <w:rPr>
          <w:rFonts w:hint="eastAsia" w:ascii="宋体" w:hAnsi="宋体" w:cs="宋体"/>
          <w:sz w:val="24"/>
          <w:szCs w:val="24"/>
          <w:lang w:val="zh-CN"/>
        </w:rPr>
      </w:pPr>
      <w:r>
        <w:rPr>
          <w:rFonts w:hint="eastAsia" w:ascii="宋体" w:hAnsi="宋体" w:cs="宋体"/>
          <w:sz w:val="24"/>
          <w:szCs w:val="24"/>
          <w:lang w:val="zh-CN"/>
        </w:rPr>
        <w:t>3.我</w:t>
      </w:r>
      <w:r>
        <w:rPr>
          <w:rFonts w:hint="eastAsia" w:ascii="宋体" w:hAnsi="宋体" w:cs="宋体"/>
          <w:sz w:val="24"/>
          <w:szCs w:val="24"/>
        </w:rPr>
        <w:t>单位</w:t>
      </w:r>
      <w:r>
        <w:rPr>
          <w:rFonts w:hint="eastAsia" w:ascii="宋体" w:hAnsi="宋体" w:cs="宋体"/>
          <w:sz w:val="24"/>
          <w:szCs w:val="24"/>
          <w:u w:val="single"/>
        </w:rPr>
        <w:t xml:space="preserve">         </w:t>
      </w:r>
      <w:r>
        <w:rPr>
          <w:rFonts w:hint="eastAsia" w:ascii="宋体" w:hAnsi="宋体" w:cs="宋体"/>
          <w:sz w:val="24"/>
          <w:szCs w:val="24"/>
        </w:rPr>
        <w:t>（是或否）</w:t>
      </w:r>
      <w:r>
        <w:rPr>
          <w:rFonts w:hint="eastAsia" w:ascii="宋体" w:hAnsi="宋体" w:cs="宋体"/>
          <w:sz w:val="24"/>
          <w:szCs w:val="24"/>
          <w:lang w:val="zh-CN"/>
        </w:rPr>
        <w:t>为</w:t>
      </w:r>
      <w:r>
        <w:rPr>
          <w:rFonts w:hint="eastAsia" w:ascii="宋体" w:hAnsi="宋体" w:cs="宋体"/>
          <w:sz w:val="24"/>
          <w:szCs w:val="24"/>
        </w:rPr>
        <w:t>本</w:t>
      </w:r>
      <w:r>
        <w:rPr>
          <w:rFonts w:hint="eastAsia" w:ascii="宋体" w:hAnsi="宋体" w:cs="宋体"/>
          <w:sz w:val="24"/>
          <w:szCs w:val="24"/>
          <w:lang w:val="zh-CN"/>
        </w:rPr>
        <w:t>采购项目提供整体设计、规范编制或者项目管理、监理、检测等服务</w:t>
      </w:r>
      <w:r>
        <w:rPr>
          <w:rFonts w:hint="eastAsia" w:ascii="宋体" w:hAnsi="宋体" w:cs="宋体"/>
          <w:sz w:val="24"/>
          <w:szCs w:val="24"/>
        </w:rPr>
        <w:t>的供应商</w:t>
      </w:r>
      <w:r>
        <w:rPr>
          <w:rFonts w:hint="eastAsia" w:ascii="宋体" w:hAnsi="宋体" w:cs="宋体"/>
          <w:sz w:val="24"/>
          <w:szCs w:val="24"/>
          <w:lang w:val="zh-CN"/>
        </w:rPr>
        <w:t>；</w:t>
      </w:r>
    </w:p>
    <w:p w14:paraId="35CA145A">
      <w:pPr>
        <w:autoSpaceDE w:val="0"/>
        <w:autoSpaceDN w:val="0"/>
        <w:adjustRightInd w:val="0"/>
        <w:snapToGrid w:val="0"/>
        <w:spacing w:line="360" w:lineRule="auto"/>
        <w:ind w:firstLine="496" w:firstLineChars="200"/>
        <w:jc w:val="left"/>
        <w:rPr>
          <w:rFonts w:hint="eastAsia" w:ascii="宋体" w:hAnsi="宋体" w:cs="宋体"/>
          <w:sz w:val="24"/>
          <w:szCs w:val="24"/>
          <w:lang w:val="zh-CN"/>
        </w:rPr>
      </w:pPr>
      <w:r>
        <w:rPr>
          <w:rFonts w:hint="eastAsia" w:ascii="宋体" w:hAnsi="宋体" w:cs="宋体"/>
          <w:sz w:val="24"/>
          <w:szCs w:val="24"/>
          <w:lang w:val="zh-CN"/>
        </w:rPr>
        <w:t>4.其他与本项目有关的利害关系说明：</w:t>
      </w:r>
      <w:r>
        <w:rPr>
          <w:rFonts w:hint="eastAsia" w:ascii="宋体" w:hAnsi="宋体" w:cs="宋体"/>
          <w:sz w:val="24"/>
          <w:szCs w:val="24"/>
          <w:u w:val="single"/>
          <w:lang w:val="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4F906E2C">
      <w:pPr>
        <w:autoSpaceDE w:val="0"/>
        <w:autoSpaceDN w:val="0"/>
        <w:adjustRightInd w:val="0"/>
        <w:snapToGrid w:val="0"/>
        <w:spacing w:line="360" w:lineRule="auto"/>
        <w:ind w:firstLine="3720" w:firstLineChars="1500"/>
        <w:jc w:val="left"/>
        <w:rPr>
          <w:rFonts w:hint="eastAsia" w:ascii="宋体" w:hAnsi="宋体" w:cs="宋体"/>
          <w:sz w:val="24"/>
          <w:szCs w:val="24"/>
          <w:lang w:val="zh-CN"/>
        </w:rPr>
      </w:pPr>
      <w:r>
        <w:rPr>
          <w:rFonts w:hint="eastAsia" w:ascii="宋体" w:hAnsi="宋体" w:cs="宋体"/>
          <w:sz w:val="24"/>
          <w:szCs w:val="24"/>
        </w:rPr>
        <w:t xml:space="preserve"> </w:t>
      </w:r>
    </w:p>
    <w:p w14:paraId="261D637E">
      <w:pPr>
        <w:autoSpaceDE w:val="0"/>
        <w:autoSpaceDN w:val="0"/>
        <w:adjustRightInd w:val="0"/>
        <w:snapToGrid w:val="0"/>
        <w:spacing w:line="360" w:lineRule="auto"/>
        <w:ind w:firstLine="496" w:firstLineChars="200"/>
        <w:jc w:val="left"/>
        <w:rPr>
          <w:rFonts w:hint="eastAsia" w:ascii="宋体" w:hAnsi="宋体" w:cs="宋体"/>
          <w:sz w:val="24"/>
          <w:szCs w:val="24"/>
          <w:lang w:val="zh-CN"/>
        </w:rPr>
      </w:pPr>
      <w:r>
        <w:rPr>
          <w:rFonts w:hint="eastAsia" w:ascii="宋体" w:hAnsi="宋体" w:cs="宋体"/>
          <w:sz w:val="24"/>
          <w:szCs w:val="24"/>
          <w:lang w:val="zh-CN"/>
        </w:rPr>
        <w:t>我方承诺以上说明真实有效，无虚假内容或隐瞒。</w:t>
      </w:r>
    </w:p>
    <w:p w14:paraId="62473C92">
      <w:pPr>
        <w:snapToGrid w:val="0"/>
        <w:spacing w:line="360" w:lineRule="auto"/>
        <w:ind w:firstLine="1984" w:firstLineChars="800"/>
        <w:rPr>
          <w:rFonts w:hint="eastAsia" w:ascii="宋体" w:hAnsi="宋体" w:cs="宋体"/>
          <w:sz w:val="24"/>
          <w:szCs w:val="24"/>
        </w:rPr>
      </w:pPr>
    </w:p>
    <w:p w14:paraId="403FA994">
      <w:pPr>
        <w:snapToGrid w:val="0"/>
        <w:spacing w:line="360" w:lineRule="auto"/>
        <w:rPr>
          <w:rFonts w:hint="eastAsia"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4AC5360">
      <w:pPr>
        <w:snapToGrid w:val="0"/>
        <w:spacing w:line="360" w:lineRule="auto"/>
        <w:rPr>
          <w:rFonts w:hint="eastAsia" w:ascii="宋体" w:hAnsi="宋体" w:cs="宋体"/>
          <w:sz w:val="24"/>
          <w:szCs w:val="24"/>
          <w:u w:val="single"/>
        </w:rPr>
      </w:pPr>
      <w:r>
        <w:rPr>
          <w:rFonts w:hint="eastAsia" w:ascii="宋体" w:hAnsi="宋体" w:cs="宋体"/>
          <w:sz w:val="24"/>
          <w:szCs w:val="24"/>
        </w:rPr>
        <w:t xml:space="preserve">法定代表人/授权代表（签字或盖章）： </w:t>
      </w:r>
      <w:r>
        <w:rPr>
          <w:rFonts w:hint="eastAsia" w:ascii="宋体" w:hAnsi="宋体" w:cs="宋体"/>
          <w:sz w:val="24"/>
          <w:szCs w:val="24"/>
          <w:u w:val="single"/>
        </w:rPr>
        <w:t xml:space="preserve">       </w:t>
      </w:r>
      <w:r>
        <w:rPr>
          <w:rFonts w:hint="eastAsia" w:ascii="宋体" w:hAnsi="宋体" w:cs="宋体"/>
          <w:sz w:val="24"/>
          <w:szCs w:val="24"/>
        </w:rPr>
        <w:t xml:space="preserve"> </w:t>
      </w:r>
    </w:p>
    <w:p w14:paraId="6EEDB465">
      <w:pPr>
        <w:snapToGrid w:val="0"/>
        <w:spacing w:line="360" w:lineRule="auto"/>
        <w:rPr>
          <w:rFonts w:hint="eastAsia" w:ascii="宋体" w:hAnsi="宋体" w:cs="宋体"/>
          <w:sz w:val="24"/>
          <w:szCs w:val="24"/>
          <w:u w:val="single"/>
        </w:rPr>
      </w:pPr>
      <w:r>
        <w:rPr>
          <w:rFonts w:hint="eastAsia" w:ascii="宋体" w:hAnsi="宋体" w:cs="宋体"/>
          <w:sz w:val="24"/>
          <w:szCs w:val="24"/>
        </w:rPr>
        <w:t>日    期：</w:t>
      </w:r>
    </w:p>
    <w:p w14:paraId="71E27F0B">
      <w:pPr>
        <w:bidi w:val="0"/>
        <w:rPr>
          <w:rFonts w:hint="eastAsia" w:ascii="宋体" w:hAnsi="宋体" w:cs="宋体"/>
          <w:sz w:val="24"/>
          <w:szCs w:val="24"/>
          <w:u w:val="single"/>
        </w:rPr>
      </w:pPr>
    </w:p>
    <w:p w14:paraId="1D14CCCB">
      <w:pPr>
        <w:bidi w:val="0"/>
        <w:rPr>
          <w:rFonts w:hint="eastAsia" w:ascii="宋体" w:hAnsi="宋体" w:cs="宋体"/>
          <w:sz w:val="24"/>
          <w:szCs w:val="24"/>
          <w:u w:val="single"/>
        </w:rPr>
      </w:pPr>
    </w:p>
    <w:p w14:paraId="420E3E93">
      <w:pPr>
        <w:bidi w:val="0"/>
        <w:rPr>
          <w:rFonts w:hint="eastAsia" w:ascii="宋体" w:hAnsi="宋体" w:cs="宋体"/>
          <w:sz w:val="24"/>
          <w:szCs w:val="24"/>
          <w:u w:val="single"/>
        </w:rPr>
      </w:pPr>
    </w:p>
    <w:p w14:paraId="18E79A57">
      <w:pPr>
        <w:bidi w:val="0"/>
        <w:rPr>
          <w:rFonts w:hint="eastAsia" w:ascii="宋体" w:hAnsi="宋体" w:cs="宋体"/>
          <w:sz w:val="24"/>
          <w:szCs w:val="24"/>
          <w:u w:val="single"/>
        </w:rPr>
      </w:pPr>
    </w:p>
    <w:p w14:paraId="5D06C35D">
      <w:pPr>
        <w:bidi w:val="0"/>
        <w:rPr>
          <w:rFonts w:hint="eastAsia" w:ascii="宋体" w:hAnsi="宋体" w:cs="宋体"/>
          <w:sz w:val="24"/>
          <w:szCs w:val="24"/>
          <w:u w:val="single"/>
        </w:rPr>
      </w:pPr>
    </w:p>
    <w:p w14:paraId="08EEEE3C">
      <w:pPr>
        <w:bidi w:val="0"/>
        <w:rPr>
          <w:rFonts w:hint="eastAsia" w:ascii="宋体" w:hAnsi="宋体" w:eastAsia="宋体" w:cs="宋体"/>
          <w:sz w:val="24"/>
          <w:szCs w:val="24"/>
          <w:u w:val="single"/>
          <w:lang w:val="en-US" w:eastAsia="zh-CN"/>
        </w:rPr>
      </w:pPr>
      <w:r>
        <w:rPr>
          <w:rFonts w:hint="eastAsia" w:ascii="宋体" w:hAnsi="宋体" w:cs="宋体"/>
          <w:b/>
          <w:sz w:val="24"/>
          <w:szCs w:val="24"/>
        </w:rPr>
        <w:t>附件</w:t>
      </w:r>
      <w:r>
        <w:rPr>
          <w:rFonts w:hint="eastAsia" w:ascii="宋体" w:hAnsi="宋体" w:cs="宋体"/>
          <w:b/>
          <w:sz w:val="24"/>
          <w:szCs w:val="24"/>
          <w:lang w:val="en-US" w:eastAsia="zh-CN"/>
        </w:rPr>
        <w:t>6</w:t>
      </w:r>
    </w:p>
    <w:p w14:paraId="0E9B9CE3">
      <w:pPr>
        <w:bidi w:val="0"/>
        <w:rPr>
          <w:rFonts w:hint="eastAsia" w:ascii="宋体" w:hAnsi="宋体" w:cs="宋体"/>
          <w:sz w:val="24"/>
          <w:szCs w:val="24"/>
          <w:u w:val="single"/>
        </w:rPr>
      </w:pPr>
    </w:p>
    <w:p w14:paraId="66B3FF41">
      <w:pPr>
        <w:bidi w:val="0"/>
        <w:ind w:left="0" w:leftChars="0" w:right="0" w:rightChars="0" w:firstLine="0" w:firstLineChars="0"/>
        <w:jc w:val="center"/>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非联合体承诺书</w:t>
      </w:r>
    </w:p>
    <w:p w14:paraId="6AD6A444">
      <w:pPr>
        <w:spacing w:line="520" w:lineRule="exact"/>
        <w:rPr>
          <w:rFonts w:hint="eastAsia" w:ascii="宋体" w:hAnsi="宋体" w:eastAsia="宋体" w:cs="宋体"/>
          <w:spacing w:val="4"/>
          <w:sz w:val="24"/>
          <w:highlight w:val="none"/>
          <w:u w:val="single"/>
        </w:rPr>
      </w:pPr>
      <w:r>
        <w:rPr>
          <w:rFonts w:hint="eastAsia" w:ascii="宋体" w:hAnsi="宋体" w:eastAsia="宋体" w:cs="宋体"/>
          <w:spacing w:val="4"/>
          <w:sz w:val="24"/>
          <w:highlight w:val="none"/>
          <w:u w:val="none"/>
        </w:rPr>
        <w:t>致：</w:t>
      </w:r>
      <w:r>
        <w:rPr>
          <w:rFonts w:hint="eastAsia" w:ascii="宋体" w:hAnsi="宋体" w:eastAsia="宋体" w:cs="宋体"/>
          <w:spacing w:val="4"/>
          <w:sz w:val="24"/>
          <w:highlight w:val="none"/>
          <w:u w:val="single"/>
        </w:rPr>
        <w:t xml:space="preserve">     （采购人名称）    ：</w:t>
      </w:r>
    </w:p>
    <w:p w14:paraId="7F90355D">
      <w:pPr>
        <w:keepNext w:val="0"/>
        <w:keepLines w:val="0"/>
        <w:pageBreakBefore w:val="0"/>
        <w:widowControl/>
        <w:suppressLineNumbers w:val="0"/>
        <w:kinsoku/>
        <w:wordWrap/>
        <w:overflowPunct/>
        <w:topLinePunct w:val="0"/>
        <w:autoSpaceDE/>
        <w:autoSpaceDN/>
        <w:bidi w:val="0"/>
        <w:adjustRightInd/>
        <w:snapToGrid/>
        <w:ind w:firstLine="496"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我公司</w:t>
      </w:r>
      <w:r>
        <w:rPr>
          <w:rFonts w:hint="eastAsia" w:ascii="宋体" w:hAnsi="宋体" w:eastAsia="宋体" w:cs="宋体"/>
          <w:color w:val="000000"/>
          <w:kern w:val="0"/>
          <w:sz w:val="24"/>
          <w:szCs w:val="24"/>
          <w:highlight w:val="none"/>
          <w:u w:val="single"/>
          <w:lang w:val="en-US" w:eastAsia="zh-CN" w:bidi="ar"/>
        </w:rPr>
        <w:t xml:space="preserve"> （供应商名称），</w:t>
      </w:r>
      <w:r>
        <w:rPr>
          <w:rFonts w:hint="eastAsia" w:ascii="宋体" w:hAnsi="宋体" w:eastAsia="宋体" w:cs="宋体"/>
          <w:color w:val="000000"/>
          <w:kern w:val="0"/>
          <w:sz w:val="24"/>
          <w:szCs w:val="24"/>
          <w:highlight w:val="none"/>
          <w:lang w:val="en-US" w:eastAsia="zh-CN" w:bidi="ar"/>
        </w:rPr>
        <w:t>就参加</w:t>
      </w:r>
      <w:r>
        <w:rPr>
          <w:rFonts w:hint="eastAsia" w:ascii="宋体" w:hAnsi="宋体" w:eastAsia="宋体" w:cs="宋体"/>
          <w:color w:val="000000"/>
          <w:kern w:val="0"/>
          <w:sz w:val="24"/>
          <w:szCs w:val="24"/>
          <w:highlight w:val="none"/>
          <w:u w:val="single"/>
          <w:lang w:val="en-US" w:eastAsia="zh-CN" w:bidi="ar"/>
        </w:rPr>
        <w:t xml:space="preserve"> 项目名称（项目编号： ）</w:t>
      </w:r>
      <w:r>
        <w:rPr>
          <w:rFonts w:hint="eastAsia" w:ascii="宋体" w:hAnsi="宋体" w:cs="宋体"/>
          <w:color w:val="000000"/>
          <w:kern w:val="0"/>
          <w:sz w:val="24"/>
          <w:szCs w:val="24"/>
          <w:highlight w:val="none"/>
          <w:lang w:val="en-US" w:eastAsia="zh-CN" w:bidi="ar"/>
        </w:rPr>
        <w:t>开标</w:t>
      </w:r>
      <w:r>
        <w:rPr>
          <w:rFonts w:hint="eastAsia" w:ascii="宋体" w:hAnsi="宋体" w:eastAsia="宋体" w:cs="宋体"/>
          <w:color w:val="000000"/>
          <w:kern w:val="0"/>
          <w:sz w:val="24"/>
          <w:szCs w:val="24"/>
          <w:highlight w:val="none"/>
          <w:lang w:val="en-US" w:eastAsia="zh-CN" w:bidi="ar"/>
        </w:rPr>
        <w:t xml:space="preserve">事宜，在此郑重承诺： </w:t>
      </w:r>
    </w:p>
    <w:p w14:paraId="2639855C">
      <w:pPr>
        <w:ind w:firstLine="496" w:firstLineChars="200"/>
        <w:rPr>
          <w:rFonts w:hint="eastAsia" w:ascii="宋体" w:hAnsi="宋体" w:eastAsia="宋体" w:cs="宋体"/>
          <w:highlight w:val="none"/>
          <w:lang w:val="en-US" w:eastAsia="zh-CN"/>
        </w:rPr>
      </w:pPr>
      <w:r>
        <w:rPr>
          <w:rFonts w:hint="eastAsia" w:ascii="宋体" w:hAnsi="宋体" w:eastAsia="宋体" w:cs="宋体"/>
          <w:highlight w:val="none"/>
          <w:lang w:val="en-US" w:eastAsia="zh-CN"/>
        </w:rPr>
        <w:t>我公司非联合体</w:t>
      </w:r>
      <w:r>
        <w:rPr>
          <w:rFonts w:hint="eastAsia" w:ascii="宋体" w:hAnsi="宋体" w:cs="宋体"/>
          <w:highlight w:val="none"/>
          <w:lang w:val="en-US" w:eastAsia="zh-CN"/>
        </w:rPr>
        <w:t>投标</w:t>
      </w:r>
    </w:p>
    <w:p w14:paraId="22DD1B6A">
      <w:pPr>
        <w:keepNext w:val="0"/>
        <w:keepLines w:val="0"/>
        <w:pageBreakBefore w:val="0"/>
        <w:widowControl/>
        <w:suppressLineNumbers w:val="0"/>
        <w:kinsoku/>
        <w:wordWrap/>
        <w:overflowPunct/>
        <w:topLinePunct w:val="0"/>
        <w:autoSpaceDE/>
        <w:autoSpaceDN/>
        <w:bidi w:val="0"/>
        <w:adjustRightInd/>
        <w:snapToGrid/>
        <w:ind w:firstLine="496"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我公司承诺以上</w:t>
      </w:r>
      <w:r>
        <w:rPr>
          <w:rFonts w:hint="eastAsia" w:ascii="宋体" w:hAnsi="宋体" w:cs="宋体"/>
          <w:color w:val="000000"/>
          <w:kern w:val="0"/>
          <w:sz w:val="24"/>
          <w:szCs w:val="24"/>
          <w:highlight w:val="none"/>
          <w:lang w:val="en-US" w:eastAsia="zh-CN" w:bidi="ar"/>
        </w:rPr>
        <w:t>内容</w:t>
      </w:r>
      <w:r>
        <w:rPr>
          <w:rFonts w:hint="eastAsia" w:ascii="宋体" w:hAnsi="宋体" w:eastAsia="宋体" w:cs="宋体"/>
          <w:color w:val="000000"/>
          <w:kern w:val="0"/>
          <w:sz w:val="24"/>
          <w:szCs w:val="24"/>
          <w:highlight w:val="none"/>
          <w:lang w:val="en-US" w:eastAsia="zh-CN" w:bidi="ar"/>
        </w:rPr>
        <w:t>真实有效，无虚假或隐瞒。</w:t>
      </w:r>
    </w:p>
    <w:p w14:paraId="049900B8">
      <w:pPr>
        <w:keepNext w:val="0"/>
        <w:keepLines w:val="0"/>
        <w:pageBreakBefore w:val="0"/>
        <w:widowControl/>
        <w:suppressLineNumbers w:val="0"/>
        <w:kinsoku/>
        <w:wordWrap/>
        <w:overflowPunct/>
        <w:topLinePunct w:val="0"/>
        <w:autoSpaceDE/>
        <w:autoSpaceDN/>
        <w:bidi w:val="0"/>
        <w:adjustRightInd/>
        <w:snapToGrid/>
        <w:ind w:firstLine="496" w:firstLineChars="200"/>
        <w:jc w:val="left"/>
        <w:textAlignment w:val="auto"/>
        <w:rPr>
          <w:rFonts w:hint="eastAsia" w:ascii="宋体" w:hAnsi="宋体" w:eastAsia="宋体" w:cs="宋体"/>
          <w:color w:val="000000"/>
          <w:kern w:val="0"/>
          <w:sz w:val="24"/>
          <w:szCs w:val="24"/>
          <w:highlight w:val="none"/>
          <w:lang w:val="en-US" w:eastAsia="zh-CN" w:bidi="ar"/>
        </w:rPr>
      </w:pPr>
    </w:p>
    <w:p w14:paraId="4F2A73B2">
      <w:pPr>
        <w:snapToGrid w:val="0"/>
        <w:spacing w:line="360" w:lineRule="auto"/>
        <w:rPr>
          <w:rFonts w:hint="eastAsia"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1F014DC1">
      <w:pPr>
        <w:snapToGrid w:val="0"/>
        <w:spacing w:line="360" w:lineRule="auto"/>
        <w:rPr>
          <w:rFonts w:hint="eastAsia" w:ascii="宋体" w:hAnsi="宋体" w:cs="宋体"/>
          <w:sz w:val="24"/>
          <w:szCs w:val="24"/>
          <w:u w:val="single"/>
        </w:rPr>
      </w:pPr>
      <w:r>
        <w:rPr>
          <w:rFonts w:hint="eastAsia" w:ascii="宋体" w:hAnsi="宋体" w:cs="宋体"/>
          <w:sz w:val="24"/>
          <w:szCs w:val="24"/>
        </w:rPr>
        <w:t xml:space="preserve">法定代表人/授权代表（签字或盖章）： </w:t>
      </w:r>
      <w:r>
        <w:rPr>
          <w:rFonts w:hint="eastAsia" w:ascii="宋体" w:hAnsi="宋体" w:cs="宋体"/>
          <w:sz w:val="24"/>
          <w:szCs w:val="24"/>
          <w:u w:val="single"/>
        </w:rPr>
        <w:t xml:space="preserve">       </w:t>
      </w:r>
      <w:r>
        <w:rPr>
          <w:rFonts w:hint="eastAsia" w:ascii="宋体" w:hAnsi="宋体" w:cs="宋体"/>
          <w:sz w:val="24"/>
          <w:szCs w:val="24"/>
        </w:rPr>
        <w:t xml:space="preserve"> </w:t>
      </w:r>
    </w:p>
    <w:p w14:paraId="314FF8B0">
      <w:pPr>
        <w:snapToGrid w:val="0"/>
        <w:spacing w:line="360" w:lineRule="auto"/>
        <w:rPr>
          <w:rFonts w:hint="eastAsia" w:ascii="宋体" w:hAnsi="宋体" w:cs="宋体"/>
          <w:sz w:val="24"/>
          <w:szCs w:val="24"/>
          <w:u w:val="single"/>
        </w:rPr>
      </w:pPr>
      <w:r>
        <w:rPr>
          <w:rFonts w:hint="eastAsia" w:ascii="宋体" w:hAnsi="宋体" w:cs="宋体"/>
          <w:sz w:val="24"/>
          <w:szCs w:val="24"/>
        </w:rPr>
        <w:t>日    期：</w:t>
      </w:r>
    </w:p>
    <w:p w14:paraId="6223C00E">
      <w:pPr>
        <w:bidi w:val="0"/>
        <w:rPr>
          <w:rFonts w:hint="eastAsia" w:ascii="宋体" w:hAnsi="宋体" w:cs="宋体"/>
          <w:sz w:val="24"/>
          <w:szCs w:val="24"/>
          <w:u w:val="single"/>
        </w:rPr>
      </w:pPr>
    </w:p>
    <w:p w14:paraId="2FC43A6E">
      <w:pPr>
        <w:bidi w:val="0"/>
        <w:rPr>
          <w:rFonts w:hint="eastAsia"/>
        </w:rPr>
      </w:pPr>
      <w:r>
        <w:rPr>
          <w:rFonts w:hint="eastAsia" w:ascii="宋体" w:hAnsi="宋体" w:cs="宋体"/>
          <w:sz w:val="24"/>
          <w:szCs w:val="24"/>
          <w:u w:val="single"/>
        </w:rPr>
        <w:br w:type="page"/>
      </w:r>
    </w:p>
    <w:p w14:paraId="2EEBC89C">
      <w:pPr>
        <w:pStyle w:val="108"/>
        <w:spacing w:before="197" w:after="197"/>
        <w:ind w:firstLine="659"/>
        <w:jc w:val="center"/>
        <w:rPr>
          <w:rFonts w:hint="eastAsia" w:ascii="宋体" w:hAnsi="宋体" w:eastAsia="宋体" w:cs="宋体"/>
          <w:b/>
          <w:bCs w:val="0"/>
          <w:color w:val="000000" w:themeColor="text1"/>
          <w:sz w:val="36"/>
          <w:szCs w:val="32"/>
          <w:highlight w:val="none"/>
          <w:lang w:val="en-US" w:eastAsia="zh-CN" w:bidi="ar-SA"/>
          <w14:textFill>
            <w14:solidFill>
              <w14:schemeClr w14:val="tx1"/>
            </w14:solidFill>
          </w14:textFill>
        </w:rPr>
      </w:pPr>
      <w:r>
        <w:rPr>
          <w:rFonts w:hint="eastAsia" w:ascii="宋体" w:hAnsi="宋体" w:eastAsia="宋体" w:cs="宋体"/>
          <w:b/>
          <w:bCs w:val="0"/>
          <w:color w:val="000000" w:themeColor="text1"/>
          <w:sz w:val="36"/>
          <w:szCs w:val="32"/>
          <w:highlight w:val="none"/>
          <w:lang w:val="en-US" w:eastAsia="zh-CN" w:bidi="ar-SA"/>
          <w14:textFill>
            <w14:solidFill>
              <w14:schemeClr w14:val="tx1"/>
            </w14:solidFill>
          </w14:textFill>
        </w:rPr>
        <w:t>第四部分  供应商概况</w:t>
      </w:r>
      <w:bookmarkEnd w:id="339"/>
      <w:bookmarkEnd w:id="340"/>
    </w:p>
    <w:tbl>
      <w:tblPr>
        <w:tblStyle w:val="100"/>
        <w:tblW w:w="88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2"/>
        <w:gridCol w:w="992"/>
        <w:gridCol w:w="1424"/>
        <w:gridCol w:w="1411"/>
        <w:gridCol w:w="1464"/>
        <w:gridCol w:w="1465"/>
      </w:tblGrid>
      <w:tr w14:paraId="1F1F9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68" w:type="dxa"/>
            <w:gridSpan w:val="6"/>
          </w:tcPr>
          <w:p w14:paraId="4EA1D84A">
            <w:pPr>
              <w:ind w:firstLine="0"/>
              <w:jc w:val="both"/>
              <w:rPr>
                <w:rFonts w:ascii="宋体" w:hAnsi="宋体" w:eastAsia="宋体" w:cs="宋体"/>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单位基本情况</w:t>
            </w:r>
          </w:p>
        </w:tc>
      </w:tr>
      <w:tr w14:paraId="12732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2" w:type="dxa"/>
          </w:tcPr>
          <w:p w14:paraId="34787142">
            <w:pPr>
              <w:ind w:firstLine="0"/>
              <w:jc w:val="both"/>
              <w:rPr>
                <w:rFonts w:ascii="宋体" w:hAnsi="宋体" w:eastAsia="宋体" w:cs="宋体"/>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供应商全称</w:t>
            </w:r>
          </w:p>
        </w:tc>
        <w:tc>
          <w:tcPr>
            <w:tcW w:w="6756" w:type="dxa"/>
            <w:gridSpan w:val="5"/>
          </w:tcPr>
          <w:p w14:paraId="7DD471A3">
            <w:pPr>
              <w:ind w:firstLine="0"/>
              <w:jc w:val="both"/>
              <w:rPr>
                <w:rFonts w:ascii="宋体" w:hAnsi="宋体" w:eastAsia="宋体" w:cs="宋体"/>
                <w:color w:val="000000" w:themeColor="text1"/>
                <w:kern w:val="2"/>
                <w:sz w:val="24"/>
                <w:szCs w:val="24"/>
                <w:highlight w:val="none"/>
                <w14:textFill>
                  <w14:solidFill>
                    <w14:schemeClr w14:val="tx1"/>
                  </w14:solidFill>
                </w14:textFill>
              </w:rPr>
            </w:pPr>
          </w:p>
        </w:tc>
      </w:tr>
      <w:tr w14:paraId="70608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2" w:type="dxa"/>
          </w:tcPr>
          <w:p w14:paraId="6EA777F5">
            <w:pPr>
              <w:ind w:firstLine="0"/>
              <w:jc w:val="both"/>
              <w:rPr>
                <w:rFonts w:ascii="宋体" w:hAnsi="宋体" w:eastAsia="宋体" w:cs="宋体"/>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注册地址</w:t>
            </w:r>
          </w:p>
        </w:tc>
        <w:tc>
          <w:tcPr>
            <w:tcW w:w="2416" w:type="dxa"/>
            <w:gridSpan w:val="2"/>
          </w:tcPr>
          <w:p w14:paraId="2132D52F">
            <w:pPr>
              <w:ind w:firstLine="0"/>
              <w:jc w:val="both"/>
              <w:rPr>
                <w:rFonts w:ascii="宋体" w:hAnsi="宋体" w:eastAsia="宋体" w:cs="宋体"/>
                <w:color w:val="000000" w:themeColor="text1"/>
                <w:kern w:val="2"/>
                <w:sz w:val="24"/>
                <w:szCs w:val="24"/>
                <w:highlight w:val="none"/>
                <w14:textFill>
                  <w14:solidFill>
                    <w14:schemeClr w14:val="tx1"/>
                  </w14:solidFill>
                </w14:textFill>
              </w:rPr>
            </w:pPr>
          </w:p>
        </w:tc>
        <w:tc>
          <w:tcPr>
            <w:tcW w:w="1411" w:type="dxa"/>
          </w:tcPr>
          <w:p w14:paraId="4D78774C">
            <w:pPr>
              <w:ind w:firstLine="0"/>
              <w:jc w:val="both"/>
              <w:rPr>
                <w:rFonts w:ascii="宋体" w:hAnsi="宋体" w:eastAsia="宋体" w:cs="宋体"/>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成立时间</w:t>
            </w:r>
          </w:p>
        </w:tc>
        <w:tc>
          <w:tcPr>
            <w:tcW w:w="2929" w:type="dxa"/>
            <w:gridSpan w:val="2"/>
          </w:tcPr>
          <w:p w14:paraId="2E19EBF6">
            <w:pPr>
              <w:ind w:firstLine="0"/>
              <w:jc w:val="both"/>
              <w:rPr>
                <w:rFonts w:ascii="宋体" w:hAnsi="宋体" w:eastAsia="宋体" w:cs="宋体"/>
                <w:color w:val="000000" w:themeColor="text1"/>
                <w:kern w:val="2"/>
                <w:sz w:val="24"/>
                <w:szCs w:val="24"/>
                <w:highlight w:val="none"/>
                <w14:textFill>
                  <w14:solidFill>
                    <w14:schemeClr w14:val="tx1"/>
                  </w14:solidFill>
                </w14:textFill>
              </w:rPr>
            </w:pPr>
          </w:p>
        </w:tc>
      </w:tr>
      <w:tr w14:paraId="2DEE1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2" w:type="dxa"/>
          </w:tcPr>
          <w:p w14:paraId="0045C210">
            <w:pPr>
              <w:ind w:firstLine="0"/>
              <w:jc w:val="both"/>
              <w:rPr>
                <w:rFonts w:ascii="宋体" w:hAnsi="宋体" w:eastAsia="宋体" w:cs="宋体"/>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统一社会信用代码</w:t>
            </w:r>
          </w:p>
        </w:tc>
        <w:tc>
          <w:tcPr>
            <w:tcW w:w="2416" w:type="dxa"/>
            <w:gridSpan w:val="2"/>
          </w:tcPr>
          <w:p w14:paraId="77D5F389">
            <w:pPr>
              <w:ind w:firstLine="0"/>
              <w:jc w:val="both"/>
              <w:rPr>
                <w:rFonts w:ascii="宋体" w:hAnsi="宋体" w:eastAsia="宋体" w:cs="宋体"/>
                <w:color w:val="000000" w:themeColor="text1"/>
                <w:kern w:val="2"/>
                <w:sz w:val="24"/>
                <w:szCs w:val="24"/>
                <w:highlight w:val="none"/>
                <w14:textFill>
                  <w14:solidFill>
                    <w14:schemeClr w14:val="tx1"/>
                  </w14:solidFill>
                </w14:textFill>
              </w:rPr>
            </w:pPr>
          </w:p>
        </w:tc>
        <w:tc>
          <w:tcPr>
            <w:tcW w:w="1411" w:type="dxa"/>
          </w:tcPr>
          <w:p w14:paraId="5A303168">
            <w:pPr>
              <w:ind w:firstLine="0"/>
              <w:jc w:val="both"/>
              <w:rPr>
                <w:rFonts w:ascii="宋体" w:hAnsi="宋体" w:eastAsia="宋体" w:cs="宋体"/>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单位性质</w:t>
            </w:r>
          </w:p>
        </w:tc>
        <w:tc>
          <w:tcPr>
            <w:tcW w:w="2929" w:type="dxa"/>
            <w:gridSpan w:val="2"/>
          </w:tcPr>
          <w:p w14:paraId="1A9C9F89">
            <w:pPr>
              <w:ind w:firstLine="0"/>
              <w:jc w:val="both"/>
              <w:rPr>
                <w:rFonts w:ascii="宋体" w:hAnsi="宋体" w:eastAsia="宋体" w:cs="宋体"/>
                <w:color w:val="000000" w:themeColor="text1"/>
                <w:kern w:val="2"/>
                <w:sz w:val="24"/>
                <w:szCs w:val="24"/>
                <w:highlight w:val="none"/>
                <w14:textFill>
                  <w14:solidFill>
                    <w14:schemeClr w14:val="tx1"/>
                  </w14:solidFill>
                </w14:textFill>
              </w:rPr>
            </w:pPr>
          </w:p>
        </w:tc>
      </w:tr>
      <w:tr w14:paraId="2B625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2" w:type="dxa"/>
          </w:tcPr>
          <w:p w14:paraId="67C88EB2">
            <w:pPr>
              <w:ind w:firstLine="0"/>
              <w:jc w:val="both"/>
              <w:rPr>
                <w:rFonts w:ascii="宋体" w:hAnsi="宋体" w:eastAsia="宋体" w:cs="宋体"/>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法定代表人</w:t>
            </w:r>
          </w:p>
          <w:p w14:paraId="2DAC57FA">
            <w:pPr>
              <w:ind w:firstLine="0"/>
              <w:jc w:val="both"/>
              <w:rPr>
                <w:rFonts w:ascii="宋体" w:hAnsi="宋体" w:eastAsia="宋体" w:cs="宋体"/>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（主要负责人）</w:t>
            </w:r>
          </w:p>
        </w:tc>
        <w:tc>
          <w:tcPr>
            <w:tcW w:w="2416" w:type="dxa"/>
            <w:gridSpan w:val="2"/>
          </w:tcPr>
          <w:p w14:paraId="2BEC9C89">
            <w:pPr>
              <w:ind w:firstLine="0"/>
              <w:jc w:val="both"/>
              <w:rPr>
                <w:rFonts w:ascii="宋体" w:hAnsi="宋体" w:eastAsia="宋体" w:cs="宋体"/>
                <w:color w:val="000000" w:themeColor="text1"/>
                <w:kern w:val="2"/>
                <w:sz w:val="24"/>
                <w:szCs w:val="24"/>
                <w:highlight w:val="none"/>
                <w14:textFill>
                  <w14:solidFill>
                    <w14:schemeClr w14:val="tx1"/>
                  </w14:solidFill>
                </w14:textFill>
              </w:rPr>
            </w:pPr>
          </w:p>
        </w:tc>
        <w:tc>
          <w:tcPr>
            <w:tcW w:w="1411" w:type="dxa"/>
          </w:tcPr>
          <w:p w14:paraId="5568EB78">
            <w:pPr>
              <w:ind w:firstLine="0"/>
              <w:jc w:val="both"/>
              <w:rPr>
                <w:rFonts w:ascii="宋体" w:hAnsi="宋体" w:eastAsia="宋体" w:cs="宋体"/>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所属行业</w:t>
            </w:r>
          </w:p>
        </w:tc>
        <w:tc>
          <w:tcPr>
            <w:tcW w:w="2929" w:type="dxa"/>
            <w:gridSpan w:val="2"/>
          </w:tcPr>
          <w:p w14:paraId="2F0D3CA4">
            <w:pPr>
              <w:ind w:firstLine="0"/>
              <w:jc w:val="both"/>
              <w:rPr>
                <w:rFonts w:ascii="宋体" w:hAnsi="宋体" w:eastAsia="宋体" w:cs="宋体"/>
                <w:color w:val="000000" w:themeColor="text1"/>
                <w:kern w:val="2"/>
                <w:sz w:val="24"/>
                <w:szCs w:val="24"/>
                <w:highlight w:val="none"/>
                <w14:textFill>
                  <w14:solidFill>
                    <w14:schemeClr w14:val="tx1"/>
                  </w14:solidFill>
                </w14:textFill>
              </w:rPr>
            </w:pPr>
          </w:p>
        </w:tc>
      </w:tr>
      <w:tr w14:paraId="7A016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2" w:type="dxa"/>
          </w:tcPr>
          <w:p w14:paraId="23026199">
            <w:pPr>
              <w:ind w:firstLine="0"/>
              <w:jc w:val="both"/>
              <w:rPr>
                <w:rFonts w:ascii="宋体" w:hAnsi="宋体" w:eastAsia="宋体" w:cs="宋体"/>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基本存款账户</w:t>
            </w:r>
          </w:p>
          <w:p w14:paraId="7D065AB2">
            <w:pPr>
              <w:ind w:firstLine="0"/>
              <w:jc w:val="both"/>
              <w:rPr>
                <w:rFonts w:ascii="宋体" w:hAnsi="宋体" w:eastAsia="宋体" w:cs="宋体"/>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开户银行</w:t>
            </w:r>
          </w:p>
        </w:tc>
        <w:tc>
          <w:tcPr>
            <w:tcW w:w="2416" w:type="dxa"/>
            <w:gridSpan w:val="2"/>
          </w:tcPr>
          <w:p w14:paraId="37264B83">
            <w:pPr>
              <w:ind w:firstLine="0"/>
              <w:jc w:val="both"/>
              <w:rPr>
                <w:rFonts w:ascii="宋体" w:hAnsi="宋体" w:eastAsia="宋体" w:cs="宋体"/>
                <w:color w:val="000000" w:themeColor="text1"/>
                <w:kern w:val="2"/>
                <w:sz w:val="24"/>
                <w:szCs w:val="24"/>
                <w:highlight w:val="none"/>
                <w14:textFill>
                  <w14:solidFill>
                    <w14:schemeClr w14:val="tx1"/>
                  </w14:solidFill>
                </w14:textFill>
              </w:rPr>
            </w:pPr>
          </w:p>
        </w:tc>
        <w:tc>
          <w:tcPr>
            <w:tcW w:w="1411" w:type="dxa"/>
          </w:tcPr>
          <w:p w14:paraId="6CF52E87">
            <w:pPr>
              <w:ind w:firstLine="0"/>
              <w:jc w:val="both"/>
              <w:rPr>
                <w:rFonts w:ascii="宋体" w:hAnsi="宋体" w:eastAsia="宋体" w:cs="宋体"/>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基本存款</w:t>
            </w:r>
          </w:p>
          <w:p w14:paraId="4344FCF1">
            <w:pPr>
              <w:ind w:firstLine="0"/>
              <w:jc w:val="both"/>
              <w:rPr>
                <w:rFonts w:ascii="宋体" w:hAnsi="宋体" w:eastAsia="宋体" w:cs="宋体"/>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账户账号</w:t>
            </w:r>
          </w:p>
        </w:tc>
        <w:tc>
          <w:tcPr>
            <w:tcW w:w="2929" w:type="dxa"/>
            <w:gridSpan w:val="2"/>
          </w:tcPr>
          <w:p w14:paraId="7EB32AB0">
            <w:pPr>
              <w:ind w:firstLine="0"/>
              <w:jc w:val="both"/>
              <w:rPr>
                <w:rFonts w:ascii="宋体" w:hAnsi="宋体" w:eastAsia="宋体" w:cs="宋体"/>
                <w:color w:val="000000" w:themeColor="text1"/>
                <w:kern w:val="2"/>
                <w:sz w:val="24"/>
                <w:szCs w:val="24"/>
                <w:highlight w:val="none"/>
                <w14:textFill>
                  <w14:solidFill>
                    <w14:schemeClr w14:val="tx1"/>
                  </w14:solidFill>
                </w14:textFill>
              </w:rPr>
            </w:pPr>
          </w:p>
        </w:tc>
      </w:tr>
      <w:tr w14:paraId="1E62E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2" w:type="dxa"/>
          </w:tcPr>
          <w:p w14:paraId="09207A2A">
            <w:pPr>
              <w:ind w:firstLine="0"/>
              <w:jc w:val="both"/>
              <w:rPr>
                <w:rFonts w:ascii="宋体" w:hAnsi="宋体" w:eastAsia="宋体" w:cs="宋体"/>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上年度</w:t>
            </w:r>
          </w:p>
          <w:p w14:paraId="0C534CC9">
            <w:pPr>
              <w:ind w:firstLine="0"/>
              <w:jc w:val="both"/>
              <w:rPr>
                <w:rFonts w:ascii="宋体" w:hAnsi="宋体" w:eastAsia="宋体" w:cs="宋体"/>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营业收入*</w:t>
            </w:r>
          </w:p>
        </w:tc>
        <w:tc>
          <w:tcPr>
            <w:tcW w:w="2416" w:type="dxa"/>
            <w:gridSpan w:val="2"/>
          </w:tcPr>
          <w:p w14:paraId="625C8FAE">
            <w:pPr>
              <w:ind w:firstLine="0"/>
              <w:jc w:val="both"/>
              <w:rPr>
                <w:rFonts w:ascii="宋体" w:hAnsi="宋体" w:eastAsia="宋体" w:cs="宋体"/>
                <w:color w:val="000000" w:themeColor="text1"/>
                <w:kern w:val="2"/>
                <w:sz w:val="24"/>
                <w:szCs w:val="24"/>
                <w:highlight w:val="none"/>
                <w14:textFill>
                  <w14:solidFill>
                    <w14:schemeClr w14:val="tx1"/>
                  </w14:solidFill>
                </w14:textFill>
              </w:rPr>
            </w:pPr>
          </w:p>
        </w:tc>
        <w:tc>
          <w:tcPr>
            <w:tcW w:w="1411" w:type="dxa"/>
          </w:tcPr>
          <w:p w14:paraId="2AC070EB">
            <w:pPr>
              <w:ind w:firstLine="0"/>
              <w:jc w:val="both"/>
              <w:rPr>
                <w:rFonts w:ascii="宋体" w:hAnsi="宋体" w:eastAsia="宋体" w:cs="宋体"/>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资产总额</w:t>
            </w:r>
          </w:p>
        </w:tc>
        <w:tc>
          <w:tcPr>
            <w:tcW w:w="2929" w:type="dxa"/>
            <w:gridSpan w:val="2"/>
          </w:tcPr>
          <w:p w14:paraId="2D2FADA5">
            <w:pPr>
              <w:ind w:firstLine="0"/>
              <w:jc w:val="both"/>
              <w:rPr>
                <w:rFonts w:ascii="宋体" w:hAnsi="宋体" w:eastAsia="宋体" w:cs="宋体"/>
                <w:color w:val="000000" w:themeColor="text1"/>
                <w:kern w:val="2"/>
                <w:sz w:val="24"/>
                <w:szCs w:val="24"/>
                <w:highlight w:val="none"/>
                <w14:textFill>
                  <w14:solidFill>
                    <w14:schemeClr w14:val="tx1"/>
                  </w14:solidFill>
                </w14:textFill>
              </w:rPr>
            </w:pPr>
          </w:p>
        </w:tc>
      </w:tr>
      <w:tr w14:paraId="40A24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2" w:type="dxa"/>
          </w:tcPr>
          <w:p w14:paraId="34EAAA62">
            <w:pPr>
              <w:ind w:firstLine="0"/>
              <w:jc w:val="both"/>
              <w:rPr>
                <w:rFonts w:ascii="宋体" w:hAnsi="宋体" w:eastAsia="宋体" w:cs="宋体"/>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经营范围</w:t>
            </w:r>
          </w:p>
        </w:tc>
        <w:tc>
          <w:tcPr>
            <w:tcW w:w="6756" w:type="dxa"/>
            <w:gridSpan w:val="5"/>
          </w:tcPr>
          <w:p w14:paraId="76F4973D">
            <w:pPr>
              <w:ind w:firstLine="0"/>
              <w:jc w:val="both"/>
              <w:rPr>
                <w:rFonts w:ascii="宋体" w:hAnsi="宋体" w:eastAsia="宋体" w:cs="宋体"/>
                <w:color w:val="000000" w:themeColor="text1"/>
                <w:kern w:val="2"/>
                <w:sz w:val="24"/>
                <w:szCs w:val="24"/>
                <w:highlight w:val="none"/>
                <w14:textFill>
                  <w14:solidFill>
                    <w14:schemeClr w14:val="tx1"/>
                  </w14:solidFill>
                </w14:textFill>
              </w:rPr>
            </w:pPr>
          </w:p>
        </w:tc>
      </w:tr>
      <w:tr w14:paraId="03467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2" w:type="dxa"/>
          </w:tcPr>
          <w:p w14:paraId="35D1CC89">
            <w:pPr>
              <w:ind w:firstLine="0"/>
              <w:jc w:val="both"/>
              <w:rPr>
                <w:rFonts w:ascii="宋体" w:hAnsi="宋体" w:eastAsia="宋体" w:cs="宋体"/>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资质证书名称</w:t>
            </w:r>
          </w:p>
        </w:tc>
        <w:tc>
          <w:tcPr>
            <w:tcW w:w="2416" w:type="dxa"/>
            <w:gridSpan w:val="2"/>
          </w:tcPr>
          <w:p w14:paraId="252BF126">
            <w:pPr>
              <w:ind w:firstLine="0"/>
              <w:jc w:val="both"/>
              <w:rPr>
                <w:rFonts w:ascii="宋体" w:hAnsi="宋体" w:eastAsia="宋体" w:cs="宋体"/>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证书号</w:t>
            </w:r>
          </w:p>
        </w:tc>
        <w:tc>
          <w:tcPr>
            <w:tcW w:w="1411" w:type="dxa"/>
          </w:tcPr>
          <w:p w14:paraId="6CF3D769">
            <w:pPr>
              <w:ind w:firstLine="0"/>
              <w:jc w:val="both"/>
              <w:rPr>
                <w:rFonts w:ascii="宋体" w:hAnsi="宋体" w:eastAsia="宋体" w:cs="宋体"/>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等级</w:t>
            </w:r>
          </w:p>
        </w:tc>
        <w:tc>
          <w:tcPr>
            <w:tcW w:w="2929" w:type="dxa"/>
            <w:gridSpan w:val="2"/>
          </w:tcPr>
          <w:p w14:paraId="49C9B4D2">
            <w:pPr>
              <w:ind w:firstLine="0"/>
              <w:jc w:val="both"/>
              <w:rPr>
                <w:rFonts w:ascii="宋体" w:hAnsi="宋体" w:eastAsia="宋体" w:cs="宋体"/>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类型</w:t>
            </w:r>
          </w:p>
        </w:tc>
      </w:tr>
      <w:tr w14:paraId="265BA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2" w:type="dxa"/>
          </w:tcPr>
          <w:p w14:paraId="538DE8AE">
            <w:pPr>
              <w:ind w:firstLine="0"/>
              <w:jc w:val="both"/>
              <w:rPr>
                <w:rFonts w:ascii="宋体" w:hAnsi="宋体" w:eastAsia="宋体" w:cs="宋体"/>
                <w:color w:val="000000" w:themeColor="text1"/>
                <w:kern w:val="2"/>
                <w:sz w:val="24"/>
                <w:szCs w:val="24"/>
                <w:highlight w:val="none"/>
                <w14:textFill>
                  <w14:solidFill>
                    <w14:schemeClr w14:val="tx1"/>
                  </w14:solidFill>
                </w14:textFill>
              </w:rPr>
            </w:pPr>
          </w:p>
        </w:tc>
        <w:tc>
          <w:tcPr>
            <w:tcW w:w="2416" w:type="dxa"/>
            <w:gridSpan w:val="2"/>
          </w:tcPr>
          <w:p w14:paraId="1618FE1E">
            <w:pPr>
              <w:ind w:firstLine="0"/>
              <w:jc w:val="both"/>
              <w:rPr>
                <w:rFonts w:ascii="宋体" w:hAnsi="宋体" w:eastAsia="宋体" w:cs="宋体"/>
                <w:color w:val="000000" w:themeColor="text1"/>
                <w:kern w:val="2"/>
                <w:sz w:val="24"/>
                <w:szCs w:val="24"/>
                <w:highlight w:val="none"/>
                <w14:textFill>
                  <w14:solidFill>
                    <w14:schemeClr w14:val="tx1"/>
                  </w14:solidFill>
                </w14:textFill>
              </w:rPr>
            </w:pPr>
          </w:p>
        </w:tc>
        <w:tc>
          <w:tcPr>
            <w:tcW w:w="1411" w:type="dxa"/>
          </w:tcPr>
          <w:p w14:paraId="6B826EF4">
            <w:pPr>
              <w:ind w:firstLine="0"/>
              <w:jc w:val="both"/>
              <w:rPr>
                <w:rFonts w:ascii="宋体" w:hAnsi="宋体" w:eastAsia="宋体" w:cs="宋体"/>
                <w:color w:val="000000" w:themeColor="text1"/>
                <w:kern w:val="2"/>
                <w:sz w:val="24"/>
                <w:szCs w:val="24"/>
                <w:highlight w:val="none"/>
                <w14:textFill>
                  <w14:solidFill>
                    <w14:schemeClr w14:val="tx1"/>
                  </w14:solidFill>
                </w14:textFill>
              </w:rPr>
            </w:pPr>
          </w:p>
        </w:tc>
        <w:tc>
          <w:tcPr>
            <w:tcW w:w="2929" w:type="dxa"/>
            <w:gridSpan w:val="2"/>
          </w:tcPr>
          <w:p w14:paraId="71168844">
            <w:pPr>
              <w:ind w:firstLine="0"/>
              <w:jc w:val="both"/>
              <w:rPr>
                <w:rFonts w:ascii="宋体" w:hAnsi="宋体" w:eastAsia="宋体" w:cs="宋体"/>
                <w:color w:val="000000" w:themeColor="text1"/>
                <w:kern w:val="2"/>
                <w:sz w:val="24"/>
                <w:szCs w:val="24"/>
                <w:highlight w:val="none"/>
                <w14:textFill>
                  <w14:solidFill>
                    <w14:schemeClr w14:val="tx1"/>
                  </w14:solidFill>
                </w14:textFill>
              </w:rPr>
            </w:pPr>
          </w:p>
        </w:tc>
      </w:tr>
      <w:tr w14:paraId="316B5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2" w:type="dxa"/>
          </w:tcPr>
          <w:p w14:paraId="7AB65891">
            <w:pPr>
              <w:ind w:firstLine="0"/>
              <w:jc w:val="both"/>
              <w:rPr>
                <w:rFonts w:ascii="宋体" w:hAnsi="宋体" w:eastAsia="宋体" w:cs="宋体"/>
                <w:color w:val="000000" w:themeColor="text1"/>
                <w:kern w:val="2"/>
                <w:sz w:val="24"/>
                <w:szCs w:val="24"/>
                <w:highlight w:val="none"/>
                <w14:textFill>
                  <w14:solidFill>
                    <w14:schemeClr w14:val="tx1"/>
                  </w14:solidFill>
                </w14:textFill>
              </w:rPr>
            </w:pPr>
          </w:p>
        </w:tc>
        <w:tc>
          <w:tcPr>
            <w:tcW w:w="2416" w:type="dxa"/>
            <w:gridSpan w:val="2"/>
          </w:tcPr>
          <w:p w14:paraId="4D199515">
            <w:pPr>
              <w:ind w:firstLine="0"/>
              <w:jc w:val="both"/>
              <w:rPr>
                <w:rFonts w:ascii="宋体" w:hAnsi="宋体" w:eastAsia="宋体" w:cs="宋体"/>
                <w:color w:val="000000" w:themeColor="text1"/>
                <w:kern w:val="2"/>
                <w:sz w:val="24"/>
                <w:szCs w:val="24"/>
                <w:highlight w:val="none"/>
                <w14:textFill>
                  <w14:solidFill>
                    <w14:schemeClr w14:val="tx1"/>
                  </w14:solidFill>
                </w14:textFill>
              </w:rPr>
            </w:pPr>
          </w:p>
        </w:tc>
        <w:tc>
          <w:tcPr>
            <w:tcW w:w="1411" w:type="dxa"/>
          </w:tcPr>
          <w:p w14:paraId="5CF8CF47">
            <w:pPr>
              <w:ind w:firstLine="0"/>
              <w:jc w:val="both"/>
              <w:rPr>
                <w:rFonts w:ascii="宋体" w:hAnsi="宋体" w:eastAsia="宋体" w:cs="宋体"/>
                <w:color w:val="000000" w:themeColor="text1"/>
                <w:kern w:val="2"/>
                <w:sz w:val="24"/>
                <w:szCs w:val="24"/>
                <w:highlight w:val="none"/>
                <w14:textFill>
                  <w14:solidFill>
                    <w14:schemeClr w14:val="tx1"/>
                  </w14:solidFill>
                </w14:textFill>
              </w:rPr>
            </w:pPr>
          </w:p>
        </w:tc>
        <w:tc>
          <w:tcPr>
            <w:tcW w:w="2929" w:type="dxa"/>
            <w:gridSpan w:val="2"/>
          </w:tcPr>
          <w:p w14:paraId="3C39EB6E">
            <w:pPr>
              <w:ind w:firstLine="0"/>
              <w:jc w:val="both"/>
              <w:rPr>
                <w:rFonts w:ascii="宋体" w:hAnsi="宋体" w:eastAsia="宋体" w:cs="宋体"/>
                <w:color w:val="000000" w:themeColor="text1"/>
                <w:kern w:val="2"/>
                <w:sz w:val="24"/>
                <w:szCs w:val="24"/>
                <w:highlight w:val="none"/>
                <w14:textFill>
                  <w14:solidFill>
                    <w14:schemeClr w14:val="tx1"/>
                  </w14:solidFill>
                </w14:textFill>
              </w:rPr>
            </w:pPr>
          </w:p>
        </w:tc>
      </w:tr>
      <w:tr w14:paraId="33DDC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68" w:type="dxa"/>
            <w:gridSpan w:val="6"/>
          </w:tcPr>
          <w:p w14:paraId="028D9827">
            <w:pPr>
              <w:ind w:firstLine="0"/>
              <w:jc w:val="both"/>
              <w:rPr>
                <w:rFonts w:ascii="宋体" w:hAnsi="宋体" w:eastAsia="宋体" w:cs="宋体"/>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从业人员情况</w:t>
            </w:r>
          </w:p>
        </w:tc>
      </w:tr>
      <w:tr w14:paraId="7DC00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2" w:type="dxa"/>
            <w:vMerge w:val="restart"/>
          </w:tcPr>
          <w:p w14:paraId="61A89D0C">
            <w:pPr>
              <w:ind w:firstLine="0"/>
              <w:jc w:val="both"/>
              <w:rPr>
                <w:rFonts w:ascii="宋体" w:hAnsi="宋体" w:eastAsia="宋体" w:cs="宋体"/>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从业人员总数</w:t>
            </w:r>
          </w:p>
        </w:tc>
        <w:tc>
          <w:tcPr>
            <w:tcW w:w="992" w:type="dxa"/>
            <w:vMerge w:val="restart"/>
          </w:tcPr>
          <w:p w14:paraId="448B5530">
            <w:pPr>
              <w:ind w:firstLine="0"/>
              <w:jc w:val="both"/>
              <w:rPr>
                <w:rFonts w:ascii="宋体" w:hAnsi="宋体" w:eastAsia="宋体" w:cs="宋体"/>
                <w:color w:val="000000" w:themeColor="text1"/>
                <w:kern w:val="2"/>
                <w:sz w:val="24"/>
                <w:szCs w:val="24"/>
                <w:highlight w:val="none"/>
                <w14:textFill>
                  <w14:solidFill>
                    <w14:schemeClr w14:val="tx1"/>
                  </w14:solidFill>
                </w14:textFill>
              </w:rPr>
            </w:pPr>
          </w:p>
        </w:tc>
        <w:tc>
          <w:tcPr>
            <w:tcW w:w="1424" w:type="dxa"/>
          </w:tcPr>
          <w:p w14:paraId="29A73C7D">
            <w:pPr>
              <w:ind w:firstLine="0"/>
              <w:jc w:val="both"/>
              <w:rPr>
                <w:rFonts w:ascii="宋体" w:hAnsi="宋体" w:eastAsia="宋体" w:cs="宋体"/>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管理人员</w:t>
            </w:r>
          </w:p>
          <w:p w14:paraId="74C175E9">
            <w:pPr>
              <w:ind w:firstLine="0"/>
              <w:jc w:val="both"/>
              <w:rPr>
                <w:rFonts w:ascii="宋体" w:hAnsi="宋体" w:eastAsia="宋体" w:cs="宋体"/>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数量</w:t>
            </w:r>
          </w:p>
        </w:tc>
        <w:tc>
          <w:tcPr>
            <w:tcW w:w="1411" w:type="dxa"/>
          </w:tcPr>
          <w:p w14:paraId="77F16F6C">
            <w:pPr>
              <w:ind w:firstLine="0"/>
              <w:jc w:val="both"/>
              <w:rPr>
                <w:rFonts w:ascii="宋体" w:hAnsi="宋体" w:eastAsia="宋体" w:cs="宋体"/>
                <w:color w:val="000000" w:themeColor="text1"/>
                <w:kern w:val="2"/>
                <w:sz w:val="24"/>
                <w:szCs w:val="24"/>
                <w:highlight w:val="none"/>
                <w14:textFill>
                  <w14:solidFill>
                    <w14:schemeClr w14:val="tx1"/>
                  </w14:solidFill>
                </w14:textFill>
              </w:rPr>
            </w:pPr>
          </w:p>
        </w:tc>
        <w:tc>
          <w:tcPr>
            <w:tcW w:w="1464" w:type="dxa"/>
          </w:tcPr>
          <w:p w14:paraId="7C9348FD">
            <w:pPr>
              <w:ind w:firstLine="0"/>
              <w:jc w:val="both"/>
              <w:rPr>
                <w:rFonts w:ascii="宋体" w:hAnsi="宋体" w:eastAsia="宋体" w:cs="宋体"/>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专业技术</w:t>
            </w:r>
          </w:p>
          <w:p w14:paraId="5E21B825">
            <w:pPr>
              <w:ind w:firstLine="0"/>
              <w:jc w:val="both"/>
              <w:rPr>
                <w:rFonts w:ascii="宋体" w:hAnsi="宋体" w:eastAsia="宋体" w:cs="宋体"/>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人员数量</w:t>
            </w:r>
          </w:p>
        </w:tc>
        <w:tc>
          <w:tcPr>
            <w:tcW w:w="1465" w:type="dxa"/>
          </w:tcPr>
          <w:p w14:paraId="5A6A48C1">
            <w:pPr>
              <w:ind w:firstLine="0"/>
              <w:jc w:val="both"/>
              <w:rPr>
                <w:rFonts w:ascii="宋体" w:hAnsi="宋体" w:eastAsia="宋体" w:cs="宋体"/>
                <w:color w:val="000000" w:themeColor="text1"/>
                <w:kern w:val="2"/>
                <w:sz w:val="24"/>
                <w:szCs w:val="24"/>
                <w:highlight w:val="none"/>
                <w14:textFill>
                  <w14:solidFill>
                    <w14:schemeClr w14:val="tx1"/>
                  </w14:solidFill>
                </w14:textFill>
              </w:rPr>
            </w:pPr>
          </w:p>
        </w:tc>
      </w:tr>
      <w:tr w14:paraId="778AB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2" w:type="dxa"/>
            <w:vMerge w:val="continue"/>
          </w:tcPr>
          <w:p w14:paraId="05FC2BA5">
            <w:pPr>
              <w:ind w:firstLine="0"/>
              <w:jc w:val="both"/>
              <w:rPr>
                <w:rFonts w:ascii="宋体" w:hAnsi="宋体" w:eastAsia="宋体" w:cs="宋体"/>
                <w:color w:val="000000" w:themeColor="text1"/>
                <w:kern w:val="2"/>
                <w:sz w:val="24"/>
                <w:szCs w:val="24"/>
                <w:highlight w:val="none"/>
                <w14:textFill>
                  <w14:solidFill>
                    <w14:schemeClr w14:val="tx1"/>
                  </w14:solidFill>
                </w14:textFill>
              </w:rPr>
            </w:pPr>
          </w:p>
        </w:tc>
        <w:tc>
          <w:tcPr>
            <w:tcW w:w="992" w:type="dxa"/>
            <w:vMerge w:val="continue"/>
          </w:tcPr>
          <w:p w14:paraId="1D5ABD18">
            <w:pPr>
              <w:ind w:firstLine="0"/>
              <w:jc w:val="both"/>
              <w:rPr>
                <w:rFonts w:ascii="宋体" w:hAnsi="宋体" w:eastAsia="宋体" w:cs="宋体"/>
                <w:color w:val="000000" w:themeColor="text1"/>
                <w:kern w:val="2"/>
                <w:sz w:val="24"/>
                <w:szCs w:val="24"/>
                <w:highlight w:val="none"/>
                <w14:textFill>
                  <w14:solidFill>
                    <w14:schemeClr w14:val="tx1"/>
                  </w14:solidFill>
                </w14:textFill>
              </w:rPr>
            </w:pPr>
          </w:p>
        </w:tc>
        <w:tc>
          <w:tcPr>
            <w:tcW w:w="1424" w:type="dxa"/>
          </w:tcPr>
          <w:p w14:paraId="0AE8A93A">
            <w:pPr>
              <w:ind w:firstLine="0"/>
              <w:jc w:val="both"/>
              <w:rPr>
                <w:rFonts w:ascii="宋体" w:hAnsi="宋体" w:eastAsia="宋体" w:cs="宋体"/>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残疾人</w:t>
            </w:r>
          </w:p>
          <w:p w14:paraId="2B491C2E">
            <w:pPr>
              <w:ind w:firstLine="0"/>
              <w:jc w:val="both"/>
              <w:rPr>
                <w:rFonts w:ascii="宋体" w:hAnsi="宋体" w:eastAsia="宋体" w:cs="宋体"/>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数量</w:t>
            </w:r>
          </w:p>
        </w:tc>
        <w:tc>
          <w:tcPr>
            <w:tcW w:w="1411" w:type="dxa"/>
          </w:tcPr>
          <w:p w14:paraId="6B5E4BEF">
            <w:pPr>
              <w:ind w:firstLine="0"/>
              <w:jc w:val="both"/>
              <w:rPr>
                <w:rFonts w:ascii="宋体" w:hAnsi="宋体" w:eastAsia="宋体" w:cs="宋体"/>
                <w:color w:val="000000" w:themeColor="text1"/>
                <w:kern w:val="2"/>
                <w:sz w:val="24"/>
                <w:szCs w:val="24"/>
                <w:highlight w:val="none"/>
                <w14:textFill>
                  <w14:solidFill>
                    <w14:schemeClr w14:val="tx1"/>
                  </w14:solidFill>
                </w14:textFill>
              </w:rPr>
            </w:pPr>
          </w:p>
        </w:tc>
        <w:tc>
          <w:tcPr>
            <w:tcW w:w="1464" w:type="dxa"/>
          </w:tcPr>
          <w:p w14:paraId="27E25C60">
            <w:pPr>
              <w:ind w:firstLine="0"/>
              <w:jc w:val="both"/>
              <w:rPr>
                <w:rFonts w:ascii="宋体" w:hAnsi="宋体" w:eastAsia="宋体" w:cs="宋体"/>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少数民族</w:t>
            </w:r>
          </w:p>
          <w:p w14:paraId="03DC7A99">
            <w:pPr>
              <w:ind w:firstLine="0"/>
              <w:jc w:val="both"/>
              <w:rPr>
                <w:rFonts w:ascii="宋体" w:hAnsi="宋体" w:eastAsia="宋体" w:cs="宋体"/>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数量</w:t>
            </w:r>
          </w:p>
        </w:tc>
        <w:tc>
          <w:tcPr>
            <w:tcW w:w="1465" w:type="dxa"/>
          </w:tcPr>
          <w:p w14:paraId="6BE34AFB">
            <w:pPr>
              <w:ind w:firstLine="0"/>
              <w:jc w:val="both"/>
              <w:rPr>
                <w:rFonts w:ascii="宋体" w:hAnsi="宋体" w:eastAsia="宋体" w:cs="宋体"/>
                <w:color w:val="000000" w:themeColor="text1"/>
                <w:kern w:val="2"/>
                <w:sz w:val="24"/>
                <w:szCs w:val="24"/>
                <w:highlight w:val="none"/>
                <w14:textFill>
                  <w14:solidFill>
                    <w14:schemeClr w14:val="tx1"/>
                  </w14:solidFill>
                </w14:textFill>
              </w:rPr>
            </w:pPr>
          </w:p>
        </w:tc>
      </w:tr>
      <w:tr w14:paraId="1AF01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68" w:type="dxa"/>
            <w:gridSpan w:val="6"/>
          </w:tcPr>
          <w:p w14:paraId="6AB0E06C">
            <w:pPr>
              <w:ind w:firstLine="0"/>
              <w:jc w:val="both"/>
              <w:rPr>
                <w:rFonts w:ascii="宋体" w:hAnsi="宋体" w:eastAsia="宋体" w:cs="宋体"/>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存在直接控股、管理关系的相关供应商</w:t>
            </w:r>
          </w:p>
        </w:tc>
      </w:tr>
      <w:tr w14:paraId="7E1F8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2" w:type="dxa"/>
          </w:tcPr>
          <w:p w14:paraId="6349D2D6">
            <w:pPr>
              <w:ind w:firstLine="0"/>
              <w:jc w:val="both"/>
              <w:rPr>
                <w:rFonts w:ascii="宋体" w:hAnsi="宋体" w:eastAsia="宋体" w:cs="宋体"/>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关系</w:t>
            </w:r>
          </w:p>
        </w:tc>
        <w:tc>
          <w:tcPr>
            <w:tcW w:w="6756" w:type="dxa"/>
            <w:gridSpan w:val="5"/>
          </w:tcPr>
          <w:p w14:paraId="411AF6CE">
            <w:pPr>
              <w:ind w:firstLine="0"/>
              <w:jc w:val="both"/>
              <w:rPr>
                <w:rFonts w:ascii="宋体" w:hAnsi="宋体" w:eastAsia="宋体" w:cs="宋体"/>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供应商名称</w:t>
            </w:r>
          </w:p>
        </w:tc>
      </w:tr>
      <w:tr w14:paraId="599C9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2" w:type="dxa"/>
          </w:tcPr>
          <w:p w14:paraId="7EBFD843">
            <w:pPr>
              <w:ind w:firstLine="0"/>
              <w:jc w:val="both"/>
              <w:rPr>
                <w:rFonts w:ascii="宋体" w:hAnsi="宋体" w:eastAsia="宋体" w:cs="宋体"/>
                <w:color w:val="000000" w:themeColor="text1"/>
                <w:kern w:val="2"/>
                <w:sz w:val="24"/>
                <w:szCs w:val="24"/>
                <w:highlight w:val="none"/>
                <w14:textFill>
                  <w14:solidFill>
                    <w14:schemeClr w14:val="tx1"/>
                  </w14:solidFill>
                </w14:textFill>
              </w:rPr>
            </w:pPr>
          </w:p>
        </w:tc>
        <w:tc>
          <w:tcPr>
            <w:tcW w:w="6756" w:type="dxa"/>
            <w:gridSpan w:val="5"/>
          </w:tcPr>
          <w:p w14:paraId="0E90CEA2">
            <w:pPr>
              <w:ind w:firstLine="0"/>
              <w:jc w:val="both"/>
              <w:rPr>
                <w:rFonts w:ascii="宋体" w:hAnsi="宋体" w:eastAsia="宋体" w:cs="宋体"/>
                <w:color w:val="000000" w:themeColor="text1"/>
                <w:kern w:val="2"/>
                <w:sz w:val="24"/>
                <w:szCs w:val="24"/>
                <w:highlight w:val="none"/>
                <w14:textFill>
                  <w14:solidFill>
                    <w14:schemeClr w14:val="tx1"/>
                  </w14:solidFill>
                </w14:textFill>
              </w:rPr>
            </w:pPr>
          </w:p>
        </w:tc>
      </w:tr>
      <w:tr w14:paraId="5B91C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2" w:type="dxa"/>
          </w:tcPr>
          <w:p w14:paraId="41B0E8D1">
            <w:pPr>
              <w:ind w:firstLine="0"/>
              <w:jc w:val="both"/>
              <w:rPr>
                <w:rFonts w:ascii="宋体" w:hAnsi="宋体" w:eastAsia="宋体" w:cs="宋体"/>
                <w:color w:val="000000" w:themeColor="text1"/>
                <w:kern w:val="2"/>
                <w:sz w:val="24"/>
                <w:szCs w:val="24"/>
                <w:highlight w:val="none"/>
                <w14:textFill>
                  <w14:solidFill>
                    <w14:schemeClr w14:val="tx1"/>
                  </w14:solidFill>
                </w14:textFill>
              </w:rPr>
            </w:pPr>
          </w:p>
        </w:tc>
        <w:tc>
          <w:tcPr>
            <w:tcW w:w="6756" w:type="dxa"/>
            <w:gridSpan w:val="5"/>
          </w:tcPr>
          <w:p w14:paraId="72AC56BC">
            <w:pPr>
              <w:ind w:firstLine="0"/>
              <w:jc w:val="both"/>
              <w:rPr>
                <w:rFonts w:ascii="宋体" w:hAnsi="宋体" w:eastAsia="宋体" w:cs="宋体"/>
                <w:color w:val="000000" w:themeColor="text1"/>
                <w:kern w:val="2"/>
                <w:sz w:val="24"/>
                <w:szCs w:val="24"/>
                <w:highlight w:val="none"/>
                <w14:textFill>
                  <w14:solidFill>
                    <w14:schemeClr w14:val="tx1"/>
                  </w14:solidFill>
                </w14:textFill>
              </w:rPr>
            </w:pPr>
          </w:p>
        </w:tc>
      </w:tr>
      <w:tr w14:paraId="128D3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12" w:type="dxa"/>
          </w:tcPr>
          <w:p w14:paraId="48D523FF">
            <w:pPr>
              <w:ind w:firstLine="0"/>
              <w:jc w:val="both"/>
              <w:rPr>
                <w:rFonts w:ascii="宋体" w:hAnsi="宋体" w:eastAsia="宋体" w:cs="宋体"/>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说明</w:t>
            </w:r>
          </w:p>
        </w:tc>
        <w:tc>
          <w:tcPr>
            <w:tcW w:w="6756" w:type="dxa"/>
            <w:gridSpan w:val="5"/>
          </w:tcPr>
          <w:p w14:paraId="104F5E27">
            <w:pPr>
              <w:ind w:firstLine="0"/>
              <w:jc w:val="both"/>
              <w:rPr>
                <w:rFonts w:ascii="宋体" w:hAnsi="宋体" w:eastAsia="宋体" w:cs="宋体"/>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1.成立时间至提交投标文件截止时间不足一年的可不填写“上年度营业收入”。</w:t>
            </w:r>
          </w:p>
          <w:p w14:paraId="51A0D4F0">
            <w:pPr>
              <w:ind w:firstLine="0"/>
              <w:jc w:val="both"/>
              <w:rPr>
                <w:rFonts w:ascii="宋体" w:hAnsi="宋体" w:eastAsia="宋体" w:cs="宋体"/>
                <w:color w:val="000000" w:themeColor="text1"/>
                <w:kern w:val="2"/>
                <w:sz w:val="24"/>
                <w:szCs w:val="24"/>
                <w:highlight w:val="none"/>
                <w14:textFill>
                  <w14:solidFill>
                    <w14:schemeClr w14:val="tx1"/>
                  </w14:solidFill>
                </w14:textFill>
              </w:rPr>
            </w:pPr>
            <w:r>
              <w:rPr>
                <w:rFonts w:hint="eastAsia" w:ascii="宋体" w:hAnsi="宋体" w:eastAsia="宋体" w:cs="宋体"/>
                <w:color w:val="000000" w:themeColor="text1"/>
                <w:kern w:val="2"/>
                <w:sz w:val="24"/>
                <w:szCs w:val="24"/>
                <w:highlight w:val="none"/>
                <w14:textFill>
                  <w14:solidFill>
                    <w14:schemeClr w14:val="tx1"/>
                  </w14:solidFill>
                </w14:textFill>
              </w:rPr>
              <w:t>2.表格空间不足时，请自行扩展。</w:t>
            </w:r>
          </w:p>
        </w:tc>
      </w:tr>
    </w:tbl>
    <w:p w14:paraId="3927389B">
      <w:pPr>
        <w:rPr>
          <w:rFonts w:ascii="宋体" w:hAnsi="宋体" w:eastAsia="宋体" w:cs="宋体"/>
          <w:color w:val="000000" w:themeColor="text1"/>
          <w:sz w:val="32"/>
          <w:szCs w:val="32"/>
          <w:highlight w:val="none"/>
          <w14:textFill>
            <w14:solidFill>
              <w14:schemeClr w14:val="tx1"/>
            </w14:solidFill>
          </w14:textFill>
        </w:rPr>
      </w:pPr>
    </w:p>
    <w:p w14:paraId="0F963BA9">
      <w:pPr>
        <w:rPr>
          <w:rFonts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32"/>
          <w:szCs w:val="32"/>
          <w:highlight w:val="none"/>
          <w14:textFill>
            <w14:solidFill>
              <w14:schemeClr w14:val="tx1"/>
            </w14:solidFill>
          </w14:textFill>
        </w:rPr>
        <w:br w:type="page"/>
      </w:r>
    </w:p>
    <w:p w14:paraId="0F628A1A">
      <w:pPr>
        <w:pStyle w:val="4"/>
        <w:ind w:firstLine="657"/>
        <w:jc w:val="center"/>
        <w:rPr>
          <w:rFonts w:ascii="宋体" w:hAnsi="宋体" w:eastAsia="宋体" w:cs="宋体"/>
          <w:color w:val="000000" w:themeColor="text1"/>
          <w:highlight w:val="none"/>
          <w14:textFill>
            <w14:solidFill>
              <w14:schemeClr w14:val="tx1"/>
            </w14:solidFill>
          </w14:textFill>
        </w:rPr>
      </w:pPr>
      <w:bookmarkStart w:id="344" w:name="_Toc6201"/>
      <w:bookmarkStart w:id="345" w:name="_Toc667"/>
      <w:r>
        <w:rPr>
          <w:rFonts w:hint="eastAsia" w:ascii="宋体" w:hAnsi="宋体" w:eastAsia="宋体" w:cs="宋体"/>
          <w:color w:val="000000" w:themeColor="text1"/>
          <w:highlight w:val="none"/>
          <w14:textFill>
            <w14:solidFill>
              <w14:schemeClr w14:val="tx1"/>
            </w14:solidFill>
          </w14:textFill>
        </w:rPr>
        <w:t xml:space="preserve">第五部分  </w:t>
      </w:r>
      <w:bookmarkEnd w:id="331"/>
      <w:bookmarkEnd w:id="332"/>
      <w:bookmarkEnd w:id="333"/>
      <w:bookmarkEnd w:id="334"/>
      <w:r>
        <w:rPr>
          <w:rFonts w:hint="eastAsia" w:ascii="宋体" w:hAnsi="宋体" w:eastAsia="宋体" w:cs="宋体"/>
          <w:color w:val="000000" w:themeColor="text1"/>
          <w:highlight w:val="none"/>
          <w14:textFill>
            <w14:solidFill>
              <w14:schemeClr w14:val="tx1"/>
            </w14:solidFill>
          </w14:textFill>
        </w:rPr>
        <w:t>商务和技术响应偏离表</w:t>
      </w:r>
      <w:bookmarkEnd w:id="344"/>
      <w:bookmarkEnd w:id="345"/>
    </w:p>
    <w:p w14:paraId="07B38767">
      <w:pPr>
        <w:kinsoku w:val="0"/>
        <w:spacing w:line="480" w:lineRule="auto"/>
        <w:ind w:left="1269" w:hanging="1267" w:hangingChars="440"/>
        <w:rPr>
          <w:rFonts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表1、商务</w:t>
      </w:r>
      <w:r>
        <w:rPr>
          <w:rFonts w:hint="eastAsia" w:ascii="宋体" w:hAnsi="宋体" w:eastAsia="宋体" w:cs="宋体"/>
          <w:color w:val="000000" w:themeColor="text1"/>
          <w:sz w:val="28"/>
          <w:szCs w:val="28"/>
          <w:highlight w:val="none"/>
          <w:lang w:val="en-US" w:eastAsia="zh-CN"/>
          <w14:textFill>
            <w14:solidFill>
              <w14:schemeClr w14:val="tx1"/>
            </w14:solidFill>
          </w14:textFill>
        </w:rPr>
        <w:t>要求响应</w:t>
      </w:r>
      <w:r>
        <w:rPr>
          <w:rFonts w:hint="eastAsia" w:ascii="宋体" w:hAnsi="宋体" w:eastAsia="宋体" w:cs="宋体"/>
          <w:color w:val="000000" w:themeColor="text1"/>
          <w:sz w:val="28"/>
          <w:szCs w:val="28"/>
          <w:highlight w:val="none"/>
          <w14:textFill>
            <w14:solidFill>
              <w14:schemeClr w14:val="tx1"/>
            </w14:solidFill>
          </w14:textFill>
        </w:rPr>
        <w:t>偏差表</w:t>
      </w:r>
    </w:p>
    <w:tbl>
      <w:tblPr>
        <w:tblStyle w:val="35"/>
        <w:tblW w:w="85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1425"/>
        <w:gridCol w:w="1740"/>
        <w:gridCol w:w="2755"/>
        <w:gridCol w:w="1550"/>
      </w:tblGrid>
      <w:tr w14:paraId="7592F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056" w:type="dxa"/>
            <w:vAlign w:val="center"/>
          </w:tcPr>
          <w:p w14:paraId="049EE66F">
            <w:pPr>
              <w:pStyle w:val="20"/>
              <w:spacing w:line="480" w:lineRule="auto"/>
              <w:jc w:val="center"/>
              <w:rPr>
                <w:rFonts w:hAnsi="宋体" w:eastAsia="宋体" w:cs="宋体"/>
                <w:color w:val="000000" w:themeColor="text1"/>
                <w:sz w:val="24"/>
                <w:highlight w:val="none"/>
                <w14:textFill>
                  <w14:solidFill>
                    <w14:schemeClr w14:val="tx1"/>
                  </w14:solidFill>
                </w14:textFill>
              </w:rPr>
            </w:pPr>
            <w:r>
              <w:rPr>
                <w:rFonts w:hint="eastAsia" w:hAnsi="宋体" w:eastAsia="宋体" w:cs="宋体"/>
                <w:color w:val="000000" w:themeColor="text1"/>
                <w:sz w:val="24"/>
                <w:highlight w:val="none"/>
                <w14:textFill>
                  <w14:solidFill>
                    <w14:schemeClr w14:val="tx1"/>
                  </w14:solidFill>
                </w14:textFill>
              </w:rPr>
              <w:t>序号</w:t>
            </w:r>
          </w:p>
        </w:tc>
        <w:tc>
          <w:tcPr>
            <w:tcW w:w="1425" w:type="dxa"/>
            <w:vAlign w:val="center"/>
          </w:tcPr>
          <w:p w14:paraId="719BFA75">
            <w:pPr>
              <w:pStyle w:val="20"/>
              <w:spacing w:line="480" w:lineRule="auto"/>
              <w:rPr>
                <w:rFonts w:hAnsi="宋体" w:eastAsia="宋体" w:cs="宋体"/>
                <w:color w:val="000000" w:themeColor="text1"/>
                <w:sz w:val="24"/>
                <w:highlight w:val="none"/>
                <w14:textFill>
                  <w14:solidFill>
                    <w14:schemeClr w14:val="tx1"/>
                  </w14:solidFill>
                </w14:textFill>
              </w:rPr>
            </w:pPr>
            <w:r>
              <w:rPr>
                <w:rFonts w:hint="eastAsia" w:hAnsi="宋体" w:eastAsia="宋体" w:cs="宋体"/>
                <w:color w:val="000000" w:themeColor="text1"/>
                <w:sz w:val="24"/>
                <w:highlight w:val="none"/>
                <w14:textFill>
                  <w14:solidFill>
                    <w14:schemeClr w14:val="tx1"/>
                  </w14:solidFill>
                </w14:textFill>
              </w:rPr>
              <w:t xml:space="preserve"> 商务条款</w:t>
            </w:r>
          </w:p>
        </w:tc>
        <w:tc>
          <w:tcPr>
            <w:tcW w:w="1740" w:type="dxa"/>
            <w:vAlign w:val="center"/>
          </w:tcPr>
          <w:p w14:paraId="7007B036">
            <w:pPr>
              <w:pStyle w:val="20"/>
              <w:spacing w:line="480" w:lineRule="auto"/>
              <w:rPr>
                <w:rFonts w:hAnsi="宋体" w:eastAsia="宋体" w:cs="宋体"/>
                <w:color w:val="000000" w:themeColor="text1"/>
                <w:sz w:val="24"/>
                <w:highlight w:val="none"/>
                <w14:textFill>
                  <w14:solidFill>
                    <w14:schemeClr w14:val="tx1"/>
                  </w14:solidFill>
                </w14:textFill>
              </w:rPr>
            </w:pPr>
            <w:r>
              <w:rPr>
                <w:rFonts w:hint="eastAsia" w:hAnsi="宋体" w:eastAsia="宋体" w:cs="宋体"/>
                <w:color w:val="000000" w:themeColor="text1"/>
                <w:sz w:val="24"/>
                <w:highlight w:val="none"/>
                <w14:textFill>
                  <w14:solidFill>
                    <w14:schemeClr w14:val="tx1"/>
                  </w14:solidFill>
                </w14:textFill>
              </w:rPr>
              <w:t>商务要求内容</w:t>
            </w:r>
          </w:p>
        </w:tc>
        <w:tc>
          <w:tcPr>
            <w:tcW w:w="2755" w:type="dxa"/>
            <w:vAlign w:val="center"/>
          </w:tcPr>
          <w:p w14:paraId="36E0BBEB">
            <w:pPr>
              <w:pStyle w:val="20"/>
              <w:spacing w:line="480" w:lineRule="auto"/>
              <w:rPr>
                <w:rFonts w:hAnsi="宋体" w:eastAsia="宋体" w:cs="宋体"/>
                <w:color w:val="000000" w:themeColor="text1"/>
                <w:sz w:val="24"/>
                <w:highlight w:val="none"/>
                <w14:textFill>
                  <w14:solidFill>
                    <w14:schemeClr w14:val="tx1"/>
                  </w14:solidFill>
                </w14:textFill>
              </w:rPr>
            </w:pPr>
            <w:r>
              <w:rPr>
                <w:rFonts w:hint="eastAsia" w:hAnsi="宋体" w:eastAsia="宋体" w:cs="宋体"/>
                <w:color w:val="000000" w:themeColor="text1"/>
                <w:sz w:val="24"/>
                <w:highlight w:val="none"/>
                <w14:textFill>
                  <w14:solidFill>
                    <w14:schemeClr w14:val="tx1"/>
                  </w14:solidFill>
                </w14:textFill>
              </w:rPr>
              <w:t>响应文件响应商务内容</w:t>
            </w:r>
          </w:p>
        </w:tc>
        <w:tc>
          <w:tcPr>
            <w:tcW w:w="1550" w:type="dxa"/>
            <w:vAlign w:val="center"/>
          </w:tcPr>
          <w:p w14:paraId="5EFBC2D3">
            <w:pPr>
              <w:pStyle w:val="20"/>
              <w:spacing w:line="480" w:lineRule="auto"/>
              <w:jc w:val="center"/>
              <w:rPr>
                <w:rFonts w:hAnsi="宋体" w:eastAsia="宋体" w:cs="宋体"/>
                <w:color w:val="000000" w:themeColor="text1"/>
                <w:sz w:val="24"/>
                <w:highlight w:val="none"/>
                <w14:textFill>
                  <w14:solidFill>
                    <w14:schemeClr w14:val="tx1"/>
                  </w14:solidFill>
                </w14:textFill>
              </w:rPr>
            </w:pPr>
            <w:r>
              <w:rPr>
                <w:rFonts w:hint="eastAsia" w:hAnsi="宋体" w:eastAsia="宋体" w:cs="宋体"/>
                <w:color w:val="000000" w:themeColor="text1"/>
                <w:sz w:val="24"/>
                <w:highlight w:val="none"/>
                <w14:textFill>
                  <w14:solidFill>
                    <w14:schemeClr w14:val="tx1"/>
                  </w14:solidFill>
                </w14:textFill>
              </w:rPr>
              <w:t>偏离说明</w:t>
            </w:r>
          </w:p>
        </w:tc>
      </w:tr>
      <w:tr w14:paraId="3E38C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056" w:type="dxa"/>
          </w:tcPr>
          <w:p w14:paraId="4990ECA2">
            <w:pPr>
              <w:pStyle w:val="20"/>
              <w:spacing w:line="480" w:lineRule="auto"/>
              <w:ind w:firstLine="496" w:firstLineChars="200"/>
              <w:rPr>
                <w:rFonts w:hAnsi="宋体" w:eastAsia="宋体" w:cs="宋体"/>
                <w:color w:val="000000" w:themeColor="text1"/>
                <w:sz w:val="24"/>
                <w:highlight w:val="none"/>
                <w14:textFill>
                  <w14:solidFill>
                    <w14:schemeClr w14:val="tx1"/>
                  </w14:solidFill>
                </w14:textFill>
              </w:rPr>
            </w:pPr>
          </w:p>
        </w:tc>
        <w:tc>
          <w:tcPr>
            <w:tcW w:w="1425" w:type="dxa"/>
          </w:tcPr>
          <w:p w14:paraId="507CE659">
            <w:pPr>
              <w:pStyle w:val="20"/>
              <w:spacing w:line="480" w:lineRule="auto"/>
              <w:ind w:firstLine="496" w:firstLineChars="200"/>
              <w:rPr>
                <w:rFonts w:hAnsi="宋体" w:eastAsia="宋体" w:cs="宋体"/>
                <w:color w:val="000000" w:themeColor="text1"/>
                <w:sz w:val="24"/>
                <w:highlight w:val="none"/>
                <w14:textFill>
                  <w14:solidFill>
                    <w14:schemeClr w14:val="tx1"/>
                  </w14:solidFill>
                </w14:textFill>
              </w:rPr>
            </w:pPr>
          </w:p>
        </w:tc>
        <w:tc>
          <w:tcPr>
            <w:tcW w:w="1740" w:type="dxa"/>
            <w:vAlign w:val="center"/>
          </w:tcPr>
          <w:p w14:paraId="65B93578">
            <w:pPr>
              <w:pStyle w:val="20"/>
              <w:spacing w:line="480" w:lineRule="auto"/>
              <w:ind w:firstLine="496" w:firstLineChars="200"/>
              <w:rPr>
                <w:rFonts w:hAnsi="宋体" w:eastAsia="宋体" w:cs="宋体"/>
                <w:color w:val="000000" w:themeColor="text1"/>
                <w:sz w:val="24"/>
                <w:highlight w:val="none"/>
                <w14:textFill>
                  <w14:solidFill>
                    <w14:schemeClr w14:val="tx1"/>
                  </w14:solidFill>
                </w14:textFill>
              </w:rPr>
            </w:pPr>
          </w:p>
        </w:tc>
        <w:tc>
          <w:tcPr>
            <w:tcW w:w="2755" w:type="dxa"/>
            <w:vAlign w:val="center"/>
          </w:tcPr>
          <w:p w14:paraId="541D5D1F">
            <w:pPr>
              <w:pStyle w:val="20"/>
              <w:spacing w:line="480" w:lineRule="auto"/>
              <w:ind w:firstLine="496" w:firstLineChars="200"/>
              <w:rPr>
                <w:rFonts w:hAnsi="宋体" w:eastAsia="宋体" w:cs="宋体"/>
                <w:color w:val="000000" w:themeColor="text1"/>
                <w:sz w:val="24"/>
                <w:highlight w:val="none"/>
                <w14:textFill>
                  <w14:solidFill>
                    <w14:schemeClr w14:val="tx1"/>
                  </w14:solidFill>
                </w14:textFill>
              </w:rPr>
            </w:pPr>
          </w:p>
        </w:tc>
        <w:tc>
          <w:tcPr>
            <w:tcW w:w="1550" w:type="dxa"/>
            <w:vAlign w:val="center"/>
          </w:tcPr>
          <w:p w14:paraId="62A1E256">
            <w:pPr>
              <w:pStyle w:val="20"/>
              <w:spacing w:line="480" w:lineRule="auto"/>
              <w:ind w:firstLine="496" w:firstLineChars="200"/>
              <w:rPr>
                <w:rFonts w:hAnsi="宋体" w:eastAsia="宋体" w:cs="宋体"/>
                <w:color w:val="000000" w:themeColor="text1"/>
                <w:sz w:val="24"/>
                <w:highlight w:val="none"/>
                <w14:textFill>
                  <w14:solidFill>
                    <w14:schemeClr w14:val="tx1"/>
                  </w14:solidFill>
                </w14:textFill>
              </w:rPr>
            </w:pPr>
          </w:p>
        </w:tc>
      </w:tr>
      <w:tr w14:paraId="22BE3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056" w:type="dxa"/>
          </w:tcPr>
          <w:p w14:paraId="6699465D">
            <w:pPr>
              <w:pStyle w:val="20"/>
              <w:spacing w:line="480" w:lineRule="auto"/>
              <w:ind w:firstLine="496" w:firstLineChars="200"/>
              <w:rPr>
                <w:rFonts w:hAnsi="宋体" w:eastAsia="宋体" w:cs="宋体"/>
                <w:color w:val="000000" w:themeColor="text1"/>
                <w:sz w:val="24"/>
                <w:highlight w:val="none"/>
                <w14:textFill>
                  <w14:solidFill>
                    <w14:schemeClr w14:val="tx1"/>
                  </w14:solidFill>
                </w14:textFill>
              </w:rPr>
            </w:pPr>
          </w:p>
        </w:tc>
        <w:tc>
          <w:tcPr>
            <w:tcW w:w="1425" w:type="dxa"/>
          </w:tcPr>
          <w:p w14:paraId="581E1C2C">
            <w:pPr>
              <w:pStyle w:val="20"/>
              <w:spacing w:line="480" w:lineRule="auto"/>
              <w:ind w:firstLine="496" w:firstLineChars="200"/>
              <w:rPr>
                <w:rFonts w:hAnsi="宋体" w:eastAsia="宋体" w:cs="宋体"/>
                <w:color w:val="000000" w:themeColor="text1"/>
                <w:sz w:val="24"/>
                <w:highlight w:val="none"/>
                <w14:textFill>
                  <w14:solidFill>
                    <w14:schemeClr w14:val="tx1"/>
                  </w14:solidFill>
                </w14:textFill>
              </w:rPr>
            </w:pPr>
          </w:p>
        </w:tc>
        <w:tc>
          <w:tcPr>
            <w:tcW w:w="1740" w:type="dxa"/>
          </w:tcPr>
          <w:p w14:paraId="38B7AC10">
            <w:pPr>
              <w:pStyle w:val="20"/>
              <w:spacing w:line="480" w:lineRule="auto"/>
              <w:ind w:firstLine="496" w:firstLineChars="200"/>
              <w:rPr>
                <w:rFonts w:hAnsi="宋体" w:eastAsia="宋体" w:cs="宋体"/>
                <w:color w:val="000000" w:themeColor="text1"/>
                <w:sz w:val="24"/>
                <w:highlight w:val="none"/>
                <w14:textFill>
                  <w14:solidFill>
                    <w14:schemeClr w14:val="tx1"/>
                  </w14:solidFill>
                </w14:textFill>
              </w:rPr>
            </w:pPr>
          </w:p>
        </w:tc>
        <w:tc>
          <w:tcPr>
            <w:tcW w:w="2755" w:type="dxa"/>
          </w:tcPr>
          <w:p w14:paraId="28E8E85F">
            <w:pPr>
              <w:pStyle w:val="20"/>
              <w:spacing w:line="480" w:lineRule="auto"/>
              <w:ind w:firstLine="496" w:firstLineChars="200"/>
              <w:rPr>
                <w:rFonts w:hAnsi="宋体" w:eastAsia="宋体" w:cs="宋体"/>
                <w:color w:val="000000" w:themeColor="text1"/>
                <w:sz w:val="24"/>
                <w:highlight w:val="none"/>
                <w14:textFill>
                  <w14:solidFill>
                    <w14:schemeClr w14:val="tx1"/>
                  </w14:solidFill>
                </w14:textFill>
              </w:rPr>
            </w:pPr>
          </w:p>
        </w:tc>
        <w:tc>
          <w:tcPr>
            <w:tcW w:w="1550" w:type="dxa"/>
          </w:tcPr>
          <w:p w14:paraId="3F9736CA">
            <w:pPr>
              <w:pStyle w:val="20"/>
              <w:spacing w:line="480" w:lineRule="auto"/>
              <w:ind w:firstLine="496" w:firstLineChars="200"/>
              <w:rPr>
                <w:rFonts w:hAnsi="宋体" w:eastAsia="宋体" w:cs="宋体"/>
                <w:color w:val="000000" w:themeColor="text1"/>
                <w:sz w:val="24"/>
                <w:highlight w:val="none"/>
                <w14:textFill>
                  <w14:solidFill>
                    <w14:schemeClr w14:val="tx1"/>
                  </w14:solidFill>
                </w14:textFill>
              </w:rPr>
            </w:pPr>
          </w:p>
        </w:tc>
      </w:tr>
      <w:tr w14:paraId="123F0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056" w:type="dxa"/>
          </w:tcPr>
          <w:p w14:paraId="20F43F4F">
            <w:pPr>
              <w:pStyle w:val="20"/>
              <w:spacing w:line="480" w:lineRule="auto"/>
              <w:ind w:firstLine="496" w:firstLineChars="200"/>
              <w:rPr>
                <w:rFonts w:hAnsi="宋体" w:eastAsia="宋体" w:cs="宋体"/>
                <w:color w:val="000000" w:themeColor="text1"/>
                <w:sz w:val="24"/>
                <w:highlight w:val="none"/>
                <w14:textFill>
                  <w14:solidFill>
                    <w14:schemeClr w14:val="tx1"/>
                  </w14:solidFill>
                </w14:textFill>
              </w:rPr>
            </w:pPr>
          </w:p>
        </w:tc>
        <w:tc>
          <w:tcPr>
            <w:tcW w:w="1425" w:type="dxa"/>
          </w:tcPr>
          <w:p w14:paraId="62487BE1">
            <w:pPr>
              <w:pStyle w:val="20"/>
              <w:spacing w:line="480" w:lineRule="auto"/>
              <w:ind w:firstLine="496" w:firstLineChars="200"/>
              <w:rPr>
                <w:rFonts w:hAnsi="宋体" w:eastAsia="宋体" w:cs="宋体"/>
                <w:color w:val="000000" w:themeColor="text1"/>
                <w:sz w:val="24"/>
                <w:highlight w:val="none"/>
                <w14:textFill>
                  <w14:solidFill>
                    <w14:schemeClr w14:val="tx1"/>
                  </w14:solidFill>
                </w14:textFill>
              </w:rPr>
            </w:pPr>
          </w:p>
        </w:tc>
        <w:tc>
          <w:tcPr>
            <w:tcW w:w="1740" w:type="dxa"/>
          </w:tcPr>
          <w:p w14:paraId="4ECCDD44">
            <w:pPr>
              <w:pStyle w:val="20"/>
              <w:spacing w:line="480" w:lineRule="auto"/>
              <w:ind w:firstLine="496" w:firstLineChars="200"/>
              <w:rPr>
                <w:rFonts w:hAnsi="宋体" w:eastAsia="宋体" w:cs="宋体"/>
                <w:color w:val="000000" w:themeColor="text1"/>
                <w:sz w:val="24"/>
                <w:highlight w:val="none"/>
                <w14:textFill>
                  <w14:solidFill>
                    <w14:schemeClr w14:val="tx1"/>
                  </w14:solidFill>
                </w14:textFill>
              </w:rPr>
            </w:pPr>
          </w:p>
        </w:tc>
        <w:tc>
          <w:tcPr>
            <w:tcW w:w="2755" w:type="dxa"/>
          </w:tcPr>
          <w:p w14:paraId="4D5DA0F1">
            <w:pPr>
              <w:pStyle w:val="20"/>
              <w:spacing w:line="480" w:lineRule="auto"/>
              <w:ind w:firstLine="496" w:firstLineChars="200"/>
              <w:rPr>
                <w:rFonts w:hAnsi="宋体" w:eastAsia="宋体" w:cs="宋体"/>
                <w:color w:val="000000" w:themeColor="text1"/>
                <w:sz w:val="24"/>
                <w:highlight w:val="none"/>
                <w14:textFill>
                  <w14:solidFill>
                    <w14:schemeClr w14:val="tx1"/>
                  </w14:solidFill>
                </w14:textFill>
              </w:rPr>
            </w:pPr>
          </w:p>
        </w:tc>
        <w:tc>
          <w:tcPr>
            <w:tcW w:w="1550" w:type="dxa"/>
          </w:tcPr>
          <w:p w14:paraId="5CACFE18">
            <w:pPr>
              <w:pStyle w:val="20"/>
              <w:spacing w:line="480" w:lineRule="auto"/>
              <w:ind w:firstLine="496" w:firstLineChars="200"/>
              <w:rPr>
                <w:rFonts w:hAnsi="宋体" w:eastAsia="宋体" w:cs="宋体"/>
                <w:color w:val="000000" w:themeColor="text1"/>
                <w:sz w:val="24"/>
                <w:highlight w:val="none"/>
                <w14:textFill>
                  <w14:solidFill>
                    <w14:schemeClr w14:val="tx1"/>
                  </w14:solidFill>
                </w14:textFill>
              </w:rPr>
            </w:pPr>
          </w:p>
        </w:tc>
      </w:tr>
      <w:tr w14:paraId="2C653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056" w:type="dxa"/>
          </w:tcPr>
          <w:p w14:paraId="776AA345">
            <w:pPr>
              <w:pStyle w:val="20"/>
              <w:spacing w:line="480" w:lineRule="auto"/>
              <w:ind w:firstLine="496" w:firstLineChars="200"/>
              <w:rPr>
                <w:rFonts w:hAnsi="宋体" w:eastAsia="宋体" w:cs="宋体"/>
                <w:color w:val="000000" w:themeColor="text1"/>
                <w:sz w:val="24"/>
                <w:highlight w:val="none"/>
                <w14:textFill>
                  <w14:solidFill>
                    <w14:schemeClr w14:val="tx1"/>
                  </w14:solidFill>
                </w14:textFill>
              </w:rPr>
            </w:pPr>
          </w:p>
        </w:tc>
        <w:tc>
          <w:tcPr>
            <w:tcW w:w="1425" w:type="dxa"/>
          </w:tcPr>
          <w:p w14:paraId="200ED709">
            <w:pPr>
              <w:pStyle w:val="20"/>
              <w:spacing w:line="480" w:lineRule="auto"/>
              <w:ind w:firstLine="496" w:firstLineChars="200"/>
              <w:rPr>
                <w:rFonts w:hAnsi="宋体" w:eastAsia="宋体" w:cs="宋体"/>
                <w:color w:val="000000" w:themeColor="text1"/>
                <w:sz w:val="24"/>
                <w:highlight w:val="none"/>
                <w14:textFill>
                  <w14:solidFill>
                    <w14:schemeClr w14:val="tx1"/>
                  </w14:solidFill>
                </w14:textFill>
              </w:rPr>
            </w:pPr>
          </w:p>
        </w:tc>
        <w:tc>
          <w:tcPr>
            <w:tcW w:w="1740" w:type="dxa"/>
          </w:tcPr>
          <w:p w14:paraId="50CE6718">
            <w:pPr>
              <w:pStyle w:val="20"/>
              <w:spacing w:line="480" w:lineRule="auto"/>
              <w:ind w:firstLine="496" w:firstLineChars="200"/>
              <w:rPr>
                <w:rFonts w:hAnsi="宋体" w:eastAsia="宋体" w:cs="宋体"/>
                <w:color w:val="000000" w:themeColor="text1"/>
                <w:sz w:val="24"/>
                <w:highlight w:val="none"/>
                <w14:textFill>
                  <w14:solidFill>
                    <w14:schemeClr w14:val="tx1"/>
                  </w14:solidFill>
                </w14:textFill>
              </w:rPr>
            </w:pPr>
          </w:p>
        </w:tc>
        <w:tc>
          <w:tcPr>
            <w:tcW w:w="2755" w:type="dxa"/>
          </w:tcPr>
          <w:p w14:paraId="2A818E53">
            <w:pPr>
              <w:pStyle w:val="20"/>
              <w:spacing w:line="480" w:lineRule="auto"/>
              <w:ind w:firstLine="496" w:firstLineChars="200"/>
              <w:rPr>
                <w:rFonts w:hAnsi="宋体" w:eastAsia="宋体" w:cs="宋体"/>
                <w:color w:val="000000" w:themeColor="text1"/>
                <w:sz w:val="24"/>
                <w:highlight w:val="none"/>
                <w14:textFill>
                  <w14:solidFill>
                    <w14:schemeClr w14:val="tx1"/>
                  </w14:solidFill>
                </w14:textFill>
              </w:rPr>
            </w:pPr>
          </w:p>
        </w:tc>
        <w:tc>
          <w:tcPr>
            <w:tcW w:w="1550" w:type="dxa"/>
          </w:tcPr>
          <w:p w14:paraId="133D58EF">
            <w:pPr>
              <w:pStyle w:val="20"/>
              <w:spacing w:line="480" w:lineRule="auto"/>
              <w:ind w:firstLine="496" w:firstLineChars="200"/>
              <w:rPr>
                <w:rFonts w:hAnsi="宋体" w:eastAsia="宋体" w:cs="宋体"/>
                <w:color w:val="000000" w:themeColor="text1"/>
                <w:sz w:val="24"/>
                <w:highlight w:val="none"/>
                <w14:textFill>
                  <w14:solidFill>
                    <w14:schemeClr w14:val="tx1"/>
                  </w14:solidFill>
                </w14:textFill>
              </w:rPr>
            </w:pPr>
          </w:p>
        </w:tc>
      </w:tr>
      <w:tr w14:paraId="77424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056" w:type="dxa"/>
          </w:tcPr>
          <w:p w14:paraId="74BF96A0">
            <w:pPr>
              <w:pStyle w:val="20"/>
              <w:spacing w:line="480" w:lineRule="auto"/>
              <w:ind w:firstLine="496" w:firstLineChars="200"/>
              <w:rPr>
                <w:rFonts w:hAnsi="宋体" w:eastAsia="宋体" w:cs="宋体"/>
                <w:color w:val="000000" w:themeColor="text1"/>
                <w:sz w:val="24"/>
                <w:highlight w:val="none"/>
                <w14:textFill>
                  <w14:solidFill>
                    <w14:schemeClr w14:val="tx1"/>
                  </w14:solidFill>
                </w14:textFill>
              </w:rPr>
            </w:pPr>
          </w:p>
        </w:tc>
        <w:tc>
          <w:tcPr>
            <w:tcW w:w="1425" w:type="dxa"/>
          </w:tcPr>
          <w:p w14:paraId="4B8E33D3">
            <w:pPr>
              <w:pStyle w:val="20"/>
              <w:spacing w:line="480" w:lineRule="auto"/>
              <w:ind w:firstLine="496" w:firstLineChars="200"/>
              <w:rPr>
                <w:rFonts w:hAnsi="宋体" w:eastAsia="宋体" w:cs="宋体"/>
                <w:color w:val="000000" w:themeColor="text1"/>
                <w:sz w:val="24"/>
                <w:highlight w:val="none"/>
                <w14:textFill>
                  <w14:solidFill>
                    <w14:schemeClr w14:val="tx1"/>
                  </w14:solidFill>
                </w14:textFill>
              </w:rPr>
            </w:pPr>
          </w:p>
        </w:tc>
        <w:tc>
          <w:tcPr>
            <w:tcW w:w="1740" w:type="dxa"/>
          </w:tcPr>
          <w:p w14:paraId="53B9E626">
            <w:pPr>
              <w:pStyle w:val="20"/>
              <w:spacing w:line="480" w:lineRule="auto"/>
              <w:ind w:firstLine="496" w:firstLineChars="200"/>
              <w:rPr>
                <w:rFonts w:hAnsi="宋体" w:eastAsia="宋体" w:cs="宋体"/>
                <w:color w:val="000000" w:themeColor="text1"/>
                <w:sz w:val="24"/>
                <w:highlight w:val="none"/>
                <w14:textFill>
                  <w14:solidFill>
                    <w14:schemeClr w14:val="tx1"/>
                  </w14:solidFill>
                </w14:textFill>
              </w:rPr>
            </w:pPr>
          </w:p>
        </w:tc>
        <w:tc>
          <w:tcPr>
            <w:tcW w:w="2755" w:type="dxa"/>
          </w:tcPr>
          <w:p w14:paraId="6700653E">
            <w:pPr>
              <w:pStyle w:val="20"/>
              <w:spacing w:line="480" w:lineRule="auto"/>
              <w:ind w:firstLine="496" w:firstLineChars="200"/>
              <w:rPr>
                <w:rFonts w:hAnsi="宋体" w:eastAsia="宋体" w:cs="宋体"/>
                <w:color w:val="000000" w:themeColor="text1"/>
                <w:sz w:val="24"/>
                <w:highlight w:val="none"/>
                <w14:textFill>
                  <w14:solidFill>
                    <w14:schemeClr w14:val="tx1"/>
                  </w14:solidFill>
                </w14:textFill>
              </w:rPr>
            </w:pPr>
          </w:p>
        </w:tc>
        <w:tc>
          <w:tcPr>
            <w:tcW w:w="1550" w:type="dxa"/>
          </w:tcPr>
          <w:p w14:paraId="3B861334">
            <w:pPr>
              <w:pStyle w:val="20"/>
              <w:spacing w:line="480" w:lineRule="auto"/>
              <w:ind w:firstLine="496" w:firstLineChars="200"/>
              <w:rPr>
                <w:rFonts w:hAnsi="宋体" w:eastAsia="宋体" w:cs="宋体"/>
                <w:color w:val="000000" w:themeColor="text1"/>
                <w:sz w:val="24"/>
                <w:highlight w:val="none"/>
                <w14:textFill>
                  <w14:solidFill>
                    <w14:schemeClr w14:val="tx1"/>
                  </w14:solidFill>
                </w14:textFill>
              </w:rPr>
            </w:pPr>
          </w:p>
        </w:tc>
      </w:tr>
      <w:tr w14:paraId="07B95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056" w:type="dxa"/>
          </w:tcPr>
          <w:p w14:paraId="02B31313">
            <w:pPr>
              <w:pStyle w:val="20"/>
              <w:spacing w:line="480" w:lineRule="auto"/>
              <w:ind w:firstLine="496" w:firstLineChars="200"/>
              <w:rPr>
                <w:rFonts w:hAnsi="宋体" w:eastAsia="宋体" w:cs="宋体"/>
                <w:color w:val="000000" w:themeColor="text1"/>
                <w:sz w:val="24"/>
                <w:highlight w:val="none"/>
                <w14:textFill>
                  <w14:solidFill>
                    <w14:schemeClr w14:val="tx1"/>
                  </w14:solidFill>
                </w14:textFill>
              </w:rPr>
            </w:pPr>
          </w:p>
        </w:tc>
        <w:tc>
          <w:tcPr>
            <w:tcW w:w="1425" w:type="dxa"/>
          </w:tcPr>
          <w:p w14:paraId="778CF03A">
            <w:pPr>
              <w:pStyle w:val="20"/>
              <w:spacing w:line="480" w:lineRule="auto"/>
              <w:ind w:firstLine="496" w:firstLineChars="200"/>
              <w:rPr>
                <w:rFonts w:hAnsi="宋体" w:eastAsia="宋体" w:cs="宋体"/>
                <w:color w:val="000000" w:themeColor="text1"/>
                <w:sz w:val="24"/>
                <w:highlight w:val="none"/>
                <w14:textFill>
                  <w14:solidFill>
                    <w14:schemeClr w14:val="tx1"/>
                  </w14:solidFill>
                </w14:textFill>
              </w:rPr>
            </w:pPr>
          </w:p>
        </w:tc>
        <w:tc>
          <w:tcPr>
            <w:tcW w:w="1740" w:type="dxa"/>
          </w:tcPr>
          <w:p w14:paraId="75F55102">
            <w:pPr>
              <w:pStyle w:val="20"/>
              <w:spacing w:line="480" w:lineRule="auto"/>
              <w:ind w:firstLine="496" w:firstLineChars="200"/>
              <w:rPr>
                <w:rFonts w:hAnsi="宋体" w:eastAsia="宋体" w:cs="宋体"/>
                <w:color w:val="000000" w:themeColor="text1"/>
                <w:sz w:val="24"/>
                <w:highlight w:val="none"/>
                <w14:textFill>
                  <w14:solidFill>
                    <w14:schemeClr w14:val="tx1"/>
                  </w14:solidFill>
                </w14:textFill>
              </w:rPr>
            </w:pPr>
          </w:p>
        </w:tc>
        <w:tc>
          <w:tcPr>
            <w:tcW w:w="2755" w:type="dxa"/>
          </w:tcPr>
          <w:p w14:paraId="4466D3F4">
            <w:pPr>
              <w:pStyle w:val="20"/>
              <w:spacing w:line="480" w:lineRule="auto"/>
              <w:ind w:firstLine="496" w:firstLineChars="200"/>
              <w:rPr>
                <w:rFonts w:hAnsi="宋体" w:eastAsia="宋体" w:cs="宋体"/>
                <w:color w:val="000000" w:themeColor="text1"/>
                <w:sz w:val="24"/>
                <w:highlight w:val="none"/>
                <w14:textFill>
                  <w14:solidFill>
                    <w14:schemeClr w14:val="tx1"/>
                  </w14:solidFill>
                </w14:textFill>
              </w:rPr>
            </w:pPr>
          </w:p>
        </w:tc>
        <w:tc>
          <w:tcPr>
            <w:tcW w:w="1550" w:type="dxa"/>
          </w:tcPr>
          <w:p w14:paraId="0DA71955">
            <w:pPr>
              <w:pStyle w:val="20"/>
              <w:spacing w:line="480" w:lineRule="auto"/>
              <w:ind w:firstLine="496" w:firstLineChars="200"/>
              <w:rPr>
                <w:rFonts w:hAnsi="宋体" w:eastAsia="宋体" w:cs="宋体"/>
                <w:color w:val="000000" w:themeColor="text1"/>
                <w:sz w:val="24"/>
                <w:highlight w:val="none"/>
                <w14:textFill>
                  <w14:solidFill>
                    <w14:schemeClr w14:val="tx1"/>
                  </w14:solidFill>
                </w14:textFill>
              </w:rPr>
            </w:pPr>
          </w:p>
        </w:tc>
      </w:tr>
      <w:tr w14:paraId="5C952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1056" w:type="dxa"/>
          </w:tcPr>
          <w:p w14:paraId="0F092A0B">
            <w:pPr>
              <w:pStyle w:val="20"/>
              <w:spacing w:line="240" w:lineRule="auto"/>
              <w:rPr>
                <w:rFonts w:hint="default" w:hAnsi="宋体" w:eastAsia="宋体" w:cs="宋体"/>
                <w:color w:val="000000" w:themeColor="text1"/>
                <w:sz w:val="24"/>
                <w:highlight w:val="none"/>
                <w:lang w:val="en-US" w:eastAsia="zh-CN"/>
                <w14:textFill>
                  <w14:solidFill>
                    <w14:schemeClr w14:val="tx1"/>
                  </w14:solidFill>
                </w14:textFill>
              </w:rPr>
            </w:pPr>
            <w:r>
              <w:rPr>
                <w:rFonts w:hint="eastAsia" w:hAnsi="宋体" w:eastAsia="宋体" w:cs="宋体"/>
                <w:color w:val="000000" w:themeColor="text1"/>
                <w:sz w:val="24"/>
                <w:highlight w:val="none"/>
                <w:lang w:val="en-US" w:eastAsia="zh-CN"/>
                <w14:textFill>
                  <w14:solidFill>
                    <w14:schemeClr w14:val="tx1"/>
                  </w14:solidFill>
                </w14:textFill>
              </w:rPr>
              <w:t>...</w:t>
            </w:r>
          </w:p>
        </w:tc>
        <w:tc>
          <w:tcPr>
            <w:tcW w:w="1425" w:type="dxa"/>
          </w:tcPr>
          <w:p w14:paraId="52926F06">
            <w:pPr>
              <w:pStyle w:val="20"/>
              <w:spacing w:line="240" w:lineRule="auto"/>
              <w:rPr>
                <w:rFonts w:hint="eastAsia" w:hAnsi="宋体" w:eastAsia="宋体" w:cs="宋体"/>
                <w:color w:val="000000" w:themeColor="text1"/>
                <w:sz w:val="24"/>
                <w:highlight w:val="none"/>
                <w:lang w:eastAsia="zh-CN"/>
                <w14:textFill>
                  <w14:solidFill>
                    <w14:schemeClr w14:val="tx1"/>
                  </w14:solidFill>
                </w14:textFill>
              </w:rPr>
            </w:pPr>
          </w:p>
        </w:tc>
        <w:tc>
          <w:tcPr>
            <w:tcW w:w="1740" w:type="dxa"/>
          </w:tcPr>
          <w:p w14:paraId="0E212DB2">
            <w:pPr>
              <w:pStyle w:val="20"/>
              <w:spacing w:line="480" w:lineRule="auto"/>
              <w:ind w:firstLine="496" w:firstLineChars="200"/>
              <w:rPr>
                <w:rFonts w:hAnsi="宋体" w:eastAsia="宋体" w:cs="宋体"/>
                <w:color w:val="000000" w:themeColor="text1"/>
                <w:sz w:val="24"/>
                <w:highlight w:val="none"/>
                <w14:textFill>
                  <w14:solidFill>
                    <w14:schemeClr w14:val="tx1"/>
                  </w14:solidFill>
                </w14:textFill>
              </w:rPr>
            </w:pPr>
          </w:p>
        </w:tc>
        <w:tc>
          <w:tcPr>
            <w:tcW w:w="2755" w:type="dxa"/>
          </w:tcPr>
          <w:p w14:paraId="659D5F9F">
            <w:pPr>
              <w:pStyle w:val="20"/>
              <w:spacing w:line="480" w:lineRule="auto"/>
              <w:ind w:firstLine="496" w:firstLineChars="200"/>
              <w:rPr>
                <w:rFonts w:hAnsi="宋体" w:eastAsia="宋体" w:cs="宋体"/>
                <w:color w:val="000000" w:themeColor="text1"/>
                <w:sz w:val="24"/>
                <w:highlight w:val="none"/>
                <w14:textFill>
                  <w14:solidFill>
                    <w14:schemeClr w14:val="tx1"/>
                  </w14:solidFill>
                </w14:textFill>
              </w:rPr>
            </w:pPr>
          </w:p>
        </w:tc>
        <w:tc>
          <w:tcPr>
            <w:tcW w:w="1550" w:type="dxa"/>
          </w:tcPr>
          <w:p w14:paraId="3DD689B8">
            <w:pPr>
              <w:pStyle w:val="20"/>
              <w:spacing w:line="480" w:lineRule="auto"/>
              <w:ind w:firstLine="496" w:firstLineChars="200"/>
              <w:rPr>
                <w:rFonts w:hAnsi="宋体" w:eastAsia="宋体" w:cs="宋体"/>
                <w:color w:val="000000" w:themeColor="text1"/>
                <w:sz w:val="24"/>
                <w:highlight w:val="none"/>
                <w14:textFill>
                  <w14:solidFill>
                    <w14:schemeClr w14:val="tx1"/>
                  </w14:solidFill>
                </w14:textFill>
              </w:rPr>
            </w:pPr>
          </w:p>
        </w:tc>
      </w:tr>
    </w:tbl>
    <w:p w14:paraId="57AF2081">
      <w:pPr>
        <w:snapToGrid w:val="0"/>
        <w:spacing w:line="360" w:lineRule="auto"/>
        <w:ind w:firstLine="496" w:firstLineChars="200"/>
        <w:rPr>
          <w:rFonts w:hint="eastAsia" w:ascii="宋体" w:hAnsi="宋体" w:cs="宋体"/>
          <w:sz w:val="24"/>
          <w:szCs w:val="24"/>
        </w:rPr>
      </w:pPr>
      <w:r>
        <w:rPr>
          <w:rFonts w:hint="eastAsia" w:ascii="宋体" w:hAnsi="宋体" w:cs="宋体"/>
          <w:sz w:val="24"/>
          <w:szCs w:val="24"/>
        </w:rPr>
        <w:t>说明：</w:t>
      </w:r>
    </w:p>
    <w:p w14:paraId="0C477967">
      <w:pPr>
        <w:snapToGrid w:val="0"/>
        <w:spacing w:line="360" w:lineRule="auto"/>
        <w:ind w:firstLine="496" w:firstLineChars="200"/>
        <w:rPr>
          <w:rFonts w:hint="eastAsia" w:ascii="宋体" w:hAnsi="宋体" w:cs="宋体"/>
          <w:sz w:val="24"/>
          <w:szCs w:val="24"/>
        </w:rPr>
      </w:pPr>
      <w:r>
        <w:rPr>
          <w:rFonts w:hint="eastAsia" w:ascii="宋体" w:hAnsi="宋体" w:cs="宋体"/>
          <w:sz w:val="24"/>
          <w:szCs w:val="24"/>
        </w:rPr>
        <w:t>1.本表只填写</w:t>
      </w:r>
      <w:r>
        <w:rPr>
          <w:rFonts w:hint="eastAsia" w:ascii="宋体" w:hAnsi="宋体" w:cs="宋体"/>
          <w:sz w:val="24"/>
          <w:szCs w:val="24"/>
          <w:lang w:val="en-US" w:eastAsia="zh-CN"/>
        </w:rPr>
        <w:t>投标文件</w:t>
      </w:r>
      <w:r>
        <w:rPr>
          <w:rFonts w:hint="eastAsia" w:ascii="宋体" w:hAnsi="宋体" w:cs="宋体"/>
          <w:sz w:val="24"/>
          <w:szCs w:val="24"/>
        </w:rPr>
        <w:t>中与</w:t>
      </w:r>
      <w:r>
        <w:rPr>
          <w:rFonts w:hint="eastAsia" w:ascii="宋体" w:hAnsi="宋体" w:cs="宋体"/>
          <w:sz w:val="24"/>
          <w:szCs w:val="24"/>
          <w:lang w:val="en-US" w:eastAsia="zh-CN"/>
        </w:rPr>
        <w:t>招标</w:t>
      </w:r>
      <w:r>
        <w:rPr>
          <w:rFonts w:hint="eastAsia" w:ascii="宋体" w:hAnsi="宋体" w:cs="宋体"/>
          <w:sz w:val="24"/>
          <w:szCs w:val="24"/>
        </w:rPr>
        <w:t>文件</w:t>
      </w:r>
      <w:r>
        <w:rPr>
          <w:rFonts w:hint="eastAsia" w:ascii="宋体" w:hAnsi="宋体" w:cs="宋体"/>
          <w:sz w:val="24"/>
          <w:szCs w:val="24"/>
          <w:lang w:val="en-US" w:eastAsia="zh-CN"/>
        </w:rPr>
        <w:t>商务要求</w:t>
      </w:r>
      <w:r>
        <w:rPr>
          <w:rFonts w:hint="eastAsia" w:ascii="宋体" w:hAnsi="宋体" w:cs="宋体"/>
          <w:sz w:val="24"/>
          <w:szCs w:val="24"/>
        </w:rPr>
        <w:t>有偏离（包括正偏离和负偏离）的内容，完全一致的，不用在此表中列出，但必须提交空白表。</w:t>
      </w:r>
    </w:p>
    <w:p w14:paraId="4566C4AC">
      <w:pPr>
        <w:pStyle w:val="12"/>
        <w:spacing w:line="360" w:lineRule="auto"/>
        <w:ind w:left="0" w:leftChars="0" w:firstLine="496" w:firstLineChars="200"/>
        <w:rPr>
          <w:rFonts w:hint="eastAsia" w:ascii="宋体" w:hAnsi="宋体" w:cs="宋体"/>
          <w:sz w:val="24"/>
          <w:szCs w:val="24"/>
        </w:rPr>
      </w:pPr>
      <w:r>
        <w:rPr>
          <w:rFonts w:hint="eastAsia" w:ascii="宋体" w:hAnsi="宋体" w:cs="宋体"/>
          <w:sz w:val="24"/>
          <w:szCs w:val="24"/>
        </w:rPr>
        <w:t>2.供应商必须据实填写，不得虚假响应，否则将取消其</w:t>
      </w:r>
      <w:r>
        <w:rPr>
          <w:rFonts w:hint="eastAsia" w:ascii="宋体" w:hAnsi="宋体" w:cs="宋体"/>
          <w:sz w:val="24"/>
          <w:szCs w:val="24"/>
          <w:lang w:val="en-US" w:eastAsia="zh-CN"/>
        </w:rPr>
        <w:t>投标或</w:t>
      </w:r>
      <w:r>
        <w:rPr>
          <w:rFonts w:hint="eastAsia" w:ascii="宋体" w:hAnsi="宋体" w:cs="宋体"/>
          <w:sz w:val="24"/>
          <w:szCs w:val="24"/>
        </w:rPr>
        <w:t>成交资格，并按有关规定进处罚。</w:t>
      </w:r>
    </w:p>
    <w:p w14:paraId="66822547">
      <w:pPr>
        <w:pStyle w:val="34"/>
        <w:ind w:left="0" w:leftChars="0" w:firstLine="496" w:firstLineChars="200"/>
        <w:rPr>
          <w:rFonts w:hint="default" w:eastAsiaTheme="minorEastAsia"/>
          <w:lang w:val="en-US" w:eastAsia="zh-CN"/>
        </w:rPr>
      </w:pPr>
      <w:r>
        <w:rPr>
          <w:rFonts w:hint="eastAsia" w:ascii="宋体" w:hAnsi="宋体" w:cs="宋体"/>
          <w:sz w:val="24"/>
          <w:szCs w:val="24"/>
          <w:lang w:val="en-US" w:eastAsia="zh-CN"/>
        </w:rPr>
        <w:t>3.本项目商务要求不允许负偏离。</w:t>
      </w:r>
    </w:p>
    <w:p w14:paraId="426D98BD">
      <w:pPr>
        <w:keepNext w:val="0"/>
        <w:keepLines w:val="0"/>
        <w:pageBreakBefore w:val="0"/>
        <w:widowControl/>
        <w:kinsoku/>
        <w:wordWrap/>
        <w:overflowPunct/>
        <w:topLinePunct w:val="0"/>
        <w:autoSpaceDE/>
        <w:autoSpaceDN/>
        <w:bidi w:val="0"/>
        <w:adjustRightInd w:val="0"/>
        <w:snapToGrid w:val="0"/>
        <w:spacing w:line="480" w:lineRule="auto"/>
        <w:ind w:firstLine="496" w:firstLineChars="200"/>
        <w:textAlignment w:val="auto"/>
        <w:rPr>
          <w:rFonts w:ascii="宋体" w:hAnsi="宋体" w:eastAsia="宋体" w:cs="宋体"/>
          <w:color w:val="000000" w:themeColor="text1"/>
          <w:highlight w:val="none"/>
          <w:u w:val="singl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供应商（单位名称及公章）：</w:t>
      </w:r>
    </w:p>
    <w:p w14:paraId="0A0347F0">
      <w:pPr>
        <w:keepNext w:val="0"/>
        <w:keepLines w:val="0"/>
        <w:pageBreakBefore w:val="0"/>
        <w:widowControl/>
        <w:kinsoku/>
        <w:wordWrap/>
        <w:overflowPunct/>
        <w:topLinePunct w:val="0"/>
        <w:autoSpaceDE/>
        <w:autoSpaceDN/>
        <w:bidi w:val="0"/>
        <w:adjustRightInd w:val="0"/>
        <w:snapToGrid w:val="0"/>
        <w:spacing w:line="480" w:lineRule="auto"/>
        <w:ind w:firstLine="496" w:firstLineChars="200"/>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法定代表人或被授权人（签字或盖章）：</w:t>
      </w:r>
    </w:p>
    <w:p w14:paraId="02AAEF66">
      <w:pPr>
        <w:keepNext w:val="0"/>
        <w:keepLines w:val="0"/>
        <w:pageBreakBefore w:val="0"/>
        <w:widowControl/>
        <w:kinsoku/>
        <w:wordWrap/>
        <w:overflowPunct/>
        <w:topLinePunct w:val="0"/>
        <w:autoSpaceDE/>
        <w:autoSpaceDN/>
        <w:bidi w:val="0"/>
        <w:adjustRightInd w:val="0"/>
        <w:snapToGrid w:val="0"/>
        <w:spacing w:line="480" w:lineRule="auto"/>
        <w:ind w:firstLine="496" w:firstLineChars="200"/>
        <w:textAlignment w:val="auto"/>
        <w:rPr>
          <w:rFonts w:ascii="宋体" w:hAnsi="宋体" w:eastAsia="宋体" w:cs="宋体"/>
          <w:color w:val="000000" w:themeColor="text1"/>
          <w:highlight w:val="none"/>
          <w14:textFill>
            <w14:solidFill>
              <w14:schemeClr w14:val="tx1"/>
            </w14:solidFill>
          </w14:textFill>
        </w:rPr>
        <w:sectPr>
          <w:footerReference r:id="rId15" w:type="default"/>
          <w:pgSz w:w="11906" w:h="16838"/>
          <w:pgMar w:top="1440" w:right="1083" w:bottom="1440" w:left="1083" w:header="850" w:footer="992" w:gutter="0"/>
          <w:pgNumType w:fmt="decimal"/>
          <w:cols w:space="0" w:num="1"/>
          <w:titlePg/>
          <w:docGrid w:type="linesAndChars" w:linePitch="395" w:charSpace="1724"/>
        </w:sectPr>
      </w:pPr>
      <w:r>
        <w:rPr>
          <w:rFonts w:hint="eastAsia" w:ascii="宋体" w:hAnsi="宋体" w:eastAsia="宋体" w:cs="宋体"/>
          <w:color w:val="000000" w:themeColor="text1"/>
          <w:highlight w:val="none"/>
          <w14:textFill>
            <w14:solidFill>
              <w14:schemeClr w14:val="tx1"/>
            </w14:solidFill>
          </w14:textFill>
        </w:rPr>
        <w:t>日    期：</w:t>
      </w:r>
      <w:r>
        <w:rPr>
          <w:rFonts w:hint="eastAsia" w:ascii="宋体" w:hAnsi="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年</w:t>
      </w:r>
      <w:r>
        <w:rPr>
          <w:rFonts w:hint="eastAsia" w:ascii="宋体" w:hAnsi="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月</w:t>
      </w:r>
      <w:r>
        <w:rPr>
          <w:rFonts w:hint="eastAsia" w:ascii="宋体" w:hAnsi="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日</w:t>
      </w:r>
    </w:p>
    <w:p w14:paraId="6F888463">
      <w:pPr>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t>表2、</w:t>
      </w:r>
      <w:r>
        <w:rPr>
          <w:rFonts w:hint="eastAsia" w:ascii="宋体" w:hAnsi="宋体" w:eastAsia="宋体" w:cs="宋体"/>
          <w:color w:val="000000" w:themeColor="text1"/>
          <w:sz w:val="28"/>
          <w:szCs w:val="28"/>
          <w:highlight w:val="none"/>
          <w:lang w:val="en-US" w:eastAsia="zh-CN"/>
          <w14:textFill>
            <w14:solidFill>
              <w14:schemeClr w14:val="tx1"/>
            </w14:solidFill>
          </w14:textFill>
        </w:rPr>
        <w:t>技术要求</w:t>
      </w:r>
      <w:r>
        <w:rPr>
          <w:rFonts w:hint="eastAsia" w:ascii="宋体" w:hAnsi="宋体" w:eastAsia="宋体" w:cs="宋体"/>
          <w:color w:val="000000" w:themeColor="text1"/>
          <w:sz w:val="28"/>
          <w:szCs w:val="28"/>
          <w:highlight w:val="none"/>
          <w14:textFill>
            <w14:solidFill>
              <w14:schemeClr w14:val="tx1"/>
            </w14:solidFill>
          </w14:textFill>
        </w:rPr>
        <w:t>响应偏差表</w:t>
      </w:r>
    </w:p>
    <w:tbl>
      <w:tblPr>
        <w:tblStyle w:val="35"/>
        <w:tblW w:w="8756"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135"/>
        <w:gridCol w:w="2084"/>
        <w:gridCol w:w="2216"/>
        <w:gridCol w:w="1470"/>
      </w:tblGrid>
      <w:tr w14:paraId="7B962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851" w:type="dxa"/>
            <w:vAlign w:val="center"/>
          </w:tcPr>
          <w:p w14:paraId="7D5A4CB1">
            <w:pPr>
              <w:pStyle w:val="20"/>
              <w:spacing w:line="480" w:lineRule="auto"/>
              <w:jc w:val="center"/>
              <w:rPr>
                <w:rFonts w:hAnsi="宋体" w:eastAsia="宋体" w:cs="宋体"/>
                <w:color w:val="000000" w:themeColor="text1"/>
                <w:sz w:val="24"/>
                <w:highlight w:val="none"/>
                <w14:textFill>
                  <w14:solidFill>
                    <w14:schemeClr w14:val="tx1"/>
                  </w14:solidFill>
                </w14:textFill>
              </w:rPr>
            </w:pPr>
            <w:r>
              <w:rPr>
                <w:rFonts w:hint="eastAsia" w:hAnsi="宋体" w:eastAsia="宋体" w:cs="宋体"/>
                <w:color w:val="000000" w:themeColor="text1"/>
                <w:sz w:val="24"/>
                <w:highlight w:val="none"/>
                <w14:textFill>
                  <w14:solidFill>
                    <w14:schemeClr w14:val="tx1"/>
                  </w14:solidFill>
                </w14:textFill>
              </w:rPr>
              <w:t>序号</w:t>
            </w:r>
          </w:p>
        </w:tc>
        <w:tc>
          <w:tcPr>
            <w:tcW w:w="2135" w:type="dxa"/>
            <w:vAlign w:val="center"/>
          </w:tcPr>
          <w:p w14:paraId="2FAD3B56">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r>
              <w:rPr>
                <w:rFonts w:hint="eastAsia" w:hAnsi="宋体" w:eastAsia="宋体" w:cs="宋体"/>
                <w:color w:val="000000" w:themeColor="text1"/>
                <w:sz w:val="24"/>
                <w:highlight w:val="none"/>
                <w14:textFill>
                  <w14:solidFill>
                    <w14:schemeClr w14:val="tx1"/>
                  </w14:solidFill>
                </w14:textFill>
              </w:rPr>
              <w:t>产品名称</w:t>
            </w:r>
          </w:p>
        </w:tc>
        <w:tc>
          <w:tcPr>
            <w:tcW w:w="2084" w:type="dxa"/>
            <w:vAlign w:val="center"/>
          </w:tcPr>
          <w:p w14:paraId="540866C6">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r>
              <w:rPr>
                <w:rFonts w:hint="eastAsia" w:hAnsi="宋体" w:eastAsia="宋体" w:cs="宋体"/>
                <w:color w:val="000000" w:themeColor="text1"/>
                <w:sz w:val="24"/>
                <w:highlight w:val="none"/>
                <w14:textFill>
                  <w14:solidFill>
                    <w14:schemeClr w14:val="tx1"/>
                  </w14:solidFill>
                </w14:textFill>
              </w:rPr>
              <w:t>文件要求</w:t>
            </w:r>
          </w:p>
          <w:p w14:paraId="6758213A">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r>
              <w:rPr>
                <w:rFonts w:hint="eastAsia" w:hAnsi="宋体" w:eastAsia="宋体" w:cs="宋体"/>
                <w:color w:val="000000" w:themeColor="text1"/>
                <w:sz w:val="24"/>
                <w:highlight w:val="none"/>
                <w14:textFill>
                  <w14:solidFill>
                    <w14:schemeClr w14:val="tx1"/>
                  </w14:solidFill>
                </w14:textFill>
              </w:rPr>
              <w:t>技术指标</w:t>
            </w:r>
          </w:p>
        </w:tc>
        <w:tc>
          <w:tcPr>
            <w:tcW w:w="2216" w:type="dxa"/>
            <w:vAlign w:val="center"/>
          </w:tcPr>
          <w:p w14:paraId="671ED7B8">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r>
              <w:rPr>
                <w:rFonts w:hint="eastAsia" w:hAnsi="宋体" w:eastAsia="宋体" w:cs="宋体"/>
                <w:color w:val="000000" w:themeColor="text1"/>
                <w:sz w:val="24"/>
                <w:highlight w:val="none"/>
                <w14:textFill>
                  <w14:solidFill>
                    <w14:schemeClr w14:val="tx1"/>
                  </w14:solidFill>
                </w14:textFill>
              </w:rPr>
              <w:t>投标产品</w:t>
            </w:r>
          </w:p>
          <w:p w14:paraId="754CECBD">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r>
              <w:rPr>
                <w:rFonts w:hint="eastAsia" w:hAnsi="宋体" w:eastAsia="宋体" w:cs="宋体"/>
                <w:color w:val="000000" w:themeColor="text1"/>
                <w:sz w:val="24"/>
                <w:highlight w:val="none"/>
                <w14:textFill>
                  <w14:solidFill>
                    <w14:schemeClr w14:val="tx1"/>
                  </w14:solidFill>
                </w14:textFill>
              </w:rPr>
              <w:t>技术指标</w:t>
            </w:r>
          </w:p>
        </w:tc>
        <w:tc>
          <w:tcPr>
            <w:tcW w:w="1470" w:type="dxa"/>
            <w:vAlign w:val="center"/>
          </w:tcPr>
          <w:p w14:paraId="02D3491B">
            <w:pPr>
              <w:pStyle w:val="20"/>
              <w:spacing w:line="480" w:lineRule="auto"/>
              <w:jc w:val="center"/>
              <w:rPr>
                <w:rFonts w:hAnsi="宋体" w:eastAsia="宋体" w:cs="宋体"/>
                <w:color w:val="000000" w:themeColor="text1"/>
                <w:sz w:val="24"/>
                <w:highlight w:val="none"/>
                <w14:textFill>
                  <w14:solidFill>
                    <w14:schemeClr w14:val="tx1"/>
                  </w14:solidFill>
                </w14:textFill>
              </w:rPr>
            </w:pPr>
            <w:r>
              <w:rPr>
                <w:rFonts w:hint="eastAsia" w:hAnsi="宋体" w:eastAsia="宋体" w:cs="宋体"/>
                <w:color w:val="000000" w:themeColor="text1"/>
                <w:sz w:val="24"/>
                <w:highlight w:val="none"/>
                <w14:textFill>
                  <w14:solidFill>
                    <w14:schemeClr w14:val="tx1"/>
                  </w14:solidFill>
                </w14:textFill>
              </w:rPr>
              <w:t>偏离说明</w:t>
            </w:r>
          </w:p>
        </w:tc>
      </w:tr>
      <w:tr w14:paraId="74165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851" w:type="dxa"/>
          </w:tcPr>
          <w:p w14:paraId="7F0A67AA">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p>
        </w:tc>
        <w:tc>
          <w:tcPr>
            <w:tcW w:w="2135" w:type="dxa"/>
          </w:tcPr>
          <w:p w14:paraId="5A66DF6F">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p>
        </w:tc>
        <w:tc>
          <w:tcPr>
            <w:tcW w:w="2084" w:type="dxa"/>
            <w:vAlign w:val="center"/>
          </w:tcPr>
          <w:p w14:paraId="6F3CD423">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p>
        </w:tc>
        <w:tc>
          <w:tcPr>
            <w:tcW w:w="2216" w:type="dxa"/>
            <w:vAlign w:val="center"/>
          </w:tcPr>
          <w:p w14:paraId="180BAD60">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p>
        </w:tc>
        <w:tc>
          <w:tcPr>
            <w:tcW w:w="1470" w:type="dxa"/>
            <w:vAlign w:val="center"/>
          </w:tcPr>
          <w:p w14:paraId="717DBF65">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p>
        </w:tc>
      </w:tr>
      <w:tr w14:paraId="49F0A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51" w:type="dxa"/>
          </w:tcPr>
          <w:p w14:paraId="6B367667">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p>
        </w:tc>
        <w:tc>
          <w:tcPr>
            <w:tcW w:w="2135" w:type="dxa"/>
          </w:tcPr>
          <w:p w14:paraId="01F0383A">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p>
        </w:tc>
        <w:tc>
          <w:tcPr>
            <w:tcW w:w="2084" w:type="dxa"/>
          </w:tcPr>
          <w:p w14:paraId="03F4BE8F">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p>
        </w:tc>
        <w:tc>
          <w:tcPr>
            <w:tcW w:w="2216" w:type="dxa"/>
          </w:tcPr>
          <w:p w14:paraId="66EE6463">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p>
        </w:tc>
        <w:tc>
          <w:tcPr>
            <w:tcW w:w="1470" w:type="dxa"/>
          </w:tcPr>
          <w:p w14:paraId="331DE255">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p>
        </w:tc>
      </w:tr>
      <w:tr w14:paraId="6724C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51" w:type="dxa"/>
          </w:tcPr>
          <w:p w14:paraId="7D54CA3D">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p>
        </w:tc>
        <w:tc>
          <w:tcPr>
            <w:tcW w:w="2135" w:type="dxa"/>
          </w:tcPr>
          <w:p w14:paraId="79311BF6">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p>
        </w:tc>
        <w:tc>
          <w:tcPr>
            <w:tcW w:w="2084" w:type="dxa"/>
          </w:tcPr>
          <w:p w14:paraId="11A2E4C6">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p>
        </w:tc>
        <w:tc>
          <w:tcPr>
            <w:tcW w:w="2216" w:type="dxa"/>
          </w:tcPr>
          <w:p w14:paraId="6B14ADB0">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p>
        </w:tc>
        <w:tc>
          <w:tcPr>
            <w:tcW w:w="1470" w:type="dxa"/>
          </w:tcPr>
          <w:p w14:paraId="70CC5566">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p>
        </w:tc>
      </w:tr>
      <w:tr w14:paraId="5F140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851" w:type="dxa"/>
          </w:tcPr>
          <w:p w14:paraId="2B098403">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p>
        </w:tc>
        <w:tc>
          <w:tcPr>
            <w:tcW w:w="2135" w:type="dxa"/>
          </w:tcPr>
          <w:p w14:paraId="33E26479">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p>
        </w:tc>
        <w:tc>
          <w:tcPr>
            <w:tcW w:w="2084" w:type="dxa"/>
          </w:tcPr>
          <w:p w14:paraId="6497C1B5">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p>
        </w:tc>
        <w:tc>
          <w:tcPr>
            <w:tcW w:w="2216" w:type="dxa"/>
          </w:tcPr>
          <w:p w14:paraId="3F7A8367">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p>
        </w:tc>
        <w:tc>
          <w:tcPr>
            <w:tcW w:w="1470" w:type="dxa"/>
          </w:tcPr>
          <w:p w14:paraId="7B284E5E">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p>
        </w:tc>
      </w:tr>
      <w:tr w14:paraId="5D18E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51" w:type="dxa"/>
          </w:tcPr>
          <w:p w14:paraId="2A1C8FCD">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p>
        </w:tc>
        <w:tc>
          <w:tcPr>
            <w:tcW w:w="2135" w:type="dxa"/>
          </w:tcPr>
          <w:p w14:paraId="6D1397D8">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p>
        </w:tc>
        <w:tc>
          <w:tcPr>
            <w:tcW w:w="2084" w:type="dxa"/>
          </w:tcPr>
          <w:p w14:paraId="326502FA">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p>
        </w:tc>
        <w:tc>
          <w:tcPr>
            <w:tcW w:w="2216" w:type="dxa"/>
          </w:tcPr>
          <w:p w14:paraId="22FF95D6">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p>
        </w:tc>
        <w:tc>
          <w:tcPr>
            <w:tcW w:w="1470" w:type="dxa"/>
          </w:tcPr>
          <w:p w14:paraId="1DE55CEE">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p>
        </w:tc>
      </w:tr>
      <w:tr w14:paraId="0916A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851" w:type="dxa"/>
          </w:tcPr>
          <w:p w14:paraId="68A816DF">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p>
        </w:tc>
        <w:tc>
          <w:tcPr>
            <w:tcW w:w="2135" w:type="dxa"/>
          </w:tcPr>
          <w:p w14:paraId="1C5FCF67">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p>
        </w:tc>
        <w:tc>
          <w:tcPr>
            <w:tcW w:w="2084" w:type="dxa"/>
          </w:tcPr>
          <w:p w14:paraId="2AD21AEA">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p>
        </w:tc>
        <w:tc>
          <w:tcPr>
            <w:tcW w:w="2216" w:type="dxa"/>
          </w:tcPr>
          <w:p w14:paraId="44A2DB54">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p>
        </w:tc>
        <w:tc>
          <w:tcPr>
            <w:tcW w:w="1470" w:type="dxa"/>
          </w:tcPr>
          <w:p w14:paraId="0683B1CD">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p>
        </w:tc>
      </w:tr>
      <w:tr w14:paraId="48309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51" w:type="dxa"/>
          </w:tcPr>
          <w:p w14:paraId="637AC3CB">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p>
        </w:tc>
        <w:tc>
          <w:tcPr>
            <w:tcW w:w="2135" w:type="dxa"/>
          </w:tcPr>
          <w:p w14:paraId="2B24F6F5">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p>
        </w:tc>
        <w:tc>
          <w:tcPr>
            <w:tcW w:w="2084" w:type="dxa"/>
          </w:tcPr>
          <w:p w14:paraId="4F308841">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p>
        </w:tc>
        <w:tc>
          <w:tcPr>
            <w:tcW w:w="2216" w:type="dxa"/>
          </w:tcPr>
          <w:p w14:paraId="6596D697">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p>
        </w:tc>
        <w:tc>
          <w:tcPr>
            <w:tcW w:w="1470" w:type="dxa"/>
          </w:tcPr>
          <w:p w14:paraId="4D052338">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p>
        </w:tc>
      </w:tr>
      <w:tr w14:paraId="2F88E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851" w:type="dxa"/>
          </w:tcPr>
          <w:p w14:paraId="7511D961">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p>
        </w:tc>
        <w:tc>
          <w:tcPr>
            <w:tcW w:w="2135" w:type="dxa"/>
          </w:tcPr>
          <w:p w14:paraId="06A12368">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p>
        </w:tc>
        <w:tc>
          <w:tcPr>
            <w:tcW w:w="2084" w:type="dxa"/>
          </w:tcPr>
          <w:p w14:paraId="46C248D5">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p>
        </w:tc>
        <w:tc>
          <w:tcPr>
            <w:tcW w:w="2216" w:type="dxa"/>
          </w:tcPr>
          <w:p w14:paraId="35A62114">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p>
        </w:tc>
        <w:tc>
          <w:tcPr>
            <w:tcW w:w="1470" w:type="dxa"/>
          </w:tcPr>
          <w:p w14:paraId="6A30C56B">
            <w:pPr>
              <w:pStyle w:val="20"/>
              <w:spacing w:line="480" w:lineRule="auto"/>
              <w:ind w:firstLine="480" w:firstLineChars="200"/>
              <w:rPr>
                <w:rFonts w:hAnsi="宋体" w:eastAsia="宋体" w:cs="宋体"/>
                <w:color w:val="000000" w:themeColor="text1"/>
                <w:sz w:val="24"/>
                <w:highlight w:val="none"/>
                <w14:textFill>
                  <w14:solidFill>
                    <w14:schemeClr w14:val="tx1"/>
                  </w14:solidFill>
                </w14:textFill>
              </w:rPr>
            </w:pPr>
          </w:p>
        </w:tc>
      </w:tr>
    </w:tbl>
    <w:p w14:paraId="108CAB8D">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说明：</w:t>
      </w:r>
    </w:p>
    <w:p w14:paraId="158E81FB">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1.本表只填写</w:t>
      </w:r>
      <w:r>
        <w:rPr>
          <w:rFonts w:hint="eastAsia" w:ascii="宋体" w:hAnsi="宋体" w:cs="宋体"/>
          <w:sz w:val="24"/>
          <w:szCs w:val="24"/>
          <w:lang w:val="en-US" w:eastAsia="zh-CN"/>
        </w:rPr>
        <w:t>投标文件</w:t>
      </w:r>
      <w:r>
        <w:rPr>
          <w:rFonts w:hint="eastAsia" w:ascii="宋体" w:hAnsi="宋体" w:cs="宋体"/>
          <w:sz w:val="24"/>
          <w:szCs w:val="24"/>
        </w:rPr>
        <w:t>中与</w:t>
      </w:r>
      <w:r>
        <w:rPr>
          <w:rFonts w:hint="eastAsia" w:ascii="宋体" w:hAnsi="宋体" w:cs="宋体"/>
          <w:sz w:val="24"/>
          <w:szCs w:val="24"/>
          <w:lang w:val="en-US" w:eastAsia="zh-CN"/>
        </w:rPr>
        <w:t>招标</w:t>
      </w:r>
      <w:r>
        <w:rPr>
          <w:rFonts w:hint="eastAsia" w:ascii="宋体" w:hAnsi="宋体" w:cs="宋体"/>
          <w:sz w:val="24"/>
          <w:szCs w:val="24"/>
        </w:rPr>
        <w:t>文件</w:t>
      </w:r>
      <w:r>
        <w:rPr>
          <w:rFonts w:hint="eastAsia" w:ascii="宋体" w:hAnsi="宋体" w:cs="宋体"/>
          <w:sz w:val="24"/>
          <w:szCs w:val="24"/>
          <w:lang w:val="en-US" w:eastAsia="zh-CN"/>
        </w:rPr>
        <w:t>技术要求</w:t>
      </w:r>
      <w:r>
        <w:rPr>
          <w:rFonts w:hint="eastAsia" w:ascii="宋体" w:hAnsi="宋体" w:cs="宋体"/>
          <w:sz w:val="24"/>
          <w:szCs w:val="24"/>
        </w:rPr>
        <w:t>有偏离（包括正偏离和负偏离）的内容，完全一致的，不用在此表中列出，但必须提交空白表。</w:t>
      </w:r>
    </w:p>
    <w:p w14:paraId="764E3FAD">
      <w:pPr>
        <w:pStyle w:val="12"/>
        <w:spacing w:line="360" w:lineRule="auto"/>
        <w:ind w:left="0" w:leftChars="0" w:firstLine="480" w:firstLineChars="200"/>
        <w:rPr>
          <w:rFonts w:ascii="宋体" w:hAnsi="宋体" w:eastAsia="宋体" w:cs="宋体"/>
          <w:color w:val="000000" w:themeColor="text1"/>
          <w:highlight w:val="none"/>
          <w14:textFill>
            <w14:solidFill>
              <w14:schemeClr w14:val="tx1"/>
            </w14:solidFill>
          </w14:textFill>
        </w:rPr>
      </w:pPr>
      <w:r>
        <w:rPr>
          <w:rFonts w:hint="eastAsia" w:ascii="宋体" w:hAnsi="宋体" w:cs="宋体"/>
          <w:sz w:val="24"/>
          <w:szCs w:val="24"/>
        </w:rPr>
        <w:t>2.供应商必须据实填写，不得虚假响应，否则将取消其</w:t>
      </w:r>
      <w:r>
        <w:rPr>
          <w:rFonts w:hint="eastAsia" w:ascii="宋体" w:hAnsi="宋体" w:cs="宋体"/>
          <w:sz w:val="24"/>
          <w:szCs w:val="24"/>
          <w:lang w:val="en-US" w:eastAsia="zh-CN"/>
        </w:rPr>
        <w:t>投标或</w:t>
      </w:r>
      <w:r>
        <w:rPr>
          <w:rFonts w:hint="eastAsia" w:ascii="宋体" w:hAnsi="宋体" w:cs="宋体"/>
          <w:sz w:val="24"/>
          <w:szCs w:val="24"/>
        </w:rPr>
        <w:t>成交资格，并按有关规定进处罚。</w:t>
      </w:r>
    </w:p>
    <w:p w14:paraId="44346FDB">
      <w:pPr>
        <w:keepNext w:val="0"/>
        <w:keepLines w:val="0"/>
        <w:pageBreakBefore w:val="0"/>
        <w:widowControl/>
        <w:kinsoku/>
        <w:wordWrap/>
        <w:overflowPunct/>
        <w:topLinePunct w:val="0"/>
        <w:autoSpaceDE/>
        <w:autoSpaceDN/>
        <w:bidi w:val="0"/>
        <w:adjustRightInd w:val="0"/>
        <w:snapToGrid w:val="0"/>
        <w:spacing w:line="480" w:lineRule="auto"/>
        <w:ind w:firstLine="480" w:firstLineChars="200"/>
        <w:textAlignment w:val="auto"/>
        <w:rPr>
          <w:rFonts w:ascii="宋体" w:hAnsi="宋体" w:eastAsia="宋体" w:cs="宋体"/>
          <w:color w:val="000000" w:themeColor="text1"/>
          <w:highlight w:val="none"/>
          <w:u w:val="singl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供应商（单位名称及公章）：</w:t>
      </w:r>
    </w:p>
    <w:p w14:paraId="11C0D536">
      <w:pPr>
        <w:keepNext w:val="0"/>
        <w:keepLines w:val="0"/>
        <w:pageBreakBefore w:val="0"/>
        <w:widowControl/>
        <w:kinsoku/>
        <w:wordWrap/>
        <w:overflowPunct/>
        <w:topLinePunct w:val="0"/>
        <w:autoSpaceDE/>
        <w:autoSpaceDN/>
        <w:bidi w:val="0"/>
        <w:adjustRightInd w:val="0"/>
        <w:snapToGrid w:val="0"/>
        <w:spacing w:line="480" w:lineRule="auto"/>
        <w:ind w:firstLine="480" w:firstLineChars="200"/>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法定代表人或被授权人（签字或盖章）：</w:t>
      </w:r>
    </w:p>
    <w:p w14:paraId="0BE1B11E">
      <w:pPr>
        <w:keepNext w:val="0"/>
        <w:keepLines w:val="0"/>
        <w:pageBreakBefore w:val="0"/>
        <w:widowControl/>
        <w:kinsoku/>
        <w:wordWrap/>
        <w:overflowPunct/>
        <w:topLinePunct w:val="0"/>
        <w:autoSpaceDE/>
        <w:autoSpaceDN/>
        <w:bidi w:val="0"/>
        <w:adjustRightInd w:val="0"/>
        <w:snapToGrid w:val="0"/>
        <w:spacing w:line="480" w:lineRule="auto"/>
        <w:ind w:firstLine="480" w:firstLineChars="200"/>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日    期：</w:t>
      </w:r>
      <w:r>
        <w:rPr>
          <w:rFonts w:hint="eastAsia" w:ascii="宋体" w:hAnsi="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年</w:t>
      </w:r>
      <w:r>
        <w:rPr>
          <w:rFonts w:hint="eastAsia" w:ascii="宋体" w:hAnsi="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月</w:t>
      </w:r>
      <w:r>
        <w:rPr>
          <w:rFonts w:hint="eastAsia" w:ascii="宋体" w:hAnsi="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日</w:t>
      </w:r>
    </w:p>
    <w:bookmarkEnd w:id="335"/>
    <w:bookmarkEnd w:id="336"/>
    <w:bookmarkEnd w:id="337"/>
    <w:bookmarkEnd w:id="338"/>
    <w:p w14:paraId="44B88201">
      <w:pPr>
        <w:rPr>
          <w:rFonts w:ascii="宋体" w:hAnsi="宋体" w:eastAsia="宋体" w:cs="宋体"/>
          <w:color w:val="000000" w:themeColor="text1"/>
          <w:highlight w:val="none"/>
          <w14:textFill>
            <w14:solidFill>
              <w14:schemeClr w14:val="tx1"/>
            </w14:solidFill>
          </w14:textFill>
        </w:rPr>
      </w:pPr>
      <w:bookmarkStart w:id="346" w:name="_Toc258"/>
      <w:bookmarkStart w:id="347" w:name="_Toc24830"/>
      <w:r>
        <w:rPr>
          <w:rFonts w:hint="eastAsia" w:ascii="宋体" w:hAnsi="宋体" w:eastAsia="宋体" w:cs="宋体"/>
          <w:color w:val="000000" w:themeColor="text1"/>
          <w:highlight w:val="none"/>
          <w14:textFill>
            <w14:solidFill>
              <w14:schemeClr w14:val="tx1"/>
            </w14:solidFill>
          </w14:textFill>
        </w:rPr>
        <w:br w:type="page"/>
      </w:r>
    </w:p>
    <w:p w14:paraId="74D82163">
      <w:pPr>
        <w:pStyle w:val="4"/>
        <w:spacing w:beforeLines="100" w:afterLines="150" w:line="500" w:lineRule="exact"/>
        <w:ind w:firstLine="657"/>
        <w:jc w:val="center"/>
        <w:rPr>
          <w:rFonts w:ascii="宋体" w:hAnsi="宋体" w:eastAsia="宋体" w:cs="宋体"/>
          <w:color w:val="000000" w:themeColor="text1"/>
          <w:highlight w:val="none"/>
          <w14:textFill>
            <w14:solidFill>
              <w14:schemeClr w14:val="tx1"/>
            </w14:solidFill>
          </w14:textFill>
        </w:rPr>
      </w:pPr>
      <w:bookmarkStart w:id="348" w:name="_Toc7924"/>
      <w:bookmarkStart w:id="349" w:name="_Toc14799"/>
      <w:r>
        <w:rPr>
          <w:rFonts w:hint="eastAsia" w:ascii="宋体" w:hAnsi="宋体" w:eastAsia="宋体" w:cs="宋体"/>
          <w:color w:val="000000" w:themeColor="text1"/>
          <w:highlight w:val="none"/>
          <w14:textFill>
            <w14:solidFill>
              <w14:schemeClr w14:val="tx1"/>
            </w14:solidFill>
          </w14:textFill>
        </w:rPr>
        <w:t xml:space="preserve">第六部分  </w:t>
      </w:r>
      <w:bookmarkEnd w:id="346"/>
      <w:bookmarkEnd w:id="347"/>
      <w:r>
        <w:rPr>
          <w:rFonts w:hint="eastAsia" w:ascii="宋体" w:hAnsi="宋体" w:eastAsia="宋体" w:cs="宋体"/>
          <w:color w:val="000000" w:themeColor="text1"/>
          <w:highlight w:val="none"/>
          <w:lang w:val="en-US" w:eastAsia="zh-CN"/>
          <w14:textFill>
            <w14:solidFill>
              <w14:schemeClr w14:val="tx1"/>
            </w14:solidFill>
          </w14:textFill>
        </w:rPr>
        <w:t>投标</w:t>
      </w:r>
      <w:r>
        <w:rPr>
          <w:rFonts w:hint="eastAsia" w:ascii="宋体" w:hAnsi="宋体" w:eastAsia="宋体" w:cs="宋体"/>
          <w:color w:val="000000" w:themeColor="text1"/>
          <w:highlight w:val="none"/>
          <w14:textFill>
            <w14:solidFill>
              <w14:schemeClr w14:val="tx1"/>
            </w14:solidFill>
          </w14:textFill>
        </w:rPr>
        <w:t>方案</w:t>
      </w:r>
      <w:bookmarkEnd w:id="348"/>
      <w:bookmarkEnd w:id="349"/>
    </w:p>
    <w:p w14:paraId="7F33596B">
      <w:pPr>
        <w:spacing w:line="480" w:lineRule="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b/>
          <w:bCs/>
          <w:color w:val="000000" w:themeColor="text1"/>
          <w:highlight w:val="none"/>
          <w14:textFill>
            <w14:solidFill>
              <w14:schemeClr w14:val="tx1"/>
            </w14:solidFill>
          </w14:textFill>
        </w:rPr>
        <w:t>供应商可根据评审办法自行编写，格式不限。</w:t>
      </w:r>
    </w:p>
    <w:p w14:paraId="22D1321B">
      <w:pPr>
        <w:jc w:val="both"/>
        <w:rPr>
          <w:rFonts w:ascii="宋体" w:hAnsi="宋体" w:eastAsia="宋体" w:cs="宋体"/>
          <w:color w:val="000000" w:themeColor="text1"/>
          <w:highlight w:val="none"/>
          <w14:textFill>
            <w14:solidFill>
              <w14:schemeClr w14:val="tx1"/>
            </w14:solidFill>
          </w14:textFill>
        </w:rPr>
      </w:pPr>
    </w:p>
    <w:p w14:paraId="460851DE">
      <w:pPr>
        <w:rPr>
          <w:rFonts w:ascii="宋体" w:hAnsi="宋体" w:eastAsia="宋体" w:cs="宋体"/>
          <w:color w:val="000000" w:themeColor="text1"/>
          <w:highlight w:val="none"/>
          <w14:textFill>
            <w14:solidFill>
              <w14:schemeClr w14:val="tx1"/>
            </w14:solidFill>
          </w14:textFill>
        </w:rPr>
      </w:pPr>
    </w:p>
    <w:p w14:paraId="064ABF48">
      <w:pPr>
        <w:rPr>
          <w:rFonts w:ascii="宋体" w:hAnsi="宋体" w:eastAsia="宋体" w:cs="宋体"/>
          <w:b/>
          <w:bCs/>
          <w:color w:val="000000" w:themeColor="text1"/>
          <w:sz w:val="36"/>
          <w:szCs w:val="36"/>
          <w:highlight w:val="none"/>
          <w14:textFill>
            <w14:solidFill>
              <w14:schemeClr w14:val="tx1"/>
            </w14:solidFill>
          </w14:textFill>
        </w:rPr>
      </w:pPr>
      <w:r>
        <w:rPr>
          <w:rFonts w:hint="eastAsia" w:ascii="宋体" w:hAnsi="宋体" w:eastAsia="宋体" w:cs="宋体"/>
          <w:b/>
          <w:bCs/>
          <w:color w:val="000000" w:themeColor="text1"/>
          <w:sz w:val="36"/>
          <w:szCs w:val="36"/>
          <w:highlight w:val="none"/>
          <w14:textFill>
            <w14:solidFill>
              <w14:schemeClr w14:val="tx1"/>
            </w14:solidFill>
          </w14:textFill>
        </w:rPr>
        <w:br w:type="page"/>
      </w:r>
    </w:p>
    <w:p w14:paraId="32FBA627">
      <w:pPr>
        <w:rPr>
          <w:rFonts w:ascii="宋体" w:hAnsi="宋体" w:eastAsia="宋体" w:cs="宋体"/>
          <w:color w:val="000000" w:themeColor="text1"/>
          <w:sz w:val="32"/>
          <w:szCs w:val="32"/>
          <w:highlight w:val="none"/>
          <w14:textFill>
            <w14:solidFill>
              <w14:schemeClr w14:val="tx1"/>
            </w14:solidFill>
          </w14:textFill>
        </w:rPr>
      </w:pPr>
      <w:bookmarkStart w:id="350" w:name="_Toc11540"/>
      <w:bookmarkStart w:id="351" w:name="_Toc6020"/>
      <w:bookmarkStart w:id="352" w:name="_Toc24882"/>
      <w:bookmarkStart w:id="353" w:name="_Toc3034"/>
      <w:bookmarkStart w:id="354" w:name="_Toc12793"/>
      <w:bookmarkStart w:id="355" w:name="_Toc8494"/>
      <w:bookmarkStart w:id="356" w:name="_Toc30983"/>
      <w:bookmarkStart w:id="357" w:name="_Toc11410"/>
    </w:p>
    <w:p w14:paraId="144D5ADA">
      <w:pPr>
        <w:pStyle w:val="4"/>
        <w:numPr>
          <w:ilvl w:val="0"/>
          <w:numId w:val="0"/>
        </w:numPr>
        <w:jc w:val="center"/>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第</w:t>
      </w:r>
      <w:r>
        <w:rPr>
          <w:rFonts w:hint="eastAsia" w:ascii="宋体" w:hAnsi="宋体" w:cs="宋体"/>
          <w:color w:val="000000" w:themeColor="text1"/>
          <w:highlight w:val="none"/>
          <w:lang w:val="en-US" w:eastAsia="zh-CN"/>
          <w14:textFill>
            <w14:solidFill>
              <w14:schemeClr w14:val="tx1"/>
            </w14:solidFill>
          </w14:textFill>
        </w:rPr>
        <w:t>七</w:t>
      </w:r>
      <w:r>
        <w:rPr>
          <w:rFonts w:hint="eastAsia" w:ascii="宋体" w:hAnsi="宋体" w:eastAsia="宋体" w:cs="宋体"/>
          <w:color w:val="000000" w:themeColor="text1"/>
          <w:highlight w:val="none"/>
          <w14:textFill>
            <w14:solidFill>
              <w14:schemeClr w14:val="tx1"/>
            </w14:solidFill>
          </w14:textFill>
        </w:rPr>
        <w:t xml:space="preserve">部分  </w:t>
      </w:r>
      <w:bookmarkStart w:id="358" w:name="_Toc11774"/>
      <w:bookmarkStart w:id="359" w:name="_Toc30215"/>
      <w:r>
        <w:rPr>
          <w:rFonts w:hint="eastAsia" w:ascii="宋体" w:hAnsi="宋体" w:eastAsia="宋体" w:cs="宋体"/>
          <w:color w:val="000000" w:themeColor="text1"/>
          <w:highlight w:val="none"/>
          <w14:textFill>
            <w14:solidFill>
              <w14:schemeClr w14:val="tx1"/>
            </w14:solidFill>
          </w14:textFill>
        </w:rPr>
        <w:t>供应商业绩一览表</w:t>
      </w:r>
      <w:bookmarkEnd w:id="350"/>
      <w:bookmarkEnd w:id="351"/>
      <w:bookmarkEnd w:id="352"/>
      <w:bookmarkEnd w:id="353"/>
      <w:bookmarkEnd w:id="358"/>
      <w:bookmarkEnd w:id="359"/>
    </w:p>
    <w:p w14:paraId="446D9CB2">
      <w:pPr>
        <w:rPr>
          <w:rFonts w:ascii="宋体" w:hAnsi="宋体" w:eastAsia="宋体" w:cs="宋体"/>
          <w:color w:val="000000" w:themeColor="text1"/>
          <w:highlight w:val="none"/>
          <w14:textFill>
            <w14:solidFill>
              <w14:schemeClr w14:val="tx1"/>
            </w14:solidFill>
          </w14:textFill>
        </w:rPr>
      </w:pPr>
    </w:p>
    <w:tbl>
      <w:tblPr>
        <w:tblStyle w:val="35"/>
        <w:tblpPr w:leftFromText="180" w:rightFromText="180" w:vertAnchor="text" w:horzAnchor="page" w:tblpX="1453" w:tblpY="35"/>
        <w:tblOverlap w:val="never"/>
        <w:tblW w:w="9200"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754"/>
        <w:gridCol w:w="1508"/>
        <w:gridCol w:w="1382"/>
        <w:gridCol w:w="1399"/>
        <w:gridCol w:w="1485"/>
        <w:gridCol w:w="1576"/>
        <w:gridCol w:w="1096"/>
      </w:tblGrid>
      <w:tr w14:paraId="68DD39B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94" w:hRule="atLeast"/>
        </w:trPr>
        <w:tc>
          <w:tcPr>
            <w:tcW w:w="754" w:type="dxa"/>
            <w:tcBorders>
              <w:top w:val="single" w:color="auto" w:sz="4" w:space="0"/>
            </w:tcBorders>
            <w:vAlign w:val="center"/>
          </w:tcPr>
          <w:p w14:paraId="565789CA">
            <w:pPr>
              <w:spacing w:line="400" w:lineRule="exact"/>
              <w:rPr>
                <w:rFonts w:ascii="宋体" w:hAnsi="宋体" w:eastAsia="宋体" w:cs="宋体"/>
                <w:bCs/>
                <w:color w:val="000000" w:themeColor="text1"/>
                <w:highlight w:val="none"/>
                <w14:textFill>
                  <w14:solidFill>
                    <w14:schemeClr w14:val="tx1"/>
                  </w14:solidFill>
                </w14:textFill>
              </w:rPr>
            </w:pPr>
            <w:r>
              <w:rPr>
                <w:rFonts w:hint="eastAsia" w:ascii="宋体" w:hAnsi="宋体" w:eastAsia="宋体" w:cs="宋体"/>
                <w:bCs/>
                <w:color w:val="000000" w:themeColor="text1"/>
                <w:highlight w:val="none"/>
                <w14:textFill>
                  <w14:solidFill>
                    <w14:schemeClr w14:val="tx1"/>
                  </w14:solidFill>
                </w14:textFill>
              </w:rPr>
              <w:t>年份</w:t>
            </w:r>
          </w:p>
        </w:tc>
        <w:tc>
          <w:tcPr>
            <w:tcW w:w="1508" w:type="dxa"/>
            <w:vAlign w:val="center"/>
          </w:tcPr>
          <w:p w14:paraId="60C1CFC8">
            <w:pPr>
              <w:spacing w:line="400" w:lineRule="exact"/>
              <w:jc w:val="center"/>
              <w:rPr>
                <w:rFonts w:ascii="宋体" w:hAnsi="宋体" w:eastAsia="宋体" w:cs="宋体"/>
                <w:bCs/>
                <w:color w:val="000000" w:themeColor="text1"/>
                <w:highlight w:val="none"/>
                <w14:textFill>
                  <w14:solidFill>
                    <w14:schemeClr w14:val="tx1"/>
                  </w14:solidFill>
                </w14:textFill>
              </w:rPr>
            </w:pPr>
            <w:r>
              <w:rPr>
                <w:rFonts w:hint="eastAsia" w:ascii="宋体" w:hAnsi="宋体" w:eastAsia="宋体" w:cs="宋体"/>
                <w:bCs/>
                <w:color w:val="000000" w:themeColor="text1"/>
                <w:highlight w:val="none"/>
                <w14:textFill>
                  <w14:solidFill>
                    <w14:schemeClr w14:val="tx1"/>
                  </w14:solidFill>
                </w14:textFill>
              </w:rPr>
              <w:t>用户名称</w:t>
            </w:r>
          </w:p>
        </w:tc>
        <w:tc>
          <w:tcPr>
            <w:tcW w:w="1382" w:type="dxa"/>
            <w:vAlign w:val="center"/>
          </w:tcPr>
          <w:p w14:paraId="243B33D4">
            <w:pPr>
              <w:spacing w:line="400" w:lineRule="exact"/>
              <w:jc w:val="center"/>
              <w:rPr>
                <w:rFonts w:ascii="宋体" w:hAnsi="宋体" w:eastAsia="宋体" w:cs="宋体"/>
                <w:bCs/>
                <w:color w:val="000000" w:themeColor="text1"/>
                <w:highlight w:val="none"/>
                <w14:textFill>
                  <w14:solidFill>
                    <w14:schemeClr w14:val="tx1"/>
                  </w14:solidFill>
                </w14:textFill>
              </w:rPr>
            </w:pPr>
            <w:r>
              <w:rPr>
                <w:rFonts w:hint="eastAsia" w:ascii="宋体" w:hAnsi="宋体" w:eastAsia="宋体" w:cs="宋体"/>
                <w:bCs/>
                <w:color w:val="000000" w:themeColor="text1"/>
                <w:highlight w:val="none"/>
                <w14:textFill>
                  <w14:solidFill>
                    <w14:schemeClr w14:val="tx1"/>
                  </w14:solidFill>
                </w14:textFill>
              </w:rPr>
              <w:t>项目名称</w:t>
            </w:r>
          </w:p>
        </w:tc>
        <w:tc>
          <w:tcPr>
            <w:tcW w:w="1399" w:type="dxa"/>
            <w:vAlign w:val="center"/>
          </w:tcPr>
          <w:p w14:paraId="390F1C83">
            <w:pPr>
              <w:spacing w:line="400" w:lineRule="exact"/>
              <w:jc w:val="center"/>
              <w:rPr>
                <w:rFonts w:ascii="宋体" w:hAnsi="宋体" w:eastAsia="宋体" w:cs="宋体"/>
                <w:bCs/>
                <w:color w:val="000000" w:themeColor="text1"/>
                <w:highlight w:val="none"/>
                <w14:textFill>
                  <w14:solidFill>
                    <w14:schemeClr w14:val="tx1"/>
                  </w14:solidFill>
                </w14:textFill>
              </w:rPr>
            </w:pPr>
            <w:r>
              <w:rPr>
                <w:rFonts w:hint="eastAsia" w:ascii="宋体" w:hAnsi="宋体" w:eastAsia="宋体" w:cs="宋体"/>
                <w:bCs/>
                <w:color w:val="000000" w:themeColor="text1"/>
                <w:highlight w:val="none"/>
                <w14:textFill>
                  <w14:solidFill>
                    <w14:schemeClr w14:val="tx1"/>
                  </w14:solidFill>
                </w14:textFill>
              </w:rPr>
              <w:t>完成时间</w:t>
            </w:r>
          </w:p>
        </w:tc>
        <w:tc>
          <w:tcPr>
            <w:tcW w:w="1485" w:type="dxa"/>
            <w:vAlign w:val="center"/>
          </w:tcPr>
          <w:p w14:paraId="4F5E3FF5">
            <w:pPr>
              <w:spacing w:line="400" w:lineRule="exact"/>
              <w:ind w:firstLine="120" w:firstLineChars="50"/>
              <w:rPr>
                <w:rFonts w:ascii="宋体" w:hAnsi="宋体" w:eastAsia="宋体" w:cs="宋体"/>
                <w:bCs/>
                <w:color w:val="000000" w:themeColor="text1"/>
                <w:highlight w:val="none"/>
                <w14:textFill>
                  <w14:solidFill>
                    <w14:schemeClr w14:val="tx1"/>
                  </w14:solidFill>
                </w14:textFill>
              </w:rPr>
            </w:pPr>
            <w:r>
              <w:rPr>
                <w:rFonts w:hint="eastAsia" w:ascii="宋体" w:hAnsi="宋体" w:eastAsia="宋体" w:cs="宋体"/>
                <w:bCs/>
                <w:color w:val="000000" w:themeColor="text1"/>
                <w:highlight w:val="none"/>
                <w14:textFill>
                  <w14:solidFill>
                    <w14:schemeClr w14:val="tx1"/>
                  </w14:solidFill>
                </w14:textFill>
              </w:rPr>
              <w:t>合同金额</w:t>
            </w:r>
          </w:p>
        </w:tc>
        <w:tc>
          <w:tcPr>
            <w:tcW w:w="1576" w:type="dxa"/>
            <w:tcBorders>
              <w:right w:val="single" w:color="auto" w:sz="4" w:space="0"/>
            </w:tcBorders>
            <w:vAlign w:val="center"/>
          </w:tcPr>
          <w:p w14:paraId="30A9164A">
            <w:pPr>
              <w:spacing w:line="400" w:lineRule="exact"/>
              <w:ind w:left="241" w:hanging="232" w:hangingChars="97"/>
              <w:rPr>
                <w:rFonts w:ascii="宋体" w:hAnsi="宋体" w:eastAsia="宋体" w:cs="宋体"/>
                <w:bCs/>
                <w:color w:val="000000" w:themeColor="text1"/>
                <w:highlight w:val="none"/>
                <w14:textFill>
                  <w14:solidFill>
                    <w14:schemeClr w14:val="tx1"/>
                  </w14:solidFill>
                </w14:textFill>
              </w:rPr>
            </w:pPr>
            <w:r>
              <w:rPr>
                <w:rFonts w:hint="eastAsia" w:ascii="宋体" w:hAnsi="宋体" w:eastAsia="宋体" w:cs="宋体"/>
                <w:bCs/>
                <w:color w:val="000000" w:themeColor="text1"/>
                <w:highlight w:val="none"/>
                <w14:textFill>
                  <w14:solidFill>
                    <w14:schemeClr w14:val="tx1"/>
                  </w14:solidFill>
                </w14:textFill>
              </w:rPr>
              <w:t>完成项目质量</w:t>
            </w:r>
          </w:p>
        </w:tc>
        <w:tc>
          <w:tcPr>
            <w:tcW w:w="1096" w:type="dxa"/>
            <w:tcBorders>
              <w:left w:val="single" w:color="auto" w:sz="4" w:space="0"/>
            </w:tcBorders>
            <w:vAlign w:val="center"/>
          </w:tcPr>
          <w:p w14:paraId="3FC435D1">
            <w:pPr>
              <w:spacing w:line="400" w:lineRule="exact"/>
              <w:rPr>
                <w:rFonts w:ascii="宋体" w:hAnsi="宋体" w:eastAsia="宋体" w:cs="宋体"/>
                <w:bCs/>
                <w:color w:val="000000" w:themeColor="text1"/>
                <w:highlight w:val="none"/>
                <w14:textFill>
                  <w14:solidFill>
                    <w14:schemeClr w14:val="tx1"/>
                  </w14:solidFill>
                </w14:textFill>
              </w:rPr>
            </w:pPr>
            <w:r>
              <w:rPr>
                <w:rFonts w:hint="eastAsia" w:ascii="宋体" w:hAnsi="宋体" w:eastAsia="宋体" w:cs="宋体"/>
                <w:bCs/>
                <w:color w:val="000000" w:themeColor="text1"/>
                <w:highlight w:val="none"/>
                <w14:textFill>
                  <w14:solidFill>
                    <w14:schemeClr w14:val="tx1"/>
                  </w14:solidFill>
                </w14:textFill>
              </w:rPr>
              <w:t xml:space="preserve">  备注</w:t>
            </w:r>
          </w:p>
        </w:tc>
      </w:tr>
      <w:tr w14:paraId="14CC920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99" w:hRule="atLeast"/>
        </w:trPr>
        <w:tc>
          <w:tcPr>
            <w:tcW w:w="754" w:type="dxa"/>
            <w:vAlign w:val="center"/>
          </w:tcPr>
          <w:p w14:paraId="7646B46F">
            <w:pPr>
              <w:spacing w:line="400" w:lineRule="exact"/>
              <w:jc w:val="center"/>
              <w:rPr>
                <w:rFonts w:ascii="宋体" w:hAnsi="宋体" w:eastAsia="宋体" w:cs="宋体"/>
                <w:bCs/>
                <w:color w:val="000000" w:themeColor="text1"/>
                <w:highlight w:val="none"/>
                <w14:textFill>
                  <w14:solidFill>
                    <w14:schemeClr w14:val="tx1"/>
                  </w14:solidFill>
                </w14:textFill>
              </w:rPr>
            </w:pPr>
          </w:p>
        </w:tc>
        <w:tc>
          <w:tcPr>
            <w:tcW w:w="1508" w:type="dxa"/>
            <w:vAlign w:val="center"/>
          </w:tcPr>
          <w:p w14:paraId="082FD9F0">
            <w:pPr>
              <w:spacing w:line="400" w:lineRule="exact"/>
              <w:jc w:val="center"/>
              <w:rPr>
                <w:rFonts w:ascii="宋体" w:hAnsi="宋体" w:eastAsia="宋体" w:cs="宋体"/>
                <w:bCs/>
                <w:color w:val="000000" w:themeColor="text1"/>
                <w:highlight w:val="none"/>
                <w14:textFill>
                  <w14:solidFill>
                    <w14:schemeClr w14:val="tx1"/>
                  </w14:solidFill>
                </w14:textFill>
              </w:rPr>
            </w:pPr>
          </w:p>
        </w:tc>
        <w:tc>
          <w:tcPr>
            <w:tcW w:w="1382" w:type="dxa"/>
            <w:vAlign w:val="center"/>
          </w:tcPr>
          <w:p w14:paraId="1160C8B3">
            <w:pPr>
              <w:spacing w:line="400" w:lineRule="exact"/>
              <w:jc w:val="center"/>
              <w:rPr>
                <w:rFonts w:ascii="宋体" w:hAnsi="宋体" w:eastAsia="宋体" w:cs="宋体"/>
                <w:bCs/>
                <w:color w:val="000000" w:themeColor="text1"/>
                <w:highlight w:val="none"/>
                <w14:textFill>
                  <w14:solidFill>
                    <w14:schemeClr w14:val="tx1"/>
                  </w14:solidFill>
                </w14:textFill>
              </w:rPr>
            </w:pPr>
          </w:p>
        </w:tc>
        <w:tc>
          <w:tcPr>
            <w:tcW w:w="1399" w:type="dxa"/>
            <w:vAlign w:val="center"/>
          </w:tcPr>
          <w:p w14:paraId="31A9A86A">
            <w:pPr>
              <w:spacing w:line="400" w:lineRule="exact"/>
              <w:jc w:val="center"/>
              <w:rPr>
                <w:rFonts w:ascii="宋体" w:hAnsi="宋体" w:eastAsia="宋体" w:cs="宋体"/>
                <w:bCs/>
                <w:color w:val="000000" w:themeColor="text1"/>
                <w:highlight w:val="none"/>
                <w14:textFill>
                  <w14:solidFill>
                    <w14:schemeClr w14:val="tx1"/>
                  </w14:solidFill>
                </w14:textFill>
              </w:rPr>
            </w:pPr>
          </w:p>
        </w:tc>
        <w:tc>
          <w:tcPr>
            <w:tcW w:w="1485" w:type="dxa"/>
            <w:vAlign w:val="center"/>
          </w:tcPr>
          <w:p w14:paraId="27A133E6">
            <w:pPr>
              <w:spacing w:line="400" w:lineRule="exact"/>
              <w:jc w:val="center"/>
              <w:rPr>
                <w:rFonts w:ascii="宋体" w:hAnsi="宋体" w:eastAsia="宋体" w:cs="宋体"/>
                <w:bCs/>
                <w:color w:val="000000" w:themeColor="text1"/>
                <w:highlight w:val="none"/>
                <w14:textFill>
                  <w14:solidFill>
                    <w14:schemeClr w14:val="tx1"/>
                  </w14:solidFill>
                </w14:textFill>
              </w:rPr>
            </w:pPr>
          </w:p>
        </w:tc>
        <w:tc>
          <w:tcPr>
            <w:tcW w:w="1576" w:type="dxa"/>
            <w:tcBorders>
              <w:right w:val="single" w:color="auto" w:sz="4" w:space="0"/>
            </w:tcBorders>
            <w:vAlign w:val="center"/>
          </w:tcPr>
          <w:p w14:paraId="0C0C9AD0">
            <w:pPr>
              <w:spacing w:line="400" w:lineRule="exact"/>
              <w:jc w:val="center"/>
              <w:rPr>
                <w:rFonts w:ascii="宋体" w:hAnsi="宋体" w:eastAsia="宋体" w:cs="宋体"/>
                <w:bCs/>
                <w:color w:val="000000" w:themeColor="text1"/>
                <w:highlight w:val="none"/>
                <w14:textFill>
                  <w14:solidFill>
                    <w14:schemeClr w14:val="tx1"/>
                  </w14:solidFill>
                </w14:textFill>
              </w:rPr>
            </w:pPr>
          </w:p>
        </w:tc>
        <w:tc>
          <w:tcPr>
            <w:tcW w:w="1096" w:type="dxa"/>
            <w:tcBorders>
              <w:left w:val="single" w:color="auto" w:sz="4" w:space="0"/>
            </w:tcBorders>
            <w:vAlign w:val="center"/>
          </w:tcPr>
          <w:p w14:paraId="586918A4">
            <w:pPr>
              <w:spacing w:line="400" w:lineRule="exact"/>
              <w:jc w:val="center"/>
              <w:rPr>
                <w:rFonts w:ascii="宋体" w:hAnsi="宋体" w:eastAsia="宋体" w:cs="宋体"/>
                <w:bCs/>
                <w:color w:val="000000" w:themeColor="text1"/>
                <w:highlight w:val="none"/>
                <w14:textFill>
                  <w14:solidFill>
                    <w14:schemeClr w14:val="tx1"/>
                  </w14:solidFill>
                </w14:textFill>
              </w:rPr>
            </w:pPr>
          </w:p>
        </w:tc>
      </w:tr>
      <w:tr w14:paraId="28487C6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99" w:hRule="atLeast"/>
        </w:trPr>
        <w:tc>
          <w:tcPr>
            <w:tcW w:w="754" w:type="dxa"/>
            <w:vAlign w:val="center"/>
          </w:tcPr>
          <w:p w14:paraId="4F41FB87">
            <w:pPr>
              <w:spacing w:line="400" w:lineRule="exact"/>
              <w:jc w:val="center"/>
              <w:rPr>
                <w:rFonts w:ascii="宋体" w:hAnsi="宋体" w:eastAsia="宋体" w:cs="宋体"/>
                <w:bCs/>
                <w:color w:val="000000" w:themeColor="text1"/>
                <w:highlight w:val="none"/>
                <w14:textFill>
                  <w14:solidFill>
                    <w14:schemeClr w14:val="tx1"/>
                  </w14:solidFill>
                </w14:textFill>
              </w:rPr>
            </w:pPr>
          </w:p>
        </w:tc>
        <w:tc>
          <w:tcPr>
            <w:tcW w:w="1508" w:type="dxa"/>
            <w:vAlign w:val="center"/>
          </w:tcPr>
          <w:p w14:paraId="6B1D75D4">
            <w:pPr>
              <w:spacing w:line="400" w:lineRule="exact"/>
              <w:jc w:val="center"/>
              <w:rPr>
                <w:rFonts w:ascii="宋体" w:hAnsi="宋体" w:eastAsia="宋体" w:cs="宋体"/>
                <w:bCs/>
                <w:color w:val="000000" w:themeColor="text1"/>
                <w:highlight w:val="none"/>
                <w14:textFill>
                  <w14:solidFill>
                    <w14:schemeClr w14:val="tx1"/>
                  </w14:solidFill>
                </w14:textFill>
              </w:rPr>
            </w:pPr>
          </w:p>
        </w:tc>
        <w:tc>
          <w:tcPr>
            <w:tcW w:w="1382" w:type="dxa"/>
            <w:vAlign w:val="center"/>
          </w:tcPr>
          <w:p w14:paraId="115B196C">
            <w:pPr>
              <w:spacing w:line="400" w:lineRule="exact"/>
              <w:jc w:val="center"/>
              <w:rPr>
                <w:rFonts w:ascii="宋体" w:hAnsi="宋体" w:eastAsia="宋体" w:cs="宋体"/>
                <w:bCs/>
                <w:color w:val="000000" w:themeColor="text1"/>
                <w:highlight w:val="none"/>
                <w14:textFill>
                  <w14:solidFill>
                    <w14:schemeClr w14:val="tx1"/>
                  </w14:solidFill>
                </w14:textFill>
              </w:rPr>
            </w:pPr>
          </w:p>
        </w:tc>
        <w:tc>
          <w:tcPr>
            <w:tcW w:w="1399" w:type="dxa"/>
            <w:vAlign w:val="center"/>
          </w:tcPr>
          <w:p w14:paraId="1E08DF91">
            <w:pPr>
              <w:spacing w:line="400" w:lineRule="exact"/>
              <w:jc w:val="center"/>
              <w:rPr>
                <w:rFonts w:ascii="宋体" w:hAnsi="宋体" w:eastAsia="宋体" w:cs="宋体"/>
                <w:bCs/>
                <w:color w:val="000000" w:themeColor="text1"/>
                <w:highlight w:val="none"/>
                <w14:textFill>
                  <w14:solidFill>
                    <w14:schemeClr w14:val="tx1"/>
                  </w14:solidFill>
                </w14:textFill>
              </w:rPr>
            </w:pPr>
          </w:p>
        </w:tc>
        <w:tc>
          <w:tcPr>
            <w:tcW w:w="1485" w:type="dxa"/>
            <w:vAlign w:val="center"/>
          </w:tcPr>
          <w:p w14:paraId="6E3FAC5A">
            <w:pPr>
              <w:spacing w:line="400" w:lineRule="exact"/>
              <w:jc w:val="center"/>
              <w:rPr>
                <w:rFonts w:ascii="宋体" w:hAnsi="宋体" w:eastAsia="宋体" w:cs="宋体"/>
                <w:bCs/>
                <w:color w:val="000000" w:themeColor="text1"/>
                <w:highlight w:val="none"/>
                <w14:textFill>
                  <w14:solidFill>
                    <w14:schemeClr w14:val="tx1"/>
                  </w14:solidFill>
                </w14:textFill>
              </w:rPr>
            </w:pPr>
          </w:p>
        </w:tc>
        <w:tc>
          <w:tcPr>
            <w:tcW w:w="1576" w:type="dxa"/>
            <w:tcBorders>
              <w:right w:val="single" w:color="auto" w:sz="4" w:space="0"/>
            </w:tcBorders>
            <w:vAlign w:val="center"/>
          </w:tcPr>
          <w:p w14:paraId="10FBB351">
            <w:pPr>
              <w:spacing w:line="400" w:lineRule="exact"/>
              <w:jc w:val="center"/>
              <w:rPr>
                <w:rFonts w:ascii="宋体" w:hAnsi="宋体" w:eastAsia="宋体" w:cs="宋体"/>
                <w:bCs/>
                <w:color w:val="000000" w:themeColor="text1"/>
                <w:highlight w:val="none"/>
                <w14:textFill>
                  <w14:solidFill>
                    <w14:schemeClr w14:val="tx1"/>
                  </w14:solidFill>
                </w14:textFill>
              </w:rPr>
            </w:pPr>
          </w:p>
        </w:tc>
        <w:tc>
          <w:tcPr>
            <w:tcW w:w="1096" w:type="dxa"/>
            <w:tcBorders>
              <w:left w:val="single" w:color="auto" w:sz="4" w:space="0"/>
            </w:tcBorders>
            <w:vAlign w:val="center"/>
          </w:tcPr>
          <w:p w14:paraId="07A0B301">
            <w:pPr>
              <w:spacing w:line="400" w:lineRule="exact"/>
              <w:jc w:val="center"/>
              <w:rPr>
                <w:rFonts w:ascii="宋体" w:hAnsi="宋体" w:eastAsia="宋体" w:cs="宋体"/>
                <w:bCs/>
                <w:color w:val="000000" w:themeColor="text1"/>
                <w:highlight w:val="none"/>
                <w14:textFill>
                  <w14:solidFill>
                    <w14:schemeClr w14:val="tx1"/>
                  </w14:solidFill>
                </w14:textFill>
              </w:rPr>
            </w:pPr>
          </w:p>
        </w:tc>
      </w:tr>
      <w:tr w14:paraId="0491905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99" w:hRule="atLeast"/>
        </w:trPr>
        <w:tc>
          <w:tcPr>
            <w:tcW w:w="754" w:type="dxa"/>
            <w:vAlign w:val="center"/>
          </w:tcPr>
          <w:p w14:paraId="7412C5F9">
            <w:pPr>
              <w:spacing w:line="400" w:lineRule="exact"/>
              <w:jc w:val="center"/>
              <w:rPr>
                <w:rFonts w:ascii="宋体" w:hAnsi="宋体" w:eastAsia="宋体" w:cs="宋体"/>
                <w:bCs/>
                <w:color w:val="000000" w:themeColor="text1"/>
                <w:highlight w:val="none"/>
                <w14:textFill>
                  <w14:solidFill>
                    <w14:schemeClr w14:val="tx1"/>
                  </w14:solidFill>
                </w14:textFill>
              </w:rPr>
            </w:pPr>
          </w:p>
        </w:tc>
        <w:tc>
          <w:tcPr>
            <w:tcW w:w="1508" w:type="dxa"/>
            <w:vAlign w:val="center"/>
          </w:tcPr>
          <w:p w14:paraId="0FC18027">
            <w:pPr>
              <w:spacing w:line="400" w:lineRule="exact"/>
              <w:jc w:val="center"/>
              <w:rPr>
                <w:rFonts w:ascii="宋体" w:hAnsi="宋体" w:eastAsia="宋体" w:cs="宋体"/>
                <w:bCs/>
                <w:color w:val="000000" w:themeColor="text1"/>
                <w:highlight w:val="none"/>
                <w14:textFill>
                  <w14:solidFill>
                    <w14:schemeClr w14:val="tx1"/>
                  </w14:solidFill>
                </w14:textFill>
              </w:rPr>
            </w:pPr>
          </w:p>
        </w:tc>
        <w:tc>
          <w:tcPr>
            <w:tcW w:w="1382" w:type="dxa"/>
            <w:vAlign w:val="center"/>
          </w:tcPr>
          <w:p w14:paraId="5C274414">
            <w:pPr>
              <w:spacing w:line="400" w:lineRule="exact"/>
              <w:jc w:val="center"/>
              <w:rPr>
                <w:rFonts w:ascii="宋体" w:hAnsi="宋体" w:eastAsia="宋体" w:cs="宋体"/>
                <w:bCs/>
                <w:color w:val="000000" w:themeColor="text1"/>
                <w:highlight w:val="none"/>
                <w14:textFill>
                  <w14:solidFill>
                    <w14:schemeClr w14:val="tx1"/>
                  </w14:solidFill>
                </w14:textFill>
              </w:rPr>
            </w:pPr>
          </w:p>
        </w:tc>
        <w:tc>
          <w:tcPr>
            <w:tcW w:w="1399" w:type="dxa"/>
            <w:vAlign w:val="center"/>
          </w:tcPr>
          <w:p w14:paraId="2C28CE4E">
            <w:pPr>
              <w:spacing w:line="400" w:lineRule="exact"/>
              <w:jc w:val="center"/>
              <w:rPr>
                <w:rFonts w:ascii="宋体" w:hAnsi="宋体" w:eastAsia="宋体" w:cs="宋体"/>
                <w:bCs/>
                <w:color w:val="000000" w:themeColor="text1"/>
                <w:highlight w:val="none"/>
                <w14:textFill>
                  <w14:solidFill>
                    <w14:schemeClr w14:val="tx1"/>
                  </w14:solidFill>
                </w14:textFill>
              </w:rPr>
            </w:pPr>
          </w:p>
        </w:tc>
        <w:tc>
          <w:tcPr>
            <w:tcW w:w="1485" w:type="dxa"/>
            <w:vAlign w:val="center"/>
          </w:tcPr>
          <w:p w14:paraId="56D7A653">
            <w:pPr>
              <w:spacing w:line="400" w:lineRule="exact"/>
              <w:jc w:val="center"/>
              <w:rPr>
                <w:rFonts w:ascii="宋体" w:hAnsi="宋体" w:eastAsia="宋体" w:cs="宋体"/>
                <w:bCs/>
                <w:color w:val="000000" w:themeColor="text1"/>
                <w:highlight w:val="none"/>
                <w14:textFill>
                  <w14:solidFill>
                    <w14:schemeClr w14:val="tx1"/>
                  </w14:solidFill>
                </w14:textFill>
              </w:rPr>
            </w:pPr>
          </w:p>
        </w:tc>
        <w:tc>
          <w:tcPr>
            <w:tcW w:w="1576" w:type="dxa"/>
            <w:tcBorders>
              <w:right w:val="single" w:color="auto" w:sz="4" w:space="0"/>
            </w:tcBorders>
            <w:vAlign w:val="center"/>
          </w:tcPr>
          <w:p w14:paraId="08F2CC7B">
            <w:pPr>
              <w:spacing w:line="400" w:lineRule="exact"/>
              <w:jc w:val="center"/>
              <w:rPr>
                <w:rFonts w:ascii="宋体" w:hAnsi="宋体" w:eastAsia="宋体" w:cs="宋体"/>
                <w:bCs/>
                <w:color w:val="000000" w:themeColor="text1"/>
                <w:highlight w:val="none"/>
                <w14:textFill>
                  <w14:solidFill>
                    <w14:schemeClr w14:val="tx1"/>
                  </w14:solidFill>
                </w14:textFill>
              </w:rPr>
            </w:pPr>
          </w:p>
        </w:tc>
        <w:tc>
          <w:tcPr>
            <w:tcW w:w="1096" w:type="dxa"/>
            <w:tcBorders>
              <w:left w:val="single" w:color="auto" w:sz="4" w:space="0"/>
            </w:tcBorders>
            <w:vAlign w:val="center"/>
          </w:tcPr>
          <w:p w14:paraId="452A3A56">
            <w:pPr>
              <w:spacing w:line="400" w:lineRule="exact"/>
              <w:jc w:val="center"/>
              <w:rPr>
                <w:rFonts w:ascii="宋体" w:hAnsi="宋体" w:eastAsia="宋体" w:cs="宋体"/>
                <w:bCs/>
                <w:color w:val="000000" w:themeColor="text1"/>
                <w:highlight w:val="none"/>
                <w14:textFill>
                  <w14:solidFill>
                    <w14:schemeClr w14:val="tx1"/>
                  </w14:solidFill>
                </w14:textFill>
              </w:rPr>
            </w:pPr>
          </w:p>
        </w:tc>
      </w:tr>
      <w:tr w14:paraId="0591989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99" w:hRule="atLeast"/>
        </w:trPr>
        <w:tc>
          <w:tcPr>
            <w:tcW w:w="754" w:type="dxa"/>
            <w:vAlign w:val="center"/>
          </w:tcPr>
          <w:p w14:paraId="51AAE0FC">
            <w:pPr>
              <w:spacing w:line="400" w:lineRule="exact"/>
              <w:jc w:val="center"/>
              <w:rPr>
                <w:rFonts w:ascii="宋体" w:hAnsi="宋体" w:eastAsia="宋体" w:cs="宋体"/>
                <w:bCs/>
                <w:color w:val="000000" w:themeColor="text1"/>
                <w:highlight w:val="none"/>
                <w14:textFill>
                  <w14:solidFill>
                    <w14:schemeClr w14:val="tx1"/>
                  </w14:solidFill>
                </w14:textFill>
              </w:rPr>
            </w:pPr>
          </w:p>
        </w:tc>
        <w:tc>
          <w:tcPr>
            <w:tcW w:w="1508" w:type="dxa"/>
            <w:tcBorders>
              <w:right w:val="single" w:color="auto" w:sz="4" w:space="0"/>
            </w:tcBorders>
            <w:vAlign w:val="center"/>
          </w:tcPr>
          <w:p w14:paraId="5257DF82">
            <w:pPr>
              <w:spacing w:line="400" w:lineRule="exact"/>
              <w:jc w:val="center"/>
              <w:rPr>
                <w:rFonts w:ascii="宋体" w:hAnsi="宋体" w:eastAsia="宋体" w:cs="宋体"/>
                <w:bCs/>
                <w:color w:val="000000" w:themeColor="text1"/>
                <w:highlight w:val="none"/>
                <w14:textFill>
                  <w14:solidFill>
                    <w14:schemeClr w14:val="tx1"/>
                  </w14:solidFill>
                </w14:textFill>
              </w:rPr>
            </w:pPr>
          </w:p>
        </w:tc>
        <w:tc>
          <w:tcPr>
            <w:tcW w:w="1382" w:type="dxa"/>
            <w:tcBorders>
              <w:left w:val="single" w:color="auto" w:sz="4" w:space="0"/>
            </w:tcBorders>
            <w:vAlign w:val="center"/>
          </w:tcPr>
          <w:p w14:paraId="0257DCE9">
            <w:pPr>
              <w:spacing w:line="400" w:lineRule="exact"/>
              <w:jc w:val="center"/>
              <w:rPr>
                <w:rFonts w:ascii="宋体" w:hAnsi="宋体" w:eastAsia="宋体" w:cs="宋体"/>
                <w:bCs/>
                <w:color w:val="000000" w:themeColor="text1"/>
                <w:highlight w:val="none"/>
                <w14:textFill>
                  <w14:solidFill>
                    <w14:schemeClr w14:val="tx1"/>
                  </w14:solidFill>
                </w14:textFill>
              </w:rPr>
            </w:pPr>
          </w:p>
        </w:tc>
        <w:tc>
          <w:tcPr>
            <w:tcW w:w="1399" w:type="dxa"/>
            <w:vAlign w:val="center"/>
          </w:tcPr>
          <w:p w14:paraId="102D39E1">
            <w:pPr>
              <w:spacing w:line="400" w:lineRule="exact"/>
              <w:jc w:val="center"/>
              <w:rPr>
                <w:rFonts w:ascii="宋体" w:hAnsi="宋体" w:eastAsia="宋体" w:cs="宋体"/>
                <w:bCs/>
                <w:color w:val="000000" w:themeColor="text1"/>
                <w:highlight w:val="none"/>
                <w14:textFill>
                  <w14:solidFill>
                    <w14:schemeClr w14:val="tx1"/>
                  </w14:solidFill>
                </w14:textFill>
              </w:rPr>
            </w:pPr>
          </w:p>
        </w:tc>
        <w:tc>
          <w:tcPr>
            <w:tcW w:w="1485" w:type="dxa"/>
            <w:vAlign w:val="center"/>
          </w:tcPr>
          <w:p w14:paraId="71F1D104">
            <w:pPr>
              <w:spacing w:line="400" w:lineRule="exact"/>
              <w:jc w:val="center"/>
              <w:rPr>
                <w:rFonts w:ascii="宋体" w:hAnsi="宋体" w:eastAsia="宋体" w:cs="宋体"/>
                <w:bCs/>
                <w:color w:val="000000" w:themeColor="text1"/>
                <w:highlight w:val="none"/>
                <w14:textFill>
                  <w14:solidFill>
                    <w14:schemeClr w14:val="tx1"/>
                  </w14:solidFill>
                </w14:textFill>
              </w:rPr>
            </w:pPr>
          </w:p>
        </w:tc>
        <w:tc>
          <w:tcPr>
            <w:tcW w:w="1576" w:type="dxa"/>
            <w:tcBorders>
              <w:right w:val="single" w:color="auto" w:sz="4" w:space="0"/>
            </w:tcBorders>
            <w:vAlign w:val="center"/>
          </w:tcPr>
          <w:p w14:paraId="31AA471D">
            <w:pPr>
              <w:spacing w:line="400" w:lineRule="exact"/>
              <w:jc w:val="center"/>
              <w:rPr>
                <w:rFonts w:ascii="宋体" w:hAnsi="宋体" w:eastAsia="宋体" w:cs="宋体"/>
                <w:bCs/>
                <w:color w:val="000000" w:themeColor="text1"/>
                <w:highlight w:val="none"/>
                <w14:textFill>
                  <w14:solidFill>
                    <w14:schemeClr w14:val="tx1"/>
                  </w14:solidFill>
                </w14:textFill>
              </w:rPr>
            </w:pPr>
          </w:p>
        </w:tc>
        <w:tc>
          <w:tcPr>
            <w:tcW w:w="1096" w:type="dxa"/>
            <w:tcBorders>
              <w:left w:val="single" w:color="auto" w:sz="4" w:space="0"/>
            </w:tcBorders>
            <w:vAlign w:val="center"/>
          </w:tcPr>
          <w:p w14:paraId="245B5AB1">
            <w:pPr>
              <w:spacing w:line="400" w:lineRule="exact"/>
              <w:jc w:val="center"/>
              <w:rPr>
                <w:rFonts w:ascii="宋体" w:hAnsi="宋体" w:eastAsia="宋体" w:cs="宋体"/>
                <w:bCs/>
                <w:color w:val="000000" w:themeColor="text1"/>
                <w:highlight w:val="none"/>
                <w14:textFill>
                  <w14:solidFill>
                    <w14:schemeClr w14:val="tx1"/>
                  </w14:solidFill>
                </w14:textFill>
              </w:rPr>
            </w:pPr>
          </w:p>
        </w:tc>
      </w:tr>
      <w:tr w14:paraId="7C6A9D7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99" w:hRule="atLeast"/>
        </w:trPr>
        <w:tc>
          <w:tcPr>
            <w:tcW w:w="754" w:type="dxa"/>
            <w:tcBorders>
              <w:right w:val="single" w:color="auto" w:sz="4" w:space="0"/>
            </w:tcBorders>
            <w:vAlign w:val="center"/>
          </w:tcPr>
          <w:p w14:paraId="4376FF90">
            <w:pPr>
              <w:spacing w:line="400" w:lineRule="exact"/>
              <w:rPr>
                <w:rFonts w:ascii="宋体" w:hAnsi="宋体" w:eastAsia="宋体" w:cs="宋体"/>
                <w:bCs/>
                <w:color w:val="000000" w:themeColor="text1"/>
                <w:highlight w:val="none"/>
                <w14:textFill>
                  <w14:solidFill>
                    <w14:schemeClr w14:val="tx1"/>
                  </w14:solidFill>
                </w14:textFill>
              </w:rPr>
            </w:pPr>
          </w:p>
        </w:tc>
        <w:tc>
          <w:tcPr>
            <w:tcW w:w="1508" w:type="dxa"/>
            <w:tcBorders>
              <w:left w:val="single" w:color="auto" w:sz="4" w:space="0"/>
              <w:right w:val="single" w:color="auto" w:sz="4" w:space="0"/>
            </w:tcBorders>
            <w:vAlign w:val="center"/>
          </w:tcPr>
          <w:p w14:paraId="260F349E">
            <w:pPr>
              <w:spacing w:line="400" w:lineRule="exact"/>
              <w:rPr>
                <w:rFonts w:ascii="宋体" w:hAnsi="宋体" w:eastAsia="宋体" w:cs="宋体"/>
                <w:bCs/>
                <w:color w:val="000000" w:themeColor="text1"/>
                <w:highlight w:val="none"/>
                <w14:textFill>
                  <w14:solidFill>
                    <w14:schemeClr w14:val="tx1"/>
                  </w14:solidFill>
                </w14:textFill>
              </w:rPr>
            </w:pPr>
          </w:p>
        </w:tc>
        <w:tc>
          <w:tcPr>
            <w:tcW w:w="1382" w:type="dxa"/>
            <w:tcBorders>
              <w:left w:val="single" w:color="auto" w:sz="4" w:space="0"/>
              <w:right w:val="single" w:color="auto" w:sz="4" w:space="0"/>
            </w:tcBorders>
            <w:vAlign w:val="center"/>
          </w:tcPr>
          <w:p w14:paraId="2EC377BE">
            <w:pPr>
              <w:spacing w:line="400" w:lineRule="exact"/>
              <w:rPr>
                <w:rFonts w:ascii="宋体" w:hAnsi="宋体" w:eastAsia="宋体" w:cs="宋体"/>
                <w:bCs/>
                <w:color w:val="000000" w:themeColor="text1"/>
                <w:highlight w:val="none"/>
                <w14:textFill>
                  <w14:solidFill>
                    <w14:schemeClr w14:val="tx1"/>
                  </w14:solidFill>
                </w14:textFill>
              </w:rPr>
            </w:pPr>
          </w:p>
        </w:tc>
        <w:tc>
          <w:tcPr>
            <w:tcW w:w="1399" w:type="dxa"/>
            <w:tcBorders>
              <w:left w:val="single" w:color="auto" w:sz="4" w:space="0"/>
              <w:right w:val="single" w:color="auto" w:sz="4" w:space="0"/>
            </w:tcBorders>
            <w:vAlign w:val="center"/>
          </w:tcPr>
          <w:p w14:paraId="2D1E20C7">
            <w:pPr>
              <w:spacing w:line="400" w:lineRule="exact"/>
              <w:rPr>
                <w:rFonts w:ascii="宋体" w:hAnsi="宋体" w:eastAsia="宋体" w:cs="宋体"/>
                <w:bCs/>
                <w:color w:val="000000" w:themeColor="text1"/>
                <w:highlight w:val="none"/>
                <w14:textFill>
                  <w14:solidFill>
                    <w14:schemeClr w14:val="tx1"/>
                  </w14:solidFill>
                </w14:textFill>
              </w:rPr>
            </w:pPr>
          </w:p>
        </w:tc>
        <w:tc>
          <w:tcPr>
            <w:tcW w:w="1485" w:type="dxa"/>
            <w:tcBorders>
              <w:left w:val="single" w:color="auto" w:sz="4" w:space="0"/>
              <w:right w:val="single" w:color="auto" w:sz="4" w:space="0"/>
            </w:tcBorders>
            <w:vAlign w:val="center"/>
          </w:tcPr>
          <w:p w14:paraId="7980016F">
            <w:pPr>
              <w:spacing w:line="400" w:lineRule="exact"/>
              <w:rPr>
                <w:rFonts w:ascii="宋体" w:hAnsi="宋体" w:eastAsia="宋体" w:cs="宋体"/>
                <w:bCs/>
                <w:color w:val="000000" w:themeColor="text1"/>
                <w:highlight w:val="none"/>
                <w14:textFill>
                  <w14:solidFill>
                    <w14:schemeClr w14:val="tx1"/>
                  </w14:solidFill>
                </w14:textFill>
              </w:rPr>
            </w:pPr>
          </w:p>
        </w:tc>
        <w:tc>
          <w:tcPr>
            <w:tcW w:w="1576" w:type="dxa"/>
            <w:tcBorders>
              <w:left w:val="single" w:color="auto" w:sz="4" w:space="0"/>
              <w:right w:val="single" w:color="auto" w:sz="4" w:space="0"/>
            </w:tcBorders>
            <w:vAlign w:val="center"/>
          </w:tcPr>
          <w:p w14:paraId="1BDEAA12">
            <w:pPr>
              <w:spacing w:line="400" w:lineRule="exact"/>
              <w:rPr>
                <w:rFonts w:ascii="宋体" w:hAnsi="宋体" w:eastAsia="宋体" w:cs="宋体"/>
                <w:bCs/>
                <w:color w:val="000000" w:themeColor="text1"/>
                <w:highlight w:val="none"/>
                <w14:textFill>
                  <w14:solidFill>
                    <w14:schemeClr w14:val="tx1"/>
                  </w14:solidFill>
                </w14:textFill>
              </w:rPr>
            </w:pPr>
          </w:p>
        </w:tc>
        <w:tc>
          <w:tcPr>
            <w:tcW w:w="1096" w:type="dxa"/>
            <w:tcBorders>
              <w:left w:val="single" w:color="auto" w:sz="4" w:space="0"/>
            </w:tcBorders>
            <w:vAlign w:val="center"/>
          </w:tcPr>
          <w:p w14:paraId="2DD311AF">
            <w:pPr>
              <w:spacing w:line="400" w:lineRule="exact"/>
              <w:rPr>
                <w:rFonts w:ascii="宋体" w:hAnsi="宋体" w:eastAsia="宋体" w:cs="宋体"/>
                <w:bCs/>
                <w:color w:val="000000" w:themeColor="text1"/>
                <w:highlight w:val="none"/>
                <w14:textFill>
                  <w14:solidFill>
                    <w14:schemeClr w14:val="tx1"/>
                  </w14:solidFill>
                </w14:textFill>
              </w:rPr>
            </w:pPr>
          </w:p>
        </w:tc>
      </w:tr>
      <w:tr w14:paraId="5C93A9C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99" w:hRule="atLeast"/>
        </w:trPr>
        <w:tc>
          <w:tcPr>
            <w:tcW w:w="754" w:type="dxa"/>
            <w:vAlign w:val="center"/>
          </w:tcPr>
          <w:p w14:paraId="171C7D25">
            <w:pPr>
              <w:spacing w:line="400" w:lineRule="exact"/>
              <w:rPr>
                <w:rFonts w:ascii="宋体" w:hAnsi="宋体" w:eastAsia="宋体" w:cs="宋体"/>
                <w:bCs/>
                <w:color w:val="000000" w:themeColor="text1"/>
                <w:highlight w:val="none"/>
                <w14:textFill>
                  <w14:solidFill>
                    <w14:schemeClr w14:val="tx1"/>
                  </w14:solidFill>
                </w14:textFill>
              </w:rPr>
            </w:pPr>
          </w:p>
        </w:tc>
        <w:tc>
          <w:tcPr>
            <w:tcW w:w="1508" w:type="dxa"/>
            <w:vAlign w:val="center"/>
          </w:tcPr>
          <w:p w14:paraId="14596309">
            <w:pPr>
              <w:spacing w:line="400" w:lineRule="exact"/>
              <w:rPr>
                <w:rFonts w:ascii="宋体" w:hAnsi="宋体" w:eastAsia="宋体" w:cs="宋体"/>
                <w:bCs/>
                <w:color w:val="000000" w:themeColor="text1"/>
                <w:highlight w:val="none"/>
                <w14:textFill>
                  <w14:solidFill>
                    <w14:schemeClr w14:val="tx1"/>
                  </w14:solidFill>
                </w14:textFill>
              </w:rPr>
            </w:pPr>
          </w:p>
        </w:tc>
        <w:tc>
          <w:tcPr>
            <w:tcW w:w="1382" w:type="dxa"/>
            <w:vAlign w:val="center"/>
          </w:tcPr>
          <w:p w14:paraId="7DD66822">
            <w:pPr>
              <w:spacing w:line="400" w:lineRule="exact"/>
              <w:rPr>
                <w:rFonts w:ascii="宋体" w:hAnsi="宋体" w:eastAsia="宋体" w:cs="宋体"/>
                <w:bCs/>
                <w:color w:val="000000" w:themeColor="text1"/>
                <w:highlight w:val="none"/>
                <w14:textFill>
                  <w14:solidFill>
                    <w14:schemeClr w14:val="tx1"/>
                  </w14:solidFill>
                </w14:textFill>
              </w:rPr>
            </w:pPr>
          </w:p>
        </w:tc>
        <w:tc>
          <w:tcPr>
            <w:tcW w:w="1399" w:type="dxa"/>
            <w:vAlign w:val="center"/>
          </w:tcPr>
          <w:p w14:paraId="7E2BD7A2">
            <w:pPr>
              <w:spacing w:line="400" w:lineRule="exact"/>
              <w:rPr>
                <w:rFonts w:ascii="宋体" w:hAnsi="宋体" w:eastAsia="宋体" w:cs="宋体"/>
                <w:bCs/>
                <w:color w:val="000000" w:themeColor="text1"/>
                <w:highlight w:val="none"/>
                <w14:textFill>
                  <w14:solidFill>
                    <w14:schemeClr w14:val="tx1"/>
                  </w14:solidFill>
                </w14:textFill>
              </w:rPr>
            </w:pPr>
          </w:p>
        </w:tc>
        <w:tc>
          <w:tcPr>
            <w:tcW w:w="1485" w:type="dxa"/>
            <w:tcBorders>
              <w:right w:val="single" w:color="auto" w:sz="4" w:space="0"/>
            </w:tcBorders>
            <w:vAlign w:val="center"/>
          </w:tcPr>
          <w:p w14:paraId="644D435E">
            <w:pPr>
              <w:spacing w:line="400" w:lineRule="exact"/>
              <w:rPr>
                <w:rFonts w:ascii="宋体" w:hAnsi="宋体" w:eastAsia="宋体" w:cs="宋体"/>
                <w:bCs/>
                <w:color w:val="000000" w:themeColor="text1"/>
                <w:highlight w:val="none"/>
                <w14:textFill>
                  <w14:solidFill>
                    <w14:schemeClr w14:val="tx1"/>
                  </w14:solidFill>
                </w14:textFill>
              </w:rPr>
            </w:pPr>
          </w:p>
        </w:tc>
        <w:tc>
          <w:tcPr>
            <w:tcW w:w="1576" w:type="dxa"/>
            <w:tcBorders>
              <w:left w:val="single" w:color="auto" w:sz="4" w:space="0"/>
              <w:right w:val="single" w:color="auto" w:sz="4" w:space="0"/>
            </w:tcBorders>
            <w:vAlign w:val="center"/>
          </w:tcPr>
          <w:p w14:paraId="240728FA">
            <w:pPr>
              <w:spacing w:line="400" w:lineRule="exact"/>
              <w:rPr>
                <w:rFonts w:ascii="宋体" w:hAnsi="宋体" w:eastAsia="宋体" w:cs="宋体"/>
                <w:bCs/>
                <w:color w:val="000000" w:themeColor="text1"/>
                <w:highlight w:val="none"/>
                <w14:textFill>
                  <w14:solidFill>
                    <w14:schemeClr w14:val="tx1"/>
                  </w14:solidFill>
                </w14:textFill>
              </w:rPr>
            </w:pPr>
          </w:p>
        </w:tc>
        <w:tc>
          <w:tcPr>
            <w:tcW w:w="1096" w:type="dxa"/>
            <w:tcBorders>
              <w:left w:val="single" w:color="auto" w:sz="4" w:space="0"/>
            </w:tcBorders>
            <w:vAlign w:val="center"/>
          </w:tcPr>
          <w:p w14:paraId="3298840D">
            <w:pPr>
              <w:spacing w:line="400" w:lineRule="exact"/>
              <w:rPr>
                <w:rFonts w:ascii="宋体" w:hAnsi="宋体" w:eastAsia="宋体" w:cs="宋体"/>
                <w:bCs/>
                <w:color w:val="000000" w:themeColor="text1"/>
                <w:highlight w:val="none"/>
                <w14:textFill>
                  <w14:solidFill>
                    <w14:schemeClr w14:val="tx1"/>
                  </w14:solidFill>
                </w14:textFill>
              </w:rPr>
            </w:pPr>
          </w:p>
        </w:tc>
      </w:tr>
      <w:tr w14:paraId="795BCE5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711" w:hRule="atLeast"/>
        </w:trPr>
        <w:tc>
          <w:tcPr>
            <w:tcW w:w="754" w:type="dxa"/>
            <w:vAlign w:val="center"/>
          </w:tcPr>
          <w:p w14:paraId="2BF811AE">
            <w:pPr>
              <w:spacing w:line="400" w:lineRule="exact"/>
              <w:jc w:val="center"/>
              <w:rPr>
                <w:rFonts w:ascii="宋体" w:hAnsi="宋体" w:eastAsia="宋体" w:cs="宋体"/>
                <w:bCs/>
                <w:color w:val="000000" w:themeColor="text1"/>
                <w:highlight w:val="none"/>
                <w14:textFill>
                  <w14:solidFill>
                    <w14:schemeClr w14:val="tx1"/>
                  </w14:solidFill>
                </w14:textFill>
              </w:rPr>
            </w:pPr>
          </w:p>
        </w:tc>
        <w:tc>
          <w:tcPr>
            <w:tcW w:w="1508" w:type="dxa"/>
            <w:vAlign w:val="center"/>
          </w:tcPr>
          <w:p w14:paraId="54069E8A">
            <w:pPr>
              <w:spacing w:line="400" w:lineRule="exact"/>
              <w:jc w:val="center"/>
              <w:rPr>
                <w:rFonts w:ascii="宋体" w:hAnsi="宋体" w:eastAsia="宋体" w:cs="宋体"/>
                <w:bCs/>
                <w:color w:val="000000" w:themeColor="text1"/>
                <w:highlight w:val="none"/>
                <w14:textFill>
                  <w14:solidFill>
                    <w14:schemeClr w14:val="tx1"/>
                  </w14:solidFill>
                </w14:textFill>
              </w:rPr>
            </w:pPr>
          </w:p>
        </w:tc>
        <w:tc>
          <w:tcPr>
            <w:tcW w:w="1382" w:type="dxa"/>
            <w:vAlign w:val="center"/>
          </w:tcPr>
          <w:p w14:paraId="4E386D59">
            <w:pPr>
              <w:spacing w:line="400" w:lineRule="exact"/>
              <w:jc w:val="center"/>
              <w:rPr>
                <w:rFonts w:ascii="宋体" w:hAnsi="宋体" w:eastAsia="宋体" w:cs="宋体"/>
                <w:bCs/>
                <w:color w:val="000000" w:themeColor="text1"/>
                <w:highlight w:val="none"/>
                <w14:textFill>
                  <w14:solidFill>
                    <w14:schemeClr w14:val="tx1"/>
                  </w14:solidFill>
                </w14:textFill>
              </w:rPr>
            </w:pPr>
          </w:p>
        </w:tc>
        <w:tc>
          <w:tcPr>
            <w:tcW w:w="1399" w:type="dxa"/>
            <w:vAlign w:val="center"/>
          </w:tcPr>
          <w:p w14:paraId="3287F587">
            <w:pPr>
              <w:spacing w:line="400" w:lineRule="exact"/>
              <w:jc w:val="center"/>
              <w:rPr>
                <w:rFonts w:ascii="宋体" w:hAnsi="宋体" w:eastAsia="宋体" w:cs="宋体"/>
                <w:bCs/>
                <w:color w:val="000000" w:themeColor="text1"/>
                <w:highlight w:val="none"/>
                <w14:textFill>
                  <w14:solidFill>
                    <w14:schemeClr w14:val="tx1"/>
                  </w14:solidFill>
                </w14:textFill>
              </w:rPr>
            </w:pPr>
          </w:p>
        </w:tc>
        <w:tc>
          <w:tcPr>
            <w:tcW w:w="1485" w:type="dxa"/>
            <w:tcBorders>
              <w:right w:val="single" w:color="auto" w:sz="4" w:space="0"/>
            </w:tcBorders>
            <w:vAlign w:val="center"/>
          </w:tcPr>
          <w:p w14:paraId="7C3E6695">
            <w:pPr>
              <w:spacing w:line="400" w:lineRule="exact"/>
              <w:jc w:val="center"/>
              <w:rPr>
                <w:rFonts w:ascii="宋体" w:hAnsi="宋体" w:eastAsia="宋体" w:cs="宋体"/>
                <w:bCs/>
                <w:color w:val="000000" w:themeColor="text1"/>
                <w:highlight w:val="none"/>
                <w14:textFill>
                  <w14:solidFill>
                    <w14:schemeClr w14:val="tx1"/>
                  </w14:solidFill>
                </w14:textFill>
              </w:rPr>
            </w:pPr>
          </w:p>
        </w:tc>
        <w:tc>
          <w:tcPr>
            <w:tcW w:w="1576" w:type="dxa"/>
            <w:tcBorders>
              <w:left w:val="single" w:color="auto" w:sz="4" w:space="0"/>
              <w:right w:val="single" w:color="auto" w:sz="4" w:space="0"/>
            </w:tcBorders>
            <w:vAlign w:val="center"/>
          </w:tcPr>
          <w:p w14:paraId="032AA823">
            <w:pPr>
              <w:spacing w:line="400" w:lineRule="exact"/>
              <w:jc w:val="center"/>
              <w:rPr>
                <w:rFonts w:ascii="宋体" w:hAnsi="宋体" w:eastAsia="宋体" w:cs="宋体"/>
                <w:bCs/>
                <w:color w:val="000000" w:themeColor="text1"/>
                <w:highlight w:val="none"/>
                <w14:textFill>
                  <w14:solidFill>
                    <w14:schemeClr w14:val="tx1"/>
                  </w14:solidFill>
                </w14:textFill>
              </w:rPr>
            </w:pPr>
          </w:p>
        </w:tc>
        <w:tc>
          <w:tcPr>
            <w:tcW w:w="1096" w:type="dxa"/>
            <w:tcBorders>
              <w:left w:val="single" w:color="auto" w:sz="4" w:space="0"/>
            </w:tcBorders>
            <w:vAlign w:val="center"/>
          </w:tcPr>
          <w:p w14:paraId="3619A506">
            <w:pPr>
              <w:spacing w:line="400" w:lineRule="exact"/>
              <w:jc w:val="center"/>
              <w:rPr>
                <w:rFonts w:ascii="宋体" w:hAnsi="宋体" w:eastAsia="宋体" w:cs="宋体"/>
                <w:bCs/>
                <w:color w:val="000000" w:themeColor="text1"/>
                <w:highlight w:val="none"/>
                <w14:textFill>
                  <w14:solidFill>
                    <w14:schemeClr w14:val="tx1"/>
                  </w14:solidFill>
                </w14:textFill>
              </w:rPr>
            </w:pPr>
          </w:p>
        </w:tc>
      </w:tr>
    </w:tbl>
    <w:p w14:paraId="7E41C25C">
      <w:pPr>
        <w:spacing w:line="360" w:lineRule="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 xml:space="preserve"> </w:t>
      </w:r>
    </w:p>
    <w:p w14:paraId="20DA2B2A">
      <w:pPr>
        <w:spacing w:line="360" w:lineRule="auto"/>
        <w:rPr>
          <w:rFonts w:ascii="宋体" w:hAnsi="宋体" w:eastAsia="宋体" w:cs="宋体"/>
          <w:color w:val="000000" w:themeColor="text1"/>
          <w:highlight w:val="none"/>
          <w14:textFill>
            <w14:solidFill>
              <w14:schemeClr w14:val="tx1"/>
            </w14:solidFill>
          </w14:textFill>
        </w:rPr>
      </w:pPr>
    </w:p>
    <w:p w14:paraId="64FBC293">
      <w:pPr>
        <w:adjustRightInd w:val="0"/>
        <w:spacing w:line="600" w:lineRule="auto"/>
        <w:rPr>
          <w:rFonts w:ascii="宋体" w:hAnsi="宋体" w:eastAsia="宋体" w:cs="宋体"/>
          <w:bCs/>
          <w:color w:val="000000" w:themeColor="text1"/>
          <w:highlight w:val="none"/>
          <w:u w:val="single"/>
          <w14:textFill>
            <w14:solidFill>
              <w14:schemeClr w14:val="tx1"/>
            </w14:solidFill>
          </w14:textFill>
        </w:rPr>
      </w:pPr>
      <w:r>
        <w:rPr>
          <w:rFonts w:hint="eastAsia" w:ascii="宋体" w:hAnsi="宋体" w:eastAsia="宋体" w:cs="宋体"/>
          <w:bCs/>
          <w:color w:val="000000" w:themeColor="text1"/>
          <w:highlight w:val="none"/>
          <w14:textFill>
            <w14:solidFill>
              <w14:schemeClr w14:val="tx1"/>
            </w14:solidFill>
          </w14:textFill>
        </w:rPr>
        <w:t>供应商名称：</w:t>
      </w:r>
      <w:r>
        <w:rPr>
          <w:rFonts w:hint="eastAsia" w:ascii="宋体" w:hAnsi="宋体" w:eastAsia="宋体" w:cs="宋体"/>
          <w:bCs/>
          <w:color w:val="000000" w:themeColor="text1"/>
          <w:highlight w:val="none"/>
          <w:u w:val="single"/>
          <w14:textFill>
            <w14:solidFill>
              <w14:schemeClr w14:val="tx1"/>
            </w14:solidFill>
          </w14:textFill>
        </w:rPr>
        <w:t xml:space="preserve">              （全称及公章）</w:t>
      </w:r>
    </w:p>
    <w:p w14:paraId="4BE5FAC3">
      <w:pPr>
        <w:adjustRightInd w:val="0"/>
        <w:snapToGrid w:val="0"/>
        <w:spacing w:line="600" w:lineRule="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法定代表人或被授权人（签字或盖章）：</w:t>
      </w:r>
    </w:p>
    <w:p w14:paraId="0F7B602F">
      <w:pPr>
        <w:adjustRightInd w:val="0"/>
        <w:snapToGrid w:val="0"/>
        <w:spacing w:line="600" w:lineRule="auto"/>
        <w:rPr>
          <w:rFonts w:ascii="宋体" w:hAnsi="宋体" w:eastAsia="宋体" w:cs="宋体"/>
          <w:color w:val="000000" w:themeColor="text1"/>
          <w:sz w:val="36"/>
          <w:szCs w:val="36"/>
          <w:highlight w:val="none"/>
          <w14:textFill>
            <w14:solidFill>
              <w14:schemeClr w14:val="tx1"/>
            </w14:solidFill>
          </w14:textFill>
        </w:rPr>
      </w:pPr>
      <w:r>
        <w:rPr>
          <w:rFonts w:hint="eastAsia" w:ascii="宋体" w:hAnsi="宋体" w:eastAsia="宋体" w:cs="宋体"/>
          <w:bCs/>
          <w:color w:val="000000" w:themeColor="text1"/>
          <w:highlight w:val="none"/>
          <w14:textFill>
            <w14:solidFill>
              <w14:schemeClr w14:val="tx1"/>
            </w14:solidFill>
          </w14:textFill>
        </w:rPr>
        <w:t xml:space="preserve">日    </w:t>
      </w:r>
      <w:r>
        <w:rPr>
          <w:rFonts w:hint="eastAsia" w:ascii="宋体" w:hAnsi="宋体" w:eastAsia="宋体" w:cs="宋体"/>
          <w:color w:val="000000" w:themeColor="text1"/>
          <w:highlight w:val="none"/>
          <w14:textFill>
            <w14:solidFill>
              <w14:schemeClr w14:val="tx1"/>
            </w14:solidFill>
          </w14:textFill>
        </w:rPr>
        <w:t xml:space="preserve">期:                   </w:t>
      </w:r>
      <w:bookmarkEnd w:id="354"/>
      <w:bookmarkEnd w:id="355"/>
      <w:bookmarkEnd w:id="356"/>
      <w:bookmarkEnd w:id="357"/>
    </w:p>
    <w:p w14:paraId="0BB0DAC1">
      <w:pPr>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br w:type="page"/>
      </w:r>
    </w:p>
    <w:p w14:paraId="6D54B07C">
      <w:pPr>
        <w:pStyle w:val="4"/>
        <w:ind w:firstLine="657"/>
        <w:rPr>
          <w:rFonts w:hint="eastAsia" w:ascii="宋体" w:hAnsi="宋体" w:eastAsia="宋体" w:cs="宋体"/>
          <w:color w:val="000000" w:themeColor="text1"/>
          <w:highlight w:val="none"/>
          <w:lang w:eastAsia="zh-CN"/>
          <w14:textFill>
            <w14:solidFill>
              <w14:schemeClr w14:val="tx1"/>
            </w14:solidFill>
          </w14:textFill>
        </w:rPr>
      </w:pPr>
      <w:bookmarkStart w:id="360" w:name="_Toc29034"/>
      <w:bookmarkStart w:id="361" w:name="_Toc9666"/>
      <w:bookmarkStart w:id="362" w:name="_Toc14821"/>
      <w:bookmarkStart w:id="363" w:name="_Toc18894"/>
      <w:bookmarkStart w:id="364" w:name="_Toc2773"/>
      <w:bookmarkStart w:id="365" w:name="_Toc22400"/>
      <w:bookmarkStart w:id="366" w:name="_Toc23432"/>
      <w:r>
        <w:rPr>
          <w:rFonts w:hint="eastAsia" w:ascii="宋体" w:hAnsi="宋体" w:eastAsia="宋体" w:cs="宋体"/>
          <w:color w:val="000000" w:themeColor="text1"/>
          <w:highlight w:val="none"/>
          <w14:textFill>
            <w14:solidFill>
              <w14:schemeClr w14:val="tx1"/>
            </w14:solidFill>
          </w14:textFill>
        </w:rPr>
        <w:t>第</w:t>
      </w:r>
      <w:r>
        <w:rPr>
          <w:rFonts w:hint="eastAsia" w:ascii="宋体" w:hAnsi="宋体" w:cs="宋体"/>
          <w:color w:val="000000" w:themeColor="text1"/>
          <w:highlight w:val="none"/>
          <w:lang w:val="en-US" w:eastAsia="zh-CN"/>
          <w14:textFill>
            <w14:solidFill>
              <w14:schemeClr w14:val="tx1"/>
            </w14:solidFill>
          </w14:textFill>
        </w:rPr>
        <w:t>八</w:t>
      </w:r>
      <w:r>
        <w:rPr>
          <w:rFonts w:hint="eastAsia" w:ascii="宋体" w:hAnsi="宋体" w:eastAsia="宋体" w:cs="宋体"/>
          <w:color w:val="000000" w:themeColor="text1"/>
          <w:highlight w:val="none"/>
          <w14:textFill>
            <w14:solidFill>
              <w14:schemeClr w14:val="tx1"/>
            </w14:solidFill>
          </w14:textFill>
        </w:rPr>
        <w:t xml:space="preserve">部分  </w:t>
      </w:r>
      <w:bookmarkEnd w:id="360"/>
      <w:bookmarkEnd w:id="361"/>
      <w:bookmarkEnd w:id="362"/>
      <w:bookmarkEnd w:id="363"/>
      <w:bookmarkEnd w:id="364"/>
      <w:bookmarkEnd w:id="365"/>
      <w:bookmarkEnd w:id="366"/>
      <w:r>
        <w:rPr>
          <w:rFonts w:hint="eastAsia" w:ascii="宋体" w:hAnsi="宋体" w:cs="宋体"/>
          <w:color w:val="000000" w:themeColor="text1"/>
          <w:highlight w:val="none"/>
          <w:lang w:eastAsia="zh-CN"/>
          <w14:textFill>
            <w14:solidFill>
              <w14:schemeClr w14:val="tx1"/>
            </w14:solidFill>
          </w14:textFill>
        </w:rPr>
        <w:t>供应商参加政府采购活动承诺书</w:t>
      </w:r>
    </w:p>
    <w:p w14:paraId="55E277AE">
      <w:pPr>
        <w:widowControl w:val="0"/>
        <w:bidi w:val="0"/>
        <w:spacing w:line="360" w:lineRule="auto"/>
        <w:ind w:left="0" w:leftChars="0" w:right="0" w:rightChars="0" w:firstLine="0" w:firstLineChars="0"/>
        <w:jc w:val="center"/>
        <w:rPr>
          <w:rFonts w:hint="eastAsia" w:ascii="Times New Roman" w:hAnsi="Times New Roman" w:eastAsia="宋体"/>
          <w:b/>
          <w:bCs/>
          <w:kern w:val="2"/>
          <w:lang w:val="en-US" w:eastAsia="zh-CN"/>
        </w:rPr>
      </w:pPr>
      <w:r>
        <w:rPr>
          <w:rFonts w:ascii="Times New Roman" w:hAnsi="Times New Roman" w:eastAsia="宋体"/>
          <w:b/>
          <w:bCs/>
          <w:kern w:val="2"/>
          <w:lang w:val="en-US" w:eastAsia="zh-CN"/>
        </w:rPr>
        <w:t>陕西省政府采购供应商</w:t>
      </w:r>
      <w:r>
        <w:rPr>
          <w:rFonts w:hint="eastAsia" w:ascii="Times New Roman" w:hAnsi="Times New Roman" w:eastAsia="宋体"/>
          <w:b/>
          <w:bCs/>
          <w:kern w:val="2"/>
          <w:lang w:val="en-US" w:eastAsia="zh-CN"/>
        </w:rPr>
        <w:t>拒绝政府采购领域商业贿赂承诺书</w:t>
      </w:r>
    </w:p>
    <w:p w14:paraId="675184BB">
      <w:pPr>
        <w:keepNext w:val="0"/>
        <w:keepLines w:val="0"/>
        <w:pageBreakBefore w:val="0"/>
        <w:widowControl/>
        <w:kinsoku/>
        <w:wordWrap/>
        <w:overflowPunct/>
        <w:topLinePunct w:val="0"/>
        <w:autoSpaceDE/>
        <w:autoSpaceDN/>
        <w:bidi w:val="0"/>
        <w:adjustRightInd/>
        <w:snapToGrid/>
        <w:spacing w:line="240" w:lineRule="auto"/>
        <w:ind w:left="0" w:leftChars="0"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为响应党中央、国务院关于治理政府采购领域商业贿赂行为的号召，我公司在此庄严承诺：</w:t>
      </w:r>
    </w:p>
    <w:p w14:paraId="61779E2D">
      <w:pPr>
        <w:keepNext w:val="0"/>
        <w:keepLines w:val="0"/>
        <w:pageBreakBefore w:val="0"/>
        <w:widowControl/>
        <w:kinsoku/>
        <w:wordWrap/>
        <w:overflowPunct/>
        <w:topLinePunct w:val="0"/>
        <w:autoSpaceDE/>
        <w:autoSpaceDN/>
        <w:bidi w:val="0"/>
        <w:adjustRightInd/>
        <w:snapToGrid/>
        <w:spacing w:line="240" w:lineRule="auto"/>
        <w:ind w:left="0" w:leftChars="0"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1、在参与政府采购活动中遵纪守法、诚信经营、公平竞标。</w:t>
      </w:r>
    </w:p>
    <w:p w14:paraId="2BCB2391">
      <w:pPr>
        <w:keepNext w:val="0"/>
        <w:keepLines w:val="0"/>
        <w:pageBreakBefore w:val="0"/>
        <w:widowControl/>
        <w:kinsoku/>
        <w:wordWrap/>
        <w:overflowPunct/>
        <w:topLinePunct w:val="0"/>
        <w:autoSpaceDE/>
        <w:autoSpaceDN/>
        <w:bidi w:val="0"/>
        <w:adjustRightInd/>
        <w:snapToGrid/>
        <w:spacing w:line="240" w:lineRule="auto"/>
        <w:ind w:left="0" w:leftChars="0"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2、不向政府采购人、采购代理机构和政府采购评审专家进行任何形式的商业贿赂以谋取交易机会。</w:t>
      </w:r>
    </w:p>
    <w:p w14:paraId="49E66E03">
      <w:pPr>
        <w:keepNext w:val="0"/>
        <w:keepLines w:val="0"/>
        <w:pageBreakBefore w:val="0"/>
        <w:widowControl/>
        <w:kinsoku/>
        <w:wordWrap/>
        <w:overflowPunct/>
        <w:topLinePunct w:val="0"/>
        <w:autoSpaceDE/>
        <w:autoSpaceDN/>
        <w:bidi w:val="0"/>
        <w:adjustRightInd/>
        <w:snapToGrid/>
        <w:spacing w:line="240" w:lineRule="auto"/>
        <w:ind w:left="0" w:leftChars="0"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3、不向政府采购代理机构和采购人提供虚假资质文件或采用虚假应标方式参与政府采购市场竞争并谋取中标、成交。</w:t>
      </w:r>
    </w:p>
    <w:p w14:paraId="128FC849">
      <w:pPr>
        <w:keepNext w:val="0"/>
        <w:keepLines w:val="0"/>
        <w:pageBreakBefore w:val="0"/>
        <w:widowControl/>
        <w:kinsoku/>
        <w:wordWrap/>
        <w:overflowPunct/>
        <w:topLinePunct w:val="0"/>
        <w:autoSpaceDE/>
        <w:autoSpaceDN/>
        <w:bidi w:val="0"/>
        <w:adjustRightInd/>
        <w:snapToGrid/>
        <w:spacing w:line="240" w:lineRule="auto"/>
        <w:ind w:left="0" w:leftChars="0"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4、不采取“围标、陪标”等商业欺诈手段获得政府采购定单。</w:t>
      </w:r>
    </w:p>
    <w:p w14:paraId="15DD512F">
      <w:pPr>
        <w:keepNext w:val="0"/>
        <w:keepLines w:val="0"/>
        <w:pageBreakBefore w:val="0"/>
        <w:widowControl/>
        <w:kinsoku/>
        <w:wordWrap/>
        <w:overflowPunct/>
        <w:topLinePunct w:val="0"/>
        <w:autoSpaceDE/>
        <w:autoSpaceDN/>
        <w:bidi w:val="0"/>
        <w:adjustRightInd/>
        <w:snapToGrid/>
        <w:spacing w:line="240" w:lineRule="auto"/>
        <w:ind w:left="0" w:leftChars="0"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5、不采取不正当手段诋毁、排挤其他</w:t>
      </w:r>
      <w:r>
        <w:rPr>
          <w:rFonts w:hint="eastAsia" w:ascii="宋体" w:hAnsi="宋体" w:eastAsia="宋体" w:cs="宋体"/>
          <w:kern w:val="0"/>
          <w:sz w:val="24"/>
          <w:lang w:eastAsia="zh-CN"/>
        </w:rPr>
        <w:t>供应商</w:t>
      </w:r>
      <w:r>
        <w:rPr>
          <w:rFonts w:hint="eastAsia" w:ascii="宋体" w:hAnsi="宋体" w:eastAsia="宋体" w:cs="宋体"/>
          <w:kern w:val="0"/>
          <w:sz w:val="24"/>
        </w:rPr>
        <w:t>。</w:t>
      </w:r>
    </w:p>
    <w:p w14:paraId="3A0010CE">
      <w:pPr>
        <w:keepNext w:val="0"/>
        <w:keepLines w:val="0"/>
        <w:pageBreakBefore w:val="0"/>
        <w:widowControl/>
        <w:kinsoku/>
        <w:wordWrap/>
        <w:overflowPunct/>
        <w:topLinePunct w:val="0"/>
        <w:autoSpaceDE/>
        <w:autoSpaceDN/>
        <w:bidi w:val="0"/>
        <w:adjustRightInd/>
        <w:snapToGrid/>
        <w:spacing w:line="240" w:lineRule="auto"/>
        <w:ind w:left="0" w:leftChars="0"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6、不在提供商品和服务时“偷梁换柱、以次充好”损害采购人的合法权益。</w:t>
      </w:r>
    </w:p>
    <w:p w14:paraId="7CB75AF2">
      <w:pPr>
        <w:keepNext w:val="0"/>
        <w:keepLines w:val="0"/>
        <w:pageBreakBefore w:val="0"/>
        <w:widowControl/>
        <w:kinsoku/>
        <w:wordWrap/>
        <w:overflowPunct/>
        <w:topLinePunct w:val="0"/>
        <w:autoSpaceDE/>
        <w:autoSpaceDN/>
        <w:bidi w:val="0"/>
        <w:adjustRightInd/>
        <w:snapToGrid/>
        <w:spacing w:line="240" w:lineRule="auto"/>
        <w:ind w:left="0" w:leftChars="0"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7、不与采购人、采购代理机构政府采购评审专家或其它</w:t>
      </w:r>
      <w:r>
        <w:rPr>
          <w:rFonts w:hint="eastAsia" w:ascii="宋体" w:hAnsi="宋体" w:eastAsia="宋体" w:cs="宋体"/>
          <w:kern w:val="0"/>
          <w:sz w:val="24"/>
          <w:lang w:eastAsia="zh-CN"/>
        </w:rPr>
        <w:t>供应商</w:t>
      </w:r>
      <w:r>
        <w:rPr>
          <w:rFonts w:hint="eastAsia" w:ascii="宋体" w:hAnsi="宋体" w:eastAsia="宋体" w:cs="宋体"/>
          <w:kern w:val="0"/>
          <w:sz w:val="24"/>
        </w:rPr>
        <w:t>恶意串通，进行质疑和投诉，维护政府采购市场秩序。</w:t>
      </w:r>
    </w:p>
    <w:p w14:paraId="63F65556">
      <w:pPr>
        <w:keepNext w:val="0"/>
        <w:keepLines w:val="0"/>
        <w:pageBreakBefore w:val="0"/>
        <w:widowControl/>
        <w:kinsoku/>
        <w:wordWrap/>
        <w:overflowPunct/>
        <w:topLinePunct w:val="0"/>
        <w:autoSpaceDE/>
        <w:autoSpaceDN/>
        <w:bidi w:val="0"/>
        <w:adjustRightInd/>
        <w:snapToGrid/>
        <w:spacing w:line="240" w:lineRule="auto"/>
        <w:ind w:left="0" w:leftChars="0"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8、尊重和接受政府采购监督管理部门的监督和政府采购代理机构采购要求，承担因违约行为给采购人造成的损失。</w:t>
      </w:r>
    </w:p>
    <w:p w14:paraId="01BEA3B8">
      <w:pPr>
        <w:keepNext w:val="0"/>
        <w:keepLines w:val="0"/>
        <w:pageBreakBefore w:val="0"/>
        <w:widowControl/>
        <w:kinsoku/>
        <w:wordWrap/>
        <w:overflowPunct/>
        <w:topLinePunct w:val="0"/>
        <w:autoSpaceDE/>
        <w:autoSpaceDN/>
        <w:bidi w:val="0"/>
        <w:adjustRightInd/>
        <w:snapToGrid/>
        <w:spacing w:line="240" w:lineRule="auto"/>
        <w:ind w:left="0" w:leftChars="0"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9、不发生其他有悖于政府采购公开、公平、公正和诚信原则的行为。</w:t>
      </w:r>
    </w:p>
    <w:p w14:paraId="3474BB0F">
      <w:pPr>
        <w:widowControl w:val="0"/>
        <w:autoSpaceDE w:val="0"/>
        <w:autoSpaceDN w:val="0"/>
        <w:adjustRightInd w:val="0"/>
        <w:snapToGrid w:val="0"/>
        <w:spacing w:line="360" w:lineRule="auto"/>
        <w:jc w:val="left"/>
        <w:rPr>
          <w:rFonts w:hint="eastAsia" w:ascii="宋体" w:hAnsi="宋体" w:eastAsia="宋体" w:cs="宋体"/>
          <w:kern w:val="0"/>
          <w:sz w:val="18"/>
          <w:szCs w:val="20"/>
          <w:lang w:val="en-US" w:eastAsia="zh-CN" w:bidi="ar-SA"/>
        </w:rPr>
      </w:pPr>
    </w:p>
    <w:p w14:paraId="376612C9">
      <w:pPr>
        <w:keepNext w:val="0"/>
        <w:keepLines w:val="0"/>
        <w:pageBreakBefore w:val="0"/>
        <w:widowControl w:val="0"/>
        <w:kinsoku/>
        <w:wordWrap/>
        <w:overflowPunct/>
        <w:topLinePunct w:val="0"/>
        <w:autoSpaceDE/>
        <w:autoSpaceDN/>
        <w:bidi w:val="0"/>
        <w:adjustRightInd/>
        <w:snapToGrid/>
        <w:spacing w:line="360" w:lineRule="auto"/>
        <w:ind w:left="0" w:leftChars="0" w:firstLine="3600" w:firstLineChars="1500"/>
        <w:jc w:val="both"/>
        <w:textAlignment w:val="auto"/>
        <w:rPr>
          <w:rFonts w:hint="eastAsia" w:ascii="宋体" w:hAnsi="宋体" w:eastAsia="宋体" w:cs="宋体"/>
          <w:kern w:val="2"/>
          <w:sz w:val="24"/>
          <w:lang w:val="en-US" w:eastAsia="zh-CN"/>
        </w:rPr>
      </w:pPr>
    </w:p>
    <w:p w14:paraId="5F5F4C36">
      <w:pPr>
        <w:keepNext w:val="0"/>
        <w:keepLines w:val="0"/>
        <w:pageBreakBefore w:val="0"/>
        <w:widowControl w:val="0"/>
        <w:kinsoku/>
        <w:wordWrap/>
        <w:overflowPunct/>
        <w:topLinePunct w:val="0"/>
        <w:autoSpaceDE/>
        <w:autoSpaceDN/>
        <w:bidi w:val="0"/>
        <w:adjustRightInd/>
        <w:snapToGrid/>
        <w:spacing w:line="240" w:lineRule="auto"/>
        <w:ind w:left="0" w:leftChars="0" w:firstLine="3600" w:firstLineChars="1500"/>
        <w:jc w:val="both"/>
        <w:textAlignment w:val="auto"/>
        <w:rPr>
          <w:rFonts w:hint="eastAsia" w:ascii="宋体" w:hAnsi="宋体" w:eastAsia="宋体" w:cs="宋体"/>
          <w:kern w:val="2"/>
          <w:sz w:val="24"/>
          <w:u w:val="single"/>
        </w:rPr>
      </w:pPr>
      <w:r>
        <w:rPr>
          <w:rFonts w:hint="eastAsia" w:ascii="宋体" w:hAnsi="宋体" w:eastAsia="宋体" w:cs="宋体"/>
          <w:kern w:val="2"/>
          <w:sz w:val="24"/>
          <w:lang w:val="en-US" w:eastAsia="zh-CN"/>
        </w:rPr>
        <w:t>承诺单位</w:t>
      </w:r>
      <w:r>
        <w:rPr>
          <w:rFonts w:hint="eastAsia" w:ascii="宋体" w:hAnsi="宋体" w:eastAsia="宋体" w:cs="宋体"/>
          <w:kern w:val="2"/>
          <w:sz w:val="24"/>
        </w:rPr>
        <w:t>：</w:t>
      </w:r>
      <w:r>
        <w:rPr>
          <w:rFonts w:hint="eastAsia" w:ascii="宋体" w:hAnsi="宋体" w:eastAsia="宋体" w:cs="宋体"/>
          <w:kern w:val="2"/>
          <w:sz w:val="24"/>
          <w:u w:val="single"/>
        </w:rPr>
        <w:t xml:space="preserve">     </w:t>
      </w:r>
      <w:r>
        <w:rPr>
          <w:rFonts w:hint="eastAsia" w:ascii="宋体" w:hAnsi="宋体" w:eastAsia="宋体" w:cs="宋体"/>
          <w:kern w:val="2"/>
          <w:sz w:val="24"/>
          <w:u w:val="single"/>
          <w:lang w:val="en-US" w:eastAsia="zh-CN"/>
        </w:rPr>
        <w:t xml:space="preserve">          </w:t>
      </w:r>
      <w:r>
        <w:rPr>
          <w:rFonts w:hint="eastAsia" w:ascii="宋体" w:hAnsi="宋体" w:eastAsia="宋体" w:cs="宋体"/>
          <w:kern w:val="2"/>
          <w:sz w:val="24"/>
          <w:u w:val="single"/>
        </w:rPr>
        <w:t xml:space="preserve">   </w:t>
      </w:r>
      <w:r>
        <w:rPr>
          <w:rFonts w:hint="eastAsia" w:ascii="宋体" w:hAnsi="宋体" w:eastAsia="宋体" w:cs="宋体"/>
          <w:kern w:val="2"/>
          <w:sz w:val="24"/>
        </w:rPr>
        <w:t>（</w:t>
      </w:r>
      <w:r>
        <w:rPr>
          <w:rFonts w:hint="eastAsia" w:ascii="宋体" w:hAnsi="宋体" w:eastAsia="宋体" w:cs="宋体"/>
          <w:kern w:val="2"/>
          <w:sz w:val="24"/>
          <w:lang w:val="en-US" w:eastAsia="zh-CN"/>
        </w:rPr>
        <w:t>盖</w:t>
      </w:r>
      <w:r>
        <w:rPr>
          <w:rFonts w:hint="eastAsia" w:ascii="宋体" w:hAnsi="宋体" w:eastAsia="宋体" w:cs="宋体"/>
          <w:kern w:val="2"/>
          <w:sz w:val="24"/>
        </w:rPr>
        <w:t>章）</w:t>
      </w:r>
    </w:p>
    <w:p w14:paraId="5A0A45AC">
      <w:pPr>
        <w:keepNext w:val="0"/>
        <w:keepLines w:val="0"/>
        <w:pageBreakBefore w:val="0"/>
        <w:widowControl w:val="0"/>
        <w:kinsoku/>
        <w:wordWrap/>
        <w:overflowPunct/>
        <w:topLinePunct w:val="0"/>
        <w:autoSpaceDE/>
        <w:autoSpaceDN/>
        <w:bidi w:val="0"/>
        <w:adjustRightInd/>
        <w:snapToGrid/>
        <w:spacing w:line="240" w:lineRule="auto"/>
        <w:ind w:firstLine="3600" w:firstLineChars="1500"/>
        <w:jc w:val="both"/>
        <w:textAlignment w:val="auto"/>
        <w:rPr>
          <w:rFonts w:hint="eastAsia" w:ascii="宋体" w:hAnsi="宋体" w:eastAsia="宋体" w:cs="宋体"/>
          <w:kern w:val="2"/>
          <w:sz w:val="24"/>
          <w:u w:val="single"/>
        </w:rPr>
      </w:pPr>
      <w:r>
        <w:rPr>
          <w:rFonts w:hint="eastAsia" w:ascii="宋体" w:hAnsi="宋体" w:eastAsia="宋体" w:cs="宋体"/>
          <w:kern w:val="2"/>
          <w:sz w:val="24"/>
        </w:rPr>
        <w:t>法定代表人或</w:t>
      </w:r>
      <w:r>
        <w:rPr>
          <w:rFonts w:hint="eastAsia" w:ascii="宋体" w:hAnsi="宋体" w:eastAsia="宋体" w:cs="宋体"/>
          <w:kern w:val="2"/>
          <w:sz w:val="24"/>
          <w:lang w:val="en-US" w:eastAsia="zh-CN"/>
        </w:rPr>
        <w:t>委托代理人</w:t>
      </w:r>
      <w:r>
        <w:rPr>
          <w:rFonts w:hint="eastAsia" w:ascii="宋体" w:hAnsi="宋体" w:eastAsia="宋体" w:cs="宋体"/>
          <w:kern w:val="2"/>
          <w:sz w:val="24"/>
        </w:rPr>
        <w:t>：</w:t>
      </w:r>
      <w:r>
        <w:rPr>
          <w:rFonts w:hint="eastAsia" w:ascii="宋体" w:hAnsi="宋体" w:eastAsia="宋体" w:cs="宋体"/>
          <w:kern w:val="2"/>
          <w:sz w:val="24"/>
          <w:u w:val="single"/>
        </w:rPr>
        <w:t xml:space="preserve"> </w:t>
      </w:r>
      <w:r>
        <w:rPr>
          <w:rFonts w:hint="eastAsia" w:ascii="宋体" w:hAnsi="宋体" w:eastAsia="宋体" w:cs="宋体"/>
          <w:kern w:val="2"/>
          <w:sz w:val="24"/>
        </w:rPr>
        <w:t>（签字或盖章）</w:t>
      </w:r>
    </w:p>
    <w:p w14:paraId="2D4AF76F">
      <w:pPr>
        <w:keepNext w:val="0"/>
        <w:keepLines w:val="0"/>
        <w:pageBreakBefore w:val="0"/>
        <w:widowControl w:val="0"/>
        <w:kinsoku/>
        <w:wordWrap/>
        <w:overflowPunct/>
        <w:topLinePunct w:val="0"/>
        <w:autoSpaceDE/>
        <w:autoSpaceDN/>
        <w:bidi w:val="0"/>
        <w:adjustRightInd/>
        <w:snapToGrid/>
        <w:spacing w:line="240" w:lineRule="auto"/>
        <w:ind w:left="0" w:leftChars="0" w:firstLine="3600" w:firstLineChars="15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邮编：</w:t>
      </w:r>
      <w:r>
        <w:rPr>
          <w:rFonts w:hint="eastAsia" w:ascii="宋体" w:hAnsi="宋体" w:eastAsia="宋体" w:cs="宋体"/>
          <w:kern w:val="2"/>
          <w:sz w:val="24"/>
          <w:u w:val="single"/>
        </w:rPr>
        <w:t xml:space="preserve">     </w:t>
      </w:r>
      <w:r>
        <w:rPr>
          <w:rFonts w:hint="eastAsia" w:ascii="宋体" w:hAnsi="宋体" w:eastAsia="宋体" w:cs="宋体"/>
          <w:kern w:val="2"/>
          <w:sz w:val="24"/>
          <w:u w:val="single"/>
          <w:lang w:val="en-US" w:eastAsia="zh-CN"/>
        </w:rPr>
        <w:t xml:space="preserve">                  </w:t>
      </w:r>
      <w:r>
        <w:rPr>
          <w:rFonts w:hint="eastAsia" w:ascii="宋体" w:hAnsi="宋体" w:eastAsia="宋体" w:cs="宋体"/>
          <w:kern w:val="2"/>
          <w:sz w:val="24"/>
          <w:u w:val="single"/>
        </w:rPr>
        <w:t xml:space="preserve">   </w:t>
      </w:r>
    </w:p>
    <w:p w14:paraId="039C0A18">
      <w:pPr>
        <w:keepNext w:val="0"/>
        <w:keepLines w:val="0"/>
        <w:pageBreakBefore w:val="0"/>
        <w:widowControl w:val="0"/>
        <w:kinsoku/>
        <w:wordWrap/>
        <w:overflowPunct/>
        <w:topLinePunct w:val="0"/>
        <w:autoSpaceDE/>
        <w:autoSpaceDN/>
        <w:bidi w:val="0"/>
        <w:adjustRightInd/>
        <w:snapToGrid/>
        <w:spacing w:line="240" w:lineRule="auto"/>
        <w:ind w:left="0" w:leftChars="0" w:firstLine="3600" w:firstLineChars="15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地址：</w:t>
      </w:r>
      <w:r>
        <w:rPr>
          <w:rFonts w:hint="eastAsia" w:ascii="宋体" w:hAnsi="宋体" w:eastAsia="宋体" w:cs="宋体"/>
          <w:kern w:val="2"/>
          <w:sz w:val="24"/>
          <w:u w:val="single"/>
        </w:rPr>
        <w:t xml:space="preserve">     </w:t>
      </w:r>
      <w:r>
        <w:rPr>
          <w:rFonts w:hint="eastAsia" w:ascii="宋体" w:hAnsi="宋体" w:eastAsia="宋体" w:cs="宋体"/>
          <w:kern w:val="2"/>
          <w:sz w:val="24"/>
          <w:u w:val="single"/>
          <w:lang w:val="en-US" w:eastAsia="zh-CN"/>
        </w:rPr>
        <w:t xml:space="preserve">                  </w:t>
      </w:r>
      <w:r>
        <w:rPr>
          <w:rFonts w:hint="eastAsia" w:ascii="宋体" w:hAnsi="宋体" w:eastAsia="宋体" w:cs="宋体"/>
          <w:kern w:val="2"/>
          <w:sz w:val="24"/>
          <w:u w:val="single"/>
        </w:rPr>
        <w:t xml:space="preserve">   </w:t>
      </w:r>
    </w:p>
    <w:p w14:paraId="267A1686">
      <w:pPr>
        <w:keepNext w:val="0"/>
        <w:keepLines w:val="0"/>
        <w:pageBreakBefore w:val="0"/>
        <w:widowControl w:val="0"/>
        <w:kinsoku/>
        <w:wordWrap/>
        <w:overflowPunct/>
        <w:topLinePunct w:val="0"/>
        <w:autoSpaceDE/>
        <w:autoSpaceDN/>
        <w:bidi w:val="0"/>
        <w:adjustRightInd/>
        <w:snapToGrid/>
        <w:spacing w:line="240" w:lineRule="auto"/>
        <w:ind w:left="0" w:leftChars="0" w:firstLine="3600" w:firstLineChars="15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电话：</w:t>
      </w:r>
      <w:r>
        <w:rPr>
          <w:rFonts w:hint="eastAsia" w:ascii="宋体" w:hAnsi="宋体" w:eastAsia="宋体" w:cs="宋体"/>
          <w:kern w:val="2"/>
          <w:sz w:val="24"/>
          <w:u w:val="single"/>
        </w:rPr>
        <w:t xml:space="preserve">     </w:t>
      </w:r>
      <w:r>
        <w:rPr>
          <w:rFonts w:hint="eastAsia" w:ascii="宋体" w:hAnsi="宋体" w:eastAsia="宋体" w:cs="宋体"/>
          <w:kern w:val="2"/>
          <w:sz w:val="24"/>
          <w:u w:val="single"/>
          <w:lang w:val="en-US" w:eastAsia="zh-CN"/>
        </w:rPr>
        <w:t xml:space="preserve">                  </w:t>
      </w:r>
      <w:r>
        <w:rPr>
          <w:rFonts w:hint="eastAsia" w:ascii="宋体" w:hAnsi="宋体" w:eastAsia="宋体" w:cs="宋体"/>
          <w:kern w:val="2"/>
          <w:sz w:val="24"/>
          <w:u w:val="single"/>
        </w:rPr>
        <w:t xml:space="preserve">   </w:t>
      </w:r>
    </w:p>
    <w:p w14:paraId="49CBD882">
      <w:pPr>
        <w:keepNext w:val="0"/>
        <w:keepLines w:val="0"/>
        <w:pageBreakBefore w:val="0"/>
        <w:widowControl w:val="0"/>
        <w:kinsoku/>
        <w:wordWrap/>
        <w:overflowPunct/>
        <w:topLinePunct w:val="0"/>
        <w:autoSpaceDE/>
        <w:autoSpaceDN/>
        <w:bidi w:val="0"/>
        <w:adjustRightInd/>
        <w:snapToGrid/>
        <w:spacing w:line="240" w:lineRule="auto"/>
        <w:ind w:left="0" w:leftChars="0" w:firstLine="3600" w:firstLineChars="1500"/>
        <w:jc w:val="both"/>
        <w:textAlignment w:val="auto"/>
        <w:rPr>
          <w:rFonts w:hint="eastAsia" w:ascii="宋体" w:hAnsi="宋体" w:eastAsia="宋体" w:cs="宋体"/>
          <w:kern w:val="2"/>
          <w:sz w:val="24"/>
        </w:rPr>
      </w:pPr>
      <w:r>
        <w:rPr>
          <w:rFonts w:hint="eastAsia" w:ascii="宋体" w:hAnsi="宋体" w:eastAsia="宋体" w:cs="宋体"/>
          <w:kern w:val="2"/>
          <w:sz w:val="24"/>
        </w:rPr>
        <w:t xml:space="preserve">日期：  </w:t>
      </w:r>
      <w:r>
        <w:rPr>
          <w:rFonts w:hint="eastAsia" w:ascii="宋体" w:hAnsi="宋体" w:eastAsia="宋体" w:cs="宋体"/>
          <w:kern w:val="2"/>
          <w:sz w:val="24"/>
          <w:lang w:val="en-US" w:eastAsia="zh-CN"/>
        </w:rPr>
        <w:t xml:space="preserve">  </w:t>
      </w:r>
      <w:r>
        <w:rPr>
          <w:rFonts w:hint="eastAsia" w:ascii="宋体" w:hAnsi="宋体" w:eastAsia="宋体" w:cs="宋体"/>
          <w:kern w:val="2"/>
          <w:sz w:val="24"/>
        </w:rPr>
        <w:t xml:space="preserve"> 年  </w:t>
      </w:r>
      <w:r>
        <w:rPr>
          <w:rFonts w:hint="eastAsia" w:ascii="宋体" w:hAnsi="宋体" w:eastAsia="宋体" w:cs="宋体"/>
          <w:kern w:val="2"/>
          <w:sz w:val="24"/>
          <w:lang w:val="en-US" w:eastAsia="zh-CN"/>
        </w:rPr>
        <w:t xml:space="preserve"> </w:t>
      </w:r>
      <w:r>
        <w:rPr>
          <w:rFonts w:hint="eastAsia" w:ascii="宋体" w:hAnsi="宋体" w:eastAsia="宋体" w:cs="宋体"/>
          <w:kern w:val="2"/>
          <w:sz w:val="24"/>
        </w:rPr>
        <w:t xml:space="preserve">  月     日</w:t>
      </w:r>
    </w:p>
    <w:p w14:paraId="22AD6FFE">
      <w:pPr>
        <w:pStyle w:val="34"/>
        <w:rPr>
          <w:rFonts w:hint="eastAsia" w:ascii="宋体" w:hAnsi="宋体" w:eastAsia="宋体" w:cs="宋体"/>
          <w:kern w:val="2"/>
          <w:sz w:val="24"/>
        </w:rPr>
      </w:pPr>
    </w:p>
    <w:p w14:paraId="7F355AB8">
      <w:pPr>
        <w:pStyle w:val="12"/>
        <w:rPr>
          <w:rFonts w:hint="eastAsia" w:ascii="宋体" w:hAnsi="宋体" w:eastAsia="宋体" w:cs="宋体"/>
          <w:kern w:val="2"/>
          <w:sz w:val="24"/>
        </w:rPr>
      </w:pPr>
    </w:p>
    <w:p w14:paraId="297505A8">
      <w:pPr>
        <w:pStyle w:val="13"/>
        <w:rPr>
          <w:rFonts w:hint="eastAsia"/>
        </w:rPr>
      </w:pPr>
    </w:p>
    <w:p w14:paraId="3C076A34">
      <w:pPr>
        <w:pStyle w:val="13"/>
        <w:rPr>
          <w:rFonts w:hint="eastAsia"/>
        </w:rPr>
      </w:pPr>
    </w:p>
    <w:p w14:paraId="7DD7B6AC">
      <w:pPr>
        <w:pStyle w:val="4"/>
        <w:ind w:firstLine="657"/>
        <w:rPr>
          <w:rFonts w:hint="default" w:ascii="Times New Roman" w:hAnsi="Times New Roman" w:eastAsia="宋体"/>
          <w:b/>
          <w:bCs/>
          <w:sz w:val="32"/>
          <w:szCs w:val="32"/>
          <w:lang w:val="en-US" w:eastAsia="zh-CN"/>
        </w:rPr>
      </w:pPr>
      <w:r>
        <w:rPr>
          <w:rFonts w:hint="eastAsia" w:ascii="宋体" w:hAnsi="宋体" w:eastAsia="宋体" w:cs="宋体"/>
          <w:color w:val="000000" w:themeColor="text1"/>
          <w:highlight w:val="none"/>
          <w14:textFill>
            <w14:solidFill>
              <w14:schemeClr w14:val="tx1"/>
            </w14:solidFill>
          </w14:textFill>
        </w:rPr>
        <w:t>第</w:t>
      </w:r>
      <w:r>
        <w:rPr>
          <w:rFonts w:hint="eastAsia" w:ascii="宋体" w:hAnsi="宋体" w:cs="宋体"/>
          <w:color w:val="000000" w:themeColor="text1"/>
          <w:highlight w:val="none"/>
          <w:lang w:val="en-US" w:eastAsia="zh-CN"/>
          <w14:textFill>
            <w14:solidFill>
              <w14:schemeClr w14:val="tx1"/>
            </w14:solidFill>
          </w14:textFill>
        </w:rPr>
        <w:t>九</w:t>
      </w:r>
      <w:r>
        <w:rPr>
          <w:rFonts w:hint="eastAsia" w:ascii="宋体" w:hAnsi="宋体" w:eastAsia="宋体" w:cs="宋体"/>
          <w:color w:val="000000" w:themeColor="text1"/>
          <w:highlight w:val="none"/>
          <w14:textFill>
            <w14:solidFill>
              <w14:schemeClr w14:val="tx1"/>
            </w14:solidFill>
          </w14:textFill>
        </w:rPr>
        <w:t xml:space="preserve">部分  </w:t>
      </w:r>
      <w:r>
        <w:rPr>
          <w:rFonts w:hint="eastAsia" w:ascii="宋体" w:hAnsi="宋体" w:cs="宋体"/>
          <w:color w:val="000000" w:themeColor="text1"/>
          <w:highlight w:val="none"/>
          <w:lang w:val="en-US" w:eastAsia="zh-CN"/>
          <w14:textFill>
            <w14:solidFill>
              <w14:schemeClr w14:val="tx1"/>
            </w14:solidFill>
          </w14:textFill>
        </w:rPr>
        <w:t>其他资料</w:t>
      </w:r>
    </w:p>
    <w:p w14:paraId="26FF5D90">
      <w:pPr>
        <w:bidi w:val="0"/>
        <w:spacing w:line="360" w:lineRule="auto"/>
        <w:ind w:left="0" w:leftChars="0" w:right="0" w:rightChars="0" w:firstLine="0" w:firstLineChars="0"/>
        <w:jc w:val="both"/>
        <w:rPr>
          <w:rFonts w:hint="eastAsia" w:ascii="宋体" w:hAnsi="宋体" w:eastAsia="宋体" w:cs="宋体"/>
          <w:b/>
          <w:bCs/>
          <w:color w:val="auto"/>
          <w:sz w:val="24"/>
          <w:szCs w:val="24"/>
          <w:highlight w:val="none"/>
          <w:lang w:val="zh-CN"/>
        </w:rPr>
      </w:pPr>
      <w:r>
        <w:rPr>
          <w:rFonts w:hint="eastAsia" w:ascii="Times New Roman" w:hAnsi="Times New Roman" w:eastAsia="宋体"/>
          <w:b/>
          <w:bCs/>
          <w:lang w:val="en-US" w:eastAsia="zh-CN"/>
        </w:rPr>
        <w:t>附件</w:t>
      </w:r>
      <w:r>
        <w:rPr>
          <w:rFonts w:hint="eastAsia" w:ascii="Times New Roman" w:hAnsi="Times New Roman"/>
          <w:b/>
          <w:bCs/>
          <w:lang w:val="en-US" w:eastAsia="zh-CN"/>
        </w:rPr>
        <w:t>一</w:t>
      </w:r>
      <w:r>
        <w:rPr>
          <w:rFonts w:hint="eastAsia" w:ascii="Times New Roman" w:hAnsi="Times New Roman" w:eastAsia="宋体"/>
          <w:b/>
          <w:bCs/>
          <w:lang w:val="en-US" w:eastAsia="zh-CN"/>
        </w:rPr>
        <w:t>：</w:t>
      </w:r>
    </w:p>
    <w:p w14:paraId="07A20D4B">
      <w:pPr>
        <w:spacing w:line="360" w:lineRule="auto"/>
        <w:ind w:left="0" w:leftChars="0" w:right="0" w:rightChars="0" w:firstLine="0" w:firstLineChars="0"/>
        <w:jc w:val="center"/>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 xml:space="preserve">中小企业声明函（货物） </w:t>
      </w:r>
    </w:p>
    <w:p w14:paraId="2E2FD9FE">
      <w:pPr>
        <w:widowControl w:val="0"/>
        <w:autoSpaceDE w:val="0"/>
        <w:autoSpaceDN w:val="0"/>
        <w:adjustRightInd w:val="0"/>
        <w:snapToGrid w:val="0"/>
        <w:spacing w:line="360" w:lineRule="auto"/>
        <w:ind w:firstLine="480" w:firstLineChars="200"/>
        <w:jc w:val="left"/>
        <w:rPr>
          <w:rFonts w:ascii="宋体" w:hAnsi="宋体" w:eastAsia="宋体" w:cs="宋体"/>
          <w:kern w:val="0"/>
          <w:sz w:val="24"/>
          <w:szCs w:val="24"/>
          <w:lang w:val="en-US" w:eastAsia="zh-CN" w:bidi="ar-SA"/>
        </w:rPr>
      </w:pPr>
    </w:p>
    <w:p w14:paraId="5E8EF6EE">
      <w:pPr>
        <w:widowControl w:val="0"/>
        <w:autoSpaceDE w:val="0"/>
        <w:autoSpaceDN w:val="0"/>
        <w:adjustRightInd w:val="0"/>
        <w:snapToGrid w:val="0"/>
        <w:spacing w:line="360" w:lineRule="auto"/>
        <w:ind w:firstLine="480" w:firstLineChars="200"/>
        <w:jc w:val="left"/>
        <w:rPr>
          <w:rFonts w:ascii="宋体" w:hAnsi="宋体" w:eastAsia="宋体" w:cs="宋体"/>
          <w:kern w:val="0"/>
          <w:sz w:val="24"/>
          <w:szCs w:val="24"/>
          <w:lang w:val="en-US" w:eastAsia="zh-CN" w:bidi="ar-SA"/>
        </w:rPr>
      </w:pPr>
      <w:r>
        <w:rPr>
          <w:rFonts w:ascii="宋体" w:hAnsi="宋体" w:eastAsia="宋体" w:cs="宋体"/>
          <w:kern w:val="0"/>
          <w:sz w:val="24"/>
          <w:szCs w:val="24"/>
          <w:lang w:val="en-US" w:eastAsia="zh-CN" w:bidi="ar-SA"/>
        </w:rPr>
        <w:t>本公司（联合体）郑重声明，根据《政府采购促进 中小企业发展管理办法》（财库﹝2020﹞46 号）的规 定，本公司（联合体）参加</w:t>
      </w:r>
      <w:r>
        <w:rPr>
          <w:rFonts w:ascii="宋体" w:hAnsi="宋体" w:eastAsia="宋体" w:cs="宋体"/>
          <w:kern w:val="0"/>
          <w:sz w:val="24"/>
          <w:szCs w:val="24"/>
          <w:u w:val="single"/>
          <w:lang w:val="en-US" w:eastAsia="zh-CN" w:bidi="ar-SA"/>
        </w:rPr>
        <w:t xml:space="preserve"> （单位名称）</w:t>
      </w:r>
      <w:r>
        <w:rPr>
          <w:rFonts w:ascii="宋体" w:hAnsi="宋体" w:eastAsia="宋体" w:cs="宋体"/>
          <w:kern w:val="0"/>
          <w:sz w:val="24"/>
          <w:szCs w:val="24"/>
          <w:lang w:val="en-US" w:eastAsia="zh-CN" w:bidi="ar-SA"/>
        </w:rPr>
        <w:t>的</w:t>
      </w:r>
      <w:r>
        <w:rPr>
          <w:rFonts w:ascii="宋体" w:hAnsi="宋体" w:eastAsia="宋体" w:cs="宋体"/>
          <w:kern w:val="0"/>
          <w:sz w:val="24"/>
          <w:szCs w:val="24"/>
          <w:u w:val="single"/>
          <w:lang w:val="en-US" w:eastAsia="zh-CN" w:bidi="ar-SA"/>
        </w:rPr>
        <w:t xml:space="preserve"> （项目名称）</w:t>
      </w:r>
      <w:r>
        <w:rPr>
          <w:rFonts w:ascii="宋体" w:hAnsi="宋体" w:eastAsia="宋体" w:cs="宋体"/>
          <w:kern w:val="0"/>
          <w:sz w:val="24"/>
          <w:szCs w:val="24"/>
          <w:lang w:val="en-US" w:eastAsia="zh-CN" w:bidi="ar-SA"/>
        </w:rPr>
        <w:t>采购活动，提供的货物全部由符合政策要求的中小 企业制造。相关企业（含联合体中的中小企业、签订分包意向协议的中小企业）的具体情况如下：</w:t>
      </w:r>
    </w:p>
    <w:p w14:paraId="5E474E8C">
      <w:pPr>
        <w:widowControl w:val="0"/>
        <w:autoSpaceDE w:val="0"/>
        <w:autoSpaceDN w:val="0"/>
        <w:adjustRightInd w:val="0"/>
        <w:snapToGrid w:val="0"/>
        <w:spacing w:line="360" w:lineRule="auto"/>
        <w:ind w:firstLine="480" w:firstLineChars="200"/>
        <w:jc w:val="left"/>
        <w:rPr>
          <w:rFonts w:ascii="宋体" w:hAnsi="宋体" w:eastAsia="宋体" w:cs="宋体"/>
          <w:kern w:val="0"/>
          <w:sz w:val="24"/>
          <w:szCs w:val="24"/>
          <w:lang w:val="en-US" w:eastAsia="zh-CN" w:bidi="ar-SA"/>
        </w:rPr>
      </w:pPr>
      <w:r>
        <w:rPr>
          <w:rFonts w:ascii="宋体" w:hAnsi="宋体" w:eastAsia="宋体" w:cs="宋体"/>
          <w:kern w:val="0"/>
          <w:sz w:val="24"/>
          <w:szCs w:val="24"/>
          <w:lang w:val="en-US" w:eastAsia="zh-CN" w:bidi="ar-SA"/>
        </w:rPr>
        <w:t>1.</w:t>
      </w:r>
      <w:r>
        <w:rPr>
          <w:rFonts w:ascii="宋体" w:hAnsi="宋体" w:eastAsia="宋体" w:cs="宋体"/>
          <w:kern w:val="0"/>
          <w:sz w:val="24"/>
          <w:szCs w:val="24"/>
          <w:u w:val="single"/>
          <w:lang w:val="en-US" w:eastAsia="zh-CN" w:bidi="ar-SA"/>
        </w:rPr>
        <w:t xml:space="preserve">（标的名称） </w:t>
      </w:r>
      <w:r>
        <w:rPr>
          <w:rFonts w:ascii="宋体" w:hAnsi="宋体" w:eastAsia="宋体" w:cs="宋体"/>
          <w:kern w:val="0"/>
          <w:sz w:val="24"/>
          <w:szCs w:val="24"/>
          <w:lang w:val="en-US" w:eastAsia="zh-CN" w:bidi="ar-SA"/>
        </w:rPr>
        <w:t>，属于</w:t>
      </w:r>
      <w:r>
        <w:rPr>
          <w:rFonts w:ascii="宋体" w:hAnsi="宋体" w:eastAsia="宋体" w:cs="宋体"/>
          <w:kern w:val="0"/>
          <w:sz w:val="24"/>
          <w:szCs w:val="24"/>
          <w:u w:val="single"/>
          <w:lang w:val="en-US" w:eastAsia="zh-CN" w:bidi="ar-SA"/>
        </w:rPr>
        <w:t xml:space="preserve"> （采购文件中明确的所属行业） 行业</w:t>
      </w:r>
      <w:r>
        <w:rPr>
          <w:rFonts w:ascii="宋体" w:hAnsi="宋体" w:eastAsia="宋体" w:cs="宋体"/>
          <w:kern w:val="0"/>
          <w:sz w:val="24"/>
          <w:szCs w:val="24"/>
          <w:lang w:val="en-US" w:eastAsia="zh-CN" w:bidi="ar-SA"/>
        </w:rPr>
        <w:t>；制造商为</w:t>
      </w:r>
      <w:r>
        <w:rPr>
          <w:rFonts w:ascii="宋体" w:hAnsi="宋体" w:eastAsia="宋体" w:cs="宋体"/>
          <w:kern w:val="0"/>
          <w:sz w:val="24"/>
          <w:szCs w:val="24"/>
          <w:u w:val="single"/>
          <w:lang w:val="en-US" w:eastAsia="zh-CN" w:bidi="ar-SA"/>
        </w:rPr>
        <w:t xml:space="preserve"> （企业名称）</w:t>
      </w:r>
      <w:r>
        <w:rPr>
          <w:rFonts w:ascii="宋体" w:hAnsi="宋体" w:eastAsia="宋体" w:cs="宋体"/>
          <w:kern w:val="0"/>
          <w:sz w:val="24"/>
          <w:szCs w:val="24"/>
          <w:lang w:val="en-US" w:eastAsia="zh-CN" w:bidi="ar-SA"/>
        </w:rPr>
        <w:t>，从业人员</w:t>
      </w:r>
      <w:r>
        <w:rPr>
          <w:rFonts w:ascii="宋体" w:hAnsi="宋体" w:eastAsia="宋体" w:cs="宋体"/>
          <w:kern w:val="0"/>
          <w:sz w:val="24"/>
          <w:szCs w:val="24"/>
          <w:u w:val="single"/>
          <w:lang w:val="en-US" w:eastAsia="zh-CN" w:bidi="ar-SA"/>
        </w:rPr>
        <w:t xml:space="preserve"> </w:t>
      </w:r>
      <w:r>
        <w:rPr>
          <w:rFonts w:hint="eastAsia" w:ascii="宋体" w:hAnsi="宋体" w:eastAsia="宋体" w:cs="宋体"/>
          <w:kern w:val="0"/>
          <w:sz w:val="24"/>
          <w:szCs w:val="24"/>
          <w:u w:val="single"/>
          <w:lang w:val="en-US" w:eastAsia="zh-CN" w:bidi="ar-SA"/>
        </w:rPr>
        <w:t xml:space="preserve">   </w:t>
      </w:r>
      <w:r>
        <w:rPr>
          <w:rFonts w:ascii="宋体" w:hAnsi="宋体" w:eastAsia="宋体" w:cs="宋体"/>
          <w:kern w:val="0"/>
          <w:sz w:val="24"/>
          <w:szCs w:val="24"/>
          <w:lang w:val="en-US" w:eastAsia="zh-CN" w:bidi="ar-SA"/>
        </w:rPr>
        <w:t>人，营业收入为</w:t>
      </w:r>
      <w:r>
        <w:rPr>
          <w:rFonts w:hint="eastAsia" w:ascii="宋体" w:hAnsi="宋体" w:eastAsia="宋体" w:cs="宋体"/>
          <w:kern w:val="0"/>
          <w:sz w:val="24"/>
          <w:szCs w:val="24"/>
          <w:u w:val="single"/>
          <w:lang w:val="en-US" w:eastAsia="zh-CN" w:bidi="ar-SA"/>
        </w:rPr>
        <w:t xml:space="preserve">   </w:t>
      </w:r>
      <w:r>
        <w:rPr>
          <w:rFonts w:ascii="宋体" w:hAnsi="宋体" w:eastAsia="宋体" w:cs="宋体"/>
          <w:kern w:val="0"/>
          <w:sz w:val="24"/>
          <w:szCs w:val="24"/>
          <w:u w:val="single"/>
          <w:lang w:val="en-US" w:eastAsia="zh-CN" w:bidi="ar-SA"/>
        </w:rPr>
        <w:t xml:space="preserve"> </w:t>
      </w:r>
      <w:r>
        <w:rPr>
          <w:rFonts w:ascii="宋体" w:hAnsi="宋体" w:eastAsia="宋体" w:cs="宋体"/>
          <w:kern w:val="0"/>
          <w:sz w:val="24"/>
          <w:szCs w:val="24"/>
          <w:lang w:val="en-US" w:eastAsia="zh-CN" w:bidi="ar-SA"/>
        </w:rPr>
        <w:t>万元，资产总额为</w:t>
      </w:r>
      <w:r>
        <w:rPr>
          <w:rFonts w:ascii="宋体" w:hAnsi="宋体" w:eastAsia="宋体" w:cs="宋体"/>
          <w:kern w:val="0"/>
          <w:sz w:val="24"/>
          <w:szCs w:val="24"/>
          <w:u w:val="single"/>
          <w:lang w:val="en-US" w:eastAsia="zh-CN" w:bidi="ar-SA"/>
        </w:rPr>
        <w:t xml:space="preserve"> </w:t>
      </w:r>
      <w:r>
        <w:rPr>
          <w:rFonts w:hint="eastAsia" w:ascii="宋体" w:hAnsi="宋体" w:eastAsia="宋体" w:cs="宋体"/>
          <w:kern w:val="0"/>
          <w:sz w:val="24"/>
          <w:szCs w:val="24"/>
          <w:u w:val="single"/>
          <w:lang w:val="en-US" w:eastAsia="zh-CN" w:bidi="ar-SA"/>
        </w:rPr>
        <w:t xml:space="preserve">   </w:t>
      </w:r>
      <w:r>
        <w:rPr>
          <w:rFonts w:ascii="宋体" w:hAnsi="宋体" w:eastAsia="宋体" w:cs="宋体"/>
          <w:kern w:val="0"/>
          <w:sz w:val="24"/>
          <w:szCs w:val="24"/>
          <w:lang w:val="en-US" w:eastAsia="zh-CN" w:bidi="ar-SA"/>
        </w:rPr>
        <w:t>万元，属于</w:t>
      </w:r>
      <w:r>
        <w:rPr>
          <w:rFonts w:ascii="宋体" w:hAnsi="宋体" w:eastAsia="宋体" w:cs="宋体"/>
          <w:kern w:val="0"/>
          <w:sz w:val="24"/>
          <w:szCs w:val="24"/>
          <w:u w:val="single"/>
          <w:lang w:val="en-US" w:eastAsia="zh-CN" w:bidi="ar-SA"/>
        </w:rPr>
        <w:t xml:space="preserve"> （中型企业、 小 型企业、微型企业）</w:t>
      </w:r>
      <w:r>
        <w:rPr>
          <w:rFonts w:ascii="宋体" w:hAnsi="宋体" w:eastAsia="宋体" w:cs="宋体"/>
          <w:kern w:val="0"/>
          <w:sz w:val="24"/>
          <w:szCs w:val="24"/>
          <w:lang w:val="en-US" w:eastAsia="zh-CN" w:bidi="ar-SA"/>
        </w:rPr>
        <w:t>；</w:t>
      </w:r>
    </w:p>
    <w:p w14:paraId="3DDD84CA">
      <w:pPr>
        <w:widowControl w:val="0"/>
        <w:autoSpaceDE w:val="0"/>
        <w:autoSpaceDN w:val="0"/>
        <w:adjustRightInd w:val="0"/>
        <w:snapToGrid w:val="0"/>
        <w:spacing w:line="360" w:lineRule="auto"/>
        <w:ind w:firstLine="480" w:firstLineChars="200"/>
        <w:jc w:val="left"/>
        <w:rPr>
          <w:rFonts w:ascii="宋体" w:hAnsi="宋体" w:eastAsia="宋体" w:cs="宋体"/>
          <w:kern w:val="0"/>
          <w:sz w:val="24"/>
          <w:szCs w:val="24"/>
          <w:lang w:val="en-US" w:eastAsia="zh-CN" w:bidi="ar-SA"/>
        </w:rPr>
      </w:pPr>
      <w:r>
        <w:rPr>
          <w:rFonts w:ascii="宋体" w:hAnsi="宋体" w:eastAsia="宋体" w:cs="宋体"/>
          <w:kern w:val="0"/>
          <w:sz w:val="24"/>
          <w:szCs w:val="24"/>
          <w:lang w:val="en-US" w:eastAsia="zh-CN" w:bidi="ar-SA"/>
        </w:rPr>
        <w:t>2.</w:t>
      </w:r>
      <w:r>
        <w:rPr>
          <w:rFonts w:ascii="宋体" w:hAnsi="宋体" w:eastAsia="宋体" w:cs="宋体"/>
          <w:kern w:val="0"/>
          <w:sz w:val="24"/>
          <w:szCs w:val="24"/>
          <w:u w:val="single"/>
          <w:lang w:val="en-US" w:eastAsia="zh-CN" w:bidi="ar-SA"/>
        </w:rPr>
        <w:t xml:space="preserve">（标的名称） </w:t>
      </w:r>
      <w:r>
        <w:rPr>
          <w:rFonts w:ascii="宋体" w:hAnsi="宋体" w:eastAsia="宋体" w:cs="宋体"/>
          <w:kern w:val="0"/>
          <w:sz w:val="24"/>
          <w:szCs w:val="24"/>
          <w:lang w:val="en-US" w:eastAsia="zh-CN" w:bidi="ar-SA"/>
        </w:rPr>
        <w:t>，属于</w:t>
      </w:r>
      <w:r>
        <w:rPr>
          <w:rFonts w:ascii="宋体" w:hAnsi="宋体" w:eastAsia="宋体" w:cs="宋体"/>
          <w:kern w:val="0"/>
          <w:sz w:val="24"/>
          <w:szCs w:val="24"/>
          <w:u w:val="single"/>
          <w:lang w:val="en-US" w:eastAsia="zh-CN" w:bidi="ar-SA"/>
        </w:rPr>
        <w:t xml:space="preserve"> （采购文件中明确的所属行业） </w:t>
      </w:r>
      <w:r>
        <w:rPr>
          <w:rFonts w:ascii="宋体" w:hAnsi="宋体" w:eastAsia="宋体" w:cs="宋体"/>
          <w:kern w:val="0"/>
          <w:sz w:val="24"/>
          <w:szCs w:val="24"/>
          <w:lang w:val="en-US" w:eastAsia="zh-CN" w:bidi="ar-SA"/>
        </w:rPr>
        <w:t>行业；制造商为</w:t>
      </w:r>
      <w:r>
        <w:rPr>
          <w:rFonts w:ascii="宋体" w:hAnsi="宋体" w:eastAsia="宋体" w:cs="宋体"/>
          <w:kern w:val="0"/>
          <w:sz w:val="24"/>
          <w:szCs w:val="24"/>
          <w:u w:val="single"/>
          <w:lang w:val="en-US" w:eastAsia="zh-CN" w:bidi="ar-SA"/>
        </w:rPr>
        <w:t xml:space="preserve"> （企业名称）</w:t>
      </w:r>
      <w:r>
        <w:rPr>
          <w:rFonts w:ascii="宋体" w:hAnsi="宋体" w:eastAsia="宋体" w:cs="宋体"/>
          <w:kern w:val="0"/>
          <w:sz w:val="24"/>
          <w:szCs w:val="24"/>
          <w:lang w:val="en-US" w:eastAsia="zh-CN" w:bidi="ar-SA"/>
        </w:rPr>
        <w:t>，从业人员</w:t>
      </w:r>
      <w:r>
        <w:rPr>
          <w:rFonts w:ascii="宋体" w:hAnsi="宋体" w:eastAsia="宋体" w:cs="宋体"/>
          <w:kern w:val="0"/>
          <w:sz w:val="24"/>
          <w:szCs w:val="24"/>
          <w:u w:val="single"/>
          <w:lang w:val="en-US" w:eastAsia="zh-CN" w:bidi="ar-SA"/>
        </w:rPr>
        <w:t xml:space="preserve"> </w:t>
      </w:r>
      <w:r>
        <w:rPr>
          <w:rFonts w:hint="eastAsia" w:ascii="宋体" w:hAnsi="宋体" w:eastAsia="宋体" w:cs="宋体"/>
          <w:kern w:val="0"/>
          <w:sz w:val="24"/>
          <w:szCs w:val="24"/>
          <w:u w:val="single"/>
          <w:lang w:val="en-US" w:eastAsia="zh-CN" w:bidi="ar-SA"/>
        </w:rPr>
        <w:t xml:space="preserve">   </w:t>
      </w:r>
      <w:r>
        <w:rPr>
          <w:rFonts w:ascii="宋体" w:hAnsi="宋体" w:eastAsia="宋体" w:cs="宋体"/>
          <w:kern w:val="0"/>
          <w:sz w:val="24"/>
          <w:szCs w:val="24"/>
          <w:lang w:val="en-US" w:eastAsia="zh-CN" w:bidi="ar-SA"/>
        </w:rPr>
        <w:t>人，营业收入</w:t>
      </w:r>
      <w:r>
        <w:rPr>
          <w:rFonts w:ascii="宋体" w:hAnsi="宋体" w:eastAsia="宋体" w:cs="宋体"/>
          <w:kern w:val="0"/>
          <w:sz w:val="24"/>
          <w:szCs w:val="24"/>
          <w:u w:val="single"/>
          <w:lang w:val="en-US" w:eastAsia="zh-CN" w:bidi="ar-SA"/>
        </w:rPr>
        <w:t xml:space="preserve"> </w:t>
      </w:r>
      <w:r>
        <w:rPr>
          <w:rFonts w:hint="eastAsia" w:ascii="宋体" w:hAnsi="宋体" w:eastAsia="宋体" w:cs="宋体"/>
          <w:kern w:val="0"/>
          <w:sz w:val="24"/>
          <w:szCs w:val="24"/>
          <w:u w:val="single"/>
          <w:lang w:val="en-US" w:eastAsia="zh-CN" w:bidi="ar-SA"/>
        </w:rPr>
        <w:t xml:space="preserve">   </w:t>
      </w:r>
      <w:r>
        <w:rPr>
          <w:rFonts w:ascii="宋体" w:hAnsi="宋体" w:eastAsia="宋体" w:cs="宋体"/>
          <w:kern w:val="0"/>
          <w:sz w:val="24"/>
          <w:szCs w:val="24"/>
          <w:lang w:val="en-US" w:eastAsia="zh-CN" w:bidi="ar-SA"/>
        </w:rPr>
        <w:t>为万元，资产总额为</w:t>
      </w:r>
      <w:r>
        <w:rPr>
          <w:rFonts w:ascii="宋体" w:hAnsi="宋体" w:eastAsia="宋体" w:cs="宋体"/>
          <w:kern w:val="0"/>
          <w:sz w:val="24"/>
          <w:szCs w:val="24"/>
          <w:u w:val="single"/>
          <w:lang w:val="en-US" w:eastAsia="zh-CN" w:bidi="ar-SA"/>
        </w:rPr>
        <w:t xml:space="preserve"> </w:t>
      </w:r>
      <w:r>
        <w:rPr>
          <w:rFonts w:hint="eastAsia" w:ascii="宋体" w:hAnsi="宋体" w:eastAsia="宋体" w:cs="宋体"/>
          <w:kern w:val="0"/>
          <w:sz w:val="24"/>
          <w:szCs w:val="24"/>
          <w:u w:val="single"/>
          <w:lang w:val="en-US" w:eastAsia="zh-CN" w:bidi="ar-SA"/>
        </w:rPr>
        <w:t xml:space="preserve">   </w:t>
      </w:r>
      <w:r>
        <w:rPr>
          <w:rFonts w:ascii="宋体" w:hAnsi="宋体" w:eastAsia="宋体" w:cs="宋体"/>
          <w:kern w:val="0"/>
          <w:sz w:val="24"/>
          <w:szCs w:val="24"/>
          <w:lang w:val="en-US" w:eastAsia="zh-CN" w:bidi="ar-SA"/>
        </w:rPr>
        <w:t>万元，属于</w:t>
      </w:r>
      <w:r>
        <w:rPr>
          <w:rFonts w:ascii="宋体" w:hAnsi="宋体" w:eastAsia="宋体" w:cs="宋体"/>
          <w:kern w:val="0"/>
          <w:sz w:val="24"/>
          <w:szCs w:val="24"/>
          <w:u w:val="single"/>
          <w:lang w:val="en-US" w:eastAsia="zh-CN" w:bidi="ar-SA"/>
        </w:rPr>
        <w:t xml:space="preserve"> （中型企业、小 型 企业、微型企业）</w:t>
      </w:r>
      <w:r>
        <w:rPr>
          <w:rFonts w:ascii="宋体" w:hAnsi="宋体" w:eastAsia="宋体" w:cs="宋体"/>
          <w:kern w:val="0"/>
          <w:sz w:val="24"/>
          <w:szCs w:val="24"/>
          <w:lang w:val="en-US" w:eastAsia="zh-CN" w:bidi="ar-SA"/>
        </w:rPr>
        <w:t>；</w:t>
      </w:r>
    </w:p>
    <w:p w14:paraId="5096A9AA">
      <w:pPr>
        <w:widowControl w:val="0"/>
        <w:autoSpaceDE w:val="0"/>
        <w:autoSpaceDN w:val="0"/>
        <w:adjustRightInd w:val="0"/>
        <w:snapToGrid w:val="0"/>
        <w:spacing w:line="360" w:lineRule="auto"/>
        <w:ind w:firstLine="480" w:firstLineChars="200"/>
        <w:jc w:val="left"/>
        <w:rPr>
          <w:rFonts w:ascii="宋体" w:hAnsi="宋体" w:eastAsia="宋体" w:cs="宋体"/>
          <w:kern w:val="0"/>
          <w:sz w:val="24"/>
          <w:szCs w:val="24"/>
          <w:lang w:val="en-US" w:eastAsia="zh-CN" w:bidi="ar-SA"/>
        </w:rPr>
      </w:pPr>
      <w:r>
        <w:rPr>
          <w:rFonts w:ascii="宋体" w:hAnsi="宋体" w:eastAsia="宋体" w:cs="宋体"/>
          <w:kern w:val="0"/>
          <w:sz w:val="24"/>
          <w:szCs w:val="24"/>
          <w:lang w:val="en-US" w:eastAsia="zh-CN" w:bidi="ar-SA"/>
        </w:rPr>
        <w:t xml:space="preserve"> …… </w:t>
      </w:r>
    </w:p>
    <w:p w14:paraId="7EE201AC">
      <w:pPr>
        <w:widowControl w:val="0"/>
        <w:autoSpaceDE w:val="0"/>
        <w:autoSpaceDN w:val="0"/>
        <w:adjustRightInd w:val="0"/>
        <w:snapToGrid w:val="0"/>
        <w:spacing w:line="360" w:lineRule="auto"/>
        <w:ind w:firstLine="480" w:firstLineChars="200"/>
        <w:jc w:val="left"/>
        <w:rPr>
          <w:rFonts w:ascii="宋体" w:hAnsi="宋体" w:eastAsia="宋体" w:cs="宋体"/>
          <w:kern w:val="0"/>
          <w:sz w:val="24"/>
          <w:szCs w:val="24"/>
          <w:lang w:val="en-US" w:eastAsia="zh-CN" w:bidi="ar-SA"/>
        </w:rPr>
      </w:pPr>
      <w:r>
        <w:rPr>
          <w:rFonts w:ascii="宋体" w:hAnsi="宋体" w:eastAsia="宋体" w:cs="宋体"/>
          <w:kern w:val="0"/>
          <w:sz w:val="24"/>
          <w:szCs w:val="24"/>
          <w:lang w:val="en-US" w:eastAsia="zh-CN" w:bidi="ar-SA"/>
        </w:rPr>
        <w:t>以上企业，不属于大企业的分支机构，不存在控股股东为大 企业的情形，也不存在与大企业的负责人为同一人的情形。本企业对上述声明内容的真实性负责。如有虚假，将依 法承担相应责任。</w:t>
      </w:r>
    </w:p>
    <w:p w14:paraId="441C5B2B">
      <w:pPr>
        <w:widowControl w:val="0"/>
        <w:autoSpaceDE w:val="0"/>
        <w:autoSpaceDN w:val="0"/>
        <w:adjustRightInd w:val="0"/>
        <w:snapToGrid w:val="0"/>
        <w:spacing w:line="360" w:lineRule="auto"/>
        <w:ind w:firstLine="3360" w:firstLineChars="1400"/>
        <w:jc w:val="left"/>
        <w:rPr>
          <w:rFonts w:ascii="宋体" w:hAnsi="宋体" w:eastAsia="宋体" w:cs="宋体"/>
          <w:kern w:val="0"/>
          <w:sz w:val="24"/>
          <w:szCs w:val="24"/>
          <w:lang w:val="en-US" w:eastAsia="zh-CN" w:bidi="ar-SA"/>
        </w:rPr>
      </w:pPr>
    </w:p>
    <w:p w14:paraId="51751DD0">
      <w:pPr>
        <w:widowControl w:val="0"/>
        <w:autoSpaceDE w:val="0"/>
        <w:autoSpaceDN w:val="0"/>
        <w:adjustRightInd w:val="0"/>
        <w:snapToGrid w:val="0"/>
        <w:spacing w:line="360" w:lineRule="auto"/>
        <w:ind w:firstLine="4080" w:firstLineChars="1700"/>
        <w:jc w:val="left"/>
        <w:rPr>
          <w:rFonts w:hint="default" w:ascii="宋体" w:hAnsi="宋体" w:eastAsia="宋体" w:cs="宋体"/>
          <w:kern w:val="0"/>
          <w:sz w:val="24"/>
          <w:szCs w:val="24"/>
          <w:lang w:val="en-US" w:eastAsia="zh-CN" w:bidi="ar-SA"/>
        </w:rPr>
      </w:pPr>
      <w:r>
        <w:rPr>
          <w:rFonts w:ascii="宋体" w:hAnsi="宋体" w:eastAsia="宋体" w:cs="宋体"/>
          <w:kern w:val="0"/>
          <w:sz w:val="24"/>
          <w:szCs w:val="24"/>
          <w:lang w:val="en-US" w:eastAsia="zh-CN" w:bidi="ar-SA"/>
        </w:rPr>
        <w:t>企业名称：</w:t>
      </w:r>
      <w:r>
        <w:rPr>
          <w:rFonts w:hint="eastAsia" w:ascii="宋体" w:hAnsi="宋体" w:eastAsia="宋体" w:cs="宋体"/>
          <w:kern w:val="0"/>
          <w:sz w:val="24"/>
          <w:szCs w:val="20"/>
          <w:u w:val="single"/>
          <w:lang w:val="en-US" w:eastAsia="zh-CN" w:bidi="ar-SA"/>
        </w:rPr>
        <w:t xml:space="preserve">                          </w:t>
      </w:r>
      <w:r>
        <w:rPr>
          <w:rFonts w:hint="eastAsia" w:ascii="宋体" w:hAnsi="宋体" w:eastAsia="宋体" w:cs="宋体"/>
          <w:kern w:val="0"/>
          <w:sz w:val="24"/>
          <w:szCs w:val="20"/>
          <w:lang w:val="en-US" w:eastAsia="zh-CN" w:bidi="ar-SA"/>
        </w:rPr>
        <w:t>（盖章）</w:t>
      </w:r>
    </w:p>
    <w:p w14:paraId="36D50B77">
      <w:pPr>
        <w:spacing w:before="120" w:beforeLines="50" w:line="480" w:lineRule="auto"/>
        <w:ind w:firstLine="4080" w:firstLineChars="1700"/>
        <w:rPr>
          <w:rFonts w:hint="eastAsia" w:ascii="宋体" w:hAnsi="宋体" w:eastAsia="宋体" w:cs="宋体"/>
          <w:sz w:val="24"/>
        </w:rPr>
      </w:pPr>
    </w:p>
    <w:p w14:paraId="6B40009A">
      <w:pPr>
        <w:spacing w:before="120" w:beforeLines="50" w:line="480" w:lineRule="auto"/>
        <w:ind w:firstLine="4080" w:firstLineChars="1700"/>
        <w:rPr>
          <w:rFonts w:hint="eastAsia" w:ascii="宋体" w:hAnsi="宋体" w:eastAsia="宋体" w:cs="宋体"/>
          <w:sz w:val="24"/>
        </w:rPr>
      </w:pPr>
      <w:r>
        <w:rPr>
          <w:rFonts w:hint="eastAsia" w:ascii="宋体" w:hAnsi="宋体" w:eastAsia="宋体" w:cs="宋体"/>
          <w:sz w:val="24"/>
        </w:rPr>
        <w:t xml:space="preserve">日期：  </w:t>
      </w:r>
      <w:r>
        <w:rPr>
          <w:rFonts w:hint="eastAsia" w:ascii="宋体" w:hAnsi="宋体" w:eastAsia="宋体" w:cs="宋体"/>
          <w:sz w:val="24"/>
          <w:lang w:val="en-US" w:eastAsia="zh-CN"/>
        </w:rPr>
        <w:t xml:space="preserve">  </w:t>
      </w:r>
      <w:r>
        <w:rPr>
          <w:rFonts w:hint="eastAsia" w:ascii="宋体" w:hAnsi="宋体" w:eastAsia="宋体" w:cs="宋体"/>
          <w:sz w:val="24"/>
        </w:rPr>
        <w:t xml:space="preserve"> 年  </w:t>
      </w:r>
      <w:r>
        <w:rPr>
          <w:rFonts w:hint="eastAsia" w:ascii="宋体" w:hAnsi="宋体" w:eastAsia="宋体" w:cs="宋体"/>
          <w:sz w:val="24"/>
          <w:lang w:val="en-US" w:eastAsia="zh-CN"/>
        </w:rPr>
        <w:t xml:space="preserve"> </w:t>
      </w:r>
      <w:r>
        <w:rPr>
          <w:rFonts w:hint="eastAsia" w:ascii="宋体" w:hAnsi="宋体" w:eastAsia="宋体" w:cs="宋体"/>
          <w:sz w:val="24"/>
        </w:rPr>
        <w:t xml:space="preserve">  月     日</w:t>
      </w:r>
    </w:p>
    <w:p w14:paraId="52C9E02D">
      <w:pPr>
        <w:widowControl w:val="0"/>
        <w:autoSpaceDE w:val="0"/>
        <w:autoSpaceDN w:val="0"/>
        <w:adjustRightInd w:val="0"/>
        <w:snapToGrid w:val="0"/>
        <w:spacing w:line="360" w:lineRule="auto"/>
        <w:ind w:firstLine="3360" w:firstLineChars="1400"/>
        <w:jc w:val="left"/>
        <w:rPr>
          <w:rFonts w:hint="eastAsia" w:ascii="宋体" w:hAnsi="宋体" w:eastAsia="宋体" w:cs="宋体"/>
          <w:kern w:val="0"/>
          <w:sz w:val="24"/>
          <w:szCs w:val="24"/>
          <w:lang w:val="en-US" w:eastAsia="zh-CN" w:bidi="ar-SA"/>
        </w:rPr>
      </w:pPr>
    </w:p>
    <w:p w14:paraId="135F3460">
      <w:pPr>
        <w:widowControl w:val="0"/>
        <w:autoSpaceDE w:val="0"/>
        <w:autoSpaceDN w:val="0"/>
        <w:adjustRightInd w:val="0"/>
        <w:snapToGrid w:val="0"/>
        <w:spacing w:line="360" w:lineRule="auto"/>
        <w:jc w:val="left"/>
        <w:rPr>
          <w:rFonts w:hint="eastAsia" w:ascii="宋体" w:hAnsi="宋体" w:eastAsia="宋体" w:cs="宋体"/>
          <w:kern w:val="0"/>
          <w:sz w:val="24"/>
          <w:szCs w:val="24"/>
          <w:lang w:val="en-US" w:eastAsia="zh-CN" w:bidi="ar-SA"/>
        </w:rPr>
      </w:pPr>
    </w:p>
    <w:p w14:paraId="13490377">
      <w:pPr>
        <w:keepNext w:val="0"/>
        <w:keepLines w:val="0"/>
        <w:pageBreakBefore w:val="0"/>
        <w:widowControl w:val="0"/>
        <w:numPr>
          <w:ilvl w:val="0"/>
          <w:numId w:val="20"/>
        </w:numPr>
        <w:suppressAutoHyphens/>
        <w:kinsoku/>
        <w:wordWrap/>
        <w:overflowPunct/>
        <w:topLinePunct w:val="0"/>
        <w:autoSpaceDE/>
        <w:autoSpaceDN/>
        <w:bidi w:val="0"/>
        <w:adjustRightInd/>
        <w:snapToGrid/>
        <w:spacing w:line="360" w:lineRule="auto"/>
        <w:ind w:left="0" w:firstLine="480" w:firstLineChars="200"/>
        <w:jc w:val="left"/>
        <w:textAlignment w:val="auto"/>
        <w:rPr>
          <w:rFonts w:hint="eastAsia" w:ascii="宋体" w:hAnsi="宋体" w:eastAsia="宋体" w:cs="宋体"/>
          <w:spacing w:val="6"/>
          <w:sz w:val="24"/>
        </w:rPr>
      </w:pPr>
      <w:r>
        <w:rPr>
          <w:rFonts w:hint="eastAsia" w:ascii="宋体" w:hAnsi="宋体" w:eastAsia="宋体" w:cs="宋体"/>
          <w:color w:val="auto"/>
          <w:sz w:val="24"/>
          <w:szCs w:val="24"/>
          <w:highlight w:val="none"/>
        </w:rPr>
        <w:t>从业人员、营业收入、资产总额填报上一年度数据，无上一年度数据的新成立企业可不填报。</w:t>
      </w:r>
    </w:p>
    <w:p w14:paraId="37F9EF62">
      <w:pPr>
        <w:rPr>
          <w:rFonts w:hint="eastAsia" w:ascii="宋体" w:hAnsi="宋体" w:eastAsia="宋体" w:cs="宋体"/>
        </w:rPr>
      </w:pPr>
      <w:bookmarkStart w:id="367" w:name="_Toc16889"/>
      <w:bookmarkStart w:id="368" w:name="_Toc25782"/>
      <w:bookmarkStart w:id="369" w:name="_Toc6218"/>
      <w:r>
        <w:rPr>
          <w:rFonts w:hint="eastAsia" w:ascii="宋体" w:hAnsi="宋体" w:eastAsia="宋体" w:cs="宋体"/>
        </w:rPr>
        <w:br w:type="page"/>
      </w:r>
    </w:p>
    <w:bookmarkEnd w:id="367"/>
    <w:bookmarkEnd w:id="368"/>
    <w:bookmarkEnd w:id="369"/>
    <w:p w14:paraId="20056753">
      <w:pPr>
        <w:bidi w:val="0"/>
        <w:spacing w:line="360" w:lineRule="auto"/>
        <w:ind w:left="0" w:leftChars="0" w:right="0" w:rightChars="0" w:firstLine="0" w:firstLineChars="0"/>
        <w:jc w:val="both"/>
        <w:rPr>
          <w:rFonts w:hint="default" w:ascii="Times New Roman" w:hAnsi="Times New Roman" w:eastAsia="宋体"/>
          <w:b/>
          <w:bCs/>
          <w:lang w:val="en-US" w:eastAsia="zh-CN"/>
        </w:rPr>
      </w:pPr>
      <w:r>
        <w:rPr>
          <w:rFonts w:hint="eastAsia" w:ascii="Times New Roman" w:hAnsi="Times New Roman" w:eastAsia="宋体"/>
          <w:b/>
          <w:bCs/>
          <w:lang w:val="en-US" w:eastAsia="zh-CN"/>
        </w:rPr>
        <w:t>附件</w:t>
      </w:r>
      <w:r>
        <w:rPr>
          <w:rFonts w:hint="eastAsia" w:ascii="Times New Roman" w:hAnsi="Times New Roman"/>
          <w:b/>
          <w:bCs/>
          <w:lang w:val="en-US" w:eastAsia="zh-CN"/>
        </w:rPr>
        <w:t>二</w:t>
      </w:r>
      <w:r>
        <w:rPr>
          <w:rFonts w:hint="eastAsia" w:ascii="Times New Roman" w:hAnsi="Times New Roman" w:eastAsia="宋体"/>
          <w:b/>
          <w:bCs/>
          <w:lang w:val="en-US" w:eastAsia="zh-CN"/>
        </w:rPr>
        <w:t>：</w:t>
      </w:r>
    </w:p>
    <w:p w14:paraId="697AD95E">
      <w:pPr>
        <w:bidi w:val="0"/>
        <w:ind w:left="0" w:leftChars="0" w:right="0" w:rightChars="0" w:firstLine="0" w:firstLineChars="0"/>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残疾人福利性单位声明函（如有）</w:t>
      </w:r>
    </w:p>
    <w:p w14:paraId="096C8565">
      <w:pPr>
        <w:numPr>
          <w:ilvl w:val="0"/>
          <w:numId w:val="20"/>
        </w:numPr>
        <w:suppressAutoHyphens/>
        <w:spacing w:line="360" w:lineRule="auto"/>
        <w:rPr>
          <w:rFonts w:hint="eastAsia" w:ascii="宋体" w:hAnsi="宋体" w:eastAsia="宋体" w:cs="宋体"/>
          <w:b/>
          <w:spacing w:val="6"/>
          <w:sz w:val="24"/>
        </w:rPr>
      </w:pPr>
    </w:p>
    <w:p w14:paraId="62AC53E5">
      <w:pPr>
        <w:keepNext w:val="0"/>
        <w:keepLines w:val="0"/>
        <w:pageBreakBefore w:val="0"/>
        <w:widowControl w:val="0"/>
        <w:numPr>
          <w:ilvl w:val="0"/>
          <w:numId w:val="20"/>
        </w:numPr>
        <w:suppressAutoHyphen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lang w:val="en-US" w:eastAsia="zh-CN"/>
        </w:rPr>
        <w:t>本单位郑重声明，根据《财政部 民政部 中国残疾人联合会关于促进残疾人就业政府采购政策的通知》（财库〔2017〕 141 号）的规定，本单位为符合条件的残疾人福利性单位，且本单位参加</w:t>
      </w:r>
      <w:r>
        <w:rPr>
          <w:rFonts w:hint="eastAsia" w:ascii="宋体" w:hAnsi="宋体" w:eastAsia="宋体" w:cs="宋体"/>
          <w:kern w:val="0"/>
          <w:sz w:val="24"/>
          <w:u w:val="single"/>
          <w:lang w:val="en-US" w:eastAsia="zh-CN"/>
        </w:rPr>
        <w:t xml:space="preserve">         </w:t>
      </w:r>
      <w:r>
        <w:rPr>
          <w:rFonts w:hint="eastAsia" w:ascii="宋体" w:hAnsi="宋体" w:eastAsia="宋体" w:cs="宋体"/>
          <w:kern w:val="0"/>
          <w:sz w:val="24"/>
          <w:lang w:val="en-US" w:eastAsia="zh-CN"/>
        </w:rPr>
        <w:t>项目采购活动提供本单位制造的货物（由本单位承担工程/提供服务），或者提供其他残疾人福利性单位制造的货物（不包括使用非残疾人福利性单位注册商标的货物）。</w:t>
      </w:r>
    </w:p>
    <w:p w14:paraId="2BFFC49B">
      <w:pPr>
        <w:keepNext w:val="0"/>
        <w:keepLines w:val="0"/>
        <w:pageBreakBefore w:val="0"/>
        <w:widowControl w:val="0"/>
        <w:numPr>
          <w:ilvl w:val="0"/>
          <w:numId w:val="20"/>
        </w:numPr>
        <w:suppressAutoHyphen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lang w:val="en-US" w:eastAsia="zh-CN"/>
        </w:rPr>
        <w:t>本单位对上述声明的真实性负责。如有虚假，将依法承担相应责任。</w:t>
      </w:r>
    </w:p>
    <w:p w14:paraId="6631AA2F">
      <w:pPr>
        <w:widowControl w:val="0"/>
        <w:spacing w:before="120" w:line="360" w:lineRule="auto"/>
        <w:jc w:val="both"/>
        <w:rPr>
          <w:rFonts w:hint="eastAsia" w:ascii="宋体" w:hAnsi="宋体" w:eastAsia="宋体" w:cs="宋体"/>
          <w:kern w:val="2"/>
          <w:sz w:val="24"/>
          <w:szCs w:val="24"/>
          <w:lang w:val="en-US" w:eastAsia="zh-CN" w:bidi="ar-SA"/>
        </w:rPr>
      </w:pPr>
    </w:p>
    <w:p w14:paraId="47A216EC">
      <w:pPr>
        <w:spacing w:line="360" w:lineRule="auto"/>
        <w:rPr>
          <w:rFonts w:hint="eastAsia" w:ascii="宋体" w:hAnsi="宋体" w:eastAsia="宋体" w:cs="宋体"/>
        </w:rPr>
      </w:pPr>
    </w:p>
    <w:p w14:paraId="630FF8DA">
      <w:pPr>
        <w:spacing w:before="120" w:beforeLines="50" w:line="480" w:lineRule="auto"/>
        <w:ind w:firstLine="3600" w:firstLineChars="1500"/>
        <w:rPr>
          <w:rFonts w:hint="eastAsia" w:ascii="宋体" w:hAnsi="宋体" w:eastAsia="宋体" w:cs="宋体"/>
          <w:sz w:val="24"/>
          <w:u w:val="single"/>
        </w:rPr>
      </w:pPr>
      <w:r>
        <w:rPr>
          <w:rFonts w:hint="eastAsia" w:ascii="宋体" w:hAnsi="宋体" w:eastAsia="宋体" w:cs="宋体"/>
          <w:sz w:val="24"/>
          <w:lang w:val="en-US" w:eastAsia="zh-CN"/>
        </w:rPr>
        <w:t>供应商名称</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val="en-US" w:eastAsia="zh-CN"/>
        </w:rPr>
        <w:t>盖</w:t>
      </w:r>
      <w:r>
        <w:rPr>
          <w:rFonts w:hint="eastAsia" w:ascii="宋体" w:hAnsi="宋体" w:eastAsia="宋体" w:cs="宋体"/>
          <w:sz w:val="24"/>
        </w:rPr>
        <w:t>章）</w:t>
      </w:r>
    </w:p>
    <w:p w14:paraId="6F43F4B0">
      <w:pPr>
        <w:spacing w:before="120" w:beforeLines="50" w:line="480" w:lineRule="auto"/>
        <w:ind w:left="525" w:leftChars="219" w:firstLine="3120" w:firstLineChars="1300"/>
        <w:rPr>
          <w:rFonts w:hint="eastAsia" w:ascii="宋体" w:hAnsi="宋体" w:eastAsia="宋体" w:cs="宋体"/>
          <w:sz w:val="24"/>
        </w:rPr>
      </w:pPr>
    </w:p>
    <w:p w14:paraId="7D93031F">
      <w:pPr>
        <w:spacing w:before="120" w:beforeLines="50" w:line="480" w:lineRule="auto"/>
        <w:ind w:left="525" w:leftChars="219" w:firstLine="3120" w:firstLineChars="1300"/>
        <w:rPr>
          <w:rFonts w:hint="eastAsia" w:ascii="宋体" w:hAnsi="宋体" w:eastAsia="宋体" w:cs="宋体"/>
          <w:sz w:val="24"/>
        </w:rPr>
      </w:pPr>
      <w:r>
        <w:rPr>
          <w:rFonts w:hint="eastAsia" w:ascii="宋体" w:hAnsi="宋体" w:eastAsia="宋体" w:cs="宋体"/>
          <w:sz w:val="24"/>
        </w:rPr>
        <w:t xml:space="preserve">日期：  </w:t>
      </w:r>
      <w:r>
        <w:rPr>
          <w:rFonts w:hint="eastAsia" w:ascii="宋体" w:hAnsi="宋体" w:eastAsia="宋体" w:cs="宋体"/>
          <w:sz w:val="24"/>
          <w:lang w:val="en-US" w:eastAsia="zh-CN"/>
        </w:rPr>
        <w:t xml:space="preserve">  </w:t>
      </w:r>
      <w:r>
        <w:rPr>
          <w:rFonts w:hint="eastAsia" w:ascii="宋体" w:hAnsi="宋体" w:eastAsia="宋体" w:cs="宋体"/>
          <w:sz w:val="24"/>
        </w:rPr>
        <w:t xml:space="preserve"> 年  </w:t>
      </w:r>
      <w:r>
        <w:rPr>
          <w:rFonts w:hint="eastAsia" w:ascii="宋体" w:hAnsi="宋体" w:eastAsia="宋体" w:cs="宋体"/>
          <w:sz w:val="24"/>
          <w:lang w:val="en-US" w:eastAsia="zh-CN"/>
        </w:rPr>
        <w:t xml:space="preserve"> </w:t>
      </w:r>
      <w:r>
        <w:rPr>
          <w:rFonts w:hint="eastAsia" w:ascii="宋体" w:hAnsi="宋体" w:eastAsia="宋体" w:cs="宋体"/>
          <w:sz w:val="24"/>
        </w:rPr>
        <w:t xml:space="preserve">  月     日</w:t>
      </w:r>
    </w:p>
    <w:p w14:paraId="5572C149">
      <w:pPr>
        <w:keepNext w:val="0"/>
        <w:keepLines w:val="0"/>
        <w:pageBreakBefore w:val="0"/>
        <w:widowControl w:val="0"/>
        <w:numPr>
          <w:ilvl w:val="0"/>
          <w:numId w:val="20"/>
        </w:numPr>
        <w:suppressAutoHyphen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bCs/>
          <w:kern w:val="0"/>
          <w:sz w:val="24"/>
          <w:lang w:val="en-US" w:eastAsia="zh-CN"/>
        </w:rPr>
      </w:pPr>
      <w:r>
        <w:rPr>
          <w:rFonts w:hint="eastAsia" w:ascii="宋体" w:hAnsi="宋体" w:eastAsia="宋体" w:cs="宋体"/>
          <w:kern w:val="0"/>
          <w:sz w:val="24"/>
          <w:lang w:val="en-US" w:eastAsia="zh-CN"/>
        </w:rPr>
        <w:t>注：供应商应仔细阅读《财政部 民政部 中国残疾人联合会关于促进残疾人就业政府采购政策的通知》，并如实填写本表，符合条件的供应商未按上述要求提供、填写的，评审时不予以考虑。</w:t>
      </w:r>
      <w:r>
        <w:rPr>
          <w:rFonts w:hint="eastAsia" w:ascii="宋体" w:hAnsi="宋体" w:eastAsia="宋体" w:cs="宋体"/>
          <w:b/>
          <w:bCs/>
          <w:kern w:val="0"/>
          <w:sz w:val="24"/>
          <w:lang w:val="en-US" w:eastAsia="zh-CN"/>
        </w:rPr>
        <w:t>不符合条件的供应商无需填写。如果出现虚假应标，由此产生的后果由供应商自行负责。</w:t>
      </w:r>
    </w:p>
    <w:p w14:paraId="576A0FDF">
      <w:pPr>
        <w:numPr>
          <w:ilvl w:val="0"/>
          <w:numId w:val="20"/>
        </w:numPr>
        <w:suppressAutoHyphens/>
        <w:wordWrap w:val="0"/>
        <w:spacing w:line="360" w:lineRule="auto"/>
        <w:ind w:left="0" w:leftChars="0" w:right="0" w:rightChars="0" w:firstLine="0" w:firstLineChars="0"/>
        <w:jc w:val="center"/>
        <w:rPr>
          <w:rFonts w:hint="eastAsia" w:ascii="宋体" w:hAnsi="宋体" w:eastAsia="宋体" w:cs="宋体"/>
          <w:b/>
          <w:bCs/>
          <w:kern w:val="0"/>
          <w:sz w:val="28"/>
          <w:szCs w:val="28"/>
        </w:rPr>
      </w:pPr>
      <w:r>
        <w:rPr>
          <w:rFonts w:hint="eastAsia" w:ascii="宋体" w:hAnsi="宋体" w:eastAsia="宋体" w:cs="宋体"/>
          <w:spacing w:val="6"/>
          <w:sz w:val="24"/>
        </w:rPr>
        <w:br w:type="page"/>
      </w:r>
    </w:p>
    <w:p w14:paraId="08FACE52">
      <w:pPr>
        <w:bidi w:val="0"/>
        <w:spacing w:line="360" w:lineRule="auto"/>
        <w:ind w:left="0" w:leftChars="0" w:right="0" w:rightChars="0" w:firstLine="0" w:firstLineChars="0"/>
        <w:jc w:val="both"/>
        <w:rPr>
          <w:rFonts w:hint="default" w:ascii="Times New Roman" w:hAnsi="Times New Roman" w:eastAsia="宋体"/>
          <w:b/>
          <w:bCs/>
          <w:lang w:val="en-US" w:eastAsia="zh-CN"/>
        </w:rPr>
      </w:pPr>
      <w:r>
        <w:rPr>
          <w:rFonts w:hint="eastAsia" w:ascii="Times New Roman" w:hAnsi="Times New Roman" w:eastAsia="宋体"/>
          <w:b/>
          <w:bCs/>
          <w:lang w:val="en-US" w:eastAsia="zh-CN"/>
        </w:rPr>
        <w:t>附件</w:t>
      </w:r>
      <w:r>
        <w:rPr>
          <w:rFonts w:hint="eastAsia" w:ascii="Times New Roman" w:hAnsi="Times New Roman"/>
          <w:b/>
          <w:bCs/>
          <w:lang w:val="en-US" w:eastAsia="zh-CN"/>
        </w:rPr>
        <w:t>三</w:t>
      </w:r>
      <w:r>
        <w:rPr>
          <w:rFonts w:hint="eastAsia" w:ascii="Times New Roman" w:hAnsi="Times New Roman" w:eastAsia="宋体"/>
          <w:b/>
          <w:bCs/>
          <w:lang w:val="en-US" w:eastAsia="zh-CN"/>
        </w:rPr>
        <w:t>：</w:t>
      </w:r>
    </w:p>
    <w:p w14:paraId="7A481690">
      <w:pPr>
        <w:bidi w:val="0"/>
        <w:ind w:left="0" w:leftChars="0" w:right="0" w:rightChars="0" w:firstLine="0" w:firstLineChars="0"/>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监狱企业证明文件（如有）</w:t>
      </w:r>
    </w:p>
    <w:p w14:paraId="68A016E5">
      <w:pPr>
        <w:widowControl/>
        <w:spacing w:before="100" w:beforeAutospacing="1" w:after="100" w:afterAutospacing="1"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说明根据《关于政府采购支持监狱企业发展有关问题的通知》(财库[2014]68号)规定，监狱企业参加政府采购活动时，应当提供由省级以上监狱管理局、戒毒管理局(含新疆生产建设兵团)出具的属于监狱企业的证明文件。</w:t>
      </w:r>
    </w:p>
    <w:p w14:paraId="0015CF91">
      <w:pPr>
        <w:widowControl w:val="0"/>
        <w:spacing w:before="120" w:line="22" w:lineRule="atLeast"/>
        <w:jc w:val="both"/>
        <w:rPr>
          <w:rFonts w:hint="eastAsia" w:ascii="宋体" w:hAnsi="宋体" w:eastAsia="宋体" w:cs="宋体"/>
          <w:b/>
          <w:kern w:val="0"/>
          <w:sz w:val="24"/>
          <w:szCs w:val="24"/>
          <w:highlight w:val="none"/>
          <w:lang w:val="en-US" w:eastAsia="zh-CN" w:bidi="ar"/>
        </w:rPr>
      </w:pPr>
    </w:p>
    <w:p w14:paraId="456B13D6">
      <w:pPr>
        <w:widowControl w:val="0"/>
        <w:spacing w:before="120" w:line="22" w:lineRule="atLeast"/>
        <w:jc w:val="both"/>
        <w:rPr>
          <w:rFonts w:hint="eastAsia" w:ascii="宋体" w:hAnsi="宋体" w:eastAsia="宋体" w:cs="宋体"/>
          <w:b/>
          <w:kern w:val="0"/>
          <w:sz w:val="24"/>
          <w:szCs w:val="24"/>
          <w:highlight w:val="none"/>
          <w:lang w:val="en-US" w:eastAsia="zh-CN" w:bidi="ar"/>
        </w:rPr>
      </w:pPr>
    </w:p>
    <w:p w14:paraId="4C7EA694">
      <w:pPr>
        <w:widowControl w:val="0"/>
        <w:spacing w:before="120" w:line="22" w:lineRule="atLeast"/>
        <w:ind w:firstLine="480" w:firstLineChars="200"/>
        <w:jc w:val="both"/>
        <w:rPr>
          <w:rFonts w:hint="eastAsia" w:ascii="宋体" w:hAnsi="宋体" w:eastAsia="宋体" w:cs="宋体"/>
          <w:b/>
          <w:kern w:val="0"/>
          <w:sz w:val="24"/>
          <w:szCs w:val="24"/>
          <w:highlight w:val="none"/>
          <w:lang w:val="en-US" w:eastAsia="zh-CN" w:bidi="ar"/>
        </w:rPr>
      </w:pPr>
      <w:r>
        <w:rPr>
          <w:rFonts w:hint="eastAsia" w:ascii="宋体" w:hAnsi="宋体" w:eastAsia="宋体" w:cs="宋体"/>
          <w:b/>
          <w:kern w:val="0"/>
          <w:sz w:val="24"/>
          <w:szCs w:val="24"/>
          <w:highlight w:val="none"/>
          <w:lang w:val="en-US" w:eastAsia="zh-CN" w:bidi="ar"/>
        </w:rPr>
        <w:t>注：不符合条件的供应商无需填写。如果出现虚假应标，由此产生的后果由供应商自行负责。</w:t>
      </w:r>
    </w:p>
    <w:p w14:paraId="2CA19E50">
      <w:pPr>
        <w:widowControl w:val="0"/>
        <w:spacing w:before="120" w:line="22" w:lineRule="atLeast"/>
        <w:jc w:val="both"/>
        <w:rPr>
          <w:rFonts w:hint="eastAsia" w:ascii="宋体" w:hAnsi="宋体" w:eastAsia="宋体" w:cs="宋体"/>
          <w:b/>
          <w:kern w:val="0"/>
          <w:sz w:val="24"/>
          <w:szCs w:val="24"/>
          <w:highlight w:val="none"/>
          <w:lang w:val="en-US" w:eastAsia="zh-CN" w:bidi="ar"/>
        </w:rPr>
      </w:pPr>
    </w:p>
    <w:p w14:paraId="10BC9769">
      <w:pPr>
        <w:rPr>
          <w:rFonts w:hint="eastAsia" w:ascii="宋体" w:hAnsi="宋体" w:eastAsia="宋体" w:cs="宋体"/>
          <w:b/>
          <w:kern w:val="0"/>
          <w:sz w:val="24"/>
          <w:szCs w:val="24"/>
          <w:highlight w:val="none"/>
          <w:lang w:val="en-US" w:eastAsia="zh-CN" w:bidi="ar"/>
        </w:rPr>
      </w:pPr>
    </w:p>
    <w:p w14:paraId="78F2D978">
      <w:pPr>
        <w:widowControl w:val="0"/>
        <w:spacing w:before="120" w:line="22" w:lineRule="atLeast"/>
        <w:jc w:val="both"/>
        <w:rPr>
          <w:rFonts w:hint="eastAsia" w:ascii="宋体" w:hAnsi="宋体" w:eastAsia="宋体" w:cs="宋体"/>
          <w:b/>
          <w:kern w:val="0"/>
          <w:sz w:val="24"/>
          <w:szCs w:val="24"/>
          <w:highlight w:val="none"/>
          <w:lang w:val="en-US" w:eastAsia="zh-CN" w:bidi="ar"/>
        </w:rPr>
      </w:pPr>
    </w:p>
    <w:p w14:paraId="480520E6">
      <w:pPr>
        <w:spacing w:before="120" w:beforeLines="50" w:line="480" w:lineRule="auto"/>
        <w:ind w:firstLine="3600" w:firstLineChars="1500"/>
        <w:rPr>
          <w:rFonts w:hint="eastAsia" w:ascii="宋体" w:hAnsi="宋体" w:eastAsia="宋体" w:cs="宋体"/>
          <w:sz w:val="24"/>
          <w:u w:val="single"/>
        </w:rPr>
      </w:pPr>
      <w:r>
        <w:rPr>
          <w:rFonts w:hint="eastAsia" w:ascii="宋体" w:hAnsi="宋体" w:eastAsia="宋体" w:cs="宋体"/>
          <w:sz w:val="24"/>
          <w:lang w:val="en-US" w:eastAsia="zh-CN"/>
        </w:rPr>
        <w:t>供应商名称</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lang w:val="en-US" w:eastAsia="zh-CN"/>
        </w:rPr>
        <w:t>盖</w:t>
      </w:r>
      <w:r>
        <w:rPr>
          <w:rFonts w:hint="eastAsia" w:ascii="宋体" w:hAnsi="宋体" w:eastAsia="宋体" w:cs="宋体"/>
          <w:sz w:val="24"/>
        </w:rPr>
        <w:t>章）</w:t>
      </w:r>
    </w:p>
    <w:p w14:paraId="67D05A8F">
      <w:pPr>
        <w:spacing w:before="120" w:beforeLines="50" w:line="480" w:lineRule="auto"/>
        <w:ind w:left="525" w:leftChars="219" w:firstLine="3120" w:firstLineChars="1300"/>
        <w:rPr>
          <w:rFonts w:hint="eastAsia" w:ascii="宋体" w:hAnsi="宋体" w:eastAsia="宋体" w:cs="宋体"/>
          <w:sz w:val="24"/>
        </w:rPr>
      </w:pPr>
    </w:p>
    <w:p w14:paraId="00C314EA">
      <w:pPr>
        <w:spacing w:before="120" w:beforeLines="50" w:line="480" w:lineRule="auto"/>
        <w:ind w:left="525" w:leftChars="219" w:firstLine="3120" w:firstLineChars="1300"/>
        <w:rPr>
          <w:rFonts w:hint="eastAsia" w:ascii="宋体" w:hAnsi="宋体" w:eastAsia="宋体" w:cs="宋体"/>
          <w:sz w:val="24"/>
        </w:rPr>
      </w:pPr>
      <w:r>
        <w:rPr>
          <w:rFonts w:hint="eastAsia" w:ascii="宋体" w:hAnsi="宋体" w:eastAsia="宋体" w:cs="宋体"/>
          <w:sz w:val="24"/>
        </w:rPr>
        <w:t xml:space="preserve">日期：  </w:t>
      </w:r>
      <w:r>
        <w:rPr>
          <w:rFonts w:hint="eastAsia" w:ascii="宋体" w:hAnsi="宋体" w:eastAsia="宋体" w:cs="宋体"/>
          <w:sz w:val="24"/>
          <w:lang w:val="en-US" w:eastAsia="zh-CN"/>
        </w:rPr>
        <w:t xml:space="preserve">  </w:t>
      </w:r>
      <w:r>
        <w:rPr>
          <w:rFonts w:hint="eastAsia" w:ascii="宋体" w:hAnsi="宋体" w:eastAsia="宋体" w:cs="宋体"/>
          <w:sz w:val="24"/>
        </w:rPr>
        <w:t xml:space="preserve"> 年  </w:t>
      </w:r>
      <w:r>
        <w:rPr>
          <w:rFonts w:hint="eastAsia" w:ascii="宋体" w:hAnsi="宋体" w:eastAsia="宋体" w:cs="宋体"/>
          <w:sz w:val="24"/>
          <w:lang w:val="en-US" w:eastAsia="zh-CN"/>
        </w:rPr>
        <w:t xml:space="preserve"> </w:t>
      </w:r>
      <w:r>
        <w:rPr>
          <w:rFonts w:hint="eastAsia" w:ascii="宋体" w:hAnsi="宋体" w:eastAsia="宋体" w:cs="宋体"/>
          <w:sz w:val="24"/>
        </w:rPr>
        <w:t xml:space="preserve">  月     日</w:t>
      </w:r>
    </w:p>
    <w:p w14:paraId="03341867">
      <w:pPr>
        <w:rPr>
          <w:rFonts w:hint="eastAsia" w:ascii="宋体" w:hAnsi="宋体" w:eastAsia="宋体" w:cs="宋体"/>
          <w:lang w:val="en-US" w:eastAsia="zh-CN"/>
        </w:rPr>
      </w:pPr>
    </w:p>
    <w:p w14:paraId="23B18D64">
      <w:pPr>
        <w:bidi w:val="0"/>
        <w:ind w:left="0" w:leftChars="0" w:right="0" w:rightChars="0" w:firstLine="0" w:firstLineChars="0"/>
        <w:jc w:val="center"/>
        <w:rPr>
          <w:rFonts w:hint="eastAsia" w:ascii="宋体" w:hAnsi="宋体" w:eastAsia="宋体" w:cs="宋体"/>
          <w:b/>
          <w:spacing w:val="6"/>
          <w:sz w:val="28"/>
          <w:szCs w:val="28"/>
        </w:rPr>
      </w:pPr>
      <w:r>
        <w:rPr>
          <w:rFonts w:hint="eastAsia" w:ascii="宋体" w:hAnsi="宋体" w:eastAsia="宋体" w:cs="宋体"/>
          <w:b/>
          <w:spacing w:val="6"/>
          <w:sz w:val="28"/>
          <w:szCs w:val="28"/>
        </w:rPr>
        <w:br w:type="page"/>
      </w:r>
      <w:bookmarkStart w:id="370" w:name="_Toc16816"/>
      <w:bookmarkStart w:id="371" w:name="_Toc13303"/>
      <w:bookmarkStart w:id="372" w:name="_Toc563"/>
      <w:bookmarkStart w:id="373" w:name="_Toc2126"/>
      <w:bookmarkStart w:id="374" w:name="_Toc13122"/>
      <w:bookmarkStart w:id="375" w:name="_Toc11969"/>
    </w:p>
    <w:p w14:paraId="78A15AE1">
      <w:pPr>
        <w:bidi w:val="0"/>
        <w:spacing w:line="360" w:lineRule="auto"/>
        <w:ind w:left="0" w:leftChars="0" w:right="0" w:rightChars="0" w:firstLine="0" w:firstLineChars="0"/>
        <w:jc w:val="both"/>
        <w:rPr>
          <w:rFonts w:hint="default" w:ascii="Times New Roman" w:hAnsi="Times New Roman" w:eastAsia="宋体"/>
          <w:b/>
          <w:bCs/>
          <w:lang w:val="en-US" w:eastAsia="zh-CN"/>
        </w:rPr>
      </w:pPr>
      <w:r>
        <w:rPr>
          <w:rFonts w:hint="eastAsia" w:ascii="Times New Roman" w:hAnsi="Times New Roman" w:eastAsia="宋体"/>
          <w:b/>
          <w:bCs/>
          <w:lang w:val="en-US" w:eastAsia="zh-CN"/>
        </w:rPr>
        <w:t>附件</w:t>
      </w:r>
      <w:r>
        <w:rPr>
          <w:rFonts w:hint="eastAsia" w:ascii="Times New Roman" w:hAnsi="Times New Roman"/>
          <w:b/>
          <w:bCs/>
          <w:lang w:val="en-US" w:eastAsia="zh-CN"/>
        </w:rPr>
        <w:t>四</w:t>
      </w:r>
      <w:r>
        <w:rPr>
          <w:rFonts w:hint="eastAsia" w:ascii="Times New Roman" w:hAnsi="Times New Roman" w:eastAsia="宋体"/>
          <w:b/>
          <w:bCs/>
          <w:lang w:val="en-US" w:eastAsia="zh-CN"/>
        </w:rPr>
        <w:t>：</w:t>
      </w:r>
    </w:p>
    <w:p w14:paraId="62704C9E">
      <w:pPr>
        <w:bidi w:val="0"/>
        <w:ind w:left="0" w:leftChars="0" w:right="0" w:rightChars="0" w:firstLine="0" w:firstLineChars="0"/>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“节能产品”，“环境标志产品”证明材料</w:t>
      </w:r>
      <w:bookmarkEnd w:id="370"/>
      <w:bookmarkEnd w:id="371"/>
      <w:bookmarkEnd w:id="372"/>
      <w:bookmarkEnd w:id="373"/>
      <w:bookmarkEnd w:id="374"/>
      <w:bookmarkEnd w:id="375"/>
    </w:p>
    <w:p w14:paraId="0ED92D54">
      <w:pPr>
        <w:bidi w:val="0"/>
        <w:rPr>
          <w:rFonts w:hint="eastAsia" w:ascii="Times New Roman" w:hAnsi="Times New Roman" w:eastAsia="宋体"/>
          <w:lang w:val="en-US" w:eastAsia="zh-CN"/>
        </w:rPr>
      </w:pPr>
    </w:p>
    <w:p w14:paraId="5EA87DA0">
      <w:pPr>
        <w:widowControl/>
        <w:spacing w:line="360" w:lineRule="auto"/>
        <w:ind w:firstLine="504" w:firstLineChars="200"/>
        <w:rPr>
          <w:rFonts w:ascii="宋体" w:hAnsi="宋体" w:eastAsia="宋体" w:cs="宋体"/>
          <w:spacing w:val="6"/>
          <w:sz w:val="24"/>
          <w:szCs w:val="24"/>
        </w:rPr>
      </w:pPr>
      <w:r>
        <w:rPr>
          <w:rFonts w:hint="eastAsia" w:ascii="宋体" w:hAnsi="宋体" w:eastAsia="宋体" w:cs="宋体"/>
          <w:spacing w:val="6"/>
          <w:sz w:val="24"/>
          <w:szCs w:val="24"/>
        </w:rPr>
        <w:t>1、</w:t>
      </w:r>
      <w:r>
        <w:rPr>
          <w:rFonts w:hint="eastAsia" w:ascii="宋体" w:hAnsi="宋体" w:eastAsia="宋体" w:cs="宋体"/>
          <w:spacing w:val="6"/>
          <w:sz w:val="24"/>
          <w:szCs w:val="24"/>
          <w:lang w:val="en-US" w:eastAsia="zh-CN"/>
        </w:rPr>
        <w:t>供应商提供的主要材料与设备属于节能产品或环境标志产品的</w:t>
      </w:r>
      <w:r>
        <w:rPr>
          <w:rFonts w:hint="eastAsia" w:ascii="宋体" w:hAnsi="宋体" w:eastAsia="宋体" w:cs="宋体"/>
          <w:spacing w:val="6"/>
          <w:sz w:val="24"/>
          <w:szCs w:val="24"/>
        </w:rPr>
        <w:t>，应按照</w:t>
      </w:r>
      <w:r>
        <w:rPr>
          <w:rFonts w:hint="eastAsia" w:ascii="宋体" w:hAnsi="宋体" w:eastAsia="宋体" w:cs="宋体"/>
          <w:spacing w:val="6"/>
          <w:sz w:val="24"/>
          <w:szCs w:val="24"/>
          <w:lang w:eastAsia="zh-CN"/>
        </w:rPr>
        <w:t>招标文件</w:t>
      </w:r>
      <w:r>
        <w:rPr>
          <w:rFonts w:hint="eastAsia" w:ascii="宋体" w:hAnsi="宋体" w:eastAsia="宋体" w:cs="宋体"/>
          <w:spacing w:val="6"/>
          <w:sz w:val="24"/>
          <w:szCs w:val="24"/>
        </w:rPr>
        <w:t>规定提供产品列入“节能产品品目清单”，“环境标志产品品目清单”相应产品的国家确定的认证机构出具的、处于有效期内的节能产品、环境标志产品认证证书。</w:t>
      </w:r>
    </w:p>
    <w:p w14:paraId="2E2D7080">
      <w:pPr>
        <w:widowControl/>
        <w:spacing w:line="360" w:lineRule="auto"/>
        <w:ind w:left="480" w:leftChars="200"/>
        <w:rPr>
          <w:rFonts w:ascii="宋体" w:hAnsi="宋体" w:eastAsia="宋体" w:cs="宋体"/>
          <w:sz w:val="24"/>
          <w:szCs w:val="24"/>
        </w:rPr>
      </w:pPr>
      <w:r>
        <w:rPr>
          <w:rFonts w:hint="eastAsia" w:ascii="宋体" w:hAnsi="宋体" w:eastAsia="宋体" w:cs="宋体"/>
          <w:sz w:val="24"/>
          <w:szCs w:val="24"/>
        </w:rPr>
        <w:t>2、未按照上述要求提供的，评审时不予以考虑。</w:t>
      </w:r>
    </w:p>
    <w:p w14:paraId="25F48F74">
      <w:pPr>
        <w:rPr>
          <w:rFonts w:hint="eastAsia" w:ascii="宋体" w:hAnsi="宋体" w:eastAsia="宋体" w:cs="宋体"/>
          <w:b/>
          <w:spacing w:val="6"/>
          <w:sz w:val="28"/>
          <w:szCs w:val="28"/>
        </w:rPr>
      </w:pPr>
    </w:p>
    <w:p w14:paraId="4E7CF088">
      <w:pPr>
        <w:rPr>
          <w:rFonts w:hint="eastAsia" w:ascii="宋体" w:hAnsi="宋体" w:eastAsia="宋体" w:cs="宋体"/>
          <w:b/>
          <w:spacing w:val="6"/>
          <w:sz w:val="28"/>
          <w:szCs w:val="28"/>
        </w:rPr>
      </w:pPr>
    </w:p>
    <w:p w14:paraId="657EA938">
      <w:pPr>
        <w:rPr>
          <w:rFonts w:hint="eastAsia" w:ascii="宋体" w:hAnsi="宋体" w:eastAsia="宋体" w:cs="宋体"/>
          <w:b/>
          <w:spacing w:val="6"/>
          <w:sz w:val="28"/>
          <w:szCs w:val="28"/>
        </w:rPr>
      </w:pPr>
    </w:p>
    <w:p w14:paraId="64628490">
      <w:pPr>
        <w:rPr>
          <w:rFonts w:hint="eastAsia" w:ascii="宋体" w:hAnsi="宋体" w:eastAsia="宋体" w:cs="宋体"/>
          <w:b/>
          <w:spacing w:val="6"/>
          <w:sz w:val="28"/>
          <w:szCs w:val="28"/>
        </w:rPr>
      </w:pPr>
    </w:p>
    <w:p w14:paraId="23EE97A0">
      <w:pPr>
        <w:rPr>
          <w:rFonts w:hint="eastAsia" w:ascii="宋体" w:hAnsi="宋体" w:eastAsia="宋体" w:cs="宋体"/>
          <w:b/>
          <w:spacing w:val="6"/>
          <w:sz w:val="28"/>
          <w:szCs w:val="28"/>
        </w:rPr>
      </w:pPr>
    </w:p>
    <w:p w14:paraId="5358DCBC">
      <w:pPr>
        <w:rPr>
          <w:rFonts w:hint="eastAsia" w:ascii="宋体" w:hAnsi="宋体" w:eastAsia="宋体" w:cs="宋体"/>
          <w:b/>
          <w:spacing w:val="6"/>
          <w:sz w:val="28"/>
          <w:szCs w:val="28"/>
        </w:rPr>
      </w:pPr>
    </w:p>
    <w:p w14:paraId="6877F11D">
      <w:pPr>
        <w:rPr>
          <w:rFonts w:hint="eastAsia" w:ascii="宋体" w:hAnsi="宋体" w:eastAsia="宋体" w:cs="宋体"/>
          <w:b/>
          <w:spacing w:val="6"/>
          <w:sz w:val="28"/>
          <w:szCs w:val="28"/>
        </w:rPr>
      </w:pPr>
    </w:p>
    <w:p w14:paraId="7A265B16">
      <w:pPr>
        <w:rPr>
          <w:rFonts w:hint="eastAsia" w:ascii="宋体" w:hAnsi="宋体" w:eastAsia="宋体" w:cs="宋体"/>
          <w:b/>
          <w:spacing w:val="6"/>
          <w:sz w:val="28"/>
          <w:szCs w:val="28"/>
        </w:rPr>
      </w:pPr>
    </w:p>
    <w:p w14:paraId="2F6A6C02">
      <w:pPr>
        <w:rPr>
          <w:rFonts w:hint="eastAsia" w:ascii="宋体" w:hAnsi="宋体" w:eastAsia="宋体" w:cs="宋体"/>
          <w:b/>
          <w:spacing w:val="6"/>
          <w:sz w:val="28"/>
          <w:szCs w:val="28"/>
        </w:rPr>
      </w:pPr>
    </w:p>
    <w:p w14:paraId="1C1B7A5B">
      <w:pPr>
        <w:rPr>
          <w:rFonts w:hint="eastAsia" w:ascii="宋体" w:hAnsi="宋体" w:eastAsia="宋体" w:cs="宋体"/>
          <w:b/>
          <w:spacing w:val="6"/>
          <w:sz w:val="28"/>
          <w:szCs w:val="28"/>
        </w:rPr>
      </w:pPr>
    </w:p>
    <w:p w14:paraId="091DB5F2">
      <w:pPr>
        <w:rPr>
          <w:rFonts w:hint="eastAsia" w:ascii="宋体" w:hAnsi="宋体" w:eastAsia="宋体" w:cs="宋体"/>
          <w:b/>
          <w:spacing w:val="6"/>
          <w:sz w:val="28"/>
          <w:szCs w:val="28"/>
        </w:rPr>
      </w:pPr>
    </w:p>
    <w:p w14:paraId="0DD6735B">
      <w:pPr>
        <w:rPr>
          <w:rFonts w:hint="eastAsia" w:ascii="宋体" w:hAnsi="宋体" w:eastAsia="宋体" w:cs="宋体"/>
          <w:b/>
          <w:spacing w:val="6"/>
          <w:sz w:val="28"/>
          <w:szCs w:val="28"/>
        </w:rPr>
      </w:pPr>
    </w:p>
    <w:p w14:paraId="41DE96C4">
      <w:pPr>
        <w:rPr>
          <w:rFonts w:hint="eastAsia" w:ascii="宋体" w:hAnsi="宋体" w:eastAsia="宋体" w:cs="宋体"/>
          <w:b/>
          <w:spacing w:val="6"/>
          <w:sz w:val="28"/>
          <w:szCs w:val="28"/>
        </w:rPr>
      </w:pPr>
    </w:p>
    <w:p w14:paraId="2CC44A3D">
      <w:pPr>
        <w:rPr>
          <w:rFonts w:hint="eastAsia" w:ascii="宋体" w:hAnsi="宋体" w:eastAsia="宋体" w:cs="宋体"/>
          <w:b/>
          <w:spacing w:val="6"/>
          <w:sz w:val="28"/>
          <w:szCs w:val="28"/>
        </w:rPr>
      </w:pPr>
    </w:p>
    <w:p w14:paraId="5EBF5AFD">
      <w:pPr>
        <w:bidi w:val="0"/>
        <w:spacing w:line="360" w:lineRule="auto"/>
        <w:ind w:left="0" w:leftChars="0" w:right="0" w:rightChars="0" w:firstLine="0" w:firstLineChars="0"/>
        <w:jc w:val="both"/>
        <w:rPr>
          <w:rFonts w:hint="eastAsia" w:ascii="Times New Roman" w:hAnsi="Times New Roman" w:eastAsia="宋体" w:cs="Times New Roman"/>
          <w:b/>
          <w:bCs/>
          <w:sz w:val="24"/>
          <w:lang w:val="en-US" w:eastAsia="zh-CN"/>
        </w:rPr>
      </w:pPr>
      <w:bookmarkStart w:id="376" w:name="_Toc19371"/>
      <w:bookmarkStart w:id="377" w:name="_Toc28968"/>
      <w:bookmarkStart w:id="378" w:name="_Toc23948"/>
      <w:bookmarkStart w:id="379" w:name="_Toc11742"/>
      <w:bookmarkStart w:id="380" w:name="_Toc32"/>
      <w:bookmarkStart w:id="381" w:name="_Toc3990"/>
      <w:bookmarkStart w:id="382" w:name="_Toc6687"/>
      <w:bookmarkStart w:id="383" w:name="_Toc7368"/>
      <w:bookmarkStart w:id="384" w:name="_Toc9982"/>
      <w:bookmarkStart w:id="385" w:name="_Toc14581"/>
      <w:bookmarkStart w:id="386" w:name="_Toc25020"/>
      <w:bookmarkStart w:id="387" w:name="_Toc25778"/>
      <w:bookmarkStart w:id="388" w:name="_Toc15916"/>
      <w:bookmarkStart w:id="389" w:name="_Toc30719"/>
      <w:bookmarkStart w:id="390" w:name="_Toc26104"/>
      <w:r>
        <w:rPr>
          <w:rFonts w:hint="eastAsia" w:ascii="Times New Roman" w:hAnsi="Times New Roman" w:eastAsia="宋体" w:cs="Times New Roman"/>
          <w:b/>
          <w:bCs/>
          <w:sz w:val="24"/>
          <w:lang w:val="en-US" w:eastAsia="zh-CN"/>
        </w:rPr>
        <w:t>附件</w:t>
      </w:r>
      <w:r>
        <w:rPr>
          <w:rFonts w:hint="eastAsia" w:ascii="Times New Roman" w:hAnsi="Times New Roman" w:cs="Times New Roman"/>
          <w:b/>
          <w:bCs/>
          <w:sz w:val="24"/>
          <w:lang w:val="en-US" w:eastAsia="zh-CN"/>
        </w:rPr>
        <w:t>五</w:t>
      </w:r>
      <w:r>
        <w:rPr>
          <w:rFonts w:hint="eastAsia" w:ascii="Times New Roman" w:hAnsi="Times New Roman" w:eastAsia="宋体" w:cs="Times New Roman"/>
          <w:b/>
          <w:bCs/>
          <w:sz w:val="24"/>
          <w:lang w:val="en-US" w:eastAsia="zh-CN"/>
        </w:rPr>
        <w:t>：</w:t>
      </w:r>
    </w:p>
    <w:p w14:paraId="18210E82">
      <w:pPr>
        <w:bidi w:val="0"/>
        <w:spacing w:line="360" w:lineRule="auto"/>
        <w:ind w:left="0" w:leftChars="0" w:right="0" w:rightChars="0" w:firstLine="0" w:firstLineChars="0"/>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质疑函范本</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33F85C4F">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一、</w:t>
      </w:r>
      <w:r>
        <w:rPr>
          <w:rFonts w:hint="eastAsia" w:ascii="宋体" w:hAnsi="宋体" w:eastAsia="宋体" w:cs="宋体"/>
          <w:sz w:val="24"/>
        </w:rPr>
        <w:t>质疑</w:t>
      </w:r>
      <w:r>
        <w:rPr>
          <w:rFonts w:hint="eastAsia" w:ascii="宋体" w:hAnsi="宋体" w:eastAsia="宋体" w:cs="宋体"/>
          <w:sz w:val="24"/>
          <w:lang w:eastAsia="zh-CN"/>
        </w:rPr>
        <w:t>供应商</w:t>
      </w:r>
      <w:r>
        <w:rPr>
          <w:rFonts w:hint="eastAsia" w:ascii="宋体" w:hAnsi="宋体" w:eastAsia="宋体" w:cs="宋体"/>
          <w:sz w:val="24"/>
        </w:rPr>
        <w:t>基本信息</w:t>
      </w:r>
    </w:p>
    <w:p w14:paraId="2AA95A62">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lang w:eastAsia="zh-CN"/>
        </w:rPr>
      </w:pPr>
      <w:r>
        <w:rPr>
          <w:rFonts w:hint="eastAsia" w:ascii="宋体" w:hAnsi="宋体" w:eastAsia="宋体" w:cs="宋体"/>
          <w:sz w:val="24"/>
        </w:rPr>
        <w:t>质疑</w:t>
      </w:r>
      <w:r>
        <w:rPr>
          <w:rFonts w:hint="eastAsia" w:ascii="宋体" w:hAnsi="宋体" w:eastAsia="宋体" w:cs="宋体"/>
          <w:sz w:val="24"/>
          <w:lang w:eastAsia="zh-CN"/>
        </w:rPr>
        <w:t>供应商</w:t>
      </w:r>
      <w:r>
        <w:rPr>
          <w:rFonts w:hint="eastAsia" w:ascii="宋体" w:hAnsi="宋体" w:eastAsia="宋体" w:cs="宋体"/>
          <w:sz w:val="24"/>
        </w:rPr>
        <w:t>：           </w:t>
      </w:r>
    </w:p>
    <w:p w14:paraId="71E725FF">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rPr>
      </w:pPr>
      <w:r>
        <w:rPr>
          <w:rFonts w:hint="eastAsia" w:ascii="宋体" w:hAnsi="宋体" w:eastAsia="宋体" w:cs="宋体"/>
          <w:sz w:val="24"/>
        </w:rPr>
        <w:t xml:space="preserve">地   址：  </w:t>
      </w:r>
    </w:p>
    <w:p w14:paraId="4921626C">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lang w:eastAsia="zh-CN"/>
        </w:rPr>
      </w:pPr>
      <w:r>
        <w:rPr>
          <w:rFonts w:hint="eastAsia" w:ascii="宋体" w:hAnsi="宋体" w:eastAsia="宋体" w:cs="宋体"/>
          <w:sz w:val="24"/>
        </w:rPr>
        <w:t>邮编：          </w:t>
      </w:r>
    </w:p>
    <w:p w14:paraId="093CD3A6">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rPr>
      </w:pPr>
      <w:r>
        <w:rPr>
          <w:rFonts w:hint="eastAsia" w:ascii="宋体" w:hAnsi="宋体" w:eastAsia="宋体" w:cs="宋体"/>
          <w:sz w:val="24"/>
        </w:rPr>
        <w:t>联系人：     </w:t>
      </w:r>
    </w:p>
    <w:p w14:paraId="6D8E78EF">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lang w:eastAsia="zh-CN"/>
        </w:rPr>
      </w:pPr>
      <w:r>
        <w:rPr>
          <w:rFonts w:hint="eastAsia" w:ascii="宋体" w:hAnsi="宋体" w:eastAsia="宋体" w:cs="宋体"/>
          <w:sz w:val="24"/>
        </w:rPr>
        <w:t>联系电话：           </w:t>
      </w:r>
    </w:p>
    <w:p w14:paraId="5532BE89">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lang w:eastAsia="zh-CN"/>
        </w:rPr>
      </w:pPr>
      <w:r>
        <w:rPr>
          <w:rFonts w:hint="eastAsia" w:ascii="宋体" w:hAnsi="宋体" w:eastAsia="宋体" w:cs="宋体"/>
          <w:sz w:val="24"/>
        </w:rPr>
        <w:t>授权代表：                   </w:t>
      </w:r>
    </w:p>
    <w:p w14:paraId="5AAD9167">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lang w:eastAsia="zh-CN"/>
        </w:rPr>
      </w:pPr>
      <w:r>
        <w:rPr>
          <w:rFonts w:hint="eastAsia" w:ascii="宋体" w:hAnsi="宋体" w:eastAsia="宋体" w:cs="宋体"/>
          <w:sz w:val="24"/>
        </w:rPr>
        <w:t>联系电话：                   </w:t>
      </w:r>
    </w:p>
    <w:p w14:paraId="493D5680">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rPr>
      </w:pPr>
      <w:r>
        <w:rPr>
          <w:rFonts w:hint="eastAsia" w:ascii="宋体" w:hAnsi="宋体" w:eastAsia="宋体" w:cs="宋体"/>
          <w:sz w:val="24"/>
        </w:rPr>
        <w:t>地址：   </w:t>
      </w:r>
    </w:p>
    <w:p w14:paraId="2A72277F">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rPr>
      </w:pPr>
      <w:r>
        <w:rPr>
          <w:rFonts w:hint="eastAsia" w:ascii="宋体" w:hAnsi="宋体" w:eastAsia="宋体" w:cs="宋体"/>
          <w:sz w:val="24"/>
        </w:rPr>
        <w:t>邮编：  </w:t>
      </w:r>
    </w:p>
    <w:p w14:paraId="52853259">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二、</w:t>
      </w:r>
      <w:r>
        <w:rPr>
          <w:rFonts w:hint="eastAsia" w:ascii="宋体" w:hAnsi="宋体" w:eastAsia="宋体" w:cs="宋体"/>
          <w:sz w:val="24"/>
        </w:rPr>
        <w:t>质疑项目基本情况</w:t>
      </w:r>
    </w:p>
    <w:p w14:paraId="2D9B0C63">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rPr>
      </w:pPr>
      <w:r>
        <w:rPr>
          <w:rFonts w:hint="eastAsia" w:ascii="宋体" w:hAnsi="宋体" w:eastAsia="宋体" w:cs="宋体"/>
          <w:sz w:val="24"/>
        </w:rPr>
        <w:t>质疑项目的名称：               </w:t>
      </w:r>
    </w:p>
    <w:p w14:paraId="31225573">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rPr>
      </w:pPr>
      <w:r>
        <w:rPr>
          <w:rFonts w:hint="eastAsia" w:ascii="宋体" w:hAnsi="宋体" w:eastAsia="宋体" w:cs="宋体"/>
          <w:sz w:val="24"/>
        </w:rPr>
        <w:t>质疑项目的编号：                  </w:t>
      </w:r>
    </w:p>
    <w:p w14:paraId="11760E8E">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lang w:eastAsia="zh-CN"/>
        </w:rPr>
      </w:pPr>
      <w:r>
        <w:rPr>
          <w:rFonts w:hint="eastAsia" w:ascii="宋体" w:hAnsi="宋体" w:eastAsia="宋体" w:cs="宋体"/>
          <w:sz w:val="24"/>
        </w:rPr>
        <w:t>采购人名称：                    </w:t>
      </w:r>
    </w:p>
    <w:p w14:paraId="688736D7">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lang w:eastAsia="zh-CN"/>
        </w:rPr>
      </w:pPr>
      <w:r>
        <w:rPr>
          <w:rFonts w:hint="eastAsia" w:ascii="宋体" w:hAnsi="宋体" w:eastAsia="宋体" w:cs="宋体"/>
          <w:sz w:val="24"/>
        </w:rPr>
        <w:t>采购文件获取日期：                   </w:t>
      </w:r>
    </w:p>
    <w:p w14:paraId="181C6A33">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lang w:eastAsia="zh-CN"/>
        </w:rPr>
      </w:pPr>
      <w:r>
        <w:rPr>
          <w:rFonts w:hint="eastAsia" w:ascii="宋体" w:hAnsi="宋体" w:eastAsia="宋体" w:cs="宋体"/>
          <w:sz w:val="24"/>
        </w:rPr>
        <w:t>三、质疑事项具体内容</w:t>
      </w:r>
    </w:p>
    <w:p w14:paraId="4F9011BB">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lang w:eastAsia="zh-CN"/>
        </w:rPr>
      </w:pPr>
      <w:r>
        <w:rPr>
          <w:rFonts w:hint="eastAsia" w:ascii="宋体" w:hAnsi="宋体" w:eastAsia="宋体" w:cs="宋体"/>
          <w:sz w:val="24"/>
        </w:rPr>
        <w:t>质疑事项1：              </w:t>
      </w:r>
    </w:p>
    <w:p w14:paraId="1B996327">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lang w:eastAsia="zh-CN"/>
        </w:rPr>
      </w:pPr>
      <w:r>
        <w:rPr>
          <w:rFonts w:hint="eastAsia" w:ascii="宋体" w:hAnsi="宋体" w:eastAsia="宋体" w:cs="宋体"/>
          <w:sz w:val="24"/>
        </w:rPr>
        <w:t>事实依据：               </w:t>
      </w:r>
    </w:p>
    <w:p w14:paraId="02847BF5">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lang w:eastAsia="zh-CN"/>
        </w:rPr>
      </w:pPr>
      <w:r>
        <w:rPr>
          <w:rFonts w:hint="eastAsia" w:ascii="宋体" w:hAnsi="宋体" w:eastAsia="宋体" w:cs="宋体"/>
          <w:sz w:val="24"/>
        </w:rPr>
        <w:t>法律依据：          </w:t>
      </w:r>
    </w:p>
    <w:p w14:paraId="52FDE806">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lang w:eastAsia="zh-CN"/>
        </w:rPr>
      </w:pPr>
      <w:r>
        <w:rPr>
          <w:rFonts w:hint="eastAsia" w:ascii="宋体" w:hAnsi="宋体" w:eastAsia="宋体" w:cs="宋体"/>
          <w:sz w:val="24"/>
        </w:rPr>
        <w:t>质疑事项2</w:t>
      </w:r>
    </w:p>
    <w:p w14:paraId="6DF7E646">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lang w:eastAsia="zh-CN"/>
        </w:rPr>
      </w:pPr>
      <w:r>
        <w:rPr>
          <w:rFonts w:hint="eastAsia" w:ascii="宋体" w:hAnsi="宋体" w:eastAsia="宋体" w:cs="宋体"/>
          <w:sz w:val="24"/>
        </w:rPr>
        <w:t>……</w:t>
      </w:r>
    </w:p>
    <w:p w14:paraId="0266E730">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lang w:eastAsia="zh-CN"/>
        </w:rPr>
      </w:pPr>
      <w:r>
        <w:rPr>
          <w:rFonts w:hint="eastAsia" w:ascii="宋体" w:hAnsi="宋体" w:eastAsia="宋体" w:cs="宋体"/>
          <w:sz w:val="24"/>
        </w:rPr>
        <w:t>四、与质疑事项相关的质疑请求</w:t>
      </w:r>
    </w:p>
    <w:p w14:paraId="47216F9E">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lang w:eastAsia="zh-CN"/>
        </w:rPr>
      </w:pPr>
      <w:r>
        <w:rPr>
          <w:rFonts w:hint="eastAsia" w:ascii="宋体" w:hAnsi="宋体" w:eastAsia="宋体" w:cs="宋体"/>
          <w:sz w:val="24"/>
        </w:rPr>
        <w:t>请求：                </w:t>
      </w:r>
    </w:p>
    <w:p w14:paraId="7A25F22D">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rPr>
      </w:pPr>
      <w:r>
        <w:rPr>
          <w:rFonts w:hint="eastAsia" w:ascii="宋体" w:hAnsi="宋体" w:eastAsia="宋体" w:cs="宋体"/>
          <w:sz w:val="24"/>
        </w:rPr>
        <w:t>签字(签章)：                   </w:t>
      </w:r>
    </w:p>
    <w:p w14:paraId="5AE4A931">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宋体" w:hAnsi="宋体" w:eastAsia="宋体" w:cs="宋体"/>
          <w:sz w:val="24"/>
          <w:lang w:eastAsia="zh-CN"/>
        </w:rPr>
      </w:pPr>
      <w:r>
        <w:rPr>
          <w:rFonts w:hint="eastAsia" w:ascii="宋体" w:hAnsi="宋体" w:eastAsia="宋体" w:cs="宋体"/>
          <w:sz w:val="24"/>
        </w:rPr>
        <w:t>公章：日期：  </w:t>
      </w:r>
    </w:p>
    <w:p w14:paraId="5A8205D6">
      <w:pPr>
        <w:spacing w:line="360" w:lineRule="auto"/>
        <w:rPr>
          <w:rFonts w:hint="eastAsia" w:ascii="宋体" w:hAnsi="宋体" w:eastAsia="宋体" w:cs="宋体"/>
          <w:sz w:val="24"/>
        </w:rPr>
      </w:pPr>
      <w:r>
        <w:rPr>
          <w:rFonts w:hint="eastAsia" w:ascii="宋体" w:hAnsi="宋体" w:eastAsia="宋体" w:cs="宋体"/>
          <w:sz w:val="24"/>
        </w:rPr>
        <w:br w:type="page"/>
      </w:r>
    </w:p>
    <w:p w14:paraId="54A3F7F5">
      <w:pPr>
        <w:bidi w:val="0"/>
        <w:spacing w:line="360" w:lineRule="auto"/>
        <w:rPr>
          <w:rFonts w:hint="eastAsia" w:ascii="宋体" w:hAnsi="宋体" w:eastAsia="宋体" w:cs="宋体"/>
          <w:sz w:val="24"/>
          <w:lang w:eastAsia="zh-CN"/>
        </w:rPr>
      </w:pPr>
      <w:r>
        <w:rPr>
          <w:rFonts w:hint="eastAsia" w:ascii="宋体" w:hAnsi="宋体" w:eastAsia="宋体" w:cs="宋体"/>
          <w:sz w:val="24"/>
        </w:rPr>
        <w:t>质疑函制作说明：</w:t>
      </w:r>
    </w:p>
    <w:p w14:paraId="7552F484">
      <w:pPr>
        <w:bidi w:val="0"/>
        <w:spacing w:line="360" w:lineRule="auto"/>
        <w:rPr>
          <w:rFonts w:hint="eastAsia" w:ascii="宋体" w:hAnsi="宋体" w:eastAsia="宋体" w:cs="宋体"/>
          <w:sz w:val="24"/>
          <w:lang w:eastAsia="zh-CN"/>
        </w:rPr>
      </w:pPr>
      <w:r>
        <w:rPr>
          <w:rFonts w:hint="eastAsia" w:ascii="宋体" w:hAnsi="宋体" w:eastAsia="宋体" w:cs="宋体"/>
          <w:sz w:val="24"/>
        </w:rPr>
        <w:t>1.</w:t>
      </w:r>
      <w:r>
        <w:rPr>
          <w:rFonts w:hint="eastAsia" w:ascii="宋体" w:hAnsi="宋体" w:eastAsia="宋体" w:cs="宋体"/>
          <w:sz w:val="24"/>
          <w:lang w:eastAsia="zh-CN"/>
        </w:rPr>
        <w:t>供应商</w:t>
      </w:r>
      <w:r>
        <w:rPr>
          <w:rFonts w:hint="eastAsia" w:ascii="宋体" w:hAnsi="宋体" w:eastAsia="宋体" w:cs="宋体"/>
          <w:sz w:val="24"/>
        </w:rPr>
        <w:t>提出质疑时，应提交质疑函和必要的证明材料。</w:t>
      </w:r>
    </w:p>
    <w:p w14:paraId="240C32B3">
      <w:pPr>
        <w:bidi w:val="0"/>
        <w:spacing w:line="360" w:lineRule="auto"/>
        <w:rPr>
          <w:rFonts w:hint="eastAsia" w:ascii="宋体" w:hAnsi="宋体" w:eastAsia="宋体" w:cs="宋体"/>
          <w:sz w:val="24"/>
          <w:lang w:eastAsia="zh-CN"/>
        </w:rPr>
      </w:pPr>
      <w:r>
        <w:rPr>
          <w:rFonts w:hint="eastAsia" w:ascii="宋体" w:hAnsi="宋体" w:eastAsia="宋体" w:cs="宋体"/>
          <w:sz w:val="24"/>
        </w:rPr>
        <w:t>2.质疑</w:t>
      </w:r>
      <w:r>
        <w:rPr>
          <w:rFonts w:hint="eastAsia" w:ascii="宋体" w:hAnsi="宋体" w:eastAsia="宋体" w:cs="宋体"/>
          <w:sz w:val="24"/>
          <w:lang w:eastAsia="zh-CN"/>
        </w:rPr>
        <w:t>供应商</w:t>
      </w:r>
      <w:r>
        <w:rPr>
          <w:rFonts w:hint="eastAsia" w:ascii="宋体" w:hAnsi="宋体" w:eastAsia="宋体" w:cs="宋体"/>
          <w:sz w:val="24"/>
        </w:rPr>
        <w:t>若委托代理人进行质疑的，质疑函应按要求列明“授权代表”的有关内容，并在附件中提交由质疑</w:t>
      </w:r>
      <w:r>
        <w:rPr>
          <w:rFonts w:hint="eastAsia" w:ascii="宋体" w:hAnsi="宋体" w:eastAsia="宋体" w:cs="宋体"/>
          <w:sz w:val="24"/>
          <w:lang w:eastAsia="zh-CN"/>
        </w:rPr>
        <w:t>供应商</w:t>
      </w:r>
      <w:r>
        <w:rPr>
          <w:rFonts w:hint="eastAsia" w:ascii="宋体" w:hAnsi="宋体" w:eastAsia="宋体" w:cs="宋体"/>
          <w:sz w:val="24"/>
        </w:rPr>
        <w:t>签署的授权委托书。授权委托书应载明代理人的姓名或者名称、代理事项、具体权限、期限和相关事项。</w:t>
      </w:r>
    </w:p>
    <w:p w14:paraId="30630A11">
      <w:pPr>
        <w:bidi w:val="0"/>
        <w:spacing w:line="360" w:lineRule="auto"/>
        <w:rPr>
          <w:rFonts w:hint="eastAsia" w:ascii="宋体" w:hAnsi="宋体" w:eastAsia="宋体" w:cs="宋体"/>
          <w:sz w:val="24"/>
          <w:lang w:eastAsia="zh-CN"/>
        </w:rPr>
      </w:pPr>
      <w:r>
        <w:rPr>
          <w:rFonts w:hint="eastAsia" w:ascii="宋体" w:hAnsi="宋体" w:eastAsia="宋体" w:cs="宋体"/>
          <w:sz w:val="24"/>
        </w:rPr>
        <w:t>3.质疑</w:t>
      </w:r>
      <w:r>
        <w:rPr>
          <w:rFonts w:hint="eastAsia" w:ascii="宋体" w:hAnsi="宋体" w:eastAsia="宋体" w:cs="宋体"/>
          <w:sz w:val="24"/>
          <w:lang w:eastAsia="zh-CN"/>
        </w:rPr>
        <w:t>供应商</w:t>
      </w:r>
      <w:r>
        <w:rPr>
          <w:rFonts w:hint="eastAsia" w:ascii="宋体" w:hAnsi="宋体" w:eastAsia="宋体" w:cs="宋体"/>
          <w:sz w:val="24"/>
        </w:rPr>
        <w:t>若对项目的进行质疑，质疑函中应列明具体项目编号。</w:t>
      </w:r>
    </w:p>
    <w:p w14:paraId="3FA7CB36">
      <w:pPr>
        <w:bidi w:val="0"/>
        <w:spacing w:line="360" w:lineRule="auto"/>
        <w:rPr>
          <w:rFonts w:hint="eastAsia" w:ascii="宋体" w:hAnsi="宋体" w:eastAsia="宋体" w:cs="宋体"/>
          <w:sz w:val="24"/>
          <w:lang w:eastAsia="zh-CN"/>
        </w:rPr>
      </w:pPr>
      <w:r>
        <w:rPr>
          <w:rFonts w:hint="eastAsia" w:ascii="宋体" w:hAnsi="宋体" w:eastAsia="宋体" w:cs="宋体"/>
          <w:sz w:val="24"/>
        </w:rPr>
        <w:t>4.质疑函的质疑事项应具体、明确，并有必要的事实依据和法律依据。</w:t>
      </w:r>
    </w:p>
    <w:p w14:paraId="23E078B0">
      <w:pPr>
        <w:bidi w:val="0"/>
        <w:spacing w:line="360" w:lineRule="auto"/>
        <w:rPr>
          <w:rFonts w:hint="eastAsia" w:ascii="宋体" w:hAnsi="宋体" w:eastAsia="宋体" w:cs="宋体"/>
          <w:sz w:val="24"/>
          <w:lang w:eastAsia="zh-CN"/>
        </w:rPr>
      </w:pPr>
      <w:r>
        <w:rPr>
          <w:rFonts w:hint="eastAsia" w:ascii="宋体" w:hAnsi="宋体" w:eastAsia="宋体" w:cs="宋体"/>
          <w:sz w:val="24"/>
        </w:rPr>
        <w:t>5.质疑函的质疑请求应与质疑事项相关。</w:t>
      </w:r>
    </w:p>
    <w:p w14:paraId="4F6619A6">
      <w:pPr>
        <w:bidi w:val="0"/>
        <w:spacing w:line="360" w:lineRule="auto"/>
        <w:rPr>
          <w:rFonts w:hint="eastAsia" w:ascii="宋体" w:hAnsi="宋体" w:eastAsia="宋体" w:cs="宋体"/>
          <w:sz w:val="24"/>
        </w:rPr>
      </w:pPr>
      <w:r>
        <w:rPr>
          <w:rFonts w:hint="eastAsia" w:ascii="宋体" w:hAnsi="宋体" w:eastAsia="宋体" w:cs="宋体"/>
          <w:sz w:val="24"/>
        </w:rPr>
        <w:t>6.质疑</w:t>
      </w:r>
      <w:r>
        <w:rPr>
          <w:rFonts w:hint="eastAsia" w:ascii="宋体" w:hAnsi="宋体" w:eastAsia="宋体" w:cs="宋体"/>
          <w:sz w:val="24"/>
          <w:lang w:eastAsia="zh-CN"/>
        </w:rPr>
        <w:t>供应商</w:t>
      </w:r>
      <w:r>
        <w:rPr>
          <w:rFonts w:hint="eastAsia" w:ascii="宋体" w:hAnsi="宋体" w:eastAsia="宋体" w:cs="宋体"/>
          <w:sz w:val="24"/>
        </w:rPr>
        <w:t>为自然人的，质疑函应由本人签字；质疑</w:t>
      </w:r>
      <w:r>
        <w:rPr>
          <w:rFonts w:hint="eastAsia" w:ascii="宋体" w:hAnsi="宋体" w:eastAsia="宋体" w:cs="宋体"/>
          <w:sz w:val="24"/>
          <w:lang w:eastAsia="zh-CN"/>
        </w:rPr>
        <w:t>供应商</w:t>
      </w:r>
      <w:r>
        <w:rPr>
          <w:rFonts w:hint="eastAsia" w:ascii="宋体" w:hAnsi="宋体" w:eastAsia="宋体" w:cs="宋体"/>
          <w:sz w:val="24"/>
        </w:rPr>
        <w:t>为</w:t>
      </w:r>
      <w:r>
        <w:rPr>
          <w:rFonts w:hint="eastAsia" w:ascii="宋体" w:hAnsi="宋体" w:cs="宋体"/>
          <w:sz w:val="24"/>
          <w:lang w:eastAsia="zh-CN"/>
        </w:rPr>
        <w:t>法定代表人</w:t>
      </w:r>
      <w:r>
        <w:rPr>
          <w:rFonts w:hint="eastAsia" w:ascii="宋体" w:hAnsi="宋体" w:eastAsia="宋体" w:cs="宋体"/>
          <w:sz w:val="24"/>
        </w:rPr>
        <w:t>或者其他组织的，质疑函应由法定代表人、主要负责人，或者其授权代表签字或者盖章，并加盖公章。</w:t>
      </w:r>
    </w:p>
    <w:p w14:paraId="6E76C397">
      <w:pPr>
        <w:rPr>
          <w:rFonts w:hint="eastAsia" w:ascii="宋体" w:hAnsi="宋体" w:eastAsia="宋体" w:cs="宋体"/>
          <w:b/>
          <w:spacing w:val="6"/>
          <w:sz w:val="28"/>
          <w:szCs w:val="28"/>
        </w:rPr>
      </w:pPr>
    </w:p>
    <w:p w14:paraId="7B322032">
      <w:pPr>
        <w:rPr>
          <w:rFonts w:hint="eastAsia" w:ascii="宋体" w:hAnsi="宋体" w:eastAsia="宋体" w:cs="宋体"/>
          <w:lang w:val="en-US" w:eastAsia="zh-CN"/>
        </w:rPr>
      </w:pPr>
    </w:p>
    <w:p w14:paraId="3D3D897E">
      <w:pPr>
        <w:rPr>
          <w:rFonts w:ascii="宋体" w:hAnsi="宋体" w:eastAsia="宋体" w:cs="宋体"/>
          <w:color w:val="000000" w:themeColor="text1"/>
          <w:sz w:val="32"/>
          <w:szCs w:val="32"/>
          <w:highlight w:val="none"/>
          <w14:textFill>
            <w14:solidFill>
              <w14:schemeClr w14:val="tx1"/>
            </w14:solidFill>
          </w14:textFill>
        </w:rPr>
      </w:pPr>
    </w:p>
    <w:sectPr>
      <w:headerReference r:id="rId16" w:type="default"/>
      <w:footerReference r:id="rId18" w:type="default"/>
      <w:headerReference r:id="rId17" w:type="even"/>
      <w:pgSz w:w="11906" w:h="16838"/>
      <w:pgMar w:top="1440" w:right="1800" w:bottom="1440" w:left="1800" w:header="851" w:footer="992" w:gutter="0"/>
      <w:pgNumType w:fmt="decimal"/>
      <w:cols w:space="425" w:num="1"/>
      <w:docGrid w:type="linesAndChars" w:linePitch="42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GYXIQ+Frutiger-Cn">
    <w:altName w:val="宋体"/>
    <w:panose1 w:val="00000000000000000000"/>
    <w:charset w:val="86"/>
    <w:family w:val="swiss"/>
    <w:pitch w:val="default"/>
    <w:sig w:usb0="00000000" w:usb1="00000000" w:usb2="0000001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7814C2">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CEE44B">
    <w:pPr>
      <w:widowControl w:val="0"/>
      <w:snapToGrid w:val="0"/>
      <w:rPr>
        <w:rFonts w:ascii="Times New Roman" w:hAnsi="Times New Roman" w:eastAsia="宋体" w:cs="Times New Roman"/>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F34EB9">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3BF34EB9">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80723">
    <w:pPr>
      <w:pStyle w:val="2"/>
      <w:rPr>
        <w:rFonts w:hint="eastAsia"/>
        <w:lang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EEDEC0">
                          <w:pPr>
                            <w:pStyle w:val="2"/>
                          </w:pPr>
                          <w:r>
                            <w:fldChar w:fldCharType="begin"/>
                          </w:r>
                          <w:r>
                            <w:instrText xml:space="preserve"> PAGE  \* MERGEFORMAT </w:instrText>
                          </w:r>
                          <w:r>
                            <w:fldChar w:fldCharType="separate"/>
                          </w:r>
                          <w:r>
                            <w:t>76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70EEDEC0">
                    <w:pPr>
                      <w:pStyle w:val="2"/>
                    </w:pPr>
                    <w:r>
                      <w:fldChar w:fldCharType="begin"/>
                    </w:r>
                    <w:r>
                      <w:instrText xml:space="preserve"> PAGE  \* MERGEFORMAT </w:instrText>
                    </w:r>
                    <w:r>
                      <w:fldChar w:fldCharType="separate"/>
                    </w:r>
                    <w:r>
                      <w:t>76</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20ACA">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1F6C59">
                          <w:pPr>
                            <w:pStyle w:val="2"/>
                          </w:pPr>
                          <w:r>
                            <w:fldChar w:fldCharType="begin"/>
                          </w:r>
                          <w:r>
                            <w:instrText xml:space="preserve"> PAGE  \* MERGEFORMAT </w:instrText>
                          </w:r>
                          <w:r>
                            <w:fldChar w:fldCharType="separate"/>
                          </w:r>
                          <w:r>
                            <w:t>75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571F6C59">
                    <w:pPr>
                      <w:pStyle w:val="2"/>
                    </w:pPr>
                    <w:r>
                      <w:fldChar w:fldCharType="begin"/>
                    </w:r>
                    <w:r>
                      <w:instrText xml:space="preserve"> PAGE  \* MERGEFORMAT </w:instrText>
                    </w:r>
                    <w:r>
                      <w:fldChar w:fldCharType="separate"/>
                    </w:r>
                    <w:r>
                      <w:t>75</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16F7BB">
    <w:pPr>
      <w:pStyle w:val="2"/>
      <w:rPr>
        <w:rFonts w:ascii="宋体" w:hAnsi="宋体"/>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B9A61E">
                          <w:pPr>
                            <w:pStyle w:val="2"/>
                          </w:pPr>
                          <w:r>
                            <w:fldChar w:fldCharType="begin"/>
                          </w:r>
                          <w:r>
                            <w:instrText xml:space="preserve"> PAGE  \* MERGEFORMAT </w:instrText>
                          </w:r>
                          <w:r>
                            <w:fldChar w:fldCharType="separate"/>
                          </w:r>
                          <w:r>
                            <w:t>105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59B9A61E">
                    <w:pPr>
                      <w:pStyle w:val="2"/>
                    </w:pPr>
                    <w:r>
                      <w:fldChar w:fldCharType="begin"/>
                    </w:r>
                    <w:r>
                      <w:instrText xml:space="preserve"> PAGE  \* MERGEFORMAT </w:instrText>
                    </w:r>
                    <w:r>
                      <w:fldChar w:fldCharType="separate"/>
                    </w:r>
                    <w:r>
                      <w:t>105</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7F054">
    <w:pPr>
      <w:pStyle w:val="2"/>
      <w:rPr>
        <w:rFonts w:hint="eastAsia"/>
        <w:lang w:eastAsia="zh-CN"/>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891718">
                          <w:pPr>
                            <w:pStyle w:val="2"/>
                          </w:pPr>
                          <w:r>
                            <w:fldChar w:fldCharType="begin"/>
                          </w:r>
                          <w:r>
                            <w:instrText xml:space="preserve"> PAGE  \* MERGEFORMAT </w:instrText>
                          </w:r>
                          <w:r>
                            <w:fldChar w:fldCharType="separate"/>
                          </w:r>
                          <w:r>
                            <w:t>114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30891718">
                    <w:pPr>
                      <w:pStyle w:val="2"/>
                    </w:pPr>
                    <w:r>
                      <w:fldChar w:fldCharType="begin"/>
                    </w:r>
                    <w:r>
                      <w:instrText xml:space="preserve"> PAGE  \* MERGEFORMAT </w:instrText>
                    </w:r>
                    <w:r>
                      <w:fldChar w:fldCharType="separate"/>
                    </w:r>
                    <w:r>
                      <w:t>114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D52CF1">
    <w:pPr>
      <w:pStyle w:val="2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15597">
    <w:pPr>
      <w:pStyle w:val="24"/>
      <w:pBdr>
        <w:bottom w:val="none" w:color="auto" w:sz="0" w:space="0"/>
      </w:pBdr>
      <w:tabs>
        <w:tab w:val="left" w:pos="2837"/>
      </w:tabs>
      <w:jc w:val="left"/>
      <w:rPr>
        <w:rFonts w:ascii="黑体" w:eastAsia="黑体"/>
        <w:sz w:val="21"/>
        <w:szCs w:val="21"/>
      </w:rPr>
    </w:pPr>
    <w:r>
      <w:rPr>
        <w:rFonts w:hint="eastAsia" w:ascii="黑体" w:eastAsia="黑体"/>
        <w:sz w:val="21"/>
        <w:szCs w:val="21"/>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9908F">
    <w:pPr>
      <w:adjustRightInd w:val="0"/>
      <w:snapToGrid w:val="0"/>
      <w:spacing w:line="360" w:lineRule="auto"/>
      <w:ind w:left="7950" w:hanging="11130" w:hangingChars="5300"/>
      <w:rPr>
        <w:rFonts w:ascii="Calibri" w:hAnsi="Calibri" w:eastAsia="宋体"/>
        <w:sz w:val="21"/>
        <w:szCs w:val="2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6B0FE">
    <w:pPr>
      <w:pStyle w:val="24"/>
      <w:pBdr>
        <w:bottom w:val="none" w:color="auto" w:sz="0" w:space="0"/>
      </w:pBdr>
      <w:jc w:val="both"/>
      <w:rPr>
        <w:rFonts w:ascii="黑体" w:eastAsia="黑体"/>
        <w:sz w:val="21"/>
        <w:szCs w:val="21"/>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72C73C">
    <w:pPr>
      <w:pStyle w:val="24"/>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52108">
    <w:pPr>
      <w:pStyle w:val="24"/>
      <w:pBdr>
        <w:bottom w:val="none" w:color="auto" w:sz="0" w:space="1"/>
      </w:pBdr>
      <w:rPr>
        <w:rFonts w:hint="eastAsia"/>
        <w:lang w:eastAsia="zh-CN"/>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8E003">
    <w:pPr>
      <w:pStyle w:val="24"/>
      <w:pBdr>
        <w:bottom w:val="none" w:color="auto" w:sz="0" w:space="0"/>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132A89">
    <w:pPr>
      <w:pStyle w:val="2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EB044F"/>
    <w:multiLevelType w:val="singleLevel"/>
    <w:tmpl w:val="9DEB044F"/>
    <w:lvl w:ilvl="0" w:tentative="0">
      <w:start w:val="1"/>
      <w:numFmt w:val="decimal"/>
      <w:suff w:val="space"/>
      <w:lvlText w:val="%1."/>
      <w:lvlJc w:val="left"/>
    </w:lvl>
  </w:abstractNum>
  <w:abstractNum w:abstractNumId="1">
    <w:nsid w:val="AB0E5A85"/>
    <w:multiLevelType w:val="singleLevel"/>
    <w:tmpl w:val="AB0E5A85"/>
    <w:lvl w:ilvl="0" w:tentative="0">
      <w:start w:val="1"/>
      <w:numFmt w:val="decimal"/>
      <w:lvlText w:val="%1)"/>
      <w:lvlJc w:val="left"/>
      <w:pPr>
        <w:tabs>
          <w:tab w:val="left" w:pos="312"/>
        </w:tabs>
      </w:pPr>
    </w:lvl>
  </w:abstractNum>
  <w:abstractNum w:abstractNumId="2">
    <w:nsid w:val="B415681B"/>
    <w:multiLevelType w:val="singleLevel"/>
    <w:tmpl w:val="B415681B"/>
    <w:lvl w:ilvl="0" w:tentative="0">
      <w:start w:val="1"/>
      <w:numFmt w:val="decimal"/>
      <w:lvlText w:val="%1."/>
      <w:lvlJc w:val="left"/>
      <w:pPr>
        <w:ind w:left="425" w:hanging="425"/>
      </w:pPr>
      <w:rPr>
        <w:rFonts w:hint="default"/>
      </w:rPr>
    </w:lvl>
  </w:abstractNum>
  <w:abstractNum w:abstractNumId="3">
    <w:nsid w:val="B927D02E"/>
    <w:multiLevelType w:val="singleLevel"/>
    <w:tmpl w:val="B927D02E"/>
    <w:lvl w:ilvl="0" w:tentative="0">
      <w:start w:val="1"/>
      <w:numFmt w:val="decimal"/>
      <w:suff w:val="space"/>
      <w:lvlText w:val="%1."/>
      <w:lvlJc w:val="left"/>
    </w:lvl>
  </w:abstractNum>
  <w:abstractNum w:abstractNumId="4">
    <w:nsid w:val="C07FE56E"/>
    <w:multiLevelType w:val="singleLevel"/>
    <w:tmpl w:val="C07FE56E"/>
    <w:lvl w:ilvl="0" w:tentative="0">
      <w:start w:val="1"/>
      <w:numFmt w:val="decimal"/>
      <w:suff w:val="nothing"/>
      <w:lvlText w:val="（%1）"/>
      <w:lvlJc w:val="left"/>
    </w:lvl>
  </w:abstractNum>
  <w:abstractNum w:abstractNumId="5">
    <w:nsid w:val="C8560D05"/>
    <w:multiLevelType w:val="singleLevel"/>
    <w:tmpl w:val="C8560D05"/>
    <w:lvl w:ilvl="0" w:tentative="0">
      <w:start w:val="2"/>
      <w:numFmt w:val="chineseCounting"/>
      <w:suff w:val="space"/>
      <w:lvlText w:val="第%1部分"/>
      <w:lvlJc w:val="left"/>
      <w:rPr>
        <w:rFonts w:hint="eastAsia"/>
      </w:rPr>
    </w:lvl>
  </w:abstractNum>
  <w:abstractNum w:abstractNumId="6">
    <w:nsid w:val="E1137C98"/>
    <w:multiLevelType w:val="singleLevel"/>
    <w:tmpl w:val="E1137C98"/>
    <w:lvl w:ilvl="0" w:tentative="0">
      <w:start w:val="1"/>
      <w:numFmt w:val="decimal"/>
      <w:lvlText w:val="%1)"/>
      <w:lvlJc w:val="left"/>
      <w:pPr>
        <w:ind w:left="425" w:hanging="425"/>
      </w:pPr>
      <w:rPr>
        <w:rFonts w:hint="default"/>
      </w:rPr>
    </w:lvl>
  </w:abstractNum>
  <w:abstractNum w:abstractNumId="7">
    <w:nsid w:val="E8205C0F"/>
    <w:multiLevelType w:val="singleLevel"/>
    <w:tmpl w:val="E8205C0F"/>
    <w:lvl w:ilvl="0" w:tentative="0">
      <w:start w:val="1"/>
      <w:numFmt w:val="decimal"/>
      <w:lvlText w:val="%1)"/>
      <w:lvlJc w:val="left"/>
      <w:pPr>
        <w:ind w:left="425" w:hanging="425"/>
      </w:pPr>
      <w:rPr>
        <w:rFonts w:hint="default"/>
      </w:rPr>
    </w:lvl>
  </w:abstractNum>
  <w:abstractNum w:abstractNumId="8">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9">
    <w:nsid w:val="0C8F015C"/>
    <w:multiLevelType w:val="multilevel"/>
    <w:tmpl w:val="0C8F015C"/>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2668A9AD"/>
    <w:multiLevelType w:val="singleLevel"/>
    <w:tmpl w:val="2668A9AD"/>
    <w:lvl w:ilvl="0" w:tentative="0">
      <w:start w:val="1"/>
      <w:numFmt w:val="decimal"/>
      <w:lvlText w:val="%1."/>
      <w:lvlJc w:val="left"/>
      <w:pPr>
        <w:tabs>
          <w:tab w:val="left" w:pos="312"/>
        </w:tabs>
      </w:pPr>
    </w:lvl>
  </w:abstractNum>
  <w:abstractNum w:abstractNumId="11">
    <w:nsid w:val="2E61B931"/>
    <w:multiLevelType w:val="singleLevel"/>
    <w:tmpl w:val="2E61B931"/>
    <w:lvl w:ilvl="0" w:tentative="0">
      <w:start w:val="1"/>
      <w:numFmt w:val="decimal"/>
      <w:lvlText w:val="%1."/>
      <w:lvlJc w:val="left"/>
      <w:pPr>
        <w:tabs>
          <w:tab w:val="left" w:pos="312"/>
        </w:tabs>
      </w:pPr>
    </w:lvl>
  </w:abstractNum>
  <w:abstractNum w:abstractNumId="12">
    <w:nsid w:val="45633BF8"/>
    <w:multiLevelType w:val="multilevel"/>
    <w:tmpl w:val="45633BF8"/>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3">
    <w:nsid w:val="5428518E"/>
    <w:multiLevelType w:val="multilevel"/>
    <w:tmpl w:val="5428518E"/>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55A6183C"/>
    <w:multiLevelType w:val="singleLevel"/>
    <w:tmpl w:val="55A6183C"/>
    <w:lvl w:ilvl="0" w:tentative="0">
      <w:start w:val="1"/>
      <w:numFmt w:val="chineseCounting"/>
      <w:suff w:val="nothing"/>
      <w:lvlText w:val="%1、"/>
      <w:lvlJc w:val="left"/>
    </w:lvl>
  </w:abstractNum>
  <w:abstractNum w:abstractNumId="15">
    <w:nsid w:val="5965F3C0"/>
    <w:multiLevelType w:val="singleLevel"/>
    <w:tmpl w:val="5965F3C0"/>
    <w:lvl w:ilvl="0" w:tentative="0">
      <w:start w:val="1"/>
      <w:numFmt w:val="decimal"/>
      <w:suff w:val="nothing"/>
      <w:lvlText w:val="%1、"/>
      <w:lvlJc w:val="left"/>
    </w:lvl>
  </w:abstractNum>
  <w:abstractNum w:abstractNumId="16">
    <w:nsid w:val="5B4C4C64"/>
    <w:multiLevelType w:val="multilevel"/>
    <w:tmpl w:val="5B4C4C6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7">
    <w:nsid w:val="69F54F2E"/>
    <w:multiLevelType w:val="singleLevel"/>
    <w:tmpl w:val="69F54F2E"/>
    <w:lvl w:ilvl="0" w:tentative="0">
      <w:start w:val="1"/>
      <w:numFmt w:val="bullet"/>
      <w:lvlText w:val=""/>
      <w:lvlJc w:val="left"/>
      <w:pPr>
        <w:ind w:left="420" w:hanging="420"/>
      </w:pPr>
      <w:rPr>
        <w:rFonts w:hint="default" w:ascii="Wingdings" w:hAnsi="Wingdings"/>
      </w:rPr>
    </w:lvl>
  </w:abstractNum>
  <w:abstractNum w:abstractNumId="18">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pStyle w:val="6"/>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8"/>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19">
    <w:nsid w:val="75435637"/>
    <w:multiLevelType w:val="multilevel"/>
    <w:tmpl w:val="75435637"/>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8"/>
  </w:num>
  <w:num w:numId="2">
    <w:abstractNumId w:val="4"/>
  </w:num>
  <w:num w:numId="3">
    <w:abstractNumId w:val="3"/>
  </w:num>
  <w:num w:numId="4">
    <w:abstractNumId w:val="7"/>
  </w:num>
  <w:num w:numId="5">
    <w:abstractNumId w:val="6"/>
  </w:num>
  <w:num w:numId="6">
    <w:abstractNumId w:val="0"/>
  </w:num>
  <w:num w:numId="7">
    <w:abstractNumId w:val="11"/>
  </w:num>
  <w:num w:numId="8">
    <w:abstractNumId w:val="1"/>
  </w:num>
  <w:num w:numId="9">
    <w:abstractNumId w:val="10"/>
  </w:num>
  <w:num w:numId="10">
    <w:abstractNumId w:val="14"/>
  </w:num>
  <w:num w:numId="11">
    <w:abstractNumId w:val="19"/>
  </w:num>
  <w:num w:numId="12">
    <w:abstractNumId w:val="9"/>
  </w:num>
  <w:num w:numId="13">
    <w:abstractNumId w:val="13"/>
  </w:num>
  <w:num w:numId="14">
    <w:abstractNumId w:val="15"/>
  </w:num>
  <w:num w:numId="15">
    <w:abstractNumId w:val="2"/>
  </w:num>
  <w:num w:numId="16">
    <w:abstractNumId w:val="17"/>
  </w:num>
  <w:num w:numId="17">
    <w:abstractNumId w:val="16"/>
  </w:num>
  <w:num w:numId="18">
    <w:abstractNumId w:val="12"/>
  </w:num>
  <w:num w:numId="19">
    <w:abstractNumId w:val="5"/>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hideSpellingErrors/>
  <w:documentProtection w:enforcement="0"/>
  <w:defaultTabStop w:val="420"/>
  <w:drawingGridHorizontalSpacing w:val="120"/>
  <w:drawingGridVerticalSpacing w:val="210"/>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yMmI5MjVlNzJlYWRjNWQzMzNkYzliNTc2YzY2ZTYifQ=="/>
  </w:docVars>
  <w:rsids>
    <w:rsidRoot w:val="006A6B87"/>
    <w:rsid w:val="0000159C"/>
    <w:rsid w:val="000019FA"/>
    <w:rsid w:val="00002BB3"/>
    <w:rsid w:val="00003F53"/>
    <w:rsid w:val="00004F9A"/>
    <w:rsid w:val="00006A52"/>
    <w:rsid w:val="00012137"/>
    <w:rsid w:val="00012844"/>
    <w:rsid w:val="00012F9B"/>
    <w:rsid w:val="000131C6"/>
    <w:rsid w:val="00013929"/>
    <w:rsid w:val="00014DAF"/>
    <w:rsid w:val="00015802"/>
    <w:rsid w:val="00016042"/>
    <w:rsid w:val="000162A2"/>
    <w:rsid w:val="00020142"/>
    <w:rsid w:val="00021AF9"/>
    <w:rsid w:val="00022936"/>
    <w:rsid w:val="00022A4E"/>
    <w:rsid w:val="00022F41"/>
    <w:rsid w:val="00023261"/>
    <w:rsid w:val="000234CF"/>
    <w:rsid w:val="000235C8"/>
    <w:rsid w:val="000251DF"/>
    <w:rsid w:val="00027E6B"/>
    <w:rsid w:val="0003251F"/>
    <w:rsid w:val="00032BB4"/>
    <w:rsid w:val="00033377"/>
    <w:rsid w:val="00033B5A"/>
    <w:rsid w:val="000353DD"/>
    <w:rsid w:val="00036943"/>
    <w:rsid w:val="00037F2F"/>
    <w:rsid w:val="00037FD3"/>
    <w:rsid w:val="000403A2"/>
    <w:rsid w:val="00040799"/>
    <w:rsid w:val="00040973"/>
    <w:rsid w:val="00043830"/>
    <w:rsid w:val="000440AF"/>
    <w:rsid w:val="00044F32"/>
    <w:rsid w:val="00051EF3"/>
    <w:rsid w:val="000543B4"/>
    <w:rsid w:val="00054879"/>
    <w:rsid w:val="000556F1"/>
    <w:rsid w:val="0005692F"/>
    <w:rsid w:val="00061A13"/>
    <w:rsid w:val="000621D2"/>
    <w:rsid w:val="00062D84"/>
    <w:rsid w:val="00063EEF"/>
    <w:rsid w:val="00064071"/>
    <w:rsid w:val="00064386"/>
    <w:rsid w:val="000652A3"/>
    <w:rsid w:val="00067A39"/>
    <w:rsid w:val="00067D44"/>
    <w:rsid w:val="0007053B"/>
    <w:rsid w:val="00070AA6"/>
    <w:rsid w:val="000724B1"/>
    <w:rsid w:val="0007534F"/>
    <w:rsid w:val="00076978"/>
    <w:rsid w:val="000770B7"/>
    <w:rsid w:val="00077B80"/>
    <w:rsid w:val="000857F2"/>
    <w:rsid w:val="000870E9"/>
    <w:rsid w:val="00090002"/>
    <w:rsid w:val="000906B5"/>
    <w:rsid w:val="00090DB4"/>
    <w:rsid w:val="000911CC"/>
    <w:rsid w:val="00092417"/>
    <w:rsid w:val="00093AD5"/>
    <w:rsid w:val="000951C6"/>
    <w:rsid w:val="000952F2"/>
    <w:rsid w:val="0009576A"/>
    <w:rsid w:val="00095A8D"/>
    <w:rsid w:val="00096428"/>
    <w:rsid w:val="00096A85"/>
    <w:rsid w:val="00097CDB"/>
    <w:rsid w:val="000A01A3"/>
    <w:rsid w:val="000A0237"/>
    <w:rsid w:val="000A0EFD"/>
    <w:rsid w:val="000A250B"/>
    <w:rsid w:val="000A2583"/>
    <w:rsid w:val="000A2B11"/>
    <w:rsid w:val="000A7453"/>
    <w:rsid w:val="000A7A6A"/>
    <w:rsid w:val="000B5741"/>
    <w:rsid w:val="000B5ACF"/>
    <w:rsid w:val="000B6858"/>
    <w:rsid w:val="000C048C"/>
    <w:rsid w:val="000C06C4"/>
    <w:rsid w:val="000C078B"/>
    <w:rsid w:val="000C21A4"/>
    <w:rsid w:val="000C4C29"/>
    <w:rsid w:val="000C538D"/>
    <w:rsid w:val="000C59A5"/>
    <w:rsid w:val="000D0AF3"/>
    <w:rsid w:val="000D0DE1"/>
    <w:rsid w:val="000D1277"/>
    <w:rsid w:val="000D12BE"/>
    <w:rsid w:val="000D4097"/>
    <w:rsid w:val="000E3FB5"/>
    <w:rsid w:val="000E5C68"/>
    <w:rsid w:val="000E5DED"/>
    <w:rsid w:val="000E6AE7"/>
    <w:rsid w:val="000F03F6"/>
    <w:rsid w:val="000F0C8A"/>
    <w:rsid w:val="000F1A9A"/>
    <w:rsid w:val="000F22F4"/>
    <w:rsid w:val="000F27AD"/>
    <w:rsid w:val="000F2BEC"/>
    <w:rsid w:val="000F35AB"/>
    <w:rsid w:val="000F3645"/>
    <w:rsid w:val="000F4ECB"/>
    <w:rsid w:val="000F66FE"/>
    <w:rsid w:val="000F6831"/>
    <w:rsid w:val="000F6A10"/>
    <w:rsid w:val="000F735B"/>
    <w:rsid w:val="000F7DA6"/>
    <w:rsid w:val="00100C1B"/>
    <w:rsid w:val="00103379"/>
    <w:rsid w:val="00103D6B"/>
    <w:rsid w:val="00104D98"/>
    <w:rsid w:val="001059A0"/>
    <w:rsid w:val="00106530"/>
    <w:rsid w:val="001067F9"/>
    <w:rsid w:val="00107B8A"/>
    <w:rsid w:val="001101BD"/>
    <w:rsid w:val="0011093D"/>
    <w:rsid w:val="00111F0F"/>
    <w:rsid w:val="001131D6"/>
    <w:rsid w:val="00113B9B"/>
    <w:rsid w:val="00121FC0"/>
    <w:rsid w:val="00122D76"/>
    <w:rsid w:val="001232E1"/>
    <w:rsid w:val="001240BB"/>
    <w:rsid w:val="001257D4"/>
    <w:rsid w:val="0013005B"/>
    <w:rsid w:val="0013015E"/>
    <w:rsid w:val="001312AE"/>
    <w:rsid w:val="00131904"/>
    <w:rsid w:val="0013342E"/>
    <w:rsid w:val="001338D9"/>
    <w:rsid w:val="00133ADB"/>
    <w:rsid w:val="00134EE2"/>
    <w:rsid w:val="001351E3"/>
    <w:rsid w:val="00135AA2"/>
    <w:rsid w:val="00136723"/>
    <w:rsid w:val="00136D4A"/>
    <w:rsid w:val="00137E7B"/>
    <w:rsid w:val="00142244"/>
    <w:rsid w:val="001454AD"/>
    <w:rsid w:val="001455F6"/>
    <w:rsid w:val="001456C7"/>
    <w:rsid w:val="001510FB"/>
    <w:rsid w:val="00152476"/>
    <w:rsid w:val="0015361E"/>
    <w:rsid w:val="00153DFD"/>
    <w:rsid w:val="00156ED5"/>
    <w:rsid w:val="0016097D"/>
    <w:rsid w:val="001630D0"/>
    <w:rsid w:val="0016323C"/>
    <w:rsid w:val="00164101"/>
    <w:rsid w:val="00164EE1"/>
    <w:rsid w:val="00164F62"/>
    <w:rsid w:val="00165AFC"/>
    <w:rsid w:val="001664B2"/>
    <w:rsid w:val="00166804"/>
    <w:rsid w:val="00166FD9"/>
    <w:rsid w:val="00166FF0"/>
    <w:rsid w:val="00167ECE"/>
    <w:rsid w:val="0017054A"/>
    <w:rsid w:val="00171465"/>
    <w:rsid w:val="00171A61"/>
    <w:rsid w:val="00173749"/>
    <w:rsid w:val="00173A35"/>
    <w:rsid w:val="0017410F"/>
    <w:rsid w:val="00174285"/>
    <w:rsid w:val="00175756"/>
    <w:rsid w:val="00176F0E"/>
    <w:rsid w:val="00180642"/>
    <w:rsid w:val="00180AFD"/>
    <w:rsid w:val="0018316D"/>
    <w:rsid w:val="00184DE0"/>
    <w:rsid w:val="00184F72"/>
    <w:rsid w:val="00186779"/>
    <w:rsid w:val="001872B3"/>
    <w:rsid w:val="00187846"/>
    <w:rsid w:val="00191693"/>
    <w:rsid w:val="00191834"/>
    <w:rsid w:val="00191A7E"/>
    <w:rsid w:val="00193B5F"/>
    <w:rsid w:val="001947E8"/>
    <w:rsid w:val="00194890"/>
    <w:rsid w:val="00196A1C"/>
    <w:rsid w:val="001A0C97"/>
    <w:rsid w:val="001A0FC6"/>
    <w:rsid w:val="001A2103"/>
    <w:rsid w:val="001A5309"/>
    <w:rsid w:val="001A5764"/>
    <w:rsid w:val="001A7D44"/>
    <w:rsid w:val="001B0699"/>
    <w:rsid w:val="001B087C"/>
    <w:rsid w:val="001B0C7B"/>
    <w:rsid w:val="001B2019"/>
    <w:rsid w:val="001B49FD"/>
    <w:rsid w:val="001B4E91"/>
    <w:rsid w:val="001B5302"/>
    <w:rsid w:val="001C0BA3"/>
    <w:rsid w:val="001C0BBD"/>
    <w:rsid w:val="001C25ED"/>
    <w:rsid w:val="001C3A72"/>
    <w:rsid w:val="001C5BE5"/>
    <w:rsid w:val="001C7AA8"/>
    <w:rsid w:val="001D1BCB"/>
    <w:rsid w:val="001D22C0"/>
    <w:rsid w:val="001D2CE5"/>
    <w:rsid w:val="001D37B2"/>
    <w:rsid w:val="001D4171"/>
    <w:rsid w:val="001D52F1"/>
    <w:rsid w:val="001D576E"/>
    <w:rsid w:val="001D70BC"/>
    <w:rsid w:val="001E0376"/>
    <w:rsid w:val="001E1DFE"/>
    <w:rsid w:val="001E2843"/>
    <w:rsid w:val="001E2BB9"/>
    <w:rsid w:val="001E6A70"/>
    <w:rsid w:val="001E7761"/>
    <w:rsid w:val="001E790E"/>
    <w:rsid w:val="001F2059"/>
    <w:rsid w:val="001F23C9"/>
    <w:rsid w:val="001F2E77"/>
    <w:rsid w:val="001F49A1"/>
    <w:rsid w:val="001F4ACC"/>
    <w:rsid w:val="001F7532"/>
    <w:rsid w:val="001F7B5A"/>
    <w:rsid w:val="00201795"/>
    <w:rsid w:val="0020498C"/>
    <w:rsid w:val="00205018"/>
    <w:rsid w:val="002051A7"/>
    <w:rsid w:val="00205744"/>
    <w:rsid w:val="00207790"/>
    <w:rsid w:val="00210CFC"/>
    <w:rsid w:val="00210FBE"/>
    <w:rsid w:val="0021178B"/>
    <w:rsid w:val="00212328"/>
    <w:rsid w:val="002125C8"/>
    <w:rsid w:val="00213205"/>
    <w:rsid w:val="002137AF"/>
    <w:rsid w:val="002174B0"/>
    <w:rsid w:val="00220787"/>
    <w:rsid w:val="002209DE"/>
    <w:rsid w:val="00221727"/>
    <w:rsid w:val="00223EFE"/>
    <w:rsid w:val="00224257"/>
    <w:rsid w:val="00224642"/>
    <w:rsid w:val="002305E2"/>
    <w:rsid w:val="0023070C"/>
    <w:rsid w:val="00230C6A"/>
    <w:rsid w:val="00233D53"/>
    <w:rsid w:val="002345B9"/>
    <w:rsid w:val="002378CD"/>
    <w:rsid w:val="00237A3F"/>
    <w:rsid w:val="00237C8C"/>
    <w:rsid w:val="0024210D"/>
    <w:rsid w:val="002434A7"/>
    <w:rsid w:val="0024394B"/>
    <w:rsid w:val="00244C29"/>
    <w:rsid w:val="00247B11"/>
    <w:rsid w:val="00250468"/>
    <w:rsid w:val="00250A0D"/>
    <w:rsid w:val="00250B6E"/>
    <w:rsid w:val="002519B6"/>
    <w:rsid w:val="00252050"/>
    <w:rsid w:val="00253B74"/>
    <w:rsid w:val="00254492"/>
    <w:rsid w:val="002547E0"/>
    <w:rsid w:val="00255A2C"/>
    <w:rsid w:val="00255ADA"/>
    <w:rsid w:val="00255DBC"/>
    <w:rsid w:val="00256AC1"/>
    <w:rsid w:val="0025777A"/>
    <w:rsid w:val="00257B25"/>
    <w:rsid w:val="00260306"/>
    <w:rsid w:val="0026130D"/>
    <w:rsid w:val="00261898"/>
    <w:rsid w:val="00264014"/>
    <w:rsid w:val="0026501F"/>
    <w:rsid w:val="00266611"/>
    <w:rsid w:val="00267AE5"/>
    <w:rsid w:val="00267C8A"/>
    <w:rsid w:val="00267F98"/>
    <w:rsid w:val="00270B94"/>
    <w:rsid w:val="00271136"/>
    <w:rsid w:val="00272337"/>
    <w:rsid w:val="00272E7E"/>
    <w:rsid w:val="00273219"/>
    <w:rsid w:val="00273A93"/>
    <w:rsid w:val="002742EA"/>
    <w:rsid w:val="0027449B"/>
    <w:rsid w:val="00275C8F"/>
    <w:rsid w:val="00276641"/>
    <w:rsid w:val="00276C8A"/>
    <w:rsid w:val="002771C6"/>
    <w:rsid w:val="00277949"/>
    <w:rsid w:val="0028033D"/>
    <w:rsid w:val="002827CD"/>
    <w:rsid w:val="00282837"/>
    <w:rsid w:val="00282CF7"/>
    <w:rsid w:val="002848E9"/>
    <w:rsid w:val="0029139F"/>
    <w:rsid w:val="00291777"/>
    <w:rsid w:val="002926E2"/>
    <w:rsid w:val="0029384E"/>
    <w:rsid w:val="00294428"/>
    <w:rsid w:val="002961E2"/>
    <w:rsid w:val="00296372"/>
    <w:rsid w:val="00297703"/>
    <w:rsid w:val="00297866"/>
    <w:rsid w:val="002A16FA"/>
    <w:rsid w:val="002A3B25"/>
    <w:rsid w:val="002A62BF"/>
    <w:rsid w:val="002A671F"/>
    <w:rsid w:val="002A6815"/>
    <w:rsid w:val="002A703D"/>
    <w:rsid w:val="002A7FF7"/>
    <w:rsid w:val="002B35C4"/>
    <w:rsid w:val="002B36C2"/>
    <w:rsid w:val="002B59BE"/>
    <w:rsid w:val="002B65AB"/>
    <w:rsid w:val="002B696D"/>
    <w:rsid w:val="002B69BA"/>
    <w:rsid w:val="002C00B8"/>
    <w:rsid w:val="002C05A3"/>
    <w:rsid w:val="002C4511"/>
    <w:rsid w:val="002D2B5F"/>
    <w:rsid w:val="002D327B"/>
    <w:rsid w:val="002D3EA9"/>
    <w:rsid w:val="002D41DD"/>
    <w:rsid w:val="002D65D4"/>
    <w:rsid w:val="002D7418"/>
    <w:rsid w:val="002E1283"/>
    <w:rsid w:val="002E1660"/>
    <w:rsid w:val="002E379C"/>
    <w:rsid w:val="002E43F6"/>
    <w:rsid w:val="002E4813"/>
    <w:rsid w:val="002E7C3E"/>
    <w:rsid w:val="002F074B"/>
    <w:rsid w:val="002F1C19"/>
    <w:rsid w:val="002F1C7D"/>
    <w:rsid w:val="002F1EC9"/>
    <w:rsid w:val="002F25EC"/>
    <w:rsid w:val="002F2A10"/>
    <w:rsid w:val="002F2AAA"/>
    <w:rsid w:val="002F2EAB"/>
    <w:rsid w:val="002F30DD"/>
    <w:rsid w:val="002F3224"/>
    <w:rsid w:val="002F3350"/>
    <w:rsid w:val="002F4646"/>
    <w:rsid w:val="002F7D7D"/>
    <w:rsid w:val="002F7E10"/>
    <w:rsid w:val="00300067"/>
    <w:rsid w:val="00300513"/>
    <w:rsid w:val="00300B27"/>
    <w:rsid w:val="0030123B"/>
    <w:rsid w:val="00301E0D"/>
    <w:rsid w:val="00301FAE"/>
    <w:rsid w:val="003024CF"/>
    <w:rsid w:val="00303EC5"/>
    <w:rsid w:val="00306470"/>
    <w:rsid w:val="00310E94"/>
    <w:rsid w:val="00311862"/>
    <w:rsid w:val="00316D60"/>
    <w:rsid w:val="003172BB"/>
    <w:rsid w:val="00321DAC"/>
    <w:rsid w:val="00322208"/>
    <w:rsid w:val="003245F8"/>
    <w:rsid w:val="00325D47"/>
    <w:rsid w:val="00325EF1"/>
    <w:rsid w:val="00326169"/>
    <w:rsid w:val="003274DA"/>
    <w:rsid w:val="00327A6B"/>
    <w:rsid w:val="00330EA4"/>
    <w:rsid w:val="00332A7C"/>
    <w:rsid w:val="00335C58"/>
    <w:rsid w:val="00335E41"/>
    <w:rsid w:val="00337CFC"/>
    <w:rsid w:val="0034052E"/>
    <w:rsid w:val="003406B1"/>
    <w:rsid w:val="00343305"/>
    <w:rsid w:val="003443D3"/>
    <w:rsid w:val="003450CD"/>
    <w:rsid w:val="00345F35"/>
    <w:rsid w:val="00346A88"/>
    <w:rsid w:val="003509CA"/>
    <w:rsid w:val="00351734"/>
    <w:rsid w:val="00354FCF"/>
    <w:rsid w:val="003551E0"/>
    <w:rsid w:val="0035572B"/>
    <w:rsid w:val="00357885"/>
    <w:rsid w:val="00357EC3"/>
    <w:rsid w:val="00360830"/>
    <w:rsid w:val="00364896"/>
    <w:rsid w:val="00366A2C"/>
    <w:rsid w:val="003704E3"/>
    <w:rsid w:val="00371456"/>
    <w:rsid w:val="003721C2"/>
    <w:rsid w:val="0037380E"/>
    <w:rsid w:val="00373AE9"/>
    <w:rsid w:val="00374506"/>
    <w:rsid w:val="0037495D"/>
    <w:rsid w:val="003752C8"/>
    <w:rsid w:val="0037531B"/>
    <w:rsid w:val="00375819"/>
    <w:rsid w:val="00375C89"/>
    <w:rsid w:val="00376DAF"/>
    <w:rsid w:val="00377482"/>
    <w:rsid w:val="003774B2"/>
    <w:rsid w:val="003833FB"/>
    <w:rsid w:val="00383F8F"/>
    <w:rsid w:val="003872CB"/>
    <w:rsid w:val="00387AFC"/>
    <w:rsid w:val="00390290"/>
    <w:rsid w:val="0039216D"/>
    <w:rsid w:val="00392EBD"/>
    <w:rsid w:val="00393459"/>
    <w:rsid w:val="003943D1"/>
    <w:rsid w:val="0039449C"/>
    <w:rsid w:val="00395695"/>
    <w:rsid w:val="00396106"/>
    <w:rsid w:val="003A0002"/>
    <w:rsid w:val="003A0295"/>
    <w:rsid w:val="003A0D83"/>
    <w:rsid w:val="003A192D"/>
    <w:rsid w:val="003A224D"/>
    <w:rsid w:val="003A2A14"/>
    <w:rsid w:val="003B086A"/>
    <w:rsid w:val="003B0D75"/>
    <w:rsid w:val="003B2AF6"/>
    <w:rsid w:val="003B3207"/>
    <w:rsid w:val="003B417D"/>
    <w:rsid w:val="003C3325"/>
    <w:rsid w:val="003C61F3"/>
    <w:rsid w:val="003C630F"/>
    <w:rsid w:val="003C6AB2"/>
    <w:rsid w:val="003C7C29"/>
    <w:rsid w:val="003D2606"/>
    <w:rsid w:val="003D39C7"/>
    <w:rsid w:val="003D3A50"/>
    <w:rsid w:val="003D41E8"/>
    <w:rsid w:val="003D45F5"/>
    <w:rsid w:val="003D6B60"/>
    <w:rsid w:val="003D7026"/>
    <w:rsid w:val="003E010E"/>
    <w:rsid w:val="003E1D81"/>
    <w:rsid w:val="003E2F34"/>
    <w:rsid w:val="003E5CDB"/>
    <w:rsid w:val="003E7874"/>
    <w:rsid w:val="003F3882"/>
    <w:rsid w:val="003F5983"/>
    <w:rsid w:val="003F60A3"/>
    <w:rsid w:val="003F7C8E"/>
    <w:rsid w:val="004001BE"/>
    <w:rsid w:val="00400ECF"/>
    <w:rsid w:val="0040124D"/>
    <w:rsid w:val="004017C8"/>
    <w:rsid w:val="0040181A"/>
    <w:rsid w:val="004024C2"/>
    <w:rsid w:val="00405285"/>
    <w:rsid w:val="004068A7"/>
    <w:rsid w:val="00406C11"/>
    <w:rsid w:val="00407BBB"/>
    <w:rsid w:val="004106B2"/>
    <w:rsid w:val="00412CBC"/>
    <w:rsid w:val="00414B6E"/>
    <w:rsid w:val="00414D38"/>
    <w:rsid w:val="004155E3"/>
    <w:rsid w:val="00415649"/>
    <w:rsid w:val="004156E2"/>
    <w:rsid w:val="00415AB5"/>
    <w:rsid w:val="00415C11"/>
    <w:rsid w:val="00416478"/>
    <w:rsid w:val="00420875"/>
    <w:rsid w:val="004218EC"/>
    <w:rsid w:val="0042388D"/>
    <w:rsid w:val="00425038"/>
    <w:rsid w:val="0042688F"/>
    <w:rsid w:val="00427ABD"/>
    <w:rsid w:val="004317AB"/>
    <w:rsid w:val="00431DBF"/>
    <w:rsid w:val="00433512"/>
    <w:rsid w:val="0043432D"/>
    <w:rsid w:val="004351B4"/>
    <w:rsid w:val="00441423"/>
    <w:rsid w:val="00441D7B"/>
    <w:rsid w:val="00442F77"/>
    <w:rsid w:val="00444250"/>
    <w:rsid w:val="00444298"/>
    <w:rsid w:val="00444461"/>
    <w:rsid w:val="004456C5"/>
    <w:rsid w:val="00454666"/>
    <w:rsid w:val="004547F6"/>
    <w:rsid w:val="00454E16"/>
    <w:rsid w:val="0045726B"/>
    <w:rsid w:val="004574A4"/>
    <w:rsid w:val="00461F1D"/>
    <w:rsid w:val="0046230B"/>
    <w:rsid w:val="00463236"/>
    <w:rsid w:val="004657D3"/>
    <w:rsid w:val="0046690A"/>
    <w:rsid w:val="00467681"/>
    <w:rsid w:val="0046782F"/>
    <w:rsid w:val="00471E1E"/>
    <w:rsid w:val="0047278F"/>
    <w:rsid w:val="00473CE1"/>
    <w:rsid w:val="0047590B"/>
    <w:rsid w:val="00475D90"/>
    <w:rsid w:val="00482240"/>
    <w:rsid w:val="004846F1"/>
    <w:rsid w:val="004860D2"/>
    <w:rsid w:val="00490F98"/>
    <w:rsid w:val="00491349"/>
    <w:rsid w:val="00493684"/>
    <w:rsid w:val="00493E48"/>
    <w:rsid w:val="00496134"/>
    <w:rsid w:val="00496ACE"/>
    <w:rsid w:val="00497530"/>
    <w:rsid w:val="004A00FD"/>
    <w:rsid w:val="004A0A5F"/>
    <w:rsid w:val="004A570C"/>
    <w:rsid w:val="004A5CFF"/>
    <w:rsid w:val="004A61D7"/>
    <w:rsid w:val="004A6B5A"/>
    <w:rsid w:val="004B1026"/>
    <w:rsid w:val="004B13F6"/>
    <w:rsid w:val="004B5992"/>
    <w:rsid w:val="004B7CE1"/>
    <w:rsid w:val="004C093C"/>
    <w:rsid w:val="004C0B7A"/>
    <w:rsid w:val="004C0CA0"/>
    <w:rsid w:val="004C5B48"/>
    <w:rsid w:val="004C6493"/>
    <w:rsid w:val="004C7371"/>
    <w:rsid w:val="004D095C"/>
    <w:rsid w:val="004D2147"/>
    <w:rsid w:val="004D2D8E"/>
    <w:rsid w:val="004D2F54"/>
    <w:rsid w:val="004D4879"/>
    <w:rsid w:val="004D5A18"/>
    <w:rsid w:val="004D7112"/>
    <w:rsid w:val="004D7C23"/>
    <w:rsid w:val="004D7F2C"/>
    <w:rsid w:val="004E07B6"/>
    <w:rsid w:val="004E0B6D"/>
    <w:rsid w:val="004E16B0"/>
    <w:rsid w:val="004E63AF"/>
    <w:rsid w:val="004F01A5"/>
    <w:rsid w:val="004F04DD"/>
    <w:rsid w:val="004F2CC5"/>
    <w:rsid w:val="004F3159"/>
    <w:rsid w:val="004F411F"/>
    <w:rsid w:val="004F60D3"/>
    <w:rsid w:val="004F7234"/>
    <w:rsid w:val="004F7D8F"/>
    <w:rsid w:val="0050182A"/>
    <w:rsid w:val="00501CED"/>
    <w:rsid w:val="0050264E"/>
    <w:rsid w:val="00502DB5"/>
    <w:rsid w:val="00503C53"/>
    <w:rsid w:val="0050431E"/>
    <w:rsid w:val="005053C1"/>
    <w:rsid w:val="00506ECC"/>
    <w:rsid w:val="005078BB"/>
    <w:rsid w:val="00507E67"/>
    <w:rsid w:val="00510D3F"/>
    <w:rsid w:val="00511E18"/>
    <w:rsid w:val="00512B77"/>
    <w:rsid w:val="00512D71"/>
    <w:rsid w:val="00515ADE"/>
    <w:rsid w:val="00515E63"/>
    <w:rsid w:val="005176F4"/>
    <w:rsid w:val="005203BA"/>
    <w:rsid w:val="00521985"/>
    <w:rsid w:val="005220F8"/>
    <w:rsid w:val="00522932"/>
    <w:rsid w:val="0052539A"/>
    <w:rsid w:val="00525760"/>
    <w:rsid w:val="005309DD"/>
    <w:rsid w:val="005323B4"/>
    <w:rsid w:val="005330CB"/>
    <w:rsid w:val="0053320F"/>
    <w:rsid w:val="0053372D"/>
    <w:rsid w:val="00533735"/>
    <w:rsid w:val="005340C0"/>
    <w:rsid w:val="00534E48"/>
    <w:rsid w:val="0053507D"/>
    <w:rsid w:val="00535F18"/>
    <w:rsid w:val="00537136"/>
    <w:rsid w:val="005406CD"/>
    <w:rsid w:val="00544037"/>
    <w:rsid w:val="00544FDF"/>
    <w:rsid w:val="00545318"/>
    <w:rsid w:val="0054537C"/>
    <w:rsid w:val="00547AD0"/>
    <w:rsid w:val="005509F0"/>
    <w:rsid w:val="00551012"/>
    <w:rsid w:val="00553778"/>
    <w:rsid w:val="00553AC5"/>
    <w:rsid w:val="00554646"/>
    <w:rsid w:val="00554791"/>
    <w:rsid w:val="00555365"/>
    <w:rsid w:val="005555A0"/>
    <w:rsid w:val="005576F7"/>
    <w:rsid w:val="0056050F"/>
    <w:rsid w:val="00560BBE"/>
    <w:rsid w:val="005612F2"/>
    <w:rsid w:val="0056216F"/>
    <w:rsid w:val="005627E9"/>
    <w:rsid w:val="005642D3"/>
    <w:rsid w:val="005648C7"/>
    <w:rsid w:val="00567226"/>
    <w:rsid w:val="005676F6"/>
    <w:rsid w:val="00572506"/>
    <w:rsid w:val="0057253B"/>
    <w:rsid w:val="00573AC9"/>
    <w:rsid w:val="00574F7A"/>
    <w:rsid w:val="00575980"/>
    <w:rsid w:val="00576008"/>
    <w:rsid w:val="005801CF"/>
    <w:rsid w:val="00581DBA"/>
    <w:rsid w:val="00581F60"/>
    <w:rsid w:val="005829C2"/>
    <w:rsid w:val="00582A46"/>
    <w:rsid w:val="0058322B"/>
    <w:rsid w:val="00583A5C"/>
    <w:rsid w:val="0058471F"/>
    <w:rsid w:val="0058487A"/>
    <w:rsid w:val="00584D70"/>
    <w:rsid w:val="00585E3F"/>
    <w:rsid w:val="00591671"/>
    <w:rsid w:val="00592CFD"/>
    <w:rsid w:val="00593C8A"/>
    <w:rsid w:val="00594467"/>
    <w:rsid w:val="00594F66"/>
    <w:rsid w:val="005960B9"/>
    <w:rsid w:val="005A178E"/>
    <w:rsid w:val="005A1806"/>
    <w:rsid w:val="005A20E0"/>
    <w:rsid w:val="005A32F2"/>
    <w:rsid w:val="005A3DFC"/>
    <w:rsid w:val="005A43AB"/>
    <w:rsid w:val="005A4B53"/>
    <w:rsid w:val="005A5A7B"/>
    <w:rsid w:val="005A5B0F"/>
    <w:rsid w:val="005A69F8"/>
    <w:rsid w:val="005A6B45"/>
    <w:rsid w:val="005A7B9D"/>
    <w:rsid w:val="005B0579"/>
    <w:rsid w:val="005B18CA"/>
    <w:rsid w:val="005B1C32"/>
    <w:rsid w:val="005B2863"/>
    <w:rsid w:val="005B314D"/>
    <w:rsid w:val="005B353B"/>
    <w:rsid w:val="005B3828"/>
    <w:rsid w:val="005B3CE3"/>
    <w:rsid w:val="005B51A3"/>
    <w:rsid w:val="005B547C"/>
    <w:rsid w:val="005B65A5"/>
    <w:rsid w:val="005B67BE"/>
    <w:rsid w:val="005B7116"/>
    <w:rsid w:val="005C50A4"/>
    <w:rsid w:val="005C6C4F"/>
    <w:rsid w:val="005D000E"/>
    <w:rsid w:val="005D035F"/>
    <w:rsid w:val="005D62E5"/>
    <w:rsid w:val="005D7216"/>
    <w:rsid w:val="005E12F7"/>
    <w:rsid w:val="005E37E1"/>
    <w:rsid w:val="005E4F58"/>
    <w:rsid w:val="005E548A"/>
    <w:rsid w:val="005E5BCC"/>
    <w:rsid w:val="005E5CCE"/>
    <w:rsid w:val="005E6CCC"/>
    <w:rsid w:val="005F0DC1"/>
    <w:rsid w:val="005F1247"/>
    <w:rsid w:val="005F19BB"/>
    <w:rsid w:val="005F3B5B"/>
    <w:rsid w:val="005F6909"/>
    <w:rsid w:val="005F6C88"/>
    <w:rsid w:val="0060005D"/>
    <w:rsid w:val="00601DA4"/>
    <w:rsid w:val="006022C0"/>
    <w:rsid w:val="00602864"/>
    <w:rsid w:val="00602E42"/>
    <w:rsid w:val="00603657"/>
    <w:rsid w:val="006036E8"/>
    <w:rsid w:val="00603BB4"/>
    <w:rsid w:val="00603F22"/>
    <w:rsid w:val="0060447C"/>
    <w:rsid w:val="0060479B"/>
    <w:rsid w:val="00605B7A"/>
    <w:rsid w:val="00606A55"/>
    <w:rsid w:val="00611AC2"/>
    <w:rsid w:val="00611FFE"/>
    <w:rsid w:val="00612B54"/>
    <w:rsid w:val="00612CF1"/>
    <w:rsid w:val="00613324"/>
    <w:rsid w:val="00613BB6"/>
    <w:rsid w:val="006173B1"/>
    <w:rsid w:val="0061777B"/>
    <w:rsid w:val="00624066"/>
    <w:rsid w:val="0062454A"/>
    <w:rsid w:val="00624620"/>
    <w:rsid w:val="00624946"/>
    <w:rsid w:val="00625173"/>
    <w:rsid w:val="00627233"/>
    <w:rsid w:val="00627607"/>
    <w:rsid w:val="00627993"/>
    <w:rsid w:val="00630CCB"/>
    <w:rsid w:val="00631E71"/>
    <w:rsid w:val="0063350A"/>
    <w:rsid w:val="00633645"/>
    <w:rsid w:val="006340A0"/>
    <w:rsid w:val="0063581A"/>
    <w:rsid w:val="00635858"/>
    <w:rsid w:val="006360BD"/>
    <w:rsid w:val="00636BF4"/>
    <w:rsid w:val="0063749E"/>
    <w:rsid w:val="00637FE9"/>
    <w:rsid w:val="0064084E"/>
    <w:rsid w:val="00642CB1"/>
    <w:rsid w:val="00642E60"/>
    <w:rsid w:val="006431A9"/>
    <w:rsid w:val="00645187"/>
    <w:rsid w:val="006460E3"/>
    <w:rsid w:val="006466DF"/>
    <w:rsid w:val="00646A42"/>
    <w:rsid w:val="006518D0"/>
    <w:rsid w:val="00652393"/>
    <w:rsid w:val="00653D7C"/>
    <w:rsid w:val="00656003"/>
    <w:rsid w:val="00657150"/>
    <w:rsid w:val="006571DD"/>
    <w:rsid w:val="0065774D"/>
    <w:rsid w:val="0065792C"/>
    <w:rsid w:val="00662E32"/>
    <w:rsid w:val="0066668A"/>
    <w:rsid w:val="0066717A"/>
    <w:rsid w:val="00667CAB"/>
    <w:rsid w:val="006725F6"/>
    <w:rsid w:val="00675065"/>
    <w:rsid w:val="00675563"/>
    <w:rsid w:val="00675DAD"/>
    <w:rsid w:val="006814B5"/>
    <w:rsid w:val="00682389"/>
    <w:rsid w:val="00685346"/>
    <w:rsid w:val="00685390"/>
    <w:rsid w:val="00685B24"/>
    <w:rsid w:val="006870E8"/>
    <w:rsid w:val="00690BC5"/>
    <w:rsid w:val="00690C8E"/>
    <w:rsid w:val="00691341"/>
    <w:rsid w:val="006933DD"/>
    <w:rsid w:val="0069431C"/>
    <w:rsid w:val="0069471D"/>
    <w:rsid w:val="00695670"/>
    <w:rsid w:val="00695E20"/>
    <w:rsid w:val="00696569"/>
    <w:rsid w:val="006A2D90"/>
    <w:rsid w:val="006A3BA0"/>
    <w:rsid w:val="006A43F0"/>
    <w:rsid w:val="006A4EC6"/>
    <w:rsid w:val="006A6B87"/>
    <w:rsid w:val="006A6DF3"/>
    <w:rsid w:val="006A7769"/>
    <w:rsid w:val="006B0A7F"/>
    <w:rsid w:val="006B1E4B"/>
    <w:rsid w:val="006B20D5"/>
    <w:rsid w:val="006B34F6"/>
    <w:rsid w:val="006B4952"/>
    <w:rsid w:val="006B5EA1"/>
    <w:rsid w:val="006B62C2"/>
    <w:rsid w:val="006B6316"/>
    <w:rsid w:val="006B6C2F"/>
    <w:rsid w:val="006B7A21"/>
    <w:rsid w:val="006B7F10"/>
    <w:rsid w:val="006C042B"/>
    <w:rsid w:val="006C0920"/>
    <w:rsid w:val="006C2543"/>
    <w:rsid w:val="006C2938"/>
    <w:rsid w:val="006C2A45"/>
    <w:rsid w:val="006C4042"/>
    <w:rsid w:val="006C6C85"/>
    <w:rsid w:val="006C6F0B"/>
    <w:rsid w:val="006C700A"/>
    <w:rsid w:val="006C7C59"/>
    <w:rsid w:val="006D0312"/>
    <w:rsid w:val="006D044E"/>
    <w:rsid w:val="006D06D5"/>
    <w:rsid w:val="006D214E"/>
    <w:rsid w:val="006D2DEA"/>
    <w:rsid w:val="006D2E9C"/>
    <w:rsid w:val="006D30BC"/>
    <w:rsid w:val="006E1A0E"/>
    <w:rsid w:val="006E49A8"/>
    <w:rsid w:val="006E6E8B"/>
    <w:rsid w:val="006E7C76"/>
    <w:rsid w:val="006F04CD"/>
    <w:rsid w:val="006F07C9"/>
    <w:rsid w:val="006F0A6B"/>
    <w:rsid w:val="006F0EC9"/>
    <w:rsid w:val="006F0F75"/>
    <w:rsid w:val="006F3496"/>
    <w:rsid w:val="006F4633"/>
    <w:rsid w:val="006F5AC8"/>
    <w:rsid w:val="006F5F50"/>
    <w:rsid w:val="006F612A"/>
    <w:rsid w:val="006F721C"/>
    <w:rsid w:val="006F7A75"/>
    <w:rsid w:val="00703F7A"/>
    <w:rsid w:val="00704218"/>
    <w:rsid w:val="00706102"/>
    <w:rsid w:val="00711356"/>
    <w:rsid w:val="00713D33"/>
    <w:rsid w:val="00716375"/>
    <w:rsid w:val="00717B21"/>
    <w:rsid w:val="00720DE4"/>
    <w:rsid w:val="00721BAC"/>
    <w:rsid w:val="007224EA"/>
    <w:rsid w:val="007240F9"/>
    <w:rsid w:val="00724763"/>
    <w:rsid w:val="007276DE"/>
    <w:rsid w:val="007300AE"/>
    <w:rsid w:val="007303C2"/>
    <w:rsid w:val="0073139F"/>
    <w:rsid w:val="007326D4"/>
    <w:rsid w:val="00733D26"/>
    <w:rsid w:val="00733E96"/>
    <w:rsid w:val="00733F1D"/>
    <w:rsid w:val="00734BE2"/>
    <w:rsid w:val="00734DBA"/>
    <w:rsid w:val="007405AB"/>
    <w:rsid w:val="00740862"/>
    <w:rsid w:val="00740ED2"/>
    <w:rsid w:val="0074169B"/>
    <w:rsid w:val="00742326"/>
    <w:rsid w:val="00743F8B"/>
    <w:rsid w:val="00744905"/>
    <w:rsid w:val="007552A7"/>
    <w:rsid w:val="00756543"/>
    <w:rsid w:val="00757FC1"/>
    <w:rsid w:val="00760265"/>
    <w:rsid w:val="00763522"/>
    <w:rsid w:val="00763B46"/>
    <w:rsid w:val="00767121"/>
    <w:rsid w:val="00770A23"/>
    <w:rsid w:val="00770D89"/>
    <w:rsid w:val="00771FBD"/>
    <w:rsid w:val="00772751"/>
    <w:rsid w:val="00772BFA"/>
    <w:rsid w:val="007732E5"/>
    <w:rsid w:val="00773A1F"/>
    <w:rsid w:val="007750D4"/>
    <w:rsid w:val="00775725"/>
    <w:rsid w:val="00775864"/>
    <w:rsid w:val="00780950"/>
    <w:rsid w:val="00781A2A"/>
    <w:rsid w:val="0079003B"/>
    <w:rsid w:val="00797959"/>
    <w:rsid w:val="007A0298"/>
    <w:rsid w:val="007A0EED"/>
    <w:rsid w:val="007A1F61"/>
    <w:rsid w:val="007A25A3"/>
    <w:rsid w:val="007A2D00"/>
    <w:rsid w:val="007A3433"/>
    <w:rsid w:val="007A5B38"/>
    <w:rsid w:val="007A7AC5"/>
    <w:rsid w:val="007B1707"/>
    <w:rsid w:val="007B1F48"/>
    <w:rsid w:val="007B4190"/>
    <w:rsid w:val="007B5A22"/>
    <w:rsid w:val="007B5BB0"/>
    <w:rsid w:val="007B7795"/>
    <w:rsid w:val="007B7DED"/>
    <w:rsid w:val="007C0E3E"/>
    <w:rsid w:val="007C1E2E"/>
    <w:rsid w:val="007C32E6"/>
    <w:rsid w:val="007C3891"/>
    <w:rsid w:val="007C551E"/>
    <w:rsid w:val="007C6103"/>
    <w:rsid w:val="007C7079"/>
    <w:rsid w:val="007C745E"/>
    <w:rsid w:val="007C7AE8"/>
    <w:rsid w:val="007C7E4A"/>
    <w:rsid w:val="007D20D8"/>
    <w:rsid w:val="007D249E"/>
    <w:rsid w:val="007D2EE8"/>
    <w:rsid w:val="007D4745"/>
    <w:rsid w:val="007D4BD1"/>
    <w:rsid w:val="007D5763"/>
    <w:rsid w:val="007D596E"/>
    <w:rsid w:val="007D6288"/>
    <w:rsid w:val="007D7193"/>
    <w:rsid w:val="007D7958"/>
    <w:rsid w:val="007D7D00"/>
    <w:rsid w:val="007E051D"/>
    <w:rsid w:val="007E1576"/>
    <w:rsid w:val="007E2BD2"/>
    <w:rsid w:val="007E390A"/>
    <w:rsid w:val="007E5F41"/>
    <w:rsid w:val="007E6CF2"/>
    <w:rsid w:val="007F0B94"/>
    <w:rsid w:val="007F0BE0"/>
    <w:rsid w:val="007F0FBD"/>
    <w:rsid w:val="007F1EB4"/>
    <w:rsid w:val="007F5493"/>
    <w:rsid w:val="007F5B53"/>
    <w:rsid w:val="007F60D5"/>
    <w:rsid w:val="007F6DC7"/>
    <w:rsid w:val="0080075E"/>
    <w:rsid w:val="00802948"/>
    <w:rsid w:val="00802AAC"/>
    <w:rsid w:val="00805E66"/>
    <w:rsid w:val="00806FED"/>
    <w:rsid w:val="00811115"/>
    <w:rsid w:val="008122DE"/>
    <w:rsid w:val="008134C7"/>
    <w:rsid w:val="0081362D"/>
    <w:rsid w:val="008139EB"/>
    <w:rsid w:val="00813CCF"/>
    <w:rsid w:val="00813D5F"/>
    <w:rsid w:val="008150A6"/>
    <w:rsid w:val="008151E2"/>
    <w:rsid w:val="00816091"/>
    <w:rsid w:val="00816112"/>
    <w:rsid w:val="00816182"/>
    <w:rsid w:val="00821BA2"/>
    <w:rsid w:val="00822824"/>
    <w:rsid w:val="008228B9"/>
    <w:rsid w:val="00824639"/>
    <w:rsid w:val="00826C95"/>
    <w:rsid w:val="00830FB7"/>
    <w:rsid w:val="00832985"/>
    <w:rsid w:val="008332CE"/>
    <w:rsid w:val="008345B9"/>
    <w:rsid w:val="008354ED"/>
    <w:rsid w:val="00835DAD"/>
    <w:rsid w:val="00836FBF"/>
    <w:rsid w:val="008376EF"/>
    <w:rsid w:val="00837760"/>
    <w:rsid w:val="00837F02"/>
    <w:rsid w:val="00840EF2"/>
    <w:rsid w:val="0084243D"/>
    <w:rsid w:val="00842D6E"/>
    <w:rsid w:val="00843A87"/>
    <w:rsid w:val="00843C41"/>
    <w:rsid w:val="0084500E"/>
    <w:rsid w:val="00845138"/>
    <w:rsid w:val="008455FB"/>
    <w:rsid w:val="0084584F"/>
    <w:rsid w:val="00847DB4"/>
    <w:rsid w:val="00850BC8"/>
    <w:rsid w:val="00850E33"/>
    <w:rsid w:val="0085172A"/>
    <w:rsid w:val="00853D88"/>
    <w:rsid w:val="00856715"/>
    <w:rsid w:val="00856DC0"/>
    <w:rsid w:val="008607CA"/>
    <w:rsid w:val="00861183"/>
    <w:rsid w:val="0086186E"/>
    <w:rsid w:val="00861CE7"/>
    <w:rsid w:val="00862E46"/>
    <w:rsid w:val="00864D01"/>
    <w:rsid w:val="00865BFC"/>
    <w:rsid w:val="00870585"/>
    <w:rsid w:val="0087394A"/>
    <w:rsid w:val="00873EAC"/>
    <w:rsid w:val="00874D32"/>
    <w:rsid w:val="00880D1C"/>
    <w:rsid w:val="00880EB6"/>
    <w:rsid w:val="00881B84"/>
    <w:rsid w:val="00885CC3"/>
    <w:rsid w:val="0088632D"/>
    <w:rsid w:val="00886362"/>
    <w:rsid w:val="008876A3"/>
    <w:rsid w:val="00887DFB"/>
    <w:rsid w:val="0089283A"/>
    <w:rsid w:val="00892ADC"/>
    <w:rsid w:val="00893813"/>
    <w:rsid w:val="0089658C"/>
    <w:rsid w:val="00897000"/>
    <w:rsid w:val="008A0739"/>
    <w:rsid w:val="008A2458"/>
    <w:rsid w:val="008A66B8"/>
    <w:rsid w:val="008A7EED"/>
    <w:rsid w:val="008B25E6"/>
    <w:rsid w:val="008B2B1D"/>
    <w:rsid w:val="008B5009"/>
    <w:rsid w:val="008B7E45"/>
    <w:rsid w:val="008C1237"/>
    <w:rsid w:val="008C1607"/>
    <w:rsid w:val="008C64FB"/>
    <w:rsid w:val="008C6F63"/>
    <w:rsid w:val="008C771B"/>
    <w:rsid w:val="008C77A4"/>
    <w:rsid w:val="008D0DB7"/>
    <w:rsid w:val="008D2DAF"/>
    <w:rsid w:val="008D4EEC"/>
    <w:rsid w:val="008D5BFC"/>
    <w:rsid w:val="008E1C91"/>
    <w:rsid w:val="008E1E14"/>
    <w:rsid w:val="008E2EFF"/>
    <w:rsid w:val="008E3B9E"/>
    <w:rsid w:val="008E4674"/>
    <w:rsid w:val="008E4E0F"/>
    <w:rsid w:val="008E5935"/>
    <w:rsid w:val="008E738E"/>
    <w:rsid w:val="008F0A84"/>
    <w:rsid w:val="008F0CC3"/>
    <w:rsid w:val="008F3E84"/>
    <w:rsid w:val="008F44C7"/>
    <w:rsid w:val="008F5035"/>
    <w:rsid w:val="008F5056"/>
    <w:rsid w:val="00900C2F"/>
    <w:rsid w:val="00900DA8"/>
    <w:rsid w:val="0090408F"/>
    <w:rsid w:val="00906F8A"/>
    <w:rsid w:val="009079D8"/>
    <w:rsid w:val="009104E4"/>
    <w:rsid w:val="00910A37"/>
    <w:rsid w:val="00914B34"/>
    <w:rsid w:val="00915570"/>
    <w:rsid w:val="0091611D"/>
    <w:rsid w:val="00916267"/>
    <w:rsid w:val="009173A3"/>
    <w:rsid w:val="0092016A"/>
    <w:rsid w:val="00920CEB"/>
    <w:rsid w:val="00921082"/>
    <w:rsid w:val="00922A3C"/>
    <w:rsid w:val="00922DE7"/>
    <w:rsid w:val="00922EFB"/>
    <w:rsid w:val="00923A6C"/>
    <w:rsid w:val="009249C8"/>
    <w:rsid w:val="0093115A"/>
    <w:rsid w:val="00931671"/>
    <w:rsid w:val="00932C0E"/>
    <w:rsid w:val="00933F00"/>
    <w:rsid w:val="009349FD"/>
    <w:rsid w:val="009353AA"/>
    <w:rsid w:val="00935401"/>
    <w:rsid w:val="009358D0"/>
    <w:rsid w:val="00935965"/>
    <w:rsid w:val="0094003A"/>
    <w:rsid w:val="0094004A"/>
    <w:rsid w:val="00943FB0"/>
    <w:rsid w:val="0094638E"/>
    <w:rsid w:val="00946A82"/>
    <w:rsid w:val="00951071"/>
    <w:rsid w:val="0095333C"/>
    <w:rsid w:val="009544D9"/>
    <w:rsid w:val="00955186"/>
    <w:rsid w:val="00955282"/>
    <w:rsid w:val="00956990"/>
    <w:rsid w:val="00956EE8"/>
    <w:rsid w:val="009570F6"/>
    <w:rsid w:val="00957995"/>
    <w:rsid w:val="009648AF"/>
    <w:rsid w:val="00965C09"/>
    <w:rsid w:val="00966B6A"/>
    <w:rsid w:val="0097057C"/>
    <w:rsid w:val="009715C5"/>
    <w:rsid w:val="00971AF2"/>
    <w:rsid w:val="009723B8"/>
    <w:rsid w:val="00973ED9"/>
    <w:rsid w:val="009817A0"/>
    <w:rsid w:val="0098281C"/>
    <w:rsid w:val="009833A0"/>
    <w:rsid w:val="0098388D"/>
    <w:rsid w:val="0098423D"/>
    <w:rsid w:val="009850E9"/>
    <w:rsid w:val="00985DFA"/>
    <w:rsid w:val="00986315"/>
    <w:rsid w:val="00986617"/>
    <w:rsid w:val="009911E3"/>
    <w:rsid w:val="00994B4C"/>
    <w:rsid w:val="00994E42"/>
    <w:rsid w:val="00995178"/>
    <w:rsid w:val="009960E6"/>
    <w:rsid w:val="009A1C33"/>
    <w:rsid w:val="009A1D27"/>
    <w:rsid w:val="009A2439"/>
    <w:rsid w:val="009A2BFF"/>
    <w:rsid w:val="009A6D30"/>
    <w:rsid w:val="009B07A4"/>
    <w:rsid w:val="009B206F"/>
    <w:rsid w:val="009B28BB"/>
    <w:rsid w:val="009B3528"/>
    <w:rsid w:val="009B5F6F"/>
    <w:rsid w:val="009B60E1"/>
    <w:rsid w:val="009B7A7F"/>
    <w:rsid w:val="009B7A90"/>
    <w:rsid w:val="009B7BA4"/>
    <w:rsid w:val="009C1007"/>
    <w:rsid w:val="009C1F6E"/>
    <w:rsid w:val="009C2026"/>
    <w:rsid w:val="009C2514"/>
    <w:rsid w:val="009C3C03"/>
    <w:rsid w:val="009C3C6C"/>
    <w:rsid w:val="009C3EBA"/>
    <w:rsid w:val="009C4C61"/>
    <w:rsid w:val="009C5377"/>
    <w:rsid w:val="009C58A2"/>
    <w:rsid w:val="009C6276"/>
    <w:rsid w:val="009C7BA0"/>
    <w:rsid w:val="009D01C5"/>
    <w:rsid w:val="009D1B51"/>
    <w:rsid w:val="009D426B"/>
    <w:rsid w:val="009D43A5"/>
    <w:rsid w:val="009D52BF"/>
    <w:rsid w:val="009D5880"/>
    <w:rsid w:val="009D6255"/>
    <w:rsid w:val="009D6DD3"/>
    <w:rsid w:val="009E3F57"/>
    <w:rsid w:val="009E4F8A"/>
    <w:rsid w:val="009E6471"/>
    <w:rsid w:val="009E6771"/>
    <w:rsid w:val="009E67E4"/>
    <w:rsid w:val="009E754B"/>
    <w:rsid w:val="009F0511"/>
    <w:rsid w:val="009F092A"/>
    <w:rsid w:val="009F0F18"/>
    <w:rsid w:val="009F1DBD"/>
    <w:rsid w:val="009F22FE"/>
    <w:rsid w:val="009F750B"/>
    <w:rsid w:val="009F7FB5"/>
    <w:rsid w:val="00A00435"/>
    <w:rsid w:val="00A01FCD"/>
    <w:rsid w:val="00A025E8"/>
    <w:rsid w:val="00A03071"/>
    <w:rsid w:val="00A044F0"/>
    <w:rsid w:val="00A04ACA"/>
    <w:rsid w:val="00A0582B"/>
    <w:rsid w:val="00A05B11"/>
    <w:rsid w:val="00A06B7F"/>
    <w:rsid w:val="00A06FBD"/>
    <w:rsid w:val="00A074E9"/>
    <w:rsid w:val="00A07D9C"/>
    <w:rsid w:val="00A07DFC"/>
    <w:rsid w:val="00A108B8"/>
    <w:rsid w:val="00A109CC"/>
    <w:rsid w:val="00A11D7A"/>
    <w:rsid w:val="00A12741"/>
    <w:rsid w:val="00A13EDB"/>
    <w:rsid w:val="00A14C4D"/>
    <w:rsid w:val="00A15845"/>
    <w:rsid w:val="00A17B52"/>
    <w:rsid w:val="00A2141C"/>
    <w:rsid w:val="00A21B16"/>
    <w:rsid w:val="00A22D76"/>
    <w:rsid w:val="00A2438C"/>
    <w:rsid w:val="00A24D47"/>
    <w:rsid w:val="00A30370"/>
    <w:rsid w:val="00A32017"/>
    <w:rsid w:val="00A3527C"/>
    <w:rsid w:val="00A36E1D"/>
    <w:rsid w:val="00A37E7E"/>
    <w:rsid w:val="00A4098F"/>
    <w:rsid w:val="00A4193A"/>
    <w:rsid w:val="00A42D4A"/>
    <w:rsid w:val="00A45C6F"/>
    <w:rsid w:val="00A46DCC"/>
    <w:rsid w:val="00A47CBE"/>
    <w:rsid w:val="00A5014E"/>
    <w:rsid w:val="00A54A38"/>
    <w:rsid w:val="00A55DD6"/>
    <w:rsid w:val="00A562E3"/>
    <w:rsid w:val="00A569D3"/>
    <w:rsid w:val="00A6062B"/>
    <w:rsid w:val="00A62089"/>
    <w:rsid w:val="00A63264"/>
    <w:rsid w:val="00A64C2B"/>
    <w:rsid w:val="00A654EF"/>
    <w:rsid w:val="00A658F2"/>
    <w:rsid w:val="00A65AFD"/>
    <w:rsid w:val="00A66B78"/>
    <w:rsid w:val="00A6769B"/>
    <w:rsid w:val="00A677C6"/>
    <w:rsid w:val="00A67E25"/>
    <w:rsid w:val="00A70DC7"/>
    <w:rsid w:val="00A72C38"/>
    <w:rsid w:val="00A72FD2"/>
    <w:rsid w:val="00A7420A"/>
    <w:rsid w:val="00A74D3C"/>
    <w:rsid w:val="00A75DB1"/>
    <w:rsid w:val="00A760CB"/>
    <w:rsid w:val="00A761C2"/>
    <w:rsid w:val="00A76BBD"/>
    <w:rsid w:val="00A76D29"/>
    <w:rsid w:val="00A81335"/>
    <w:rsid w:val="00A816E2"/>
    <w:rsid w:val="00A81ADF"/>
    <w:rsid w:val="00A86383"/>
    <w:rsid w:val="00A86960"/>
    <w:rsid w:val="00A86B01"/>
    <w:rsid w:val="00A91A54"/>
    <w:rsid w:val="00A91B7E"/>
    <w:rsid w:val="00A92848"/>
    <w:rsid w:val="00A96F13"/>
    <w:rsid w:val="00AA1080"/>
    <w:rsid w:val="00AA16D3"/>
    <w:rsid w:val="00AA18CA"/>
    <w:rsid w:val="00AA1D98"/>
    <w:rsid w:val="00AA3063"/>
    <w:rsid w:val="00AA3BFA"/>
    <w:rsid w:val="00AA4BCE"/>
    <w:rsid w:val="00AA5A0A"/>
    <w:rsid w:val="00AA5E84"/>
    <w:rsid w:val="00AA725C"/>
    <w:rsid w:val="00AA7BB1"/>
    <w:rsid w:val="00AB2C50"/>
    <w:rsid w:val="00AB3274"/>
    <w:rsid w:val="00AB3E05"/>
    <w:rsid w:val="00AB7A0E"/>
    <w:rsid w:val="00AC0409"/>
    <w:rsid w:val="00AC0C60"/>
    <w:rsid w:val="00AC178D"/>
    <w:rsid w:val="00AC1897"/>
    <w:rsid w:val="00AC2E63"/>
    <w:rsid w:val="00AC2EA5"/>
    <w:rsid w:val="00AC3A70"/>
    <w:rsid w:val="00AC63F8"/>
    <w:rsid w:val="00AC7144"/>
    <w:rsid w:val="00AC75AF"/>
    <w:rsid w:val="00AD0634"/>
    <w:rsid w:val="00AD2092"/>
    <w:rsid w:val="00AD340C"/>
    <w:rsid w:val="00AD3849"/>
    <w:rsid w:val="00AD3D18"/>
    <w:rsid w:val="00AD4D41"/>
    <w:rsid w:val="00AD4DD2"/>
    <w:rsid w:val="00AD6114"/>
    <w:rsid w:val="00AD74EC"/>
    <w:rsid w:val="00AE01B3"/>
    <w:rsid w:val="00AE0CFD"/>
    <w:rsid w:val="00AE1DA8"/>
    <w:rsid w:val="00AE4D94"/>
    <w:rsid w:val="00AE5612"/>
    <w:rsid w:val="00AE6664"/>
    <w:rsid w:val="00AE6EED"/>
    <w:rsid w:val="00AE74AC"/>
    <w:rsid w:val="00B01853"/>
    <w:rsid w:val="00B02758"/>
    <w:rsid w:val="00B02B5A"/>
    <w:rsid w:val="00B0302F"/>
    <w:rsid w:val="00B036CF"/>
    <w:rsid w:val="00B03790"/>
    <w:rsid w:val="00B03CDC"/>
    <w:rsid w:val="00B04B8A"/>
    <w:rsid w:val="00B04BFB"/>
    <w:rsid w:val="00B062FA"/>
    <w:rsid w:val="00B104AA"/>
    <w:rsid w:val="00B11872"/>
    <w:rsid w:val="00B13758"/>
    <w:rsid w:val="00B13979"/>
    <w:rsid w:val="00B15E4F"/>
    <w:rsid w:val="00B17E7D"/>
    <w:rsid w:val="00B2012B"/>
    <w:rsid w:val="00B20B29"/>
    <w:rsid w:val="00B20CB9"/>
    <w:rsid w:val="00B20D52"/>
    <w:rsid w:val="00B2167C"/>
    <w:rsid w:val="00B22598"/>
    <w:rsid w:val="00B246D3"/>
    <w:rsid w:val="00B262C9"/>
    <w:rsid w:val="00B26A2C"/>
    <w:rsid w:val="00B26BDA"/>
    <w:rsid w:val="00B30526"/>
    <w:rsid w:val="00B3125B"/>
    <w:rsid w:val="00B32F9A"/>
    <w:rsid w:val="00B32FCD"/>
    <w:rsid w:val="00B34577"/>
    <w:rsid w:val="00B34E07"/>
    <w:rsid w:val="00B35DB4"/>
    <w:rsid w:val="00B40207"/>
    <w:rsid w:val="00B43464"/>
    <w:rsid w:val="00B45223"/>
    <w:rsid w:val="00B45C7D"/>
    <w:rsid w:val="00B461F3"/>
    <w:rsid w:val="00B46548"/>
    <w:rsid w:val="00B46BB4"/>
    <w:rsid w:val="00B47EFD"/>
    <w:rsid w:val="00B50604"/>
    <w:rsid w:val="00B50C36"/>
    <w:rsid w:val="00B51C5E"/>
    <w:rsid w:val="00B52083"/>
    <w:rsid w:val="00B52525"/>
    <w:rsid w:val="00B52A88"/>
    <w:rsid w:val="00B52B44"/>
    <w:rsid w:val="00B52D72"/>
    <w:rsid w:val="00B53BE4"/>
    <w:rsid w:val="00B53D05"/>
    <w:rsid w:val="00B54AE9"/>
    <w:rsid w:val="00B56BAC"/>
    <w:rsid w:val="00B56E5B"/>
    <w:rsid w:val="00B571F4"/>
    <w:rsid w:val="00B61F86"/>
    <w:rsid w:val="00B63550"/>
    <w:rsid w:val="00B64780"/>
    <w:rsid w:val="00B6494B"/>
    <w:rsid w:val="00B64BD5"/>
    <w:rsid w:val="00B64D7D"/>
    <w:rsid w:val="00B658BB"/>
    <w:rsid w:val="00B65E8E"/>
    <w:rsid w:val="00B6622F"/>
    <w:rsid w:val="00B67926"/>
    <w:rsid w:val="00B679FA"/>
    <w:rsid w:val="00B72B4C"/>
    <w:rsid w:val="00B75DE1"/>
    <w:rsid w:val="00B76EAC"/>
    <w:rsid w:val="00B810DE"/>
    <w:rsid w:val="00B81ECA"/>
    <w:rsid w:val="00B838D7"/>
    <w:rsid w:val="00B83DCC"/>
    <w:rsid w:val="00B84F8C"/>
    <w:rsid w:val="00B864A8"/>
    <w:rsid w:val="00B86A3E"/>
    <w:rsid w:val="00B903B2"/>
    <w:rsid w:val="00B9113C"/>
    <w:rsid w:val="00B91DE8"/>
    <w:rsid w:val="00B93C58"/>
    <w:rsid w:val="00B93ECE"/>
    <w:rsid w:val="00B96111"/>
    <w:rsid w:val="00B9753A"/>
    <w:rsid w:val="00B975ED"/>
    <w:rsid w:val="00B979E2"/>
    <w:rsid w:val="00B97A30"/>
    <w:rsid w:val="00B97D1F"/>
    <w:rsid w:val="00B97E9D"/>
    <w:rsid w:val="00BA25DB"/>
    <w:rsid w:val="00BA2CAB"/>
    <w:rsid w:val="00BA38E0"/>
    <w:rsid w:val="00BA4649"/>
    <w:rsid w:val="00BA51C2"/>
    <w:rsid w:val="00BA619F"/>
    <w:rsid w:val="00BA6A48"/>
    <w:rsid w:val="00BA7D43"/>
    <w:rsid w:val="00BB02EB"/>
    <w:rsid w:val="00BB08FA"/>
    <w:rsid w:val="00BB0940"/>
    <w:rsid w:val="00BB0A6C"/>
    <w:rsid w:val="00BB17F3"/>
    <w:rsid w:val="00BB2DBC"/>
    <w:rsid w:val="00BB4AC7"/>
    <w:rsid w:val="00BB4CD0"/>
    <w:rsid w:val="00BB4F92"/>
    <w:rsid w:val="00BB61C1"/>
    <w:rsid w:val="00BB6B4A"/>
    <w:rsid w:val="00BB7E90"/>
    <w:rsid w:val="00BB7F6A"/>
    <w:rsid w:val="00BC03CC"/>
    <w:rsid w:val="00BC04B3"/>
    <w:rsid w:val="00BC11D7"/>
    <w:rsid w:val="00BC1B9C"/>
    <w:rsid w:val="00BC283F"/>
    <w:rsid w:val="00BC2C14"/>
    <w:rsid w:val="00BC31EE"/>
    <w:rsid w:val="00BC3C19"/>
    <w:rsid w:val="00BC4B27"/>
    <w:rsid w:val="00BC5C23"/>
    <w:rsid w:val="00BD12E2"/>
    <w:rsid w:val="00BD15BE"/>
    <w:rsid w:val="00BD2E19"/>
    <w:rsid w:val="00BD3BF3"/>
    <w:rsid w:val="00BD5316"/>
    <w:rsid w:val="00BD6613"/>
    <w:rsid w:val="00BE41BE"/>
    <w:rsid w:val="00BE4EBB"/>
    <w:rsid w:val="00BE6F8C"/>
    <w:rsid w:val="00BE735F"/>
    <w:rsid w:val="00BF069C"/>
    <w:rsid w:val="00BF0B0F"/>
    <w:rsid w:val="00BF150A"/>
    <w:rsid w:val="00BF30A5"/>
    <w:rsid w:val="00BF3210"/>
    <w:rsid w:val="00BF3B09"/>
    <w:rsid w:val="00BF4A06"/>
    <w:rsid w:val="00C00340"/>
    <w:rsid w:val="00C0301D"/>
    <w:rsid w:val="00C03270"/>
    <w:rsid w:val="00C03937"/>
    <w:rsid w:val="00C048FB"/>
    <w:rsid w:val="00C04CFA"/>
    <w:rsid w:val="00C0602D"/>
    <w:rsid w:val="00C06FAF"/>
    <w:rsid w:val="00C07326"/>
    <w:rsid w:val="00C074A8"/>
    <w:rsid w:val="00C076EF"/>
    <w:rsid w:val="00C12DA4"/>
    <w:rsid w:val="00C133A8"/>
    <w:rsid w:val="00C15E59"/>
    <w:rsid w:val="00C15E84"/>
    <w:rsid w:val="00C16C84"/>
    <w:rsid w:val="00C20730"/>
    <w:rsid w:val="00C21DB4"/>
    <w:rsid w:val="00C224CD"/>
    <w:rsid w:val="00C25539"/>
    <w:rsid w:val="00C25C2B"/>
    <w:rsid w:val="00C2744F"/>
    <w:rsid w:val="00C33D5F"/>
    <w:rsid w:val="00C34648"/>
    <w:rsid w:val="00C34D95"/>
    <w:rsid w:val="00C357EB"/>
    <w:rsid w:val="00C37015"/>
    <w:rsid w:val="00C40072"/>
    <w:rsid w:val="00C408BD"/>
    <w:rsid w:val="00C411F3"/>
    <w:rsid w:val="00C4213E"/>
    <w:rsid w:val="00C438D5"/>
    <w:rsid w:val="00C45741"/>
    <w:rsid w:val="00C4699F"/>
    <w:rsid w:val="00C472A3"/>
    <w:rsid w:val="00C50B26"/>
    <w:rsid w:val="00C50C4A"/>
    <w:rsid w:val="00C524B1"/>
    <w:rsid w:val="00C53D6E"/>
    <w:rsid w:val="00C56B9D"/>
    <w:rsid w:val="00C60706"/>
    <w:rsid w:val="00C61A1B"/>
    <w:rsid w:val="00C6464D"/>
    <w:rsid w:val="00C64FE6"/>
    <w:rsid w:val="00C65838"/>
    <w:rsid w:val="00C72DBC"/>
    <w:rsid w:val="00C74041"/>
    <w:rsid w:val="00C76B39"/>
    <w:rsid w:val="00C77891"/>
    <w:rsid w:val="00C80803"/>
    <w:rsid w:val="00C8081E"/>
    <w:rsid w:val="00C8194B"/>
    <w:rsid w:val="00C8510F"/>
    <w:rsid w:val="00C856C4"/>
    <w:rsid w:val="00C86119"/>
    <w:rsid w:val="00C8634C"/>
    <w:rsid w:val="00C86F92"/>
    <w:rsid w:val="00C90072"/>
    <w:rsid w:val="00C92637"/>
    <w:rsid w:val="00C93550"/>
    <w:rsid w:val="00C9533B"/>
    <w:rsid w:val="00C95976"/>
    <w:rsid w:val="00CA14A2"/>
    <w:rsid w:val="00CA408B"/>
    <w:rsid w:val="00CA47DA"/>
    <w:rsid w:val="00CA5299"/>
    <w:rsid w:val="00CA597B"/>
    <w:rsid w:val="00CB0748"/>
    <w:rsid w:val="00CB18BD"/>
    <w:rsid w:val="00CB1B09"/>
    <w:rsid w:val="00CB232C"/>
    <w:rsid w:val="00CB2D79"/>
    <w:rsid w:val="00CB2E90"/>
    <w:rsid w:val="00CB31D0"/>
    <w:rsid w:val="00CB4405"/>
    <w:rsid w:val="00CB4EF4"/>
    <w:rsid w:val="00CB5BD0"/>
    <w:rsid w:val="00CB63F6"/>
    <w:rsid w:val="00CB7EC8"/>
    <w:rsid w:val="00CC03DE"/>
    <w:rsid w:val="00CC042F"/>
    <w:rsid w:val="00CC11D6"/>
    <w:rsid w:val="00CC237A"/>
    <w:rsid w:val="00CC2A69"/>
    <w:rsid w:val="00CD2668"/>
    <w:rsid w:val="00CD2B6F"/>
    <w:rsid w:val="00CD2E23"/>
    <w:rsid w:val="00CD2FAC"/>
    <w:rsid w:val="00CD2FBB"/>
    <w:rsid w:val="00CD3879"/>
    <w:rsid w:val="00CD3AC4"/>
    <w:rsid w:val="00CD402E"/>
    <w:rsid w:val="00CD495B"/>
    <w:rsid w:val="00CD5161"/>
    <w:rsid w:val="00CD5C64"/>
    <w:rsid w:val="00CD69A5"/>
    <w:rsid w:val="00CD7C0B"/>
    <w:rsid w:val="00CD7C6C"/>
    <w:rsid w:val="00CE0AA8"/>
    <w:rsid w:val="00CE1F20"/>
    <w:rsid w:val="00CE3BDB"/>
    <w:rsid w:val="00CE4206"/>
    <w:rsid w:val="00CE4305"/>
    <w:rsid w:val="00CE44AB"/>
    <w:rsid w:val="00CE4BC6"/>
    <w:rsid w:val="00CE52BF"/>
    <w:rsid w:val="00CE5EA4"/>
    <w:rsid w:val="00CE70DB"/>
    <w:rsid w:val="00CF001E"/>
    <w:rsid w:val="00CF363A"/>
    <w:rsid w:val="00CF5090"/>
    <w:rsid w:val="00CF50D5"/>
    <w:rsid w:val="00CF5B0B"/>
    <w:rsid w:val="00CF5C9B"/>
    <w:rsid w:val="00CF6662"/>
    <w:rsid w:val="00D01058"/>
    <w:rsid w:val="00D01136"/>
    <w:rsid w:val="00D01FF3"/>
    <w:rsid w:val="00D03474"/>
    <w:rsid w:val="00D03476"/>
    <w:rsid w:val="00D03C0F"/>
    <w:rsid w:val="00D050EF"/>
    <w:rsid w:val="00D06998"/>
    <w:rsid w:val="00D06B71"/>
    <w:rsid w:val="00D06DC1"/>
    <w:rsid w:val="00D105D9"/>
    <w:rsid w:val="00D11FB0"/>
    <w:rsid w:val="00D129B0"/>
    <w:rsid w:val="00D1422B"/>
    <w:rsid w:val="00D1756F"/>
    <w:rsid w:val="00D21893"/>
    <w:rsid w:val="00D21E87"/>
    <w:rsid w:val="00D23DB6"/>
    <w:rsid w:val="00D242FC"/>
    <w:rsid w:val="00D24CEB"/>
    <w:rsid w:val="00D24F90"/>
    <w:rsid w:val="00D26400"/>
    <w:rsid w:val="00D2649A"/>
    <w:rsid w:val="00D264F9"/>
    <w:rsid w:val="00D3129E"/>
    <w:rsid w:val="00D31768"/>
    <w:rsid w:val="00D320CC"/>
    <w:rsid w:val="00D33471"/>
    <w:rsid w:val="00D344EF"/>
    <w:rsid w:val="00D35D77"/>
    <w:rsid w:val="00D35E6A"/>
    <w:rsid w:val="00D361F7"/>
    <w:rsid w:val="00D37A4D"/>
    <w:rsid w:val="00D37BDA"/>
    <w:rsid w:val="00D41D8D"/>
    <w:rsid w:val="00D475DD"/>
    <w:rsid w:val="00D50781"/>
    <w:rsid w:val="00D51C08"/>
    <w:rsid w:val="00D51F3E"/>
    <w:rsid w:val="00D55D74"/>
    <w:rsid w:val="00D568D6"/>
    <w:rsid w:val="00D613B2"/>
    <w:rsid w:val="00D61D4F"/>
    <w:rsid w:val="00D62526"/>
    <w:rsid w:val="00D63D3F"/>
    <w:rsid w:val="00D65B3B"/>
    <w:rsid w:val="00D65C26"/>
    <w:rsid w:val="00D6655A"/>
    <w:rsid w:val="00D73BEF"/>
    <w:rsid w:val="00D75DD7"/>
    <w:rsid w:val="00D8461E"/>
    <w:rsid w:val="00D848AF"/>
    <w:rsid w:val="00D84D41"/>
    <w:rsid w:val="00D85867"/>
    <w:rsid w:val="00D86986"/>
    <w:rsid w:val="00D86AE7"/>
    <w:rsid w:val="00D90438"/>
    <w:rsid w:val="00D90F7C"/>
    <w:rsid w:val="00D91BBB"/>
    <w:rsid w:val="00D93BBB"/>
    <w:rsid w:val="00D9483F"/>
    <w:rsid w:val="00D957E5"/>
    <w:rsid w:val="00D9612C"/>
    <w:rsid w:val="00D96B41"/>
    <w:rsid w:val="00DA02CE"/>
    <w:rsid w:val="00DA0DFD"/>
    <w:rsid w:val="00DA26D1"/>
    <w:rsid w:val="00DA3715"/>
    <w:rsid w:val="00DA3EA5"/>
    <w:rsid w:val="00DA7EC9"/>
    <w:rsid w:val="00DB18FC"/>
    <w:rsid w:val="00DB2769"/>
    <w:rsid w:val="00DB4762"/>
    <w:rsid w:val="00DB630A"/>
    <w:rsid w:val="00DB6473"/>
    <w:rsid w:val="00DC3ED2"/>
    <w:rsid w:val="00DC4AE1"/>
    <w:rsid w:val="00DC6B38"/>
    <w:rsid w:val="00DC767D"/>
    <w:rsid w:val="00DC7A15"/>
    <w:rsid w:val="00DD0CDD"/>
    <w:rsid w:val="00DD26EA"/>
    <w:rsid w:val="00DD3270"/>
    <w:rsid w:val="00DD35BB"/>
    <w:rsid w:val="00DD5EDD"/>
    <w:rsid w:val="00DD6B34"/>
    <w:rsid w:val="00DD7198"/>
    <w:rsid w:val="00DE3B48"/>
    <w:rsid w:val="00DF08A3"/>
    <w:rsid w:val="00DF0FF1"/>
    <w:rsid w:val="00DF1557"/>
    <w:rsid w:val="00DF3006"/>
    <w:rsid w:val="00DF49C5"/>
    <w:rsid w:val="00DF6B72"/>
    <w:rsid w:val="00DF7223"/>
    <w:rsid w:val="00DF7278"/>
    <w:rsid w:val="00DF749E"/>
    <w:rsid w:val="00DF7988"/>
    <w:rsid w:val="00E0112E"/>
    <w:rsid w:val="00E02056"/>
    <w:rsid w:val="00E023D6"/>
    <w:rsid w:val="00E037D5"/>
    <w:rsid w:val="00E07564"/>
    <w:rsid w:val="00E07EB9"/>
    <w:rsid w:val="00E10A87"/>
    <w:rsid w:val="00E114BC"/>
    <w:rsid w:val="00E11D50"/>
    <w:rsid w:val="00E13609"/>
    <w:rsid w:val="00E14B3C"/>
    <w:rsid w:val="00E16067"/>
    <w:rsid w:val="00E20E0B"/>
    <w:rsid w:val="00E212E3"/>
    <w:rsid w:val="00E22505"/>
    <w:rsid w:val="00E226B6"/>
    <w:rsid w:val="00E227F4"/>
    <w:rsid w:val="00E23903"/>
    <w:rsid w:val="00E2465F"/>
    <w:rsid w:val="00E2575E"/>
    <w:rsid w:val="00E25E0D"/>
    <w:rsid w:val="00E2687F"/>
    <w:rsid w:val="00E270B1"/>
    <w:rsid w:val="00E27DAA"/>
    <w:rsid w:val="00E27FDC"/>
    <w:rsid w:val="00E303C9"/>
    <w:rsid w:val="00E30E7D"/>
    <w:rsid w:val="00E31BA9"/>
    <w:rsid w:val="00E332F8"/>
    <w:rsid w:val="00E33659"/>
    <w:rsid w:val="00E400DE"/>
    <w:rsid w:val="00E4021E"/>
    <w:rsid w:val="00E40872"/>
    <w:rsid w:val="00E41594"/>
    <w:rsid w:val="00E4296F"/>
    <w:rsid w:val="00E43324"/>
    <w:rsid w:val="00E46A08"/>
    <w:rsid w:val="00E47BE1"/>
    <w:rsid w:val="00E518FB"/>
    <w:rsid w:val="00E5386F"/>
    <w:rsid w:val="00E56AE4"/>
    <w:rsid w:val="00E56C94"/>
    <w:rsid w:val="00E56FE8"/>
    <w:rsid w:val="00E57945"/>
    <w:rsid w:val="00E57C5E"/>
    <w:rsid w:val="00E6057C"/>
    <w:rsid w:val="00E607A7"/>
    <w:rsid w:val="00E60C5E"/>
    <w:rsid w:val="00E63BD1"/>
    <w:rsid w:val="00E6467D"/>
    <w:rsid w:val="00E64F0D"/>
    <w:rsid w:val="00E66BCF"/>
    <w:rsid w:val="00E70C32"/>
    <w:rsid w:val="00E71342"/>
    <w:rsid w:val="00E728E4"/>
    <w:rsid w:val="00E77471"/>
    <w:rsid w:val="00E777FC"/>
    <w:rsid w:val="00E83DB2"/>
    <w:rsid w:val="00E840FB"/>
    <w:rsid w:val="00E8555A"/>
    <w:rsid w:val="00E85DAF"/>
    <w:rsid w:val="00E86211"/>
    <w:rsid w:val="00E86A39"/>
    <w:rsid w:val="00E8703F"/>
    <w:rsid w:val="00E87864"/>
    <w:rsid w:val="00E9170D"/>
    <w:rsid w:val="00E9198A"/>
    <w:rsid w:val="00E92C29"/>
    <w:rsid w:val="00E931C1"/>
    <w:rsid w:val="00E93D73"/>
    <w:rsid w:val="00E94BE1"/>
    <w:rsid w:val="00E94BFD"/>
    <w:rsid w:val="00E94E0E"/>
    <w:rsid w:val="00E952C1"/>
    <w:rsid w:val="00E97186"/>
    <w:rsid w:val="00E97F6C"/>
    <w:rsid w:val="00EA04D2"/>
    <w:rsid w:val="00EA2655"/>
    <w:rsid w:val="00EA2FC1"/>
    <w:rsid w:val="00EA6401"/>
    <w:rsid w:val="00EA68DB"/>
    <w:rsid w:val="00EB04DB"/>
    <w:rsid w:val="00EB0764"/>
    <w:rsid w:val="00EB1322"/>
    <w:rsid w:val="00EB1A62"/>
    <w:rsid w:val="00EB4FC8"/>
    <w:rsid w:val="00EB6E57"/>
    <w:rsid w:val="00EB7A4C"/>
    <w:rsid w:val="00EC0DD8"/>
    <w:rsid w:val="00EC221A"/>
    <w:rsid w:val="00EC2A66"/>
    <w:rsid w:val="00EC3672"/>
    <w:rsid w:val="00EC44FF"/>
    <w:rsid w:val="00ED0960"/>
    <w:rsid w:val="00ED3782"/>
    <w:rsid w:val="00ED56C1"/>
    <w:rsid w:val="00ED6D82"/>
    <w:rsid w:val="00ED7D80"/>
    <w:rsid w:val="00EE1F49"/>
    <w:rsid w:val="00EE1F87"/>
    <w:rsid w:val="00EE36FA"/>
    <w:rsid w:val="00EE3720"/>
    <w:rsid w:val="00EE3F92"/>
    <w:rsid w:val="00EE4A01"/>
    <w:rsid w:val="00EE5B89"/>
    <w:rsid w:val="00EE7634"/>
    <w:rsid w:val="00EF271D"/>
    <w:rsid w:val="00EF4228"/>
    <w:rsid w:val="00EF473E"/>
    <w:rsid w:val="00EF4DC8"/>
    <w:rsid w:val="00EF659E"/>
    <w:rsid w:val="00EF6A13"/>
    <w:rsid w:val="00EF6F24"/>
    <w:rsid w:val="00F00971"/>
    <w:rsid w:val="00F01751"/>
    <w:rsid w:val="00F02CF2"/>
    <w:rsid w:val="00F0385A"/>
    <w:rsid w:val="00F053D3"/>
    <w:rsid w:val="00F1070F"/>
    <w:rsid w:val="00F10CEC"/>
    <w:rsid w:val="00F13518"/>
    <w:rsid w:val="00F13BB5"/>
    <w:rsid w:val="00F14992"/>
    <w:rsid w:val="00F16A50"/>
    <w:rsid w:val="00F21D20"/>
    <w:rsid w:val="00F22674"/>
    <w:rsid w:val="00F22B78"/>
    <w:rsid w:val="00F244F9"/>
    <w:rsid w:val="00F25220"/>
    <w:rsid w:val="00F25309"/>
    <w:rsid w:val="00F25320"/>
    <w:rsid w:val="00F26FA6"/>
    <w:rsid w:val="00F306D7"/>
    <w:rsid w:val="00F308B7"/>
    <w:rsid w:val="00F3137F"/>
    <w:rsid w:val="00F31501"/>
    <w:rsid w:val="00F3188A"/>
    <w:rsid w:val="00F31BE1"/>
    <w:rsid w:val="00F31CAB"/>
    <w:rsid w:val="00F32A46"/>
    <w:rsid w:val="00F34AD2"/>
    <w:rsid w:val="00F37170"/>
    <w:rsid w:val="00F43040"/>
    <w:rsid w:val="00F440E7"/>
    <w:rsid w:val="00F44520"/>
    <w:rsid w:val="00F44E00"/>
    <w:rsid w:val="00F44EC3"/>
    <w:rsid w:val="00F459DC"/>
    <w:rsid w:val="00F46AFA"/>
    <w:rsid w:val="00F46B72"/>
    <w:rsid w:val="00F474AB"/>
    <w:rsid w:val="00F476F6"/>
    <w:rsid w:val="00F47A28"/>
    <w:rsid w:val="00F5050C"/>
    <w:rsid w:val="00F5134E"/>
    <w:rsid w:val="00F528DD"/>
    <w:rsid w:val="00F52A18"/>
    <w:rsid w:val="00F52C68"/>
    <w:rsid w:val="00F53CC6"/>
    <w:rsid w:val="00F5556D"/>
    <w:rsid w:val="00F564CD"/>
    <w:rsid w:val="00F61702"/>
    <w:rsid w:val="00F62789"/>
    <w:rsid w:val="00F62E71"/>
    <w:rsid w:val="00F6306C"/>
    <w:rsid w:val="00F630C8"/>
    <w:rsid w:val="00F64C12"/>
    <w:rsid w:val="00F6552D"/>
    <w:rsid w:val="00F65CB7"/>
    <w:rsid w:val="00F667F5"/>
    <w:rsid w:val="00F67278"/>
    <w:rsid w:val="00F70470"/>
    <w:rsid w:val="00F710E9"/>
    <w:rsid w:val="00F733F0"/>
    <w:rsid w:val="00F742CA"/>
    <w:rsid w:val="00F76A72"/>
    <w:rsid w:val="00F77340"/>
    <w:rsid w:val="00F8042D"/>
    <w:rsid w:val="00F8355F"/>
    <w:rsid w:val="00F85256"/>
    <w:rsid w:val="00F87572"/>
    <w:rsid w:val="00F87CA2"/>
    <w:rsid w:val="00F91976"/>
    <w:rsid w:val="00F92C8D"/>
    <w:rsid w:val="00F931AD"/>
    <w:rsid w:val="00F95FE5"/>
    <w:rsid w:val="00F9741A"/>
    <w:rsid w:val="00FA18B4"/>
    <w:rsid w:val="00FA1F53"/>
    <w:rsid w:val="00FA2095"/>
    <w:rsid w:val="00FA244D"/>
    <w:rsid w:val="00FA5C09"/>
    <w:rsid w:val="00FA7224"/>
    <w:rsid w:val="00FB01BB"/>
    <w:rsid w:val="00FB1072"/>
    <w:rsid w:val="00FB1215"/>
    <w:rsid w:val="00FB3D8E"/>
    <w:rsid w:val="00FB4CB0"/>
    <w:rsid w:val="00FB608E"/>
    <w:rsid w:val="00FB6392"/>
    <w:rsid w:val="00FC39BA"/>
    <w:rsid w:val="00FC3DAC"/>
    <w:rsid w:val="00FC62FB"/>
    <w:rsid w:val="00FD1428"/>
    <w:rsid w:val="00FD20C5"/>
    <w:rsid w:val="00FD221D"/>
    <w:rsid w:val="00FD2761"/>
    <w:rsid w:val="00FD309E"/>
    <w:rsid w:val="00FD37B5"/>
    <w:rsid w:val="00FD4568"/>
    <w:rsid w:val="00FD5B5E"/>
    <w:rsid w:val="00FD613E"/>
    <w:rsid w:val="00FD6F4D"/>
    <w:rsid w:val="00FE0559"/>
    <w:rsid w:val="00FE05A0"/>
    <w:rsid w:val="00FE1589"/>
    <w:rsid w:val="00FE3884"/>
    <w:rsid w:val="00FE3A5A"/>
    <w:rsid w:val="00FE3FCF"/>
    <w:rsid w:val="00FF2E19"/>
    <w:rsid w:val="00FF313E"/>
    <w:rsid w:val="00FF71BD"/>
    <w:rsid w:val="00FF756F"/>
    <w:rsid w:val="01174F9A"/>
    <w:rsid w:val="01216D33"/>
    <w:rsid w:val="013B2B96"/>
    <w:rsid w:val="01B11FA1"/>
    <w:rsid w:val="01CB2F5B"/>
    <w:rsid w:val="02096938"/>
    <w:rsid w:val="020E2058"/>
    <w:rsid w:val="02E80535"/>
    <w:rsid w:val="033C42B2"/>
    <w:rsid w:val="03435D32"/>
    <w:rsid w:val="035A57B7"/>
    <w:rsid w:val="03667C72"/>
    <w:rsid w:val="03912F41"/>
    <w:rsid w:val="03A82039"/>
    <w:rsid w:val="043B4C5B"/>
    <w:rsid w:val="043E40D7"/>
    <w:rsid w:val="044955CA"/>
    <w:rsid w:val="04BC1D77"/>
    <w:rsid w:val="04ED41A7"/>
    <w:rsid w:val="052676B9"/>
    <w:rsid w:val="05571F68"/>
    <w:rsid w:val="056F5FDF"/>
    <w:rsid w:val="05CB73A0"/>
    <w:rsid w:val="062E4A77"/>
    <w:rsid w:val="06AB3BDA"/>
    <w:rsid w:val="06DA4BFF"/>
    <w:rsid w:val="06DD024B"/>
    <w:rsid w:val="07090476"/>
    <w:rsid w:val="076B40FA"/>
    <w:rsid w:val="07A33243"/>
    <w:rsid w:val="0831084F"/>
    <w:rsid w:val="08365E65"/>
    <w:rsid w:val="08393C99"/>
    <w:rsid w:val="0854278F"/>
    <w:rsid w:val="085507FC"/>
    <w:rsid w:val="0869448C"/>
    <w:rsid w:val="0898267C"/>
    <w:rsid w:val="090D12BC"/>
    <w:rsid w:val="097C4C0A"/>
    <w:rsid w:val="09945539"/>
    <w:rsid w:val="09975029"/>
    <w:rsid w:val="09BA7BCA"/>
    <w:rsid w:val="09E10052"/>
    <w:rsid w:val="09F04BF7"/>
    <w:rsid w:val="09FB1114"/>
    <w:rsid w:val="0A2D14EA"/>
    <w:rsid w:val="0A3C2B9C"/>
    <w:rsid w:val="0A5E16A3"/>
    <w:rsid w:val="0A781719"/>
    <w:rsid w:val="0A89457B"/>
    <w:rsid w:val="0AB539B9"/>
    <w:rsid w:val="0AC474D2"/>
    <w:rsid w:val="0AD35BED"/>
    <w:rsid w:val="0B1A381C"/>
    <w:rsid w:val="0B5847B0"/>
    <w:rsid w:val="0B7C0033"/>
    <w:rsid w:val="0BF9157B"/>
    <w:rsid w:val="0C061FF2"/>
    <w:rsid w:val="0C0D15D3"/>
    <w:rsid w:val="0C0F70F9"/>
    <w:rsid w:val="0C4C20FB"/>
    <w:rsid w:val="0CAE322A"/>
    <w:rsid w:val="0CDB522D"/>
    <w:rsid w:val="0D1644B7"/>
    <w:rsid w:val="0D166265"/>
    <w:rsid w:val="0D266DDB"/>
    <w:rsid w:val="0D2A599A"/>
    <w:rsid w:val="0D613984"/>
    <w:rsid w:val="0D6A2B09"/>
    <w:rsid w:val="0DB00467"/>
    <w:rsid w:val="0E042561"/>
    <w:rsid w:val="0E2055ED"/>
    <w:rsid w:val="0E407A3D"/>
    <w:rsid w:val="0E576B35"/>
    <w:rsid w:val="0E680D42"/>
    <w:rsid w:val="0E935B43"/>
    <w:rsid w:val="0E96765D"/>
    <w:rsid w:val="0F0D2E82"/>
    <w:rsid w:val="0F185481"/>
    <w:rsid w:val="0F543075"/>
    <w:rsid w:val="0F601A19"/>
    <w:rsid w:val="0FCC79C0"/>
    <w:rsid w:val="0FE268D2"/>
    <w:rsid w:val="1057106E"/>
    <w:rsid w:val="10972147"/>
    <w:rsid w:val="10A5002C"/>
    <w:rsid w:val="10D12BCF"/>
    <w:rsid w:val="10F20D97"/>
    <w:rsid w:val="11217760"/>
    <w:rsid w:val="11CB5870"/>
    <w:rsid w:val="11D64215"/>
    <w:rsid w:val="120E39AF"/>
    <w:rsid w:val="12661A3D"/>
    <w:rsid w:val="131F7E9C"/>
    <w:rsid w:val="13225964"/>
    <w:rsid w:val="133574DA"/>
    <w:rsid w:val="136F66CF"/>
    <w:rsid w:val="13734411"/>
    <w:rsid w:val="1380268A"/>
    <w:rsid w:val="13A97E33"/>
    <w:rsid w:val="13C46A1B"/>
    <w:rsid w:val="13D604FC"/>
    <w:rsid w:val="13D758AD"/>
    <w:rsid w:val="140C03C2"/>
    <w:rsid w:val="14290F74"/>
    <w:rsid w:val="148D32B1"/>
    <w:rsid w:val="14AA0638"/>
    <w:rsid w:val="14BA55A9"/>
    <w:rsid w:val="15264D8E"/>
    <w:rsid w:val="155E4C4D"/>
    <w:rsid w:val="15B900D5"/>
    <w:rsid w:val="15CE3B81"/>
    <w:rsid w:val="16007AB2"/>
    <w:rsid w:val="16247C45"/>
    <w:rsid w:val="164B6F7F"/>
    <w:rsid w:val="166B13D0"/>
    <w:rsid w:val="1683496B"/>
    <w:rsid w:val="16A662AE"/>
    <w:rsid w:val="16A950C6"/>
    <w:rsid w:val="16F108E9"/>
    <w:rsid w:val="1706734A"/>
    <w:rsid w:val="17080368"/>
    <w:rsid w:val="171A13CE"/>
    <w:rsid w:val="171C091C"/>
    <w:rsid w:val="17245C34"/>
    <w:rsid w:val="17A55F36"/>
    <w:rsid w:val="18384FC6"/>
    <w:rsid w:val="18BA4890"/>
    <w:rsid w:val="18BC23B6"/>
    <w:rsid w:val="18DC4807"/>
    <w:rsid w:val="18ED5966"/>
    <w:rsid w:val="190B50EC"/>
    <w:rsid w:val="191F1353"/>
    <w:rsid w:val="19202945"/>
    <w:rsid w:val="19467ED2"/>
    <w:rsid w:val="19534E25"/>
    <w:rsid w:val="196A1E12"/>
    <w:rsid w:val="19D7545E"/>
    <w:rsid w:val="1A1202D5"/>
    <w:rsid w:val="1A18361C"/>
    <w:rsid w:val="1A330456"/>
    <w:rsid w:val="1A50725A"/>
    <w:rsid w:val="1A584361"/>
    <w:rsid w:val="1A937147"/>
    <w:rsid w:val="1AD4799A"/>
    <w:rsid w:val="1AF760BA"/>
    <w:rsid w:val="1AF87875"/>
    <w:rsid w:val="1B0D0CA7"/>
    <w:rsid w:val="1B1A7868"/>
    <w:rsid w:val="1B321584"/>
    <w:rsid w:val="1B4C6F1B"/>
    <w:rsid w:val="1B511C89"/>
    <w:rsid w:val="1B667C0D"/>
    <w:rsid w:val="1BF27E9D"/>
    <w:rsid w:val="1BF41E67"/>
    <w:rsid w:val="1BF63E31"/>
    <w:rsid w:val="1C5172BA"/>
    <w:rsid w:val="1C6963B1"/>
    <w:rsid w:val="1C856F63"/>
    <w:rsid w:val="1CFF2872"/>
    <w:rsid w:val="1D4B3D09"/>
    <w:rsid w:val="1D4D7A81"/>
    <w:rsid w:val="1D5831A2"/>
    <w:rsid w:val="1D862F93"/>
    <w:rsid w:val="1DAA6C81"/>
    <w:rsid w:val="1E1C0ECD"/>
    <w:rsid w:val="1E2658B5"/>
    <w:rsid w:val="1E2702D2"/>
    <w:rsid w:val="1E4326B4"/>
    <w:rsid w:val="1E560BB7"/>
    <w:rsid w:val="1E6C3F37"/>
    <w:rsid w:val="1E7159F1"/>
    <w:rsid w:val="1E7C687F"/>
    <w:rsid w:val="1EBF675C"/>
    <w:rsid w:val="1ECB3353"/>
    <w:rsid w:val="1EE61F3B"/>
    <w:rsid w:val="1EFC175F"/>
    <w:rsid w:val="1F016D75"/>
    <w:rsid w:val="1F321241"/>
    <w:rsid w:val="1F460C2C"/>
    <w:rsid w:val="1F4E7AE0"/>
    <w:rsid w:val="1F8E612F"/>
    <w:rsid w:val="1FAB7E7B"/>
    <w:rsid w:val="200F54C2"/>
    <w:rsid w:val="201C373B"/>
    <w:rsid w:val="201D0482"/>
    <w:rsid w:val="20294D97"/>
    <w:rsid w:val="20407CB6"/>
    <w:rsid w:val="204F3B10"/>
    <w:rsid w:val="20531A94"/>
    <w:rsid w:val="20D84FBA"/>
    <w:rsid w:val="20F36B91"/>
    <w:rsid w:val="2144119B"/>
    <w:rsid w:val="21997739"/>
    <w:rsid w:val="21E32762"/>
    <w:rsid w:val="221768AF"/>
    <w:rsid w:val="222B4109"/>
    <w:rsid w:val="22342FBD"/>
    <w:rsid w:val="22471C51"/>
    <w:rsid w:val="22744AC7"/>
    <w:rsid w:val="227E248B"/>
    <w:rsid w:val="22E32420"/>
    <w:rsid w:val="232A449B"/>
    <w:rsid w:val="23627FFE"/>
    <w:rsid w:val="23872716"/>
    <w:rsid w:val="23BD5235"/>
    <w:rsid w:val="23F073B8"/>
    <w:rsid w:val="244A4D1A"/>
    <w:rsid w:val="244D65B8"/>
    <w:rsid w:val="24FE01A5"/>
    <w:rsid w:val="25180974"/>
    <w:rsid w:val="25493224"/>
    <w:rsid w:val="255045B2"/>
    <w:rsid w:val="256A4F48"/>
    <w:rsid w:val="25836BE3"/>
    <w:rsid w:val="258A4AD9"/>
    <w:rsid w:val="25987D07"/>
    <w:rsid w:val="25A0096A"/>
    <w:rsid w:val="25A95872"/>
    <w:rsid w:val="25B14925"/>
    <w:rsid w:val="25E62821"/>
    <w:rsid w:val="26176E7E"/>
    <w:rsid w:val="265579A6"/>
    <w:rsid w:val="26C441AF"/>
    <w:rsid w:val="26FB22FC"/>
    <w:rsid w:val="271E423C"/>
    <w:rsid w:val="274F0899"/>
    <w:rsid w:val="27637EA1"/>
    <w:rsid w:val="278C389C"/>
    <w:rsid w:val="279B5A04"/>
    <w:rsid w:val="27B74703"/>
    <w:rsid w:val="27CC5A46"/>
    <w:rsid w:val="27D46C45"/>
    <w:rsid w:val="27E27A70"/>
    <w:rsid w:val="27EE3C0E"/>
    <w:rsid w:val="285F4B0C"/>
    <w:rsid w:val="28612632"/>
    <w:rsid w:val="286A1913"/>
    <w:rsid w:val="286D547B"/>
    <w:rsid w:val="28792F45"/>
    <w:rsid w:val="28F306BC"/>
    <w:rsid w:val="29143B49"/>
    <w:rsid w:val="2927387C"/>
    <w:rsid w:val="29453D02"/>
    <w:rsid w:val="29A053DC"/>
    <w:rsid w:val="29A3542F"/>
    <w:rsid w:val="29EE439A"/>
    <w:rsid w:val="2A21651D"/>
    <w:rsid w:val="2A217908"/>
    <w:rsid w:val="2A311A54"/>
    <w:rsid w:val="2AA50EFC"/>
    <w:rsid w:val="2ABA24CE"/>
    <w:rsid w:val="2AE01F34"/>
    <w:rsid w:val="2AF94DA4"/>
    <w:rsid w:val="2B3E4EAD"/>
    <w:rsid w:val="2B886128"/>
    <w:rsid w:val="2B9E39E0"/>
    <w:rsid w:val="2BCA4992"/>
    <w:rsid w:val="2BCF3D57"/>
    <w:rsid w:val="2BCF4DA0"/>
    <w:rsid w:val="2C302A48"/>
    <w:rsid w:val="2C365B84"/>
    <w:rsid w:val="2C772424"/>
    <w:rsid w:val="2C7768C8"/>
    <w:rsid w:val="2C815051"/>
    <w:rsid w:val="2CB35427"/>
    <w:rsid w:val="2CD45AC9"/>
    <w:rsid w:val="2CDA6E57"/>
    <w:rsid w:val="2CE13D42"/>
    <w:rsid w:val="2D4542D1"/>
    <w:rsid w:val="2DBF048A"/>
    <w:rsid w:val="2DED016F"/>
    <w:rsid w:val="2E0917A2"/>
    <w:rsid w:val="2E141EF5"/>
    <w:rsid w:val="2E2A1A35"/>
    <w:rsid w:val="2E425517"/>
    <w:rsid w:val="2E5B1DE5"/>
    <w:rsid w:val="2E6B4140"/>
    <w:rsid w:val="2E7A444E"/>
    <w:rsid w:val="2E861045"/>
    <w:rsid w:val="2E870919"/>
    <w:rsid w:val="2EA9088F"/>
    <w:rsid w:val="2EB060C2"/>
    <w:rsid w:val="2EDE49DD"/>
    <w:rsid w:val="2EFA558F"/>
    <w:rsid w:val="2EFF4493"/>
    <w:rsid w:val="2F0840CC"/>
    <w:rsid w:val="2F2D14C0"/>
    <w:rsid w:val="2F34284F"/>
    <w:rsid w:val="2F776BDF"/>
    <w:rsid w:val="2FB424A2"/>
    <w:rsid w:val="2FB7429E"/>
    <w:rsid w:val="2FFE368D"/>
    <w:rsid w:val="30240B15"/>
    <w:rsid w:val="30843362"/>
    <w:rsid w:val="30846D99"/>
    <w:rsid w:val="30997731"/>
    <w:rsid w:val="30AC4667"/>
    <w:rsid w:val="30B74016"/>
    <w:rsid w:val="30CA3D76"/>
    <w:rsid w:val="30D2231F"/>
    <w:rsid w:val="30E6401D"/>
    <w:rsid w:val="30F027A5"/>
    <w:rsid w:val="31EF5153"/>
    <w:rsid w:val="31FE7144"/>
    <w:rsid w:val="32132BEF"/>
    <w:rsid w:val="3234271C"/>
    <w:rsid w:val="324A2389"/>
    <w:rsid w:val="329D070B"/>
    <w:rsid w:val="33017717"/>
    <w:rsid w:val="33072028"/>
    <w:rsid w:val="33475B41"/>
    <w:rsid w:val="334B63B9"/>
    <w:rsid w:val="335F00B6"/>
    <w:rsid w:val="336D632F"/>
    <w:rsid w:val="339715FE"/>
    <w:rsid w:val="33A4663C"/>
    <w:rsid w:val="33B57CD6"/>
    <w:rsid w:val="33B72246"/>
    <w:rsid w:val="33C06DA7"/>
    <w:rsid w:val="33E43E98"/>
    <w:rsid w:val="33EB36F8"/>
    <w:rsid w:val="33F055F4"/>
    <w:rsid w:val="34386694"/>
    <w:rsid w:val="344572AC"/>
    <w:rsid w:val="34B955A4"/>
    <w:rsid w:val="34D83C7C"/>
    <w:rsid w:val="350E3B42"/>
    <w:rsid w:val="35101668"/>
    <w:rsid w:val="351D48F1"/>
    <w:rsid w:val="3522139B"/>
    <w:rsid w:val="352E1AEE"/>
    <w:rsid w:val="352E3849"/>
    <w:rsid w:val="353D7F83"/>
    <w:rsid w:val="35492DCC"/>
    <w:rsid w:val="35AD335B"/>
    <w:rsid w:val="35B04BF9"/>
    <w:rsid w:val="35D24411"/>
    <w:rsid w:val="35F651CF"/>
    <w:rsid w:val="362F5B1E"/>
    <w:rsid w:val="36453593"/>
    <w:rsid w:val="364F7F6E"/>
    <w:rsid w:val="365442FF"/>
    <w:rsid w:val="368F480F"/>
    <w:rsid w:val="36963DEF"/>
    <w:rsid w:val="369A73C0"/>
    <w:rsid w:val="36A75FFC"/>
    <w:rsid w:val="36E85C72"/>
    <w:rsid w:val="36FB1EA4"/>
    <w:rsid w:val="371A7888"/>
    <w:rsid w:val="37386C54"/>
    <w:rsid w:val="37591671"/>
    <w:rsid w:val="37753A04"/>
    <w:rsid w:val="379540A7"/>
    <w:rsid w:val="379C3687"/>
    <w:rsid w:val="37B3642E"/>
    <w:rsid w:val="37E33064"/>
    <w:rsid w:val="386677F1"/>
    <w:rsid w:val="389D76B7"/>
    <w:rsid w:val="38A5656B"/>
    <w:rsid w:val="38A84DDA"/>
    <w:rsid w:val="38BE2EEF"/>
    <w:rsid w:val="38E36364"/>
    <w:rsid w:val="391D4354"/>
    <w:rsid w:val="397C5003"/>
    <w:rsid w:val="3991089E"/>
    <w:rsid w:val="39B73932"/>
    <w:rsid w:val="39BD18DE"/>
    <w:rsid w:val="39D569DC"/>
    <w:rsid w:val="39D6662C"/>
    <w:rsid w:val="39FA5619"/>
    <w:rsid w:val="3A134D35"/>
    <w:rsid w:val="3A3F654C"/>
    <w:rsid w:val="3A410516"/>
    <w:rsid w:val="3A8661CC"/>
    <w:rsid w:val="3A914FF9"/>
    <w:rsid w:val="3AC0143A"/>
    <w:rsid w:val="3ACF2D06"/>
    <w:rsid w:val="3AEF199D"/>
    <w:rsid w:val="3AEF1D20"/>
    <w:rsid w:val="3AF8506B"/>
    <w:rsid w:val="3B1F05D3"/>
    <w:rsid w:val="3B20012B"/>
    <w:rsid w:val="3B245E6D"/>
    <w:rsid w:val="3B447BD4"/>
    <w:rsid w:val="3B5155AB"/>
    <w:rsid w:val="3B8F315C"/>
    <w:rsid w:val="3BB45A75"/>
    <w:rsid w:val="3BB80364"/>
    <w:rsid w:val="3BBF7944"/>
    <w:rsid w:val="3BD408E0"/>
    <w:rsid w:val="3BDE67C1"/>
    <w:rsid w:val="3BFD221A"/>
    <w:rsid w:val="3C0351DE"/>
    <w:rsid w:val="3C3C0F95"/>
    <w:rsid w:val="3C424BB7"/>
    <w:rsid w:val="3C522566"/>
    <w:rsid w:val="3C634F70"/>
    <w:rsid w:val="3C8927AA"/>
    <w:rsid w:val="3CD64F45"/>
    <w:rsid w:val="3CDD2778"/>
    <w:rsid w:val="3D2A5291"/>
    <w:rsid w:val="3DC96858"/>
    <w:rsid w:val="3DD87C17"/>
    <w:rsid w:val="3E5325C6"/>
    <w:rsid w:val="3E6B3DB3"/>
    <w:rsid w:val="3ECF4342"/>
    <w:rsid w:val="3ED32EAF"/>
    <w:rsid w:val="3EE576C2"/>
    <w:rsid w:val="3EED6576"/>
    <w:rsid w:val="3F033FEC"/>
    <w:rsid w:val="3F1854AC"/>
    <w:rsid w:val="3F277C9C"/>
    <w:rsid w:val="3F8A0269"/>
    <w:rsid w:val="3FB15BEC"/>
    <w:rsid w:val="3FEA5477"/>
    <w:rsid w:val="404D4884"/>
    <w:rsid w:val="40721429"/>
    <w:rsid w:val="40801F2A"/>
    <w:rsid w:val="40887158"/>
    <w:rsid w:val="41032081"/>
    <w:rsid w:val="41151DB4"/>
    <w:rsid w:val="412C3505"/>
    <w:rsid w:val="41410DFB"/>
    <w:rsid w:val="41760AA5"/>
    <w:rsid w:val="4182569C"/>
    <w:rsid w:val="41894C7C"/>
    <w:rsid w:val="419B72BE"/>
    <w:rsid w:val="41CF6407"/>
    <w:rsid w:val="420B3CA1"/>
    <w:rsid w:val="421914AF"/>
    <w:rsid w:val="42360234"/>
    <w:rsid w:val="424D33F9"/>
    <w:rsid w:val="42611755"/>
    <w:rsid w:val="4285411E"/>
    <w:rsid w:val="42C121F4"/>
    <w:rsid w:val="42DF6B1E"/>
    <w:rsid w:val="430D6E9D"/>
    <w:rsid w:val="43467E25"/>
    <w:rsid w:val="43572B58"/>
    <w:rsid w:val="436C6603"/>
    <w:rsid w:val="436C772C"/>
    <w:rsid w:val="43866F99"/>
    <w:rsid w:val="43B92B1D"/>
    <w:rsid w:val="43BF2BD7"/>
    <w:rsid w:val="43D1290A"/>
    <w:rsid w:val="43DD536C"/>
    <w:rsid w:val="43E837B0"/>
    <w:rsid w:val="43EA39CC"/>
    <w:rsid w:val="44421112"/>
    <w:rsid w:val="447119F7"/>
    <w:rsid w:val="44D75CFE"/>
    <w:rsid w:val="45521829"/>
    <w:rsid w:val="45D65FB6"/>
    <w:rsid w:val="45DC10F2"/>
    <w:rsid w:val="45F043FE"/>
    <w:rsid w:val="45F20916"/>
    <w:rsid w:val="45F428E0"/>
    <w:rsid w:val="460348D1"/>
    <w:rsid w:val="461858AE"/>
    <w:rsid w:val="464716F8"/>
    <w:rsid w:val="46524493"/>
    <w:rsid w:val="465C2905"/>
    <w:rsid w:val="4665558C"/>
    <w:rsid w:val="469F45FA"/>
    <w:rsid w:val="46CE4EDF"/>
    <w:rsid w:val="46E7211A"/>
    <w:rsid w:val="474B4782"/>
    <w:rsid w:val="47F46BC7"/>
    <w:rsid w:val="47FB71BD"/>
    <w:rsid w:val="48384D06"/>
    <w:rsid w:val="485E04E5"/>
    <w:rsid w:val="48A71E8C"/>
    <w:rsid w:val="490E605A"/>
    <w:rsid w:val="494D658F"/>
    <w:rsid w:val="49667651"/>
    <w:rsid w:val="49B44860"/>
    <w:rsid w:val="49C12AD9"/>
    <w:rsid w:val="49C777B9"/>
    <w:rsid w:val="4A45195C"/>
    <w:rsid w:val="4A4A6F73"/>
    <w:rsid w:val="4A673681"/>
    <w:rsid w:val="4A7D10F6"/>
    <w:rsid w:val="4A8204BA"/>
    <w:rsid w:val="4A824FDA"/>
    <w:rsid w:val="4AB10DA0"/>
    <w:rsid w:val="4AE271AB"/>
    <w:rsid w:val="4B0613F2"/>
    <w:rsid w:val="4B074E64"/>
    <w:rsid w:val="4B217CD3"/>
    <w:rsid w:val="4B221C9D"/>
    <w:rsid w:val="4B3C126D"/>
    <w:rsid w:val="4B46598C"/>
    <w:rsid w:val="4B490FD8"/>
    <w:rsid w:val="4B5C6F5D"/>
    <w:rsid w:val="4BCA036B"/>
    <w:rsid w:val="4BCB5E91"/>
    <w:rsid w:val="4BCD3E94"/>
    <w:rsid w:val="4BDB2578"/>
    <w:rsid w:val="4C2F4672"/>
    <w:rsid w:val="4C324F11"/>
    <w:rsid w:val="4CA661CE"/>
    <w:rsid w:val="4CA7392D"/>
    <w:rsid w:val="4CDE39A2"/>
    <w:rsid w:val="4D106251"/>
    <w:rsid w:val="4D885613"/>
    <w:rsid w:val="4D8B3B2A"/>
    <w:rsid w:val="4DAE7818"/>
    <w:rsid w:val="4E0135BD"/>
    <w:rsid w:val="4EFF657E"/>
    <w:rsid w:val="4F0B5BF3"/>
    <w:rsid w:val="4F215E37"/>
    <w:rsid w:val="4F4A3571"/>
    <w:rsid w:val="4F9273F2"/>
    <w:rsid w:val="4FB530E0"/>
    <w:rsid w:val="4FD80B7D"/>
    <w:rsid w:val="4FE7163E"/>
    <w:rsid w:val="5060129E"/>
    <w:rsid w:val="506B19F1"/>
    <w:rsid w:val="509B12BB"/>
    <w:rsid w:val="50A05B3E"/>
    <w:rsid w:val="50B500CA"/>
    <w:rsid w:val="50CA4969"/>
    <w:rsid w:val="50DE185F"/>
    <w:rsid w:val="50E023DF"/>
    <w:rsid w:val="50E27F05"/>
    <w:rsid w:val="50EF43D0"/>
    <w:rsid w:val="51600E2A"/>
    <w:rsid w:val="516C3C72"/>
    <w:rsid w:val="51892AD2"/>
    <w:rsid w:val="51931224"/>
    <w:rsid w:val="52067C23"/>
    <w:rsid w:val="521F0CE5"/>
    <w:rsid w:val="52976ACD"/>
    <w:rsid w:val="52ED493F"/>
    <w:rsid w:val="52FB52AE"/>
    <w:rsid w:val="53281E1B"/>
    <w:rsid w:val="53286CBE"/>
    <w:rsid w:val="538928BA"/>
    <w:rsid w:val="53C9715A"/>
    <w:rsid w:val="53D02297"/>
    <w:rsid w:val="544F70C1"/>
    <w:rsid w:val="54B41BB8"/>
    <w:rsid w:val="54BE47E5"/>
    <w:rsid w:val="54C067AF"/>
    <w:rsid w:val="54D65388"/>
    <w:rsid w:val="55006BAB"/>
    <w:rsid w:val="551663CF"/>
    <w:rsid w:val="552705DC"/>
    <w:rsid w:val="5539030F"/>
    <w:rsid w:val="55A41C2D"/>
    <w:rsid w:val="55A5225D"/>
    <w:rsid w:val="55AF412E"/>
    <w:rsid w:val="560F2672"/>
    <w:rsid w:val="569021B1"/>
    <w:rsid w:val="56D26326"/>
    <w:rsid w:val="56D54068"/>
    <w:rsid w:val="56DA016C"/>
    <w:rsid w:val="57034731"/>
    <w:rsid w:val="570F52BB"/>
    <w:rsid w:val="5748483A"/>
    <w:rsid w:val="57763155"/>
    <w:rsid w:val="5789732C"/>
    <w:rsid w:val="57A23F4A"/>
    <w:rsid w:val="57EF1159"/>
    <w:rsid w:val="57FA3D86"/>
    <w:rsid w:val="58382B00"/>
    <w:rsid w:val="584D65AC"/>
    <w:rsid w:val="585B64A7"/>
    <w:rsid w:val="58731115"/>
    <w:rsid w:val="58A23664"/>
    <w:rsid w:val="58A75E77"/>
    <w:rsid w:val="58AD4526"/>
    <w:rsid w:val="58BF0B2C"/>
    <w:rsid w:val="58BF28DA"/>
    <w:rsid w:val="58F5279F"/>
    <w:rsid w:val="59084281"/>
    <w:rsid w:val="59251AE6"/>
    <w:rsid w:val="59282B75"/>
    <w:rsid w:val="595219A0"/>
    <w:rsid w:val="59585B86"/>
    <w:rsid w:val="596F4300"/>
    <w:rsid w:val="598549C6"/>
    <w:rsid w:val="59E720E8"/>
    <w:rsid w:val="5A2275C4"/>
    <w:rsid w:val="5A8042EB"/>
    <w:rsid w:val="5AA93841"/>
    <w:rsid w:val="5AC62645"/>
    <w:rsid w:val="5AD7215D"/>
    <w:rsid w:val="5B4672E2"/>
    <w:rsid w:val="5B490B80"/>
    <w:rsid w:val="5B5C4D58"/>
    <w:rsid w:val="5BE30FD5"/>
    <w:rsid w:val="5C2C38A3"/>
    <w:rsid w:val="5C707F34"/>
    <w:rsid w:val="5CA2679A"/>
    <w:rsid w:val="5CB3602E"/>
    <w:rsid w:val="5D3B51AE"/>
    <w:rsid w:val="5D3C2062"/>
    <w:rsid w:val="5D5C103F"/>
    <w:rsid w:val="5D641CA2"/>
    <w:rsid w:val="5D8365CC"/>
    <w:rsid w:val="5DAA13A5"/>
    <w:rsid w:val="5DB9023F"/>
    <w:rsid w:val="5DF70D68"/>
    <w:rsid w:val="5E0A34F5"/>
    <w:rsid w:val="5E164415"/>
    <w:rsid w:val="5E2A6A47"/>
    <w:rsid w:val="5E4E15E4"/>
    <w:rsid w:val="5E500914"/>
    <w:rsid w:val="5E5B21D1"/>
    <w:rsid w:val="5EC944B2"/>
    <w:rsid w:val="5F3538F6"/>
    <w:rsid w:val="5F3D27AA"/>
    <w:rsid w:val="5F441D8B"/>
    <w:rsid w:val="5F4A1345"/>
    <w:rsid w:val="5F6917F1"/>
    <w:rsid w:val="5F7563E8"/>
    <w:rsid w:val="5FE61094"/>
    <w:rsid w:val="5FE65D8B"/>
    <w:rsid w:val="60400434"/>
    <w:rsid w:val="604007A4"/>
    <w:rsid w:val="604F4E8B"/>
    <w:rsid w:val="606D5311"/>
    <w:rsid w:val="60787F3E"/>
    <w:rsid w:val="60981866"/>
    <w:rsid w:val="611A2DA3"/>
    <w:rsid w:val="611C2337"/>
    <w:rsid w:val="61630BEE"/>
    <w:rsid w:val="619F774C"/>
    <w:rsid w:val="61A134C4"/>
    <w:rsid w:val="61B01959"/>
    <w:rsid w:val="61F21F72"/>
    <w:rsid w:val="621A6DD3"/>
    <w:rsid w:val="628C4F76"/>
    <w:rsid w:val="6292105F"/>
    <w:rsid w:val="62FE5D23"/>
    <w:rsid w:val="63261923"/>
    <w:rsid w:val="63434487"/>
    <w:rsid w:val="6370314E"/>
    <w:rsid w:val="63780255"/>
    <w:rsid w:val="637846F9"/>
    <w:rsid w:val="63792067"/>
    <w:rsid w:val="63AE011A"/>
    <w:rsid w:val="63C1676C"/>
    <w:rsid w:val="63D57455"/>
    <w:rsid w:val="640958CE"/>
    <w:rsid w:val="64216B3E"/>
    <w:rsid w:val="644B7717"/>
    <w:rsid w:val="6497295D"/>
    <w:rsid w:val="649C61C5"/>
    <w:rsid w:val="64A07A63"/>
    <w:rsid w:val="64AA2690"/>
    <w:rsid w:val="64BB489D"/>
    <w:rsid w:val="64DB4F3F"/>
    <w:rsid w:val="64DC3AA6"/>
    <w:rsid w:val="6523092C"/>
    <w:rsid w:val="653351C2"/>
    <w:rsid w:val="6546685C"/>
    <w:rsid w:val="65496236"/>
    <w:rsid w:val="65901886"/>
    <w:rsid w:val="65CB4640"/>
    <w:rsid w:val="65D33E68"/>
    <w:rsid w:val="65D67B2F"/>
    <w:rsid w:val="65D976D1"/>
    <w:rsid w:val="66B772E6"/>
    <w:rsid w:val="66C57C55"/>
    <w:rsid w:val="66CA526B"/>
    <w:rsid w:val="67003B40"/>
    <w:rsid w:val="67184229"/>
    <w:rsid w:val="680038F4"/>
    <w:rsid w:val="680B5B3B"/>
    <w:rsid w:val="682E5386"/>
    <w:rsid w:val="68324E76"/>
    <w:rsid w:val="6841155D"/>
    <w:rsid w:val="68466B73"/>
    <w:rsid w:val="688431F8"/>
    <w:rsid w:val="68955405"/>
    <w:rsid w:val="689C6793"/>
    <w:rsid w:val="68B43ADD"/>
    <w:rsid w:val="68F4037D"/>
    <w:rsid w:val="68FB12AF"/>
    <w:rsid w:val="691B1DAE"/>
    <w:rsid w:val="693115D2"/>
    <w:rsid w:val="6942558D"/>
    <w:rsid w:val="69BD2E65"/>
    <w:rsid w:val="69C86735"/>
    <w:rsid w:val="69CC12FA"/>
    <w:rsid w:val="6A582B8E"/>
    <w:rsid w:val="6A7654C6"/>
    <w:rsid w:val="6A9D590B"/>
    <w:rsid w:val="6AA70556"/>
    <w:rsid w:val="6AB541FC"/>
    <w:rsid w:val="6AC256AA"/>
    <w:rsid w:val="6ACA583A"/>
    <w:rsid w:val="6ACF7ADC"/>
    <w:rsid w:val="6AE0505D"/>
    <w:rsid w:val="6AF0753A"/>
    <w:rsid w:val="6B1940CB"/>
    <w:rsid w:val="6B3C75C9"/>
    <w:rsid w:val="6B752912"/>
    <w:rsid w:val="6BB169FA"/>
    <w:rsid w:val="6BB40298"/>
    <w:rsid w:val="6BDB5825"/>
    <w:rsid w:val="6BF84816"/>
    <w:rsid w:val="6C07661A"/>
    <w:rsid w:val="6C4E46B2"/>
    <w:rsid w:val="6C6B7C6F"/>
    <w:rsid w:val="6C6D0B73"/>
    <w:rsid w:val="6C735A5D"/>
    <w:rsid w:val="6C920694"/>
    <w:rsid w:val="6C9D515F"/>
    <w:rsid w:val="6CB93DB8"/>
    <w:rsid w:val="6CD26C53"/>
    <w:rsid w:val="6D257C07"/>
    <w:rsid w:val="6D350F65"/>
    <w:rsid w:val="6D8E1460"/>
    <w:rsid w:val="6DA00F9C"/>
    <w:rsid w:val="6DC01176"/>
    <w:rsid w:val="6E3B669F"/>
    <w:rsid w:val="6E5518BE"/>
    <w:rsid w:val="6E810905"/>
    <w:rsid w:val="6E8201DA"/>
    <w:rsid w:val="6EA36ACE"/>
    <w:rsid w:val="6EAC0D50"/>
    <w:rsid w:val="6ED613DA"/>
    <w:rsid w:val="6EF2710D"/>
    <w:rsid w:val="6F26325B"/>
    <w:rsid w:val="6F270684"/>
    <w:rsid w:val="6F3032F7"/>
    <w:rsid w:val="6F4162E7"/>
    <w:rsid w:val="6F4436E1"/>
    <w:rsid w:val="6F4B0F13"/>
    <w:rsid w:val="6F75656A"/>
    <w:rsid w:val="6F8F0E00"/>
    <w:rsid w:val="6FFA470E"/>
    <w:rsid w:val="70125898"/>
    <w:rsid w:val="70205EC3"/>
    <w:rsid w:val="70383246"/>
    <w:rsid w:val="70922A46"/>
    <w:rsid w:val="70CE5958"/>
    <w:rsid w:val="70DC0075"/>
    <w:rsid w:val="70E909E4"/>
    <w:rsid w:val="71240E2B"/>
    <w:rsid w:val="71285068"/>
    <w:rsid w:val="71341C5F"/>
    <w:rsid w:val="71502811"/>
    <w:rsid w:val="716562BC"/>
    <w:rsid w:val="71BF425E"/>
    <w:rsid w:val="720C2BDC"/>
    <w:rsid w:val="72246D1A"/>
    <w:rsid w:val="72345C8F"/>
    <w:rsid w:val="725D4F25"/>
    <w:rsid w:val="727414F1"/>
    <w:rsid w:val="729F75AC"/>
    <w:rsid w:val="72B1108D"/>
    <w:rsid w:val="72C205A1"/>
    <w:rsid w:val="73320420"/>
    <w:rsid w:val="734168B5"/>
    <w:rsid w:val="73796D39"/>
    <w:rsid w:val="73C53042"/>
    <w:rsid w:val="73C6500C"/>
    <w:rsid w:val="73C90572"/>
    <w:rsid w:val="73EB6821"/>
    <w:rsid w:val="745E6FF3"/>
    <w:rsid w:val="74994CCD"/>
    <w:rsid w:val="74B530B7"/>
    <w:rsid w:val="754E52B9"/>
    <w:rsid w:val="75853FE0"/>
    <w:rsid w:val="75BE41ED"/>
    <w:rsid w:val="75EA6D90"/>
    <w:rsid w:val="761E2EDE"/>
    <w:rsid w:val="76391515"/>
    <w:rsid w:val="766528BB"/>
    <w:rsid w:val="767B0330"/>
    <w:rsid w:val="76C21ABB"/>
    <w:rsid w:val="76CF58C2"/>
    <w:rsid w:val="77130569"/>
    <w:rsid w:val="77613082"/>
    <w:rsid w:val="77844FC2"/>
    <w:rsid w:val="77A92C7B"/>
    <w:rsid w:val="77CA5405"/>
    <w:rsid w:val="781A1483"/>
    <w:rsid w:val="78210A63"/>
    <w:rsid w:val="7851759A"/>
    <w:rsid w:val="789D583E"/>
    <w:rsid w:val="78C02044"/>
    <w:rsid w:val="78DD0E2E"/>
    <w:rsid w:val="790740FD"/>
    <w:rsid w:val="794B18B1"/>
    <w:rsid w:val="79960FDD"/>
    <w:rsid w:val="79A501FE"/>
    <w:rsid w:val="79A90D10"/>
    <w:rsid w:val="79CD2C51"/>
    <w:rsid w:val="79D42231"/>
    <w:rsid w:val="79F75F20"/>
    <w:rsid w:val="7A012C39"/>
    <w:rsid w:val="7A044199"/>
    <w:rsid w:val="7A293BFF"/>
    <w:rsid w:val="7A2A01BC"/>
    <w:rsid w:val="7A5164CF"/>
    <w:rsid w:val="7A6A0D30"/>
    <w:rsid w:val="7A835A05"/>
    <w:rsid w:val="7A886B78"/>
    <w:rsid w:val="7ACA4480"/>
    <w:rsid w:val="7B2F4366"/>
    <w:rsid w:val="7B3E709B"/>
    <w:rsid w:val="7B560A24"/>
    <w:rsid w:val="7B9656CA"/>
    <w:rsid w:val="7BAE1B6F"/>
    <w:rsid w:val="7BB67714"/>
    <w:rsid w:val="7C042B76"/>
    <w:rsid w:val="7C2A325D"/>
    <w:rsid w:val="7C2E19A1"/>
    <w:rsid w:val="7C376AA7"/>
    <w:rsid w:val="7C6C2355"/>
    <w:rsid w:val="7CAE58D3"/>
    <w:rsid w:val="7CBC0D5A"/>
    <w:rsid w:val="7D052701"/>
    <w:rsid w:val="7D407BDD"/>
    <w:rsid w:val="7DA509F1"/>
    <w:rsid w:val="7DB462B7"/>
    <w:rsid w:val="7DC4436B"/>
    <w:rsid w:val="7DCE6F97"/>
    <w:rsid w:val="7DD13B93"/>
    <w:rsid w:val="7DEE53A4"/>
    <w:rsid w:val="7E046E5D"/>
    <w:rsid w:val="7E0E1A8A"/>
    <w:rsid w:val="7E2238B7"/>
    <w:rsid w:val="7E5A6505"/>
    <w:rsid w:val="7F062761"/>
    <w:rsid w:val="7F2F56EB"/>
    <w:rsid w:val="7F96354A"/>
    <w:rsid w:val="7F9D70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name="toc 2"/>
    <w:lsdException w:qFormat="1" w:uiPriority="39" w:name="toc 3"/>
    <w:lsdException w:qFormat="1" w:unhideWhenUsed="0" w:uiPriority="0" w:semiHidden="0" w:name="toc 4"/>
    <w:lsdException w:uiPriority="39" w:name="toc 5"/>
    <w:lsdException w:uiPriority="39" w:name="toc 6"/>
    <w:lsdException w:uiPriority="39" w:name="toc 7"/>
    <w:lsdException w:uiPriority="39" w:name="toc 8"/>
    <w:lsdException w:qFormat="1" w:uiPriority="39" w:semiHidden="0" w:name="toc 9"/>
    <w:lsdException w:qFormat="1" w:unhideWhenUsed="0" w:uiPriority="99" w:semiHidden="0"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iPriority="0" w:semiHidden="0"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pPr>
    <w:rPr>
      <w:rFonts w:eastAsia="宋体" w:cs="Times New Roman" w:asciiTheme="minorAscii" w:hAnsiTheme="minorAscii"/>
      <w:sz w:val="24"/>
      <w:szCs w:val="24"/>
      <w:lang w:val="en-US" w:eastAsia="zh-CN" w:bidi="ar-SA"/>
    </w:rPr>
  </w:style>
  <w:style w:type="paragraph" w:styleId="3">
    <w:name w:val="heading 1"/>
    <w:basedOn w:val="1"/>
    <w:next w:val="1"/>
    <w:link w:val="72"/>
    <w:qFormat/>
    <w:uiPriority w:val="9"/>
    <w:pPr>
      <w:spacing w:line="360" w:lineRule="auto"/>
      <w:jc w:val="center"/>
      <w:outlineLvl w:val="0"/>
    </w:pPr>
    <w:rPr>
      <w:rFonts w:ascii="方正小标宋_GBK" w:hAnsi="方正小标宋_GBK" w:eastAsia="宋体"/>
      <w:b/>
      <w:sz w:val="44"/>
      <w:szCs w:val="44"/>
    </w:rPr>
  </w:style>
  <w:style w:type="paragraph" w:styleId="4">
    <w:name w:val="heading 2"/>
    <w:basedOn w:val="1"/>
    <w:next w:val="1"/>
    <w:link w:val="73"/>
    <w:unhideWhenUsed/>
    <w:qFormat/>
    <w:uiPriority w:val="9"/>
    <w:pPr>
      <w:spacing w:line="360" w:lineRule="auto"/>
      <w:ind w:firstLine="0" w:firstLineChars="0"/>
      <w:jc w:val="center"/>
      <w:outlineLvl w:val="1"/>
    </w:pPr>
    <w:rPr>
      <w:rFonts w:ascii="楷体" w:hAnsi="楷体" w:eastAsia="宋体"/>
      <w:b/>
      <w:sz w:val="36"/>
      <w:szCs w:val="32"/>
    </w:rPr>
  </w:style>
  <w:style w:type="paragraph" w:styleId="5">
    <w:name w:val="heading 3"/>
    <w:basedOn w:val="1"/>
    <w:next w:val="1"/>
    <w:link w:val="74"/>
    <w:unhideWhenUsed/>
    <w:qFormat/>
    <w:uiPriority w:val="9"/>
    <w:pPr>
      <w:spacing w:line="360" w:lineRule="auto"/>
      <w:jc w:val="center"/>
      <w:outlineLvl w:val="2"/>
    </w:pPr>
    <w:rPr>
      <w:rFonts w:ascii="方正小标宋_GBK" w:hAnsi="方正小标宋_GBK" w:eastAsia="宋体"/>
      <w:b/>
      <w:sz w:val="32"/>
      <w:szCs w:val="36"/>
    </w:rPr>
  </w:style>
  <w:style w:type="paragraph" w:styleId="6">
    <w:name w:val="heading 4"/>
    <w:basedOn w:val="1"/>
    <w:next w:val="1"/>
    <w:link w:val="75"/>
    <w:unhideWhenUsed/>
    <w:qFormat/>
    <w:uiPriority w:val="9"/>
    <w:pPr>
      <w:keepNext/>
      <w:numPr>
        <w:ilvl w:val="3"/>
        <w:numId w:val="1"/>
      </w:numPr>
      <w:ind w:left="0" w:firstLine="0"/>
      <w:jc w:val="center"/>
      <w:outlineLvl w:val="3"/>
    </w:pPr>
    <w:rPr>
      <w:rFonts w:cstheme="majorBidi"/>
      <w:b/>
      <w:bCs/>
      <w:sz w:val="28"/>
      <w:szCs w:val="28"/>
    </w:rPr>
  </w:style>
  <w:style w:type="paragraph" w:styleId="7">
    <w:name w:val="heading 5"/>
    <w:basedOn w:val="1"/>
    <w:next w:val="1"/>
    <w:link w:val="76"/>
    <w:unhideWhenUsed/>
    <w:qFormat/>
    <w:uiPriority w:val="9"/>
    <w:pPr>
      <w:numPr>
        <w:ilvl w:val="4"/>
        <w:numId w:val="0"/>
      </w:numPr>
      <w:ind w:left="0" w:firstLine="0"/>
      <w:jc w:val="center"/>
      <w:outlineLvl w:val="4"/>
    </w:pPr>
    <w:rPr>
      <w:rFonts w:ascii="宋体" w:hAnsi="宋体" w:cs="宋体"/>
      <w:b/>
      <w:bCs/>
    </w:rPr>
  </w:style>
  <w:style w:type="paragraph" w:styleId="8">
    <w:name w:val="heading 6"/>
    <w:basedOn w:val="1"/>
    <w:next w:val="1"/>
    <w:link w:val="77"/>
    <w:semiHidden/>
    <w:unhideWhenUsed/>
    <w:qFormat/>
    <w:uiPriority w:val="9"/>
    <w:pPr>
      <w:numPr>
        <w:ilvl w:val="5"/>
        <w:numId w:val="1"/>
      </w:numPr>
      <w:spacing w:before="240" w:after="60"/>
      <w:outlineLvl w:val="5"/>
    </w:pPr>
    <w:rPr>
      <w:rFonts w:cstheme="majorBidi"/>
      <w:b/>
      <w:bCs/>
      <w:sz w:val="22"/>
      <w:szCs w:val="22"/>
    </w:rPr>
  </w:style>
  <w:style w:type="paragraph" w:styleId="9">
    <w:name w:val="heading 7"/>
    <w:basedOn w:val="1"/>
    <w:next w:val="1"/>
    <w:link w:val="78"/>
    <w:semiHidden/>
    <w:unhideWhenUsed/>
    <w:qFormat/>
    <w:uiPriority w:val="9"/>
    <w:pPr>
      <w:numPr>
        <w:ilvl w:val="6"/>
        <w:numId w:val="1"/>
      </w:numPr>
      <w:spacing w:before="240" w:after="60"/>
      <w:outlineLvl w:val="6"/>
    </w:pPr>
  </w:style>
  <w:style w:type="paragraph" w:styleId="10">
    <w:name w:val="heading 8"/>
    <w:basedOn w:val="1"/>
    <w:next w:val="1"/>
    <w:link w:val="79"/>
    <w:semiHidden/>
    <w:unhideWhenUsed/>
    <w:qFormat/>
    <w:uiPriority w:val="9"/>
    <w:pPr>
      <w:numPr>
        <w:ilvl w:val="7"/>
        <w:numId w:val="1"/>
      </w:numPr>
      <w:spacing w:before="240" w:after="60"/>
      <w:outlineLvl w:val="7"/>
    </w:pPr>
    <w:rPr>
      <w:rFonts w:cstheme="majorBidi"/>
      <w:i/>
      <w:iCs/>
    </w:rPr>
  </w:style>
  <w:style w:type="paragraph" w:styleId="11">
    <w:name w:val="heading 9"/>
    <w:basedOn w:val="1"/>
    <w:next w:val="1"/>
    <w:link w:val="80"/>
    <w:semiHidden/>
    <w:unhideWhenUsed/>
    <w:qFormat/>
    <w:uiPriority w:val="9"/>
    <w:pPr>
      <w:numPr>
        <w:ilvl w:val="8"/>
        <w:numId w:val="1"/>
      </w:numPr>
      <w:spacing w:before="240" w:after="60"/>
      <w:outlineLvl w:val="8"/>
    </w:pPr>
    <w:rPr>
      <w:rFonts w:asciiTheme="majorHAnsi" w:hAnsiTheme="majorHAnsi" w:eastAsiaTheme="majorEastAsia" w:cstheme="majorBidi"/>
      <w:sz w:val="22"/>
      <w:szCs w:val="22"/>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1"/>
    <w:unhideWhenUsed/>
    <w:qFormat/>
    <w:uiPriority w:val="99"/>
    <w:pPr>
      <w:tabs>
        <w:tab w:val="center" w:pos="4153"/>
        <w:tab w:val="right" w:pos="8306"/>
      </w:tabs>
      <w:snapToGrid w:val="0"/>
      <w:spacing w:line="240" w:lineRule="atLeast"/>
    </w:pPr>
    <w:rPr>
      <w:sz w:val="18"/>
      <w:szCs w:val="18"/>
    </w:rPr>
  </w:style>
  <w:style w:type="paragraph" w:styleId="12">
    <w:name w:val="Normal Indent"/>
    <w:basedOn w:val="1"/>
    <w:next w:val="13"/>
    <w:qFormat/>
    <w:uiPriority w:val="99"/>
    <w:pPr>
      <w:ind w:firstLine="420"/>
    </w:pPr>
  </w:style>
  <w:style w:type="paragraph" w:styleId="13">
    <w:name w:val="toc 4"/>
    <w:basedOn w:val="1"/>
    <w:next w:val="1"/>
    <w:qFormat/>
    <w:uiPriority w:val="0"/>
    <w:pPr>
      <w:ind w:left="630"/>
      <w:jc w:val="left"/>
    </w:pPr>
    <w:rPr>
      <w:rFonts w:ascii="Calibri" w:hAnsi="Calibri" w:cs="Calibri"/>
      <w:sz w:val="18"/>
      <w:szCs w:val="18"/>
    </w:rPr>
  </w:style>
  <w:style w:type="paragraph" w:styleId="14">
    <w:name w:val="caption"/>
    <w:basedOn w:val="1"/>
    <w:next w:val="1"/>
    <w:semiHidden/>
    <w:unhideWhenUsed/>
    <w:qFormat/>
    <w:uiPriority w:val="35"/>
    <w:rPr>
      <w:rFonts w:eastAsia="黑体" w:asciiTheme="majorHAnsi" w:hAnsiTheme="majorHAnsi" w:cstheme="majorBidi"/>
      <w:sz w:val="20"/>
      <w:szCs w:val="20"/>
    </w:rPr>
  </w:style>
  <w:style w:type="paragraph" w:styleId="15">
    <w:name w:val="Document Map"/>
    <w:basedOn w:val="1"/>
    <w:link w:val="104"/>
    <w:semiHidden/>
    <w:unhideWhenUsed/>
    <w:qFormat/>
    <w:uiPriority w:val="99"/>
    <w:pPr>
      <w:spacing w:line="400" w:lineRule="exact"/>
      <w:jc w:val="both"/>
    </w:pPr>
    <w:rPr>
      <w:rFonts w:ascii="宋体" w:hAnsi="Calibri Light" w:eastAsia="宋体" w:cs="Calibri Light"/>
      <w:kern w:val="2"/>
      <w:sz w:val="18"/>
      <w:szCs w:val="18"/>
    </w:rPr>
  </w:style>
  <w:style w:type="paragraph" w:styleId="16">
    <w:name w:val="annotation text"/>
    <w:basedOn w:val="1"/>
    <w:link w:val="96"/>
    <w:unhideWhenUsed/>
    <w:qFormat/>
    <w:uiPriority w:val="99"/>
    <w:pPr>
      <w:spacing w:line="400" w:lineRule="exact"/>
    </w:pPr>
    <w:rPr>
      <w:rFonts w:ascii="Calibri Light" w:hAnsi="Calibri Light" w:eastAsia="华文仿宋" w:cs="Calibri Light"/>
      <w:kern w:val="2"/>
      <w:sz w:val="28"/>
      <w:szCs w:val="28"/>
    </w:rPr>
  </w:style>
  <w:style w:type="paragraph" w:styleId="17">
    <w:name w:val="Body Text"/>
    <w:basedOn w:val="1"/>
    <w:next w:val="1"/>
    <w:qFormat/>
    <w:uiPriority w:val="99"/>
    <w:rPr>
      <w:sz w:val="20"/>
    </w:rPr>
  </w:style>
  <w:style w:type="paragraph" w:styleId="18">
    <w:name w:val="Body Text Indent"/>
    <w:basedOn w:val="1"/>
    <w:next w:val="1"/>
    <w:qFormat/>
    <w:uiPriority w:val="99"/>
    <w:pPr>
      <w:spacing w:after="120"/>
      <w:ind w:left="420" w:leftChars="200"/>
    </w:pPr>
    <w:rPr>
      <w:sz w:val="20"/>
    </w:rPr>
  </w:style>
  <w:style w:type="paragraph" w:styleId="19">
    <w:name w:val="toc 3"/>
    <w:basedOn w:val="1"/>
    <w:next w:val="1"/>
    <w:semiHidden/>
    <w:unhideWhenUsed/>
    <w:qFormat/>
    <w:uiPriority w:val="39"/>
    <w:pPr>
      <w:ind w:left="840" w:leftChars="400"/>
    </w:pPr>
  </w:style>
  <w:style w:type="paragraph" w:styleId="20">
    <w:name w:val="Plain Text"/>
    <w:basedOn w:val="1"/>
    <w:qFormat/>
    <w:uiPriority w:val="99"/>
    <w:pPr>
      <w:spacing w:line="324" w:lineRule="auto"/>
    </w:pPr>
    <w:rPr>
      <w:rFonts w:ascii="宋体" w:hAnsi="Courier New"/>
      <w:sz w:val="20"/>
    </w:rPr>
  </w:style>
  <w:style w:type="paragraph" w:styleId="21">
    <w:name w:val="Date"/>
    <w:basedOn w:val="1"/>
    <w:next w:val="1"/>
    <w:link w:val="69"/>
    <w:semiHidden/>
    <w:unhideWhenUsed/>
    <w:qFormat/>
    <w:uiPriority w:val="99"/>
    <w:pPr>
      <w:ind w:left="100" w:leftChars="2500"/>
    </w:pPr>
  </w:style>
  <w:style w:type="paragraph" w:styleId="22">
    <w:name w:val="Body Text Indent 2"/>
    <w:basedOn w:val="1"/>
    <w:unhideWhenUsed/>
    <w:qFormat/>
    <w:uiPriority w:val="0"/>
    <w:pPr>
      <w:spacing w:after="120" w:line="480" w:lineRule="auto"/>
      <w:ind w:left="420" w:leftChars="200"/>
    </w:pPr>
  </w:style>
  <w:style w:type="paragraph" w:styleId="23">
    <w:name w:val="Balloon Text"/>
    <w:basedOn w:val="1"/>
    <w:link w:val="95"/>
    <w:semiHidden/>
    <w:unhideWhenUsed/>
    <w:qFormat/>
    <w:uiPriority w:val="99"/>
    <w:rPr>
      <w:sz w:val="18"/>
      <w:szCs w:val="18"/>
    </w:rPr>
  </w:style>
  <w:style w:type="paragraph" w:styleId="24">
    <w:name w:val="header"/>
    <w:basedOn w:val="1"/>
    <w:link w:val="70"/>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25">
    <w:name w:val="toc 1"/>
    <w:basedOn w:val="1"/>
    <w:next w:val="1"/>
    <w:unhideWhenUsed/>
    <w:qFormat/>
    <w:uiPriority w:val="39"/>
    <w:pPr>
      <w:spacing w:beforeLines="100" w:afterLines="100"/>
    </w:pPr>
    <w:rPr>
      <w:rFonts w:ascii="Calibri" w:hAnsi="Calibri" w:eastAsia="宋体"/>
      <w:kern w:val="32"/>
      <w:sz w:val="32"/>
    </w:rPr>
  </w:style>
  <w:style w:type="paragraph" w:styleId="26">
    <w:name w:val="Subtitle"/>
    <w:basedOn w:val="1"/>
    <w:next w:val="1"/>
    <w:link w:val="82"/>
    <w:qFormat/>
    <w:uiPriority w:val="11"/>
    <w:pPr>
      <w:keepNext/>
      <w:spacing w:beforeLines="50" w:afterLines="50"/>
      <w:jc w:val="center"/>
      <w:outlineLvl w:val="1"/>
    </w:pPr>
    <w:rPr>
      <w:rFonts w:ascii="Calibri" w:hAnsi="Calibri" w:eastAsia="黑体" w:cstheme="majorBidi"/>
      <w:sz w:val="32"/>
    </w:rPr>
  </w:style>
  <w:style w:type="paragraph" w:styleId="27">
    <w:name w:val="toc 2"/>
    <w:basedOn w:val="1"/>
    <w:next w:val="1"/>
    <w:semiHidden/>
    <w:unhideWhenUsed/>
    <w:qFormat/>
    <w:uiPriority w:val="39"/>
    <w:pPr>
      <w:ind w:left="420" w:leftChars="200"/>
    </w:pPr>
  </w:style>
  <w:style w:type="paragraph" w:styleId="28">
    <w:name w:val="toc 9"/>
    <w:basedOn w:val="1"/>
    <w:next w:val="1"/>
    <w:unhideWhenUsed/>
    <w:qFormat/>
    <w:uiPriority w:val="39"/>
    <w:pPr>
      <w:ind w:left="3360" w:leftChars="1600"/>
    </w:pPr>
  </w:style>
  <w:style w:type="paragraph" w:styleId="29">
    <w:name w:val="Normal (Web)"/>
    <w:basedOn w:val="1"/>
    <w:qFormat/>
    <w:uiPriority w:val="99"/>
    <w:pPr>
      <w:spacing w:before="100" w:beforeAutospacing="1" w:after="100" w:afterAutospacing="1"/>
    </w:pPr>
    <w:rPr>
      <w:rFonts w:ascii="宋体" w:hAnsi="宋体" w:cs="宋体"/>
    </w:rPr>
  </w:style>
  <w:style w:type="paragraph" w:styleId="30">
    <w:name w:val="index 1"/>
    <w:basedOn w:val="1"/>
    <w:next w:val="1"/>
    <w:qFormat/>
    <w:uiPriority w:val="0"/>
  </w:style>
  <w:style w:type="paragraph" w:styleId="31">
    <w:name w:val="Title"/>
    <w:basedOn w:val="1"/>
    <w:next w:val="1"/>
    <w:link w:val="81"/>
    <w:qFormat/>
    <w:uiPriority w:val="10"/>
    <w:pPr>
      <w:spacing w:before="240" w:after="60"/>
      <w:jc w:val="center"/>
      <w:outlineLvl w:val="0"/>
    </w:pPr>
    <w:rPr>
      <w:rFonts w:asciiTheme="majorHAnsi" w:hAnsiTheme="majorHAnsi" w:eastAsiaTheme="majorEastAsia" w:cstheme="majorBidi"/>
      <w:b/>
      <w:bCs/>
      <w:kern w:val="28"/>
      <w:sz w:val="32"/>
      <w:szCs w:val="32"/>
    </w:rPr>
  </w:style>
  <w:style w:type="paragraph" w:styleId="32">
    <w:name w:val="annotation subject"/>
    <w:basedOn w:val="16"/>
    <w:next w:val="16"/>
    <w:link w:val="103"/>
    <w:semiHidden/>
    <w:unhideWhenUsed/>
    <w:qFormat/>
    <w:uiPriority w:val="99"/>
    <w:rPr>
      <w:b/>
      <w:bCs/>
    </w:rPr>
  </w:style>
  <w:style w:type="paragraph" w:styleId="33">
    <w:name w:val="Body Text First Indent"/>
    <w:basedOn w:val="17"/>
    <w:qFormat/>
    <w:uiPriority w:val="0"/>
    <w:pPr>
      <w:spacing w:line="300" w:lineRule="auto"/>
      <w:ind w:firstLine="602"/>
    </w:pPr>
  </w:style>
  <w:style w:type="paragraph" w:styleId="34">
    <w:name w:val="Body Text First Indent 2"/>
    <w:basedOn w:val="18"/>
    <w:next w:val="12"/>
    <w:qFormat/>
    <w:uiPriority w:val="0"/>
    <w:pPr>
      <w:ind w:firstLine="420"/>
    </w:pPr>
  </w:style>
  <w:style w:type="table" w:styleId="36">
    <w:name w:val="Table Grid"/>
    <w:basedOn w:val="3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8">
    <w:name w:val="Strong"/>
    <w:basedOn w:val="37"/>
    <w:qFormat/>
    <w:uiPriority w:val="22"/>
    <w:rPr>
      <w:b/>
      <w:bCs/>
    </w:rPr>
  </w:style>
  <w:style w:type="character" w:styleId="39">
    <w:name w:val="page number"/>
    <w:basedOn w:val="37"/>
    <w:qFormat/>
    <w:uiPriority w:val="0"/>
    <w:rPr>
      <w:rFonts w:ascii="Times New Roman" w:hAnsi="Times New Roman" w:eastAsia="宋体" w:cs="Times New Roman"/>
    </w:rPr>
  </w:style>
  <w:style w:type="character" w:styleId="40">
    <w:name w:val="FollowedHyperlink"/>
    <w:basedOn w:val="37"/>
    <w:semiHidden/>
    <w:unhideWhenUsed/>
    <w:qFormat/>
    <w:uiPriority w:val="99"/>
    <w:rPr>
      <w:color w:val="954F72" w:themeColor="followedHyperlink"/>
      <w:u w:val="single"/>
      <w14:textFill>
        <w14:solidFill>
          <w14:schemeClr w14:val="folHlink"/>
        </w14:solidFill>
      </w14:textFill>
    </w:rPr>
  </w:style>
  <w:style w:type="character" w:styleId="41">
    <w:name w:val="Emphasis"/>
    <w:basedOn w:val="37"/>
    <w:qFormat/>
    <w:uiPriority w:val="20"/>
    <w:rPr>
      <w:rFonts w:asciiTheme="minorHAnsi" w:hAnsiTheme="minorHAnsi"/>
      <w:b/>
      <w:i/>
      <w:iCs/>
    </w:rPr>
  </w:style>
  <w:style w:type="character" w:styleId="42">
    <w:name w:val="Hyperlink"/>
    <w:basedOn w:val="37"/>
    <w:unhideWhenUsed/>
    <w:qFormat/>
    <w:uiPriority w:val="99"/>
    <w:rPr>
      <w:color w:val="0563C1" w:themeColor="hyperlink"/>
      <w:u w:val="single"/>
      <w14:textFill>
        <w14:solidFill>
          <w14:schemeClr w14:val="hlink"/>
        </w14:solidFill>
      </w14:textFill>
    </w:rPr>
  </w:style>
  <w:style w:type="character" w:styleId="43">
    <w:name w:val="annotation reference"/>
    <w:basedOn w:val="37"/>
    <w:semiHidden/>
    <w:unhideWhenUsed/>
    <w:qFormat/>
    <w:uiPriority w:val="99"/>
    <w:rPr>
      <w:sz w:val="21"/>
      <w:szCs w:val="21"/>
    </w:rPr>
  </w:style>
  <w:style w:type="paragraph" w:customStyle="1" w:styleId="44">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45">
    <w:name w:val="无间隔1"/>
    <w:qFormat/>
    <w:uiPriority w:val="99"/>
    <w:pPr>
      <w:widowControl w:val="0"/>
      <w:jc w:val="both"/>
    </w:pPr>
    <w:rPr>
      <w:rFonts w:ascii="Calibri" w:hAnsi="Calibri" w:eastAsia="宋体" w:cs="Calibri"/>
      <w:kern w:val="2"/>
      <w:sz w:val="21"/>
      <w:szCs w:val="21"/>
      <w:lang w:val="en-US" w:eastAsia="zh-CN" w:bidi="ar-SA"/>
    </w:rPr>
  </w:style>
  <w:style w:type="paragraph" w:customStyle="1" w:styleId="46">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47">
    <w:name w:val="列出段落1"/>
    <w:basedOn w:val="1"/>
    <w:qFormat/>
    <w:uiPriority w:val="99"/>
    <w:pPr>
      <w:ind w:firstLine="420" w:firstLineChars="200"/>
    </w:pPr>
    <w:rPr>
      <w:szCs w:val="24"/>
    </w:rPr>
  </w:style>
  <w:style w:type="paragraph" w:customStyle="1" w:styleId="48">
    <w:name w:val="Normal Indent1"/>
    <w:basedOn w:val="1"/>
    <w:qFormat/>
    <w:uiPriority w:val="99"/>
    <w:pPr>
      <w:ind w:firstLine="880" w:firstLineChars="200"/>
    </w:pPr>
  </w:style>
  <w:style w:type="paragraph" w:customStyle="1" w:styleId="49">
    <w:name w:val="※封面大标题"/>
    <w:basedOn w:val="1"/>
    <w:next w:val="1"/>
    <w:qFormat/>
    <w:uiPriority w:val="0"/>
    <w:pPr>
      <w:jc w:val="center"/>
    </w:pPr>
    <w:rPr>
      <w:rFonts w:ascii="华文中宋" w:hAnsi="华文中宋" w:eastAsia="华文中宋"/>
      <w:sz w:val="96"/>
      <w:szCs w:val="96"/>
    </w:rPr>
  </w:style>
  <w:style w:type="paragraph" w:customStyle="1" w:styleId="50">
    <w:name w:val="※封面题颌"/>
    <w:basedOn w:val="1"/>
    <w:next w:val="1"/>
    <w:qFormat/>
    <w:uiPriority w:val="0"/>
    <w:pPr>
      <w:jc w:val="center"/>
    </w:pPr>
    <w:rPr>
      <w:rFonts w:ascii="Calibri Light" w:hAnsi="Calibri Light" w:eastAsia="华文仿宋"/>
      <w:sz w:val="36"/>
      <w:szCs w:val="36"/>
    </w:rPr>
  </w:style>
  <w:style w:type="paragraph" w:customStyle="1" w:styleId="51">
    <w:name w:val="※封面题眉"/>
    <w:basedOn w:val="1"/>
    <w:next w:val="49"/>
    <w:qFormat/>
    <w:uiPriority w:val="0"/>
    <w:pPr>
      <w:jc w:val="center"/>
    </w:pPr>
    <w:rPr>
      <w:rFonts w:ascii="华文仿宋" w:hAnsi="华文仿宋" w:eastAsia="华文仿宋"/>
      <w:sz w:val="52"/>
      <w:szCs w:val="28"/>
    </w:rPr>
  </w:style>
  <w:style w:type="paragraph" w:customStyle="1" w:styleId="52">
    <w:name w:val="※封面题须"/>
    <w:basedOn w:val="1"/>
    <w:qFormat/>
    <w:uiPriority w:val="0"/>
    <w:pPr>
      <w:ind w:left="850" w:leftChars="350" w:right="250" w:rightChars="250" w:hanging="500" w:hangingChars="500"/>
    </w:pPr>
    <w:rPr>
      <w:rFonts w:ascii="Calibri" w:hAnsi="Calibri" w:eastAsia="宋体"/>
      <w:sz w:val="36"/>
      <w:szCs w:val="36"/>
    </w:rPr>
  </w:style>
  <w:style w:type="paragraph" w:customStyle="1" w:styleId="53">
    <w:name w:val="※目录（次）"/>
    <w:basedOn w:val="1"/>
    <w:qFormat/>
    <w:uiPriority w:val="0"/>
    <w:pPr>
      <w:tabs>
        <w:tab w:val="right" w:leader="hyphen" w:pos="8400"/>
      </w:tabs>
      <w:wordWrap w:val="0"/>
      <w:ind w:left="700" w:leftChars="200" w:right="300" w:rightChars="300" w:hanging="500" w:hangingChars="500"/>
    </w:pPr>
    <w:rPr>
      <w:rFonts w:ascii="Calibri Light" w:hAnsi="Calibri Light" w:eastAsia="华文仿宋"/>
      <w:sz w:val="36"/>
      <w:szCs w:val="28"/>
    </w:rPr>
  </w:style>
  <w:style w:type="paragraph" w:customStyle="1" w:styleId="54">
    <w:name w:val="※目录（主）"/>
    <w:basedOn w:val="1"/>
    <w:qFormat/>
    <w:uiPriority w:val="0"/>
    <w:pPr>
      <w:tabs>
        <w:tab w:val="right" w:leader="hyphen" w:pos="8400"/>
      </w:tabs>
      <w:spacing w:afterLines="100" w:line="400" w:lineRule="exact"/>
      <w:ind w:left="200" w:leftChars="200" w:right="200" w:rightChars="200" w:hanging="499" w:hangingChars="400"/>
    </w:pPr>
    <w:rPr>
      <w:rFonts w:ascii="Calibri Light" w:hAnsi="Calibri Light" w:eastAsia="华文仿宋"/>
      <w:sz w:val="36"/>
      <w:szCs w:val="36"/>
    </w:rPr>
  </w:style>
  <w:style w:type="paragraph" w:customStyle="1" w:styleId="55">
    <w:name w:val="※小标题 1"/>
    <w:basedOn w:val="1"/>
    <w:next w:val="1"/>
    <w:qFormat/>
    <w:uiPriority w:val="0"/>
    <w:pPr>
      <w:wordWrap w:val="0"/>
      <w:spacing w:before="20" w:after="20" w:line="400" w:lineRule="exact"/>
      <w:ind w:firstLine="200" w:firstLineChars="200"/>
      <w:outlineLvl w:val="4"/>
    </w:pPr>
    <w:rPr>
      <w:rFonts w:ascii="Calibri Light" w:hAnsi="Calibri Light" w:eastAsia="华文仿宋"/>
      <w:b/>
      <w:sz w:val="28"/>
      <w:szCs w:val="28"/>
    </w:rPr>
  </w:style>
  <w:style w:type="paragraph" w:customStyle="1" w:styleId="56">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57">
    <w:name w:val="※小标题 一"/>
    <w:basedOn w:val="56"/>
    <w:next w:val="56"/>
    <w:qFormat/>
    <w:uiPriority w:val="0"/>
    <w:pPr>
      <w:spacing w:before="120" w:line="240" w:lineRule="auto"/>
      <w:outlineLvl w:val="2"/>
    </w:pPr>
    <w:rPr>
      <w:b/>
      <w:color w:val="203864" w:themeColor="accent5" w:themeShade="80"/>
      <w:sz w:val="32"/>
    </w:rPr>
  </w:style>
  <w:style w:type="paragraph" w:customStyle="1" w:styleId="58">
    <w:name w:val="※小标题（1）"/>
    <w:basedOn w:val="1"/>
    <w:next w:val="56"/>
    <w:qFormat/>
    <w:uiPriority w:val="0"/>
    <w:pPr>
      <w:wordWrap w:val="0"/>
      <w:spacing w:line="400" w:lineRule="exact"/>
      <w:ind w:firstLine="200" w:firstLineChars="200"/>
      <w:outlineLvl w:val="5"/>
    </w:pPr>
    <w:rPr>
      <w:rFonts w:ascii="Calibri Light" w:hAnsi="Calibri Light" w:eastAsia="华文仿宋"/>
      <w:b/>
      <w:sz w:val="28"/>
      <w:szCs w:val="28"/>
    </w:rPr>
  </w:style>
  <w:style w:type="paragraph" w:customStyle="1" w:styleId="59">
    <w:name w:val="※小标题（一）"/>
    <w:basedOn w:val="1"/>
    <w:next w:val="56"/>
    <w:qFormat/>
    <w:uiPriority w:val="0"/>
    <w:pPr>
      <w:wordWrap w:val="0"/>
      <w:spacing w:before="60" w:after="60" w:line="400" w:lineRule="exact"/>
      <w:ind w:firstLine="200" w:firstLineChars="200"/>
      <w:outlineLvl w:val="3"/>
    </w:pPr>
    <w:rPr>
      <w:rFonts w:ascii="Calibri Light" w:hAnsi="Calibri Light" w:eastAsia="华文仿宋"/>
      <w:b/>
      <w:sz w:val="28"/>
      <w:szCs w:val="28"/>
    </w:rPr>
  </w:style>
  <w:style w:type="paragraph" w:customStyle="1" w:styleId="60">
    <w:name w:val="※页脚（横屏）"/>
    <w:basedOn w:val="1"/>
    <w:qFormat/>
    <w:uiPriority w:val="0"/>
    <w:pPr>
      <w:tabs>
        <w:tab w:val="center" w:pos="7000"/>
      </w:tabs>
      <w:wordWrap w:val="0"/>
      <w:spacing w:line="240" w:lineRule="atLeast"/>
    </w:pPr>
    <w:rPr>
      <w:rFonts w:ascii="宋体" w:hAnsi="宋体" w:eastAsia="宋体"/>
      <w:sz w:val="18"/>
      <w:szCs w:val="18"/>
    </w:rPr>
  </w:style>
  <w:style w:type="paragraph" w:customStyle="1" w:styleId="61">
    <w:name w:val="※页脚（竖屏）"/>
    <w:basedOn w:val="1"/>
    <w:qFormat/>
    <w:uiPriority w:val="0"/>
    <w:pPr>
      <w:tabs>
        <w:tab w:val="center" w:pos="4536"/>
      </w:tabs>
      <w:wordWrap w:val="0"/>
      <w:spacing w:line="240" w:lineRule="atLeast"/>
    </w:pPr>
    <w:rPr>
      <w:rFonts w:ascii="宋体" w:hAnsi="宋体" w:eastAsia="宋体"/>
      <w:sz w:val="18"/>
      <w:szCs w:val="18"/>
    </w:rPr>
  </w:style>
  <w:style w:type="paragraph" w:customStyle="1" w:styleId="62">
    <w:name w:val="※页眉"/>
    <w:basedOn w:val="56"/>
    <w:qFormat/>
    <w:uiPriority w:val="0"/>
    <w:pPr>
      <w:pBdr>
        <w:bottom w:val="single" w:color="auto" w:sz="4" w:space="1"/>
      </w:pBdr>
      <w:spacing w:line="240" w:lineRule="atLeast"/>
      <w:jc w:val="right"/>
    </w:pPr>
    <w:rPr>
      <w:rFonts w:ascii="宋体" w:hAnsi="宋体" w:eastAsia="宋体"/>
      <w:sz w:val="18"/>
    </w:rPr>
  </w:style>
  <w:style w:type="paragraph" w:customStyle="1" w:styleId="63">
    <w:name w:val="※章节标题（第X章）"/>
    <w:basedOn w:val="1"/>
    <w:qFormat/>
    <w:uiPriority w:val="0"/>
    <w:pPr>
      <w:jc w:val="center"/>
      <w:outlineLvl w:val="0"/>
    </w:pPr>
    <w:rPr>
      <w:rFonts w:ascii="Calibri Light" w:hAnsi="Calibri Light" w:eastAsia="黑体"/>
      <w:sz w:val="36"/>
      <w:szCs w:val="28"/>
    </w:rPr>
  </w:style>
  <w:style w:type="paragraph" w:customStyle="1" w:styleId="64">
    <w:name w:val="※章节标题（第Y部分）"/>
    <w:basedOn w:val="1"/>
    <w:next w:val="1"/>
    <w:qFormat/>
    <w:uiPriority w:val="0"/>
    <w:pPr>
      <w:jc w:val="center"/>
      <w:outlineLvl w:val="1"/>
    </w:pPr>
    <w:rPr>
      <w:rFonts w:ascii="Calibri Light" w:hAnsi="Calibri Light" w:eastAsia="黑体"/>
      <w:color w:val="1F4E79" w:themeColor="accent1" w:themeShade="80"/>
      <w:sz w:val="32"/>
      <w:szCs w:val="36"/>
    </w:rPr>
  </w:style>
  <w:style w:type="paragraph" w:customStyle="1" w:styleId="65">
    <w:name w:val="※章节标题（第Z部分分项）"/>
    <w:basedOn w:val="64"/>
    <w:qFormat/>
    <w:uiPriority w:val="0"/>
    <w:pPr>
      <w:outlineLvl w:val="2"/>
    </w:pPr>
  </w:style>
  <w:style w:type="paragraph" w:customStyle="1" w:styleId="66">
    <w:name w:val="※正文（落款）"/>
    <w:basedOn w:val="1"/>
    <w:qFormat/>
    <w:uiPriority w:val="0"/>
    <w:pPr>
      <w:tabs>
        <w:tab w:val="center" w:pos="6663"/>
      </w:tabs>
      <w:wordWrap w:val="0"/>
      <w:spacing w:line="240" w:lineRule="atLeast"/>
    </w:pPr>
    <w:rPr>
      <w:rFonts w:ascii="Calibri Light" w:hAnsi="Calibri Light" w:eastAsia="华文仿宋"/>
      <w:sz w:val="28"/>
      <w:szCs w:val="28"/>
    </w:rPr>
  </w:style>
  <w:style w:type="paragraph" w:customStyle="1" w:styleId="67">
    <w:name w:val="※正文（缩进2）"/>
    <w:basedOn w:val="56"/>
    <w:qFormat/>
    <w:uiPriority w:val="0"/>
    <w:pPr>
      <w:ind w:firstLine="200" w:firstLineChars="200"/>
    </w:pPr>
  </w:style>
  <w:style w:type="paragraph" w:customStyle="1" w:styleId="68">
    <w:name w:val="※正文（缩进4）"/>
    <w:basedOn w:val="56"/>
    <w:qFormat/>
    <w:uiPriority w:val="0"/>
    <w:pPr>
      <w:ind w:firstLine="400" w:firstLineChars="400"/>
    </w:pPr>
  </w:style>
  <w:style w:type="character" w:customStyle="1" w:styleId="69">
    <w:name w:val="日期 Char"/>
    <w:basedOn w:val="37"/>
    <w:link w:val="21"/>
    <w:semiHidden/>
    <w:qFormat/>
    <w:uiPriority w:val="99"/>
    <w:rPr>
      <w:rFonts w:ascii="华文仿宋" w:hAnsi="华文仿宋" w:eastAsia="华文仿宋"/>
      <w:sz w:val="28"/>
      <w:szCs w:val="28"/>
    </w:rPr>
  </w:style>
  <w:style w:type="character" w:customStyle="1" w:styleId="70">
    <w:name w:val="页眉 Char"/>
    <w:basedOn w:val="37"/>
    <w:link w:val="24"/>
    <w:qFormat/>
    <w:uiPriority w:val="0"/>
    <w:rPr>
      <w:rFonts w:ascii="华文仿宋" w:hAnsi="华文仿宋" w:eastAsia="华文仿宋"/>
      <w:sz w:val="18"/>
      <w:szCs w:val="18"/>
    </w:rPr>
  </w:style>
  <w:style w:type="character" w:customStyle="1" w:styleId="71">
    <w:name w:val="页脚 Char"/>
    <w:basedOn w:val="37"/>
    <w:link w:val="2"/>
    <w:qFormat/>
    <w:uiPriority w:val="99"/>
    <w:rPr>
      <w:rFonts w:ascii="华文仿宋" w:hAnsi="华文仿宋" w:eastAsia="华文仿宋"/>
      <w:sz w:val="18"/>
      <w:szCs w:val="18"/>
    </w:rPr>
  </w:style>
  <w:style w:type="character" w:customStyle="1" w:styleId="72">
    <w:name w:val="标题 1 Char"/>
    <w:basedOn w:val="37"/>
    <w:link w:val="3"/>
    <w:qFormat/>
    <w:uiPriority w:val="9"/>
    <w:rPr>
      <w:rFonts w:ascii="方正小标宋_GBK" w:hAnsi="方正小标宋_GBK" w:eastAsia="宋体"/>
      <w:b/>
      <w:sz w:val="44"/>
      <w:szCs w:val="44"/>
    </w:rPr>
  </w:style>
  <w:style w:type="character" w:customStyle="1" w:styleId="73">
    <w:name w:val="标题 2 Char"/>
    <w:basedOn w:val="37"/>
    <w:link w:val="4"/>
    <w:qFormat/>
    <w:uiPriority w:val="9"/>
    <w:rPr>
      <w:rFonts w:ascii="楷体" w:hAnsi="楷体" w:eastAsia="宋体"/>
      <w:b/>
      <w:sz w:val="36"/>
      <w:szCs w:val="32"/>
    </w:rPr>
  </w:style>
  <w:style w:type="character" w:customStyle="1" w:styleId="74">
    <w:name w:val="标题 3 Char"/>
    <w:basedOn w:val="37"/>
    <w:link w:val="5"/>
    <w:qFormat/>
    <w:uiPriority w:val="9"/>
    <w:rPr>
      <w:rFonts w:ascii="方正小标宋_GBK" w:hAnsi="方正小标宋_GBK" w:eastAsia="宋体"/>
      <w:b/>
      <w:sz w:val="32"/>
      <w:szCs w:val="36"/>
    </w:rPr>
  </w:style>
  <w:style w:type="character" w:customStyle="1" w:styleId="75">
    <w:name w:val="标题 4 Char"/>
    <w:basedOn w:val="37"/>
    <w:link w:val="6"/>
    <w:semiHidden/>
    <w:qFormat/>
    <w:uiPriority w:val="9"/>
    <w:rPr>
      <w:rFonts w:eastAsia="宋体" w:cstheme="majorBidi"/>
      <w:b/>
      <w:bCs/>
      <w:sz w:val="28"/>
      <w:szCs w:val="28"/>
    </w:rPr>
  </w:style>
  <w:style w:type="character" w:customStyle="1" w:styleId="76">
    <w:name w:val="标题 5 Char"/>
    <w:basedOn w:val="37"/>
    <w:link w:val="7"/>
    <w:semiHidden/>
    <w:qFormat/>
    <w:uiPriority w:val="9"/>
    <w:rPr>
      <w:rFonts w:ascii="宋体" w:hAnsi="宋体" w:eastAsia="宋体" w:cs="宋体"/>
      <w:b/>
      <w:bCs/>
      <w:sz w:val="24"/>
      <w:szCs w:val="24"/>
    </w:rPr>
  </w:style>
  <w:style w:type="character" w:customStyle="1" w:styleId="77">
    <w:name w:val="标题 6 Char"/>
    <w:basedOn w:val="37"/>
    <w:link w:val="8"/>
    <w:semiHidden/>
    <w:qFormat/>
    <w:uiPriority w:val="9"/>
    <w:rPr>
      <w:rFonts w:cstheme="majorBidi"/>
      <w:b/>
      <w:bCs/>
    </w:rPr>
  </w:style>
  <w:style w:type="character" w:customStyle="1" w:styleId="78">
    <w:name w:val="标题 7 Char"/>
    <w:basedOn w:val="37"/>
    <w:link w:val="9"/>
    <w:semiHidden/>
    <w:qFormat/>
    <w:uiPriority w:val="9"/>
    <w:rPr>
      <w:sz w:val="24"/>
      <w:szCs w:val="24"/>
    </w:rPr>
  </w:style>
  <w:style w:type="character" w:customStyle="1" w:styleId="79">
    <w:name w:val="标题 8 Char"/>
    <w:basedOn w:val="37"/>
    <w:link w:val="10"/>
    <w:semiHidden/>
    <w:qFormat/>
    <w:uiPriority w:val="9"/>
    <w:rPr>
      <w:rFonts w:cstheme="majorBidi"/>
      <w:i/>
      <w:iCs/>
      <w:sz w:val="24"/>
      <w:szCs w:val="24"/>
    </w:rPr>
  </w:style>
  <w:style w:type="character" w:customStyle="1" w:styleId="80">
    <w:name w:val="标题 9 Char"/>
    <w:basedOn w:val="37"/>
    <w:link w:val="11"/>
    <w:semiHidden/>
    <w:qFormat/>
    <w:uiPriority w:val="9"/>
    <w:rPr>
      <w:rFonts w:asciiTheme="majorHAnsi" w:hAnsiTheme="majorHAnsi" w:eastAsiaTheme="majorEastAsia" w:cstheme="majorBidi"/>
    </w:rPr>
  </w:style>
  <w:style w:type="character" w:customStyle="1" w:styleId="81">
    <w:name w:val="标题 Char"/>
    <w:basedOn w:val="37"/>
    <w:link w:val="31"/>
    <w:qFormat/>
    <w:uiPriority w:val="10"/>
    <w:rPr>
      <w:rFonts w:asciiTheme="majorHAnsi" w:hAnsiTheme="majorHAnsi" w:eastAsiaTheme="majorEastAsia" w:cstheme="majorBidi"/>
      <w:b/>
      <w:bCs/>
      <w:kern w:val="28"/>
      <w:sz w:val="32"/>
      <w:szCs w:val="32"/>
    </w:rPr>
  </w:style>
  <w:style w:type="character" w:customStyle="1" w:styleId="82">
    <w:name w:val="副标题 Char"/>
    <w:basedOn w:val="37"/>
    <w:link w:val="26"/>
    <w:qFormat/>
    <w:uiPriority w:val="11"/>
    <w:rPr>
      <w:rFonts w:ascii="Calibri" w:hAnsi="Calibri" w:eastAsia="黑体" w:cstheme="majorBidi"/>
      <w:sz w:val="32"/>
      <w:szCs w:val="24"/>
    </w:rPr>
  </w:style>
  <w:style w:type="paragraph" w:styleId="83">
    <w:name w:val="No Spacing"/>
    <w:basedOn w:val="1"/>
    <w:qFormat/>
    <w:uiPriority w:val="1"/>
    <w:rPr>
      <w:szCs w:val="32"/>
    </w:rPr>
  </w:style>
  <w:style w:type="paragraph" w:styleId="84">
    <w:name w:val="List Paragraph"/>
    <w:basedOn w:val="1"/>
    <w:qFormat/>
    <w:uiPriority w:val="0"/>
    <w:pPr>
      <w:ind w:left="720"/>
      <w:contextualSpacing/>
    </w:pPr>
  </w:style>
  <w:style w:type="paragraph" w:styleId="85">
    <w:name w:val="Quote"/>
    <w:basedOn w:val="1"/>
    <w:next w:val="1"/>
    <w:link w:val="86"/>
    <w:qFormat/>
    <w:uiPriority w:val="29"/>
    <w:rPr>
      <w:i/>
    </w:rPr>
  </w:style>
  <w:style w:type="character" w:customStyle="1" w:styleId="86">
    <w:name w:val="引用 Char"/>
    <w:basedOn w:val="37"/>
    <w:link w:val="85"/>
    <w:qFormat/>
    <w:uiPriority w:val="29"/>
    <w:rPr>
      <w:i/>
      <w:sz w:val="24"/>
      <w:szCs w:val="24"/>
    </w:rPr>
  </w:style>
  <w:style w:type="paragraph" w:styleId="87">
    <w:name w:val="Intense Quote"/>
    <w:basedOn w:val="1"/>
    <w:next w:val="1"/>
    <w:link w:val="88"/>
    <w:qFormat/>
    <w:uiPriority w:val="30"/>
    <w:pPr>
      <w:ind w:left="720" w:right="720"/>
    </w:pPr>
    <w:rPr>
      <w:b/>
      <w:i/>
      <w:szCs w:val="22"/>
    </w:rPr>
  </w:style>
  <w:style w:type="character" w:customStyle="1" w:styleId="88">
    <w:name w:val="明显引用 Char"/>
    <w:basedOn w:val="37"/>
    <w:link w:val="87"/>
    <w:qFormat/>
    <w:uiPriority w:val="30"/>
    <w:rPr>
      <w:b/>
      <w:i/>
      <w:sz w:val="24"/>
    </w:rPr>
  </w:style>
  <w:style w:type="character" w:customStyle="1" w:styleId="89">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90">
    <w:name w:val="明显强调1"/>
    <w:basedOn w:val="37"/>
    <w:qFormat/>
    <w:uiPriority w:val="21"/>
    <w:rPr>
      <w:b/>
      <w:i/>
      <w:sz w:val="24"/>
      <w:szCs w:val="24"/>
      <w:u w:val="single"/>
    </w:rPr>
  </w:style>
  <w:style w:type="character" w:customStyle="1" w:styleId="91">
    <w:name w:val="不明显参考1"/>
    <w:basedOn w:val="37"/>
    <w:qFormat/>
    <w:uiPriority w:val="31"/>
    <w:rPr>
      <w:sz w:val="24"/>
      <w:szCs w:val="24"/>
      <w:u w:val="single"/>
    </w:rPr>
  </w:style>
  <w:style w:type="character" w:customStyle="1" w:styleId="92">
    <w:name w:val="明显参考1"/>
    <w:basedOn w:val="37"/>
    <w:qFormat/>
    <w:uiPriority w:val="32"/>
    <w:rPr>
      <w:b/>
      <w:sz w:val="24"/>
      <w:u w:val="single"/>
    </w:rPr>
  </w:style>
  <w:style w:type="character" w:customStyle="1" w:styleId="93">
    <w:name w:val="书籍标题1"/>
    <w:basedOn w:val="37"/>
    <w:qFormat/>
    <w:uiPriority w:val="33"/>
    <w:rPr>
      <w:rFonts w:asciiTheme="majorHAnsi" w:hAnsiTheme="majorHAnsi" w:eastAsiaTheme="majorEastAsia"/>
      <w:b/>
      <w:i/>
      <w:sz w:val="24"/>
      <w:szCs w:val="24"/>
    </w:rPr>
  </w:style>
  <w:style w:type="paragraph" w:customStyle="1" w:styleId="94">
    <w:name w:val="TOC 标题1"/>
    <w:basedOn w:val="3"/>
    <w:next w:val="1"/>
    <w:semiHidden/>
    <w:unhideWhenUsed/>
    <w:qFormat/>
    <w:uiPriority w:val="39"/>
    <w:pPr>
      <w:outlineLvl w:val="9"/>
    </w:pPr>
  </w:style>
  <w:style w:type="character" w:customStyle="1" w:styleId="95">
    <w:name w:val="批注框文本 Char"/>
    <w:basedOn w:val="37"/>
    <w:link w:val="23"/>
    <w:semiHidden/>
    <w:qFormat/>
    <w:uiPriority w:val="99"/>
    <w:rPr>
      <w:sz w:val="18"/>
      <w:szCs w:val="18"/>
    </w:rPr>
  </w:style>
  <w:style w:type="character" w:customStyle="1" w:styleId="96">
    <w:name w:val="批注文字 Char"/>
    <w:basedOn w:val="37"/>
    <w:link w:val="16"/>
    <w:qFormat/>
    <w:uiPriority w:val="99"/>
    <w:rPr>
      <w:rFonts w:ascii="Calibri Light" w:hAnsi="Calibri Light" w:eastAsia="华文仿宋" w:cs="Calibri Light"/>
      <w:kern w:val="2"/>
      <w:sz w:val="28"/>
      <w:szCs w:val="28"/>
    </w:rPr>
  </w:style>
  <w:style w:type="paragraph" w:customStyle="1" w:styleId="97">
    <w:name w:val="@正文"/>
    <w:basedOn w:val="56"/>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98">
    <w:name w:val="@一级小标题"/>
    <w:basedOn w:val="1"/>
    <w:next w:val="97"/>
    <w:qFormat/>
    <w:uiPriority w:val="0"/>
    <w:pPr>
      <w:keepNext/>
      <w:spacing w:before="120" w:after="60"/>
      <w:outlineLvl w:val="2"/>
    </w:pPr>
    <w:rPr>
      <w:rFonts w:ascii="Calibri" w:hAnsi="Calibri" w:eastAsia="黑体"/>
      <w:kern w:val="28"/>
      <w:sz w:val="28"/>
    </w:rPr>
  </w:style>
  <w:style w:type="paragraph" w:customStyle="1" w:styleId="99">
    <w:name w:val="@标题"/>
    <w:basedOn w:val="1"/>
    <w:next w:val="97"/>
    <w:qFormat/>
    <w:uiPriority w:val="0"/>
    <w:pPr>
      <w:keepNext/>
      <w:spacing w:beforeLines="50" w:afterLines="50"/>
      <w:jc w:val="center"/>
      <w:outlineLvl w:val="1"/>
    </w:pPr>
    <w:rPr>
      <w:rFonts w:ascii="Calibri" w:hAnsi="Calibri" w:eastAsia="黑体"/>
      <w:kern w:val="32"/>
      <w:sz w:val="32"/>
    </w:rPr>
  </w:style>
  <w:style w:type="table" w:customStyle="1" w:styleId="100">
    <w:name w:val="网格型1"/>
    <w:basedOn w:val="35"/>
    <w:qFormat/>
    <w:uiPriority w:val="39"/>
    <w:pPr>
      <w:ind w:firstLine="200"/>
    </w:pPr>
    <w:rPr>
      <w:rFonts w:ascii="Calibri Light" w:hAnsi="Calibri Light" w:eastAsia="华文仿宋"/>
      <w:kern w:val="2"/>
      <w:sz w:val="28"/>
      <w:szCs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1">
    <w:name w:val="页眉 Char1"/>
    <w:basedOn w:val="37"/>
    <w:semiHidden/>
    <w:qFormat/>
    <w:uiPriority w:val="99"/>
    <w:rPr>
      <w:rFonts w:cs="Calibri Light"/>
      <w:sz w:val="18"/>
      <w:szCs w:val="18"/>
    </w:rPr>
  </w:style>
  <w:style w:type="character" w:customStyle="1" w:styleId="102">
    <w:name w:val="页脚 Char1"/>
    <w:basedOn w:val="37"/>
    <w:semiHidden/>
    <w:qFormat/>
    <w:uiPriority w:val="99"/>
    <w:rPr>
      <w:rFonts w:cs="Calibri Light"/>
      <w:sz w:val="18"/>
      <w:szCs w:val="18"/>
    </w:rPr>
  </w:style>
  <w:style w:type="character" w:customStyle="1" w:styleId="103">
    <w:name w:val="批注主题 Char"/>
    <w:basedOn w:val="96"/>
    <w:link w:val="32"/>
    <w:semiHidden/>
    <w:qFormat/>
    <w:uiPriority w:val="99"/>
    <w:rPr>
      <w:rFonts w:ascii="Calibri Light" w:hAnsi="Calibri Light" w:eastAsia="华文仿宋" w:cs="Calibri Light"/>
      <w:b/>
      <w:bCs/>
      <w:kern w:val="2"/>
      <w:sz w:val="28"/>
      <w:szCs w:val="28"/>
    </w:rPr>
  </w:style>
  <w:style w:type="character" w:customStyle="1" w:styleId="104">
    <w:name w:val="文档结构图 Char"/>
    <w:basedOn w:val="37"/>
    <w:link w:val="15"/>
    <w:semiHidden/>
    <w:qFormat/>
    <w:uiPriority w:val="99"/>
    <w:rPr>
      <w:rFonts w:ascii="宋体" w:hAnsi="Calibri Light" w:eastAsia="宋体" w:cs="Calibri Light"/>
      <w:kern w:val="2"/>
      <w:sz w:val="18"/>
      <w:szCs w:val="18"/>
    </w:rPr>
  </w:style>
  <w:style w:type="character" w:styleId="105">
    <w:name w:val="Placeholder Text"/>
    <w:basedOn w:val="37"/>
    <w:semiHidden/>
    <w:qFormat/>
    <w:uiPriority w:val="99"/>
    <w:rPr>
      <w:color w:val="808080"/>
    </w:rPr>
  </w:style>
  <w:style w:type="character" w:customStyle="1" w:styleId="106">
    <w:name w:val="未处理的提及1"/>
    <w:basedOn w:val="37"/>
    <w:semiHidden/>
    <w:unhideWhenUsed/>
    <w:qFormat/>
    <w:uiPriority w:val="99"/>
    <w:rPr>
      <w:color w:val="605E5C"/>
      <w:shd w:val="clear" w:color="auto" w:fill="E1DFDD"/>
    </w:rPr>
  </w:style>
  <w:style w:type="paragraph" w:customStyle="1" w:styleId="107">
    <w:name w:val="样式1"/>
    <w:basedOn w:val="5"/>
    <w:link w:val="109"/>
    <w:qFormat/>
    <w:uiPriority w:val="0"/>
    <w:pPr>
      <w:jc w:val="left"/>
    </w:pPr>
    <w:rPr>
      <w:rFonts w:eastAsia="楷体"/>
      <w:sz w:val="32"/>
    </w:rPr>
  </w:style>
  <w:style w:type="paragraph" w:customStyle="1" w:styleId="108">
    <w:name w:val="样式2"/>
    <w:basedOn w:val="99"/>
    <w:link w:val="111"/>
    <w:qFormat/>
    <w:uiPriority w:val="0"/>
    <w:pPr>
      <w:spacing w:line="560" w:lineRule="exact"/>
      <w:ind w:firstLine="643" w:firstLineChars="200"/>
      <w:jc w:val="both"/>
    </w:pPr>
    <w:rPr>
      <w:rFonts w:ascii="仿宋_GB2312" w:hAnsi="仿宋" w:eastAsia="仿宋_GB2312"/>
      <w:b/>
      <w:bCs/>
      <w:szCs w:val="32"/>
    </w:rPr>
  </w:style>
  <w:style w:type="character" w:customStyle="1" w:styleId="109">
    <w:name w:val="样式1 字符"/>
    <w:basedOn w:val="73"/>
    <w:link w:val="107"/>
    <w:qFormat/>
    <w:uiPriority w:val="0"/>
    <w:rPr>
      <w:rFonts w:ascii="方正小标宋_GBK" w:hAnsi="仿宋" w:eastAsia="楷体"/>
      <w:sz w:val="32"/>
      <w:szCs w:val="36"/>
    </w:rPr>
  </w:style>
  <w:style w:type="paragraph" w:customStyle="1" w:styleId="110">
    <w:name w:val="样式3"/>
    <w:basedOn w:val="1"/>
    <w:link w:val="112"/>
    <w:qFormat/>
    <w:uiPriority w:val="0"/>
    <w:pPr>
      <w:spacing w:line="560" w:lineRule="exact"/>
      <w:jc w:val="center"/>
    </w:pPr>
    <w:rPr>
      <w:rFonts w:ascii="方正小标宋_GBK" w:hAnsi="仿宋" w:eastAsia="方正小标宋_GBK"/>
      <w:sz w:val="36"/>
      <w:szCs w:val="36"/>
    </w:rPr>
  </w:style>
  <w:style w:type="character" w:customStyle="1" w:styleId="111">
    <w:name w:val="样式2 字符"/>
    <w:basedOn w:val="37"/>
    <w:link w:val="108"/>
    <w:qFormat/>
    <w:uiPriority w:val="0"/>
    <w:rPr>
      <w:rFonts w:ascii="仿宋_GB2312" w:hAnsi="仿宋" w:eastAsia="仿宋_GB2312"/>
      <w:b/>
      <w:bCs/>
      <w:kern w:val="32"/>
      <w:sz w:val="32"/>
      <w:szCs w:val="32"/>
    </w:rPr>
  </w:style>
  <w:style w:type="character" w:customStyle="1" w:styleId="112">
    <w:name w:val="样式3 字符"/>
    <w:basedOn w:val="37"/>
    <w:link w:val="110"/>
    <w:qFormat/>
    <w:uiPriority w:val="0"/>
    <w:rPr>
      <w:rFonts w:ascii="方正小标宋_GBK" w:hAnsi="仿宋" w:eastAsia="方正小标宋_GBK"/>
      <w:sz w:val="36"/>
      <w:szCs w:val="36"/>
    </w:rPr>
  </w:style>
  <w:style w:type="paragraph" w:customStyle="1" w:styleId="113">
    <w:name w:val="Table Paragraph"/>
    <w:basedOn w:val="1"/>
    <w:qFormat/>
    <w:uiPriority w:val="1"/>
  </w:style>
  <w:style w:type="paragraph" w:customStyle="1" w:styleId="114">
    <w:name w:val="纯文本1"/>
    <w:basedOn w:val="1"/>
    <w:qFormat/>
    <w:uiPriority w:val="0"/>
    <w:rPr>
      <w:rFonts w:ascii="宋体" w:hAnsi="Courier New" w:eastAsia="宋体"/>
      <w:szCs w:val="22"/>
    </w:rPr>
  </w:style>
  <w:style w:type="paragraph" w:customStyle="1" w:styleId="115">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116">
    <w:name w:val="WPSOffice手动目录 1"/>
    <w:qFormat/>
    <w:uiPriority w:val="0"/>
    <w:rPr>
      <w:rFonts w:ascii="Times New Roman" w:hAnsi="Times New Roman" w:eastAsia="宋体" w:cs="Times New Roman"/>
      <w:lang w:val="en-US" w:eastAsia="zh-CN" w:bidi="ar-SA"/>
    </w:rPr>
  </w:style>
  <w:style w:type="paragraph" w:customStyle="1" w:styleId="117">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18">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9">
    <w:name w:val="列出段落4"/>
    <w:basedOn w:val="1"/>
    <w:qFormat/>
    <w:uiPriority w:val="34"/>
    <w:pPr>
      <w:ind w:firstLine="420" w:firstLineChars="200"/>
    </w:pPr>
    <w:rPr>
      <w:rFonts w:cstheme="minorBidi"/>
      <w:szCs w:val="22"/>
    </w:rPr>
  </w:style>
  <w:style w:type="paragraph" w:customStyle="1" w:styleId="120">
    <w:name w:val="A正文"/>
    <w:basedOn w:val="1"/>
    <w:qFormat/>
    <w:uiPriority w:val="0"/>
    <w:pPr>
      <w:snapToGrid w:val="0"/>
      <w:spacing w:line="360" w:lineRule="auto"/>
      <w:ind w:firstLine="200" w:firstLineChars="200"/>
    </w:pPr>
    <w:rPr>
      <w:rFonts w:ascii="Times New Roman" w:hAnsi="Times New Roman"/>
      <w:lang w:eastAsia="en-US" w:bidi="en-US"/>
    </w:rPr>
  </w:style>
  <w:style w:type="paragraph" w:customStyle="1" w:styleId="121">
    <w:name w:val="缩进"/>
    <w:basedOn w:val="1"/>
    <w:qFormat/>
    <w:uiPriority w:val="0"/>
    <w:pPr>
      <w:spacing w:line="360" w:lineRule="auto"/>
      <w:ind w:firstLine="480" w:firstLineChars="200"/>
      <w:jc w:val="left"/>
    </w:pPr>
    <w:rPr>
      <w:rFonts w:ascii="Calibri" w:hAnsi="Calibri"/>
      <w:sz w:val="24"/>
      <w:szCs w:val="21"/>
    </w:rPr>
  </w:style>
  <w:style w:type="paragraph" w:customStyle="1" w:styleId="122">
    <w:name w:val="标题 41"/>
    <w:basedOn w:val="1"/>
    <w:qFormat/>
    <w:uiPriority w:val="1"/>
    <w:pPr>
      <w:ind w:left="1745"/>
      <w:jc w:val="left"/>
      <w:outlineLvl w:val="4"/>
    </w:pPr>
    <w:rPr>
      <w:rFonts w:ascii="宋体" w:hAnsi="宋体" w:eastAsia="宋体"/>
      <w:kern w:val="0"/>
      <w:sz w:val="26"/>
      <w:szCs w:val="26"/>
      <w:lang w:eastAsia="en-US"/>
    </w:rPr>
  </w:style>
  <w:style w:type="paragraph" w:customStyle="1" w:styleId="123">
    <w:name w:val="样式4-nj正文"/>
    <w:basedOn w:val="1"/>
    <w:qFormat/>
    <w:uiPriority w:val="0"/>
    <w:pPr>
      <w:spacing w:line="360" w:lineRule="auto"/>
      <w:ind w:left="420" w:firstLine="420"/>
    </w:pPr>
  </w:style>
  <w:style w:type="paragraph" w:customStyle="1" w:styleId="124">
    <w:name w:val="列表段落1"/>
    <w:basedOn w:val="1"/>
    <w:unhideWhenUsed/>
    <w:qFormat/>
    <w:uiPriority w:val="34"/>
    <w:pPr>
      <w:ind w:firstLine="420" w:firstLineChars="200"/>
    </w:pPr>
  </w:style>
  <w:style w:type="paragraph" w:customStyle="1" w:styleId="125">
    <w:name w:val="招标文件正文"/>
    <w:qFormat/>
    <w:uiPriority w:val="0"/>
    <w:pPr>
      <w:spacing w:before="120" w:after="120" w:line="300" w:lineRule="auto"/>
      <w:ind w:firstLine="200" w:firstLineChars="200"/>
    </w:pPr>
    <w:rPr>
      <w:rFonts w:ascii="宋体" w:hAnsi="Times New Roman" w:eastAsia="宋体" w:cs="Times New Roman"/>
      <w:spacing w:val="10"/>
      <w:w w:val="95"/>
      <w:sz w:val="21"/>
      <w:szCs w:val="22"/>
      <w:lang w:val="en-US" w:eastAsia="zh-CN" w:bidi="ar-SA"/>
    </w:rPr>
  </w:style>
  <w:style w:type="paragraph" w:customStyle="1" w:styleId="126">
    <w:name w:val="表格文本"/>
    <w:qFormat/>
    <w:uiPriority w:val="0"/>
    <w:pPr>
      <w:widowControl w:val="0"/>
      <w:adjustRightInd w:val="0"/>
      <w:snapToGrid w:val="0"/>
      <w:spacing w:beforeLines="50" w:afterLines="50"/>
      <w:jc w:val="left"/>
    </w:pPr>
    <w:rPr>
      <w:rFonts w:ascii="Arial" w:hAnsi="Arial" w:eastAsia="宋体" w:cs="Times New Roman"/>
      <w:kern w:val="2"/>
      <w:sz w:val="21"/>
      <w:szCs w:val="21"/>
      <w:lang w:val="en-US" w:eastAsia="zh-CN" w:bidi="ar-SA"/>
    </w:rPr>
  </w:style>
  <w:style w:type="paragraph" w:customStyle="1" w:styleId="127">
    <w:name w:val="样式 表格内内容 + 首行缩进:  0.85 厘米 段后: 7.8 磅"/>
    <w:qFormat/>
    <w:uiPriority w:val="0"/>
    <w:pPr>
      <w:widowControl/>
      <w:adjustRightInd/>
      <w:snapToGrid/>
      <w:spacing w:beforeLines="0" w:afterLines="0" w:line="360" w:lineRule="auto"/>
      <w:jc w:val="both"/>
    </w:pPr>
    <w:rPr>
      <w:rFonts w:ascii="宋体" w:hAnsi="宋体" w:eastAsia="宋体" w:cs="Times New Roman"/>
      <w:kern w:val="0"/>
      <w:sz w:val="21"/>
      <w:szCs w:val="20"/>
      <w:lang w:val="en-US" w:eastAsia="zh-CN" w:bidi="ar-SA"/>
    </w:rPr>
  </w:style>
  <w:style w:type="paragraph" w:customStyle="1" w:styleId="128">
    <w:name w:val="★B00.宋体小四"/>
    <w:qFormat/>
    <w:uiPriority w:val="0"/>
    <w:pPr>
      <w:widowControl w:val="0"/>
      <w:spacing w:line="360" w:lineRule="auto"/>
      <w:ind w:firstLine="420" w:firstLineChars="200"/>
      <w:jc w:val="both"/>
    </w:pPr>
    <w:rPr>
      <w:rFonts w:ascii="宋体" w:hAnsi="宋体" w:eastAsia="宋体" w:cs="Times New Roman"/>
      <w:kern w:val="2"/>
      <w:sz w:val="21"/>
      <w:szCs w:val="21"/>
      <w:lang w:val="en-US" w:eastAsia="zh-CN" w:bidi="ar-SA"/>
    </w:rPr>
  </w:style>
  <w:style w:type="paragraph" w:customStyle="1" w:styleId="129">
    <w:name w:val="A1.宋体小四→首行缩进"/>
    <w:qFormat/>
    <w:uiPriority w:val="0"/>
    <w:pPr>
      <w:widowControl w:val="0"/>
      <w:spacing w:before="60" w:after="60" w:line="360" w:lineRule="auto"/>
      <w:ind w:firstLine="480" w:firstLineChars="200"/>
      <w:jc w:val="both"/>
    </w:pPr>
    <w:rPr>
      <w:rFonts w:ascii="Times New Roman" w:hAnsi="Times New Roman" w:eastAsia="宋体" w:cs="Times New Roman"/>
      <w:kern w:val="24"/>
      <w:sz w:val="21"/>
      <w:szCs w:val="20"/>
      <w:lang w:val="en-US" w:eastAsia="zh-CN" w:bidi="ar-SA"/>
    </w:rPr>
  </w:style>
  <w:style w:type="character" w:customStyle="1" w:styleId="130">
    <w:name w:val="font01"/>
    <w:basedOn w:val="37"/>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6.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footer" Target="footer3.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127</Pages>
  <Words>25044</Words>
  <Characters>27606</Characters>
  <Lines>568</Lines>
  <Paragraphs>160</Paragraphs>
  <TotalTime>8</TotalTime>
  <ScaleCrop>false</ScaleCrop>
  <LinksUpToDate>false</LinksUpToDate>
  <CharactersWithSpaces>27769</CharactersWithSpaces>
  <Application>WPS Office_12.1.0.18909_F1E327BC-269C-435d-A152-05C5408002CA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2022-07-21T02:03:00Z</dcterms:created>
  <dc:creator>lenovo</dc:creator>
  <cp:lastModifiedBy>ZB</cp:lastModifiedBy>
  <cp:lastPrinted>2022-06-02T03:00:00Z</cp:lastPrinted>
  <dcterms:modified xsi:type="dcterms:W3CDTF">2024-11-06T03:27:12Z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2052-12.1.0.18909</vt:lpwstr>
  </property>
  <property fmtid="{D5CDD505-2E9C-101B-9397-08002B2CF9AE}" pid="3" name="ICV">
    <vt:lpwstr>080F4A324914443A8D761219A2EF2304_13</vt:lpwstr>
  </property>
</Properties>
</file>