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办事大厅业务办公电子设备硬件维修保障项目</w:t>
      </w:r>
    </w:p>
    <w:p>
      <w:pPr>
        <w:pStyle w:val="null3"/>
        <w:jc w:val="center"/>
        <w:outlineLvl w:val="2"/>
      </w:pPr>
      <w:r>
        <w:rPr>
          <w:sz w:val="28"/>
          <w:b/>
        </w:rPr>
        <w:t>采购项目编号：</w:t>
      </w:r>
      <w:r>
        <w:rPr>
          <w:sz w:val="28"/>
          <w:b/>
        </w:rPr>
        <w:t>SXYDY2024074</w:t>
      </w:r>
      <w:r>
        <w:br/>
      </w:r>
      <w:r>
        <w:br/>
      </w:r>
      <w:r>
        <w:br/>
      </w:r>
    </w:p>
    <w:p>
      <w:pPr>
        <w:pStyle w:val="null3"/>
        <w:jc w:val="center"/>
        <w:outlineLvl w:val="2"/>
      </w:pPr>
      <w:r>
        <w:rPr>
          <w:sz w:val="28"/>
          <w:b/>
        </w:rPr>
        <w:t>西安市不动产登记服务中心</w:t>
      </w:r>
    </w:p>
    <w:p>
      <w:pPr>
        <w:pStyle w:val="null3"/>
        <w:jc w:val="center"/>
        <w:outlineLvl w:val="2"/>
      </w:pPr>
      <w:r>
        <w:rPr>
          <w:sz w:val="28"/>
          <w:b/>
        </w:rPr>
        <w:t>陕西易道源项目管理有限公司</w:t>
      </w:r>
      <w:r>
        <w:rPr>
          <w:sz w:val="28"/>
          <w:b/>
        </w:rPr>
        <w:t>共同编制</w:t>
      </w:r>
    </w:p>
    <w:p>
      <w:pPr>
        <w:pStyle w:val="null3"/>
        <w:jc w:val="center"/>
        <w:outlineLvl w:val="2"/>
      </w:pPr>
      <w:r>
        <w:rPr>
          <w:sz w:val="28"/>
          <w:b/>
        </w:rPr>
        <w:t>2024年11月07日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陕西易道源项目管理有限公司</w:t>
      </w:r>
      <w:r>
        <w:rPr/>
        <w:t>（以下简称“代理机构”）受</w:t>
      </w:r>
      <w:r>
        <w:rPr/>
        <w:t>西安市不动产登记服务中心</w:t>
      </w:r>
      <w:r>
        <w:rPr/>
        <w:t>委托，拟对</w:t>
      </w:r>
      <w:r>
        <w:rPr/>
        <w:t>办事大厅业务办公电子设备硬件维修保障项目</w:t>
      </w:r>
      <w:r>
        <w:rPr/>
        <w:t>采用竞争性磋商采购方式进行采购，兹邀请供应商参加本项目的竞争性磋商。</w:t>
      </w:r>
    </w:p>
    <w:p>
      <w:pPr>
        <w:pStyle w:val="null3"/>
        <w:outlineLvl w:val="2"/>
      </w:pPr>
      <w:r>
        <w:rPr>
          <w:sz w:val="28"/>
          <w:b/>
        </w:rPr>
        <w:t>一、项目编号：</w:t>
      </w:r>
      <w:r>
        <w:rPr>
          <w:sz w:val="28"/>
          <w:b/>
        </w:rPr>
        <w:t>SXYDY2024074</w:t>
      </w:r>
    </w:p>
    <w:p>
      <w:pPr>
        <w:pStyle w:val="null3"/>
        <w:outlineLvl w:val="2"/>
      </w:pPr>
      <w:r>
        <w:rPr>
          <w:sz w:val="28"/>
          <w:b/>
        </w:rPr>
        <w:t>二、项目名称：</w:t>
      </w:r>
      <w:r>
        <w:rPr>
          <w:sz w:val="28"/>
          <w:b/>
        </w:rPr>
        <w:t>办事大厅业务办公电子设备硬件维修保障项目</w:t>
      </w:r>
    </w:p>
    <w:p>
      <w:pPr>
        <w:pStyle w:val="null3"/>
        <w:outlineLvl w:val="2"/>
      </w:pPr>
      <w:r>
        <w:rPr>
          <w:sz w:val="28"/>
          <w:b/>
        </w:rPr>
        <w:t>三、磋商项目简介</w:t>
      </w:r>
    </w:p>
    <w:p>
      <w:pPr>
        <w:pStyle w:val="null3"/>
        <w:ind w:firstLine="480"/>
      </w:pPr>
      <w:r>
        <w:rPr/>
        <w:t>随着中心登记业务数量增加，登记业务办公信息硬件运行稳定日益重要，为确保中心登记业务稳定开展，持续优化营商环境，对中心电子设备基础运行环境的可靠性、稳定性以及正常运行提出更高要求，为加强中心办事大厅业务办公机房电子信息设备硬件及中心全部固定资产账面业务办公电子设备硬件日常运行保障力度，减少宕机风险，确保各个设备及系统不间断运行，现启动2025年度办事大厅业务办公电子设备硬件维修保障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采购包1（办事大厅业务办公电子设备硬件维修保障项目）：属于专门面向中小企业采购。</w:t>
      </w:r>
    </w:p>
    <w:p>
      <w:pPr>
        <w:pStyle w:val="null3"/>
        <w:ind w:firstLine="480"/>
      </w:pPr>
      <w:r>
        <w:rPr/>
        <w:t>（三）本项目的特定资格要求：</w:t>
      </w:r>
    </w:p>
    <w:p>
      <w:pPr>
        <w:pStyle w:val="null3"/>
      </w:pPr>
      <w:r>
        <w:rPr/>
        <w:t>采购包1：</w:t>
      </w:r>
    </w:p>
    <w:p>
      <w:pPr>
        <w:pStyle w:val="null3"/>
      </w:pPr>
      <w:r>
        <w:rPr/>
        <w:t>1、主体资格证明：提供合格有效的法人或者其他组织的营业执照等证明文件，自然人的身份证明</w:t>
      </w:r>
    </w:p>
    <w:p>
      <w:pPr>
        <w:pStyle w:val="null3"/>
      </w:pPr>
      <w:r>
        <w:rPr/>
        <w:t>2、投标供应商应授权合法的人员参加投标全过程，其中法定代表人直接参加投标的，须出具法人身份证，并与营业执照上信息一致。法定代表人授权代表参加投标的，须出具法定代表人授权书及授权代表身份证：投标供应商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t>3、投标人信用信息查询：投标供应商未列入国家企业信用信息公示系统(http://www.gsxt.gov.cn/)中被列入严重违法失信企业名单、 “信用中国”网（http://www.creditchina.gov.cn/）中被列入失信被执行人名单；不处于“中国政府采购网”记录的“政府采购严重违法失信行为记录名单”中的禁止参加政府采购活动期间。（以采购人或采购代理机构开标当天查询结果为准）</w:t>
      </w:r>
    </w:p>
    <w:p>
      <w:pPr>
        <w:pStyle w:val="null3"/>
      </w:pPr>
      <w:r>
        <w:rPr/>
        <w:t>4、无重大违法记录的声明：供应商提供参加政府采购活动前三年内在经营活动中没有重大违法记录的声明</w:t>
      </w:r>
    </w:p>
    <w:p>
      <w:pPr>
        <w:pStyle w:val="null3"/>
      </w:pPr>
      <w:r>
        <w:rPr/>
        <w:t>5、财务审计报告或资信证明：提供2023年度经审计的供应商财务审计报告或者提供开标前六个月其基本账户开户银行出具的资信证明</w:t>
      </w:r>
    </w:p>
    <w:p>
      <w:pPr>
        <w:pStyle w:val="null3"/>
      </w:pPr>
      <w:r>
        <w:rPr/>
        <w:t>6、社保缴纳证明：供应商提供截止至开标时间前六个月任一月份的缴费凭据或社保机构开具的社会保险参保缴费情况证明；依法不需要缴纳社会保障资金的应提供相关文件证明</w:t>
      </w:r>
    </w:p>
    <w:p>
      <w:pPr>
        <w:pStyle w:val="null3"/>
      </w:pPr>
      <w:r>
        <w:rPr/>
        <w:t>7、税收缴纳证明：提供截止至开标时间前六个月任一月份的税收缴费凭据；依法免税的应提供相关文件证明承诺</w:t>
      </w:r>
    </w:p>
    <w:p>
      <w:pPr>
        <w:pStyle w:val="null3"/>
      </w:pPr>
      <w:r>
        <w:rPr/>
        <w:t>8、具备履行合同所必须的设备和专业技术能力的承诺：具备履行合同所必须的设备和专业技术能力的承诺</w:t>
      </w:r>
    </w:p>
    <w:p>
      <w:pPr>
        <w:pStyle w:val="null3"/>
      </w:pPr>
      <w:r>
        <w:rPr/>
        <w:t>9、本项目不接受联合体：本项目不接受联合体，需提供声明函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西安市不动产登记服务中心</w:t>
      </w:r>
    </w:p>
    <w:p>
      <w:pPr>
        <w:pStyle w:val="null3"/>
      </w:pPr>
      <w:r>
        <w:rPr/>
        <w:t xml:space="preserve"> 地址： </w:t>
      </w:r>
      <w:r>
        <w:rPr/>
        <w:t>朱雀大街中段朱雀云天大厦</w:t>
      </w:r>
    </w:p>
    <w:p>
      <w:pPr>
        <w:pStyle w:val="null3"/>
      </w:pPr>
      <w:r>
        <w:rPr/>
        <w:t xml:space="preserve"> 邮编： </w:t>
      </w:r>
      <w:r>
        <w:rPr/>
        <w:t>710061</w:t>
      </w:r>
    </w:p>
    <w:p>
      <w:pPr>
        <w:pStyle w:val="null3"/>
      </w:pPr>
      <w:r>
        <w:rPr/>
        <w:t xml:space="preserve"> 联系人： </w:t>
      </w:r>
      <w:r>
        <w:rPr/>
        <w:t>李建</w:t>
      </w:r>
    </w:p>
    <w:p>
      <w:pPr>
        <w:pStyle w:val="null3"/>
      </w:pPr>
      <w:r>
        <w:rPr/>
        <w:t xml:space="preserve"> 联系电话： </w:t>
      </w:r>
      <w:r>
        <w:rPr/>
        <w:t>85569560</w:t>
      </w:r>
    </w:p>
    <w:p>
      <w:pPr>
        <w:pStyle w:val="null3"/>
        <w:outlineLvl w:val="3"/>
      </w:pPr>
      <w:r>
        <w:rPr>
          <w:sz w:val="24"/>
          <w:b/>
        </w:rPr>
        <w:t>代理机构：</w:t>
      </w:r>
      <w:r>
        <w:rPr>
          <w:sz w:val="24"/>
          <w:b/>
        </w:rPr>
        <w:t>陕西易道源项目管理有限公司</w:t>
      </w:r>
    </w:p>
    <w:p>
      <w:pPr>
        <w:pStyle w:val="null3"/>
      </w:pPr>
      <w:r>
        <w:rPr/>
        <w:t xml:space="preserve"> 地址： </w:t>
      </w:r>
      <w:r>
        <w:rPr/>
        <w:t>西安市新城区新园产业大厦9楼C座</w:t>
      </w:r>
    </w:p>
    <w:p>
      <w:pPr>
        <w:pStyle w:val="null3"/>
      </w:pPr>
      <w:r>
        <w:rPr/>
        <w:t xml:space="preserve"> 邮编： </w:t>
      </w:r>
      <w:r>
        <w:rPr/>
        <w:t>710000</w:t>
      </w:r>
    </w:p>
    <w:p>
      <w:pPr>
        <w:pStyle w:val="null3"/>
      </w:pPr>
      <w:r>
        <w:rPr/>
        <w:t xml:space="preserve"> 联系人： </w:t>
      </w:r>
      <w:r>
        <w:rPr/>
        <w:t>刘工</w:t>
      </w:r>
    </w:p>
    <w:p>
      <w:pPr>
        <w:pStyle w:val="null3"/>
      </w:pPr>
      <w:r>
        <w:rPr/>
        <w:t xml:space="preserve"> 联系电话： </w:t>
      </w:r>
      <w:r>
        <w:rPr/>
        <w:t>029-89330233</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说明：合同签订前，乙方向采购代理机构缴纳成交金额10%的履约保证金，合同服务期满，甲乙双方完成项目验收后，退还乙方履约保证金。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按代理合同取费费率计取。具体收费金额将在成交公告中公布。代理服务费不足5000元按5000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西安市不动产登记服务中心</w:t>
      </w:r>
      <w:r>
        <w:rPr/>
        <w:t>和</w:t>
      </w:r>
      <w:r>
        <w:rPr/>
        <w:t>陕西易道源项目管理有限公司</w:t>
      </w:r>
      <w:r>
        <w:rPr/>
        <w:t>享有。对磋商文件中供应商参加本次政府采购活动应当具备的条件，磋商项目技术、服务、商务及其他要求，评审细则及标准由</w:t>
      </w:r>
      <w:r>
        <w:rPr/>
        <w:t>西安市不动产登记服务中心</w:t>
      </w:r>
      <w:r>
        <w:rPr/>
        <w:t>负责解释。除上述磋商文件内容，其他内容由</w:t>
      </w:r>
      <w:r>
        <w:rPr/>
        <w:t>陕西易道源项目管理有限公司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西安市不动产登记服务中心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陕西易道源项目管理有限公司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符合相关法律法规要求，满足采购人要求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陕西易道源项目管理有限公司</w:t>
      </w:r>
      <w:r>
        <w:rPr/>
        <w:t xml:space="preserve"> 负责答复；供应商对除采购需求外的采购文件的询问、质疑由</w:t>
      </w:r>
      <w:r>
        <w:rPr/>
        <w:t>陕西易道源项目管理有限公司</w:t>
      </w:r>
      <w:r>
        <w:rPr/>
        <w:t xml:space="preserve"> 负责答复；供应商对采购过程、采购结果的询问、质疑由 </w:t>
      </w:r>
      <w:r>
        <w:rPr/>
        <w:t>陕西易道源项目管理有限公司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联系人：刘工</w:t>
      </w:r>
    </w:p>
    <w:p>
      <w:pPr>
        <w:pStyle w:val="null3"/>
      </w:pPr>
      <w:r>
        <w:rPr/>
        <w:t>联系电话：029-89330233</w:t>
      </w:r>
    </w:p>
    <w:p>
      <w:pPr>
        <w:pStyle w:val="null3"/>
      </w:pPr>
      <w:r>
        <w:rPr/>
        <w:t>地址：西安市新城区新园产业大厦9楼C座</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随着中心登记业务数量增加，登记业务办公信息硬件运行稳定日益重要，为确保中心登记业务稳定开展，持续优化营商环境，对中心电子设备基础运行环境的可靠性、稳定性以及正常运行提出更高要求，为加强中心办事大厅业务办公机房电子信息设备硬件及中心全部固定资产账面业务办公电子设备硬件日常运行保障力度，减少宕机风险，确保各个设备及系统不间断运行，现启动2025年度办事大厅业务办公电子设备硬件维修保障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电子设备硬件运维</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标的名称：电子设备硬件运维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维修保障内容</w:t>
            </w:r>
            <w:r>
              <w:rPr>
                <w:rFonts w:ascii="calibri" w:hAnsi="calibri" w:cs="calibri" w:eastAsia="calibri"/>
              </w:rPr>
              <w:t>:</w:t>
            </w:r>
            <w:r>
              <w:rPr>
                <w:rFonts w:ascii="宋体" w:hAnsi="宋体" w:cs="宋体" w:eastAsia="宋体"/>
              </w:rPr>
              <w:t>办事大厅业务办公电子设备硬件，包括除办事大厅基础保障弱电系统、业务专用自助设备相关内容外，所有业务办公机房内系统设备硬件及中心全部固定资产账面业务办公电子设备硬件，包括但不限于部分设备硬件配件的保养、维修、更换等，合计约</w:t>
            </w:r>
            <w:r>
              <w:rPr>
                <w:rFonts w:ascii="calibri" w:hAnsi="calibri" w:cs="calibri" w:eastAsia="calibri"/>
              </w:rPr>
              <w:t xml:space="preserve">2000 </w:t>
            </w:r>
            <w:r>
              <w:rPr>
                <w:rFonts w:ascii="宋体" w:hAnsi="宋体" w:cs="宋体" w:eastAsia="宋体"/>
              </w:rPr>
              <w:t>项。</w:t>
            </w:r>
          </w:p>
          <w:p>
            <w:pPr>
              <w:pStyle w:val="null3"/>
            </w:pPr>
            <w:r>
              <w:rPr>
                <w:rFonts w:ascii="宋体" w:hAnsi="宋体" w:cs="宋体" w:eastAsia="宋体"/>
              </w:rPr>
              <w:t>项目参考标准：</w:t>
            </w:r>
          </w:p>
          <w:p>
            <w:pPr>
              <w:pStyle w:val="null3"/>
            </w:pPr>
            <w:r>
              <w:rPr>
                <w:rFonts w:ascii="calibri" w:hAnsi="calibri" w:cs="calibri" w:eastAsia="calibri"/>
              </w:rPr>
              <w:t>1</w:t>
            </w:r>
            <w:r>
              <w:rPr>
                <w:rFonts w:ascii="宋体" w:hAnsi="宋体" w:cs="宋体" w:eastAsia="宋体"/>
              </w:rPr>
              <w:t>、</w:t>
            </w:r>
            <w:r>
              <w:rPr>
                <w:rFonts w:ascii="宋体" w:hAnsi="宋体" w:cs="宋体" w:eastAsia="宋体"/>
              </w:rPr>
              <w:t>《数据中心设计规范》</w:t>
            </w:r>
            <w:r>
              <w:rPr>
                <w:rFonts w:ascii="calibri" w:hAnsi="calibri" w:cs="calibri" w:eastAsia="calibri"/>
              </w:rPr>
              <w:t>(GB 50174-2017)</w:t>
            </w:r>
            <w:r>
              <w:rPr>
                <w:rFonts w:ascii="宋体" w:hAnsi="宋体" w:cs="宋体" w:eastAsia="宋体"/>
              </w:rPr>
              <w:t>；</w:t>
            </w:r>
          </w:p>
          <w:p>
            <w:pPr>
              <w:pStyle w:val="null3"/>
            </w:pPr>
            <w:r>
              <w:rPr>
                <w:rFonts w:ascii="calibri" w:hAnsi="calibri" w:cs="calibri" w:eastAsia="calibri"/>
              </w:rPr>
              <w:t>2</w:t>
            </w:r>
            <w:r>
              <w:rPr>
                <w:rFonts w:ascii="宋体" w:hAnsi="宋体" w:cs="宋体" w:eastAsia="宋体"/>
              </w:rPr>
              <w:t>、《计算机机房用活动地板技术条件》</w:t>
            </w:r>
            <w:r>
              <w:rPr>
                <w:rFonts w:ascii="calibri" w:hAnsi="calibri" w:cs="calibri" w:eastAsia="calibri"/>
              </w:rPr>
              <w:t>(GB6650-86)</w:t>
            </w:r>
            <w:r>
              <w:rPr>
                <w:rFonts w:ascii="宋体" w:hAnsi="宋体" w:cs="宋体" w:eastAsia="宋体"/>
              </w:rPr>
              <w:t>；</w:t>
            </w:r>
          </w:p>
          <w:p>
            <w:pPr>
              <w:pStyle w:val="null3"/>
            </w:pPr>
            <w:r>
              <w:rPr>
                <w:rFonts w:ascii="calibri" w:hAnsi="calibri" w:cs="calibri" w:eastAsia="calibri"/>
              </w:rPr>
              <w:t>3</w:t>
            </w:r>
            <w:r>
              <w:rPr>
                <w:rFonts w:ascii="宋体" w:hAnsi="宋体" w:cs="宋体" w:eastAsia="宋体"/>
              </w:rPr>
              <w:t>、</w:t>
            </w:r>
            <w:r>
              <w:rPr>
                <w:rFonts w:ascii="宋体" w:hAnsi="宋体" w:cs="宋体" w:eastAsia="宋体"/>
              </w:rPr>
              <w:t>《火灾自动报警系统设计规范》</w:t>
            </w:r>
            <w:r>
              <w:rPr>
                <w:rFonts w:ascii="calibri" w:hAnsi="calibri" w:cs="calibri" w:eastAsia="calibri"/>
              </w:rPr>
              <w:t>(GB50116-2008)</w:t>
            </w:r>
            <w:r>
              <w:rPr>
                <w:rFonts w:ascii="宋体" w:hAnsi="宋体" w:cs="宋体" w:eastAsia="宋体"/>
              </w:rPr>
              <w:t>；</w:t>
            </w:r>
          </w:p>
          <w:p>
            <w:pPr>
              <w:pStyle w:val="null3"/>
            </w:pPr>
            <w:r>
              <w:rPr>
                <w:rFonts w:ascii="calibri" w:hAnsi="calibri" w:cs="calibri" w:eastAsia="calibri"/>
              </w:rPr>
              <w:t>4</w:t>
            </w:r>
            <w:r>
              <w:rPr>
                <w:rFonts w:ascii="宋体" w:hAnsi="宋体" w:cs="宋体" w:eastAsia="宋体"/>
              </w:rPr>
              <w:t>、《气体灭火系统设计规范》</w:t>
            </w:r>
            <w:r>
              <w:rPr>
                <w:rFonts w:ascii="calibri" w:hAnsi="calibri" w:cs="calibri" w:eastAsia="calibri"/>
              </w:rPr>
              <w:t>(GB 50370-2005)</w:t>
            </w:r>
            <w:r>
              <w:rPr>
                <w:rFonts w:ascii="宋体" w:hAnsi="宋体" w:cs="宋体" w:eastAsia="宋体"/>
              </w:rPr>
              <w:t>；</w:t>
            </w:r>
          </w:p>
          <w:p>
            <w:pPr>
              <w:pStyle w:val="null3"/>
            </w:pPr>
            <w:r>
              <w:rPr>
                <w:rFonts w:ascii="calibri" w:hAnsi="calibri" w:cs="calibri" w:eastAsia="calibri"/>
              </w:rPr>
              <w:t>5</w:t>
            </w:r>
            <w:r>
              <w:rPr>
                <w:rFonts w:ascii="宋体" w:hAnsi="宋体" w:cs="宋体" w:eastAsia="宋体"/>
              </w:rPr>
              <w:t>、</w:t>
            </w:r>
            <w:r>
              <w:rPr>
                <w:rFonts w:ascii="宋体" w:hAnsi="宋体" w:cs="宋体" w:eastAsia="宋体"/>
              </w:rPr>
              <w:t>《供配电系统设计规范》</w:t>
            </w:r>
            <w:r>
              <w:rPr>
                <w:rFonts w:ascii="calibri" w:hAnsi="calibri" w:cs="calibri" w:eastAsia="calibri"/>
              </w:rPr>
              <w:t>(GB50052-2009)</w:t>
            </w:r>
            <w:r>
              <w:rPr>
                <w:rFonts w:ascii="宋体" w:hAnsi="宋体" w:cs="宋体" w:eastAsia="宋体"/>
              </w:rPr>
              <w:t>；</w:t>
            </w:r>
          </w:p>
          <w:p>
            <w:pPr>
              <w:pStyle w:val="null3"/>
            </w:pPr>
            <w:r>
              <w:rPr>
                <w:rFonts w:ascii="calibri" w:hAnsi="calibri" w:cs="calibri" w:eastAsia="calibri"/>
              </w:rPr>
              <w:t>6</w:t>
            </w:r>
            <w:r>
              <w:rPr>
                <w:rFonts w:ascii="宋体" w:hAnsi="宋体" w:cs="宋体" w:eastAsia="宋体"/>
              </w:rPr>
              <w:t>、</w:t>
            </w:r>
            <w:r>
              <w:rPr>
                <w:rFonts w:ascii="宋体" w:hAnsi="宋体" w:cs="宋体" w:eastAsia="宋体"/>
              </w:rPr>
              <w:t>《综合布线系统工程设计规范》</w:t>
            </w:r>
            <w:r>
              <w:rPr>
                <w:rFonts w:ascii="calibri" w:hAnsi="calibri" w:cs="calibri" w:eastAsia="calibri"/>
              </w:rPr>
              <w:t>(GB50311-2007)</w:t>
            </w:r>
            <w:r>
              <w:rPr>
                <w:rFonts w:ascii="宋体" w:hAnsi="宋体" w:cs="宋体" w:eastAsia="宋体"/>
              </w:rPr>
              <w:t>；</w:t>
            </w:r>
          </w:p>
          <w:p>
            <w:pPr>
              <w:pStyle w:val="null3"/>
            </w:pPr>
            <w:r>
              <w:rPr>
                <w:rFonts w:ascii="calibri" w:hAnsi="calibri" w:cs="calibri" w:eastAsia="calibri"/>
              </w:rPr>
              <w:t>7</w:t>
            </w:r>
            <w:r>
              <w:rPr>
                <w:rFonts w:ascii="宋体" w:hAnsi="宋体" w:cs="宋体" w:eastAsia="宋体"/>
              </w:rPr>
              <w:t>、机房运行环境参考参数</w:t>
            </w:r>
            <w:r>
              <w:rPr>
                <w:rFonts w:ascii="宋体" w:hAnsi="宋体" w:cs="宋体" w:eastAsia="宋体"/>
              </w:rPr>
              <w:t>：</w:t>
            </w:r>
          </w:p>
          <w:p>
            <w:pPr>
              <w:pStyle w:val="null3"/>
            </w:pPr>
            <w:r>
              <w:rPr>
                <w:rFonts w:ascii="calibri" w:hAnsi="calibri" w:cs="calibri" w:eastAsia="calibri"/>
              </w:rPr>
              <w:t>(1)</w:t>
            </w:r>
            <w:r>
              <w:rPr>
                <w:rFonts w:ascii="宋体" w:hAnsi="宋体" w:cs="宋体" w:eastAsia="宋体"/>
              </w:rPr>
              <w:t>温度</w:t>
            </w:r>
            <w:r>
              <w:rPr>
                <w:rFonts w:ascii="宋体" w:hAnsi="宋体" w:cs="宋体" w:eastAsia="宋体"/>
              </w:rPr>
              <w:t>：</w:t>
            </w:r>
            <w:r>
              <w:rPr>
                <w:rFonts w:ascii="calibri" w:hAnsi="calibri" w:cs="calibri" w:eastAsia="calibri"/>
              </w:rPr>
              <w:t>IT</w:t>
            </w:r>
            <w:r>
              <w:rPr>
                <w:rFonts w:ascii="宋体" w:hAnsi="宋体" w:cs="宋体" w:eastAsia="宋体"/>
              </w:rPr>
              <w:t>设备硬件柜进风侧温度</w:t>
            </w:r>
            <w:r>
              <w:rPr>
                <w:rFonts w:ascii="宋体" w:hAnsi="宋体" w:cs="宋体" w:eastAsia="宋体"/>
              </w:rPr>
              <w:t>：</w:t>
            </w:r>
            <w:r>
              <w:rPr>
                <w:rFonts w:ascii="calibri" w:hAnsi="calibri" w:cs="calibri" w:eastAsia="calibri"/>
              </w:rPr>
              <w:t>23℃</w:t>
            </w:r>
            <w:r>
              <w:rPr>
                <w:rFonts w:ascii="宋体" w:hAnsi="宋体" w:cs="宋体" w:eastAsia="宋体"/>
              </w:rPr>
              <w:t>士</w:t>
            </w:r>
            <w:r>
              <w:rPr>
                <w:rFonts w:ascii="calibri" w:hAnsi="calibri" w:cs="calibri" w:eastAsia="calibri"/>
              </w:rPr>
              <w:t>1℃</w:t>
            </w:r>
            <w:r>
              <w:rPr>
                <w:rFonts w:ascii="宋体" w:hAnsi="宋体" w:cs="宋体" w:eastAsia="宋体"/>
              </w:rPr>
              <w:t>。</w:t>
            </w:r>
          </w:p>
          <w:p>
            <w:pPr>
              <w:pStyle w:val="null3"/>
            </w:pPr>
            <w:r>
              <w:rPr>
                <w:rFonts w:ascii="calibri" w:hAnsi="calibri" w:cs="calibri" w:eastAsia="calibri"/>
              </w:rPr>
              <w:t>(2)</w:t>
            </w:r>
            <w:r>
              <w:rPr>
                <w:rFonts w:ascii="宋体" w:hAnsi="宋体" w:cs="宋体" w:eastAsia="宋体"/>
              </w:rPr>
              <w:t>湿度</w:t>
            </w:r>
            <w:r>
              <w:rPr>
                <w:rFonts w:ascii="宋体" w:hAnsi="宋体" w:cs="宋体" w:eastAsia="宋体"/>
              </w:rPr>
              <w:t>：</w:t>
            </w:r>
            <w:r>
              <w:rPr>
                <w:rFonts w:ascii="calibri" w:hAnsi="calibri" w:cs="calibri" w:eastAsia="calibri"/>
              </w:rPr>
              <w:t>55%</w:t>
            </w:r>
            <w:r>
              <w:rPr>
                <w:rFonts w:ascii="宋体" w:hAnsi="宋体" w:cs="宋体" w:eastAsia="宋体"/>
              </w:rPr>
              <w:t>士</w:t>
            </w:r>
            <w:r>
              <w:rPr>
                <w:rFonts w:ascii="calibri" w:hAnsi="calibri" w:cs="calibri" w:eastAsia="calibri"/>
              </w:rPr>
              <w:t>10%</w:t>
            </w:r>
            <w:r>
              <w:rPr>
                <w:rFonts w:ascii="宋体" w:hAnsi="宋体" w:cs="宋体" w:eastAsia="宋体"/>
              </w:rPr>
              <w:t>。湿度变化率</w:t>
            </w:r>
            <w:r>
              <w:rPr>
                <w:rFonts w:ascii="宋体" w:hAnsi="宋体" w:cs="宋体" w:eastAsia="宋体"/>
              </w:rPr>
              <w:t>：</w:t>
            </w:r>
            <w:r>
              <w:rPr>
                <w:rFonts w:ascii="calibri" w:hAnsi="calibri" w:cs="calibri" w:eastAsia="calibri"/>
              </w:rPr>
              <w:t>&lt;5%</w:t>
            </w:r>
            <w:r>
              <w:rPr>
                <w:rFonts w:ascii="宋体" w:hAnsi="宋体" w:cs="宋体" w:eastAsia="宋体"/>
              </w:rPr>
              <w:t>，不凝露。</w:t>
            </w:r>
          </w:p>
          <w:p>
            <w:pPr>
              <w:pStyle w:val="null3"/>
            </w:pPr>
            <w:r>
              <w:rPr>
                <w:rFonts w:ascii="calibri" w:hAnsi="calibri" w:cs="calibri" w:eastAsia="calibri"/>
              </w:rPr>
              <w:t>(3)</w:t>
            </w:r>
            <w:r>
              <w:rPr>
                <w:rFonts w:ascii="宋体" w:hAnsi="宋体" w:cs="宋体" w:eastAsia="宋体"/>
              </w:rPr>
              <w:t>机房内尘埃</w:t>
            </w:r>
            <w:r>
              <w:rPr>
                <w:rFonts w:ascii="calibri" w:hAnsi="calibri" w:cs="calibri" w:eastAsia="calibri"/>
              </w:rPr>
              <w:t>:</w:t>
            </w:r>
            <w:r>
              <w:rPr>
                <w:rFonts w:ascii="宋体" w:hAnsi="宋体" w:cs="宋体" w:eastAsia="宋体"/>
              </w:rPr>
              <w:t>国际标准</w:t>
            </w:r>
            <w:r>
              <w:rPr>
                <w:rFonts w:ascii="calibri" w:hAnsi="calibri" w:cs="calibri" w:eastAsia="calibri"/>
              </w:rPr>
              <w:t>A</w:t>
            </w:r>
            <w:r>
              <w:rPr>
                <w:rFonts w:ascii="宋体" w:hAnsi="宋体" w:cs="宋体" w:eastAsia="宋体"/>
              </w:rPr>
              <w:t>级，粒经</w:t>
            </w:r>
            <w:r>
              <w:rPr>
                <w:rFonts w:ascii="calibri" w:hAnsi="calibri" w:cs="calibri" w:eastAsia="calibri"/>
              </w:rPr>
              <w:t>≥0.5um</w:t>
            </w:r>
            <w:r>
              <w:rPr>
                <w:rFonts w:ascii="宋体" w:hAnsi="宋体" w:cs="宋体" w:eastAsia="宋体"/>
              </w:rPr>
              <w:t>，尘埃数</w:t>
            </w:r>
            <w:r>
              <w:rPr>
                <w:rFonts w:ascii="calibri" w:hAnsi="calibri" w:cs="calibri" w:eastAsia="calibri"/>
              </w:rPr>
              <w:t>≤18000/m3</w:t>
            </w:r>
            <w:r>
              <w:rPr>
                <w:rFonts w:ascii="宋体" w:hAnsi="宋体" w:cs="宋体" w:eastAsia="宋体"/>
              </w:rPr>
              <w:t>。</w:t>
            </w:r>
          </w:p>
          <w:p>
            <w:pPr>
              <w:pStyle w:val="null3"/>
            </w:pPr>
            <w:r>
              <w:rPr>
                <w:rFonts w:ascii="calibri" w:hAnsi="calibri" w:cs="calibri" w:eastAsia="calibri"/>
              </w:rPr>
              <w:t>(4)</w:t>
            </w:r>
            <w:r>
              <w:rPr>
                <w:rFonts w:ascii="宋体" w:hAnsi="宋体" w:cs="宋体" w:eastAsia="宋体"/>
              </w:rPr>
              <w:t>噪音</w:t>
            </w:r>
            <w:r>
              <w:rPr>
                <w:rFonts w:ascii="宋体" w:hAnsi="宋体" w:cs="宋体" w:eastAsia="宋体"/>
              </w:rPr>
              <w:t>：</w:t>
            </w:r>
            <w:r>
              <w:rPr>
                <w:rFonts w:ascii="宋体" w:hAnsi="宋体" w:cs="宋体" w:eastAsia="宋体"/>
              </w:rPr>
              <w:t>小于</w:t>
            </w:r>
            <w:r>
              <w:rPr>
                <w:rFonts w:ascii="calibri" w:hAnsi="calibri" w:cs="calibri" w:eastAsia="calibri"/>
              </w:rPr>
              <w:t>68db</w:t>
            </w:r>
            <w:r>
              <w:rPr>
                <w:rFonts w:ascii="宋体" w:hAnsi="宋体" w:cs="宋体" w:eastAsia="宋体"/>
              </w:rPr>
              <w:t>。</w:t>
            </w:r>
            <w:r>
              <w:rPr>
                <w:rFonts w:ascii="calibri" w:hAnsi="calibri" w:cs="calibri" w:eastAsia="calibri"/>
              </w:rPr>
              <w:t>(</w:t>
            </w:r>
            <w:r>
              <w:rPr>
                <w:rFonts w:ascii="宋体" w:hAnsi="宋体" w:cs="宋体" w:eastAsia="宋体"/>
              </w:rPr>
              <w:t>主机操作人员工作位置的计算机停机测试指标</w:t>
            </w:r>
            <w:r>
              <w:rPr>
                <w:rFonts w:ascii="calibri" w:hAnsi="calibri" w:cs="calibri" w:eastAsia="calibri"/>
              </w:rPr>
              <w:t>)</w:t>
            </w:r>
            <w:r>
              <w:rPr>
                <w:rFonts w:ascii="宋体" w:hAnsi="宋体" w:cs="宋体" w:eastAsia="宋体"/>
              </w:rPr>
              <w:t>。</w:t>
            </w:r>
          </w:p>
          <w:p>
            <w:pPr>
              <w:pStyle w:val="null3"/>
            </w:pPr>
            <w:r>
              <w:rPr>
                <w:rFonts w:ascii="calibri" w:hAnsi="calibri" w:cs="calibri" w:eastAsia="calibri"/>
              </w:rPr>
              <w:t>(5)</w:t>
            </w:r>
            <w:r>
              <w:rPr>
                <w:rFonts w:ascii="宋体" w:hAnsi="宋体" w:cs="宋体" w:eastAsia="宋体"/>
              </w:rPr>
              <w:t>光照度</w:t>
            </w:r>
            <w:r>
              <w:rPr>
                <w:rFonts w:ascii="宋体" w:hAnsi="宋体" w:cs="宋体" w:eastAsia="宋体"/>
              </w:rPr>
              <w:t>：</w:t>
            </w:r>
            <w:r>
              <w:rPr>
                <w:rFonts w:ascii="宋体" w:hAnsi="宋体" w:cs="宋体" w:eastAsia="宋体"/>
              </w:rPr>
              <w:t>机房</w:t>
            </w:r>
            <w:r>
              <w:rPr>
                <w:rFonts w:ascii="calibri" w:hAnsi="calibri" w:cs="calibri" w:eastAsia="calibri"/>
              </w:rPr>
              <w:t>≥500Lx;</w:t>
            </w:r>
            <w:r>
              <w:rPr>
                <w:rFonts w:ascii="宋体" w:hAnsi="宋体" w:cs="宋体" w:eastAsia="宋体"/>
              </w:rPr>
              <w:t>辅助房间</w:t>
            </w:r>
            <w:r>
              <w:rPr>
                <w:rFonts w:ascii="calibri" w:hAnsi="calibri" w:cs="calibri" w:eastAsia="calibri"/>
              </w:rPr>
              <w:t>&gt;300Lx</w:t>
            </w:r>
            <w:r>
              <w:rPr>
                <w:rFonts w:ascii="宋体" w:hAnsi="宋体" w:cs="宋体" w:eastAsia="宋体"/>
              </w:rPr>
              <w:t>；</w:t>
            </w:r>
            <w:r>
              <w:rPr>
                <w:rFonts w:ascii="宋体" w:hAnsi="宋体" w:cs="宋体" w:eastAsia="宋体"/>
              </w:rPr>
              <w:t>应急照明</w:t>
            </w:r>
            <w:r>
              <w:rPr>
                <w:rFonts w:ascii="calibri" w:hAnsi="calibri" w:cs="calibri" w:eastAsia="calibri"/>
              </w:rPr>
              <w:t>&gt;50Lx</w:t>
            </w:r>
            <w:r>
              <w:rPr>
                <w:rFonts w:ascii="宋体" w:hAnsi="宋体" w:cs="宋体" w:eastAsia="宋体"/>
              </w:rPr>
              <w:t>。</w:t>
            </w:r>
          </w:p>
          <w:p>
            <w:pPr>
              <w:pStyle w:val="null3"/>
            </w:pPr>
            <w:r>
              <w:rPr>
                <w:rFonts w:ascii="calibri" w:hAnsi="calibri" w:cs="calibri" w:eastAsia="calibri"/>
              </w:rPr>
              <w:t>(6)</w:t>
            </w:r>
            <w:r>
              <w:rPr>
                <w:rFonts w:ascii="宋体" w:hAnsi="宋体" w:cs="宋体" w:eastAsia="宋体"/>
              </w:rPr>
              <w:t>接地电阻</w:t>
            </w:r>
            <w:r>
              <w:rPr>
                <w:rFonts w:ascii="宋体" w:hAnsi="宋体" w:cs="宋体" w:eastAsia="宋体"/>
              </w:rPr>
              <w:t>：</w:t>
            </w:r>
            <w:r>
              <w:rPr>
                <w:rFonts w:ascii="calibri" w:hAnsi="calibri" w:cs="calibri" w:eastAsia="calibri"/>
              </w:rPr>
              <w:t>R≤1Ω</w:t>
            </w:r>
            <w:r>
              <w:rPr>
                <w:rFonts w:ascii="宋体" w:hAnsi="宋体" w:cs="宋体" w:eastAsia="宋体"/>
              </w:rPr>
              <w:t>，零地电位差</w:t>
            </w:r>
            <w:r>
              <w:rPr>
                <w:rFonts w:ascii="calibri" w:hAnsi="calibri" w:cs="calibri" w:eastAsia="calibri"/>
              </w:rPr>
              <w:t>≤1V</w:t>
            </w:r>
            <w:r>
              <w:rPr>
                <w:rFonts w:ascii="宋体" w:hAnsi="宋体" w:cs="宋体" w:eastAsia="宋体"/>
              </w:rPr>
              <w:t>。</w:t>
            </w:r>
          </w:p>
          <w:p>
            <w:pPr>
              <w:pStyle w:val="null3"/>
            </w:pPr>
            <w:r>
              <w:rPr>
                <w:rFonts w:ascii="calibri" w:hAnsi="calibri" w:cs="calibri" w:eastAsia="calibri"/>
              </w:rPr>
              <w:t>(7)</w:t>
            </w:r>
            <w:r>
              <w:rPr>
                <w:rFonts w:ascii="宋体" w:hAnsi="宋体" w:cs="宋体" w:eastAsia="宋体"/>
              </w:rPr>
              <w:t>维持室内正压，即主机房相对于室外</w:t>
            </w:r>
            <w:r>
              <w:rPr>
                <w:rFonts w:ascii="calibri" w:hAnsi="calibri" w:cs="calibri" w:eastAsia="calibri"/>
              </w:rPr>
              <w:t>10pa</w:t>
            </w:r>
            <w:r>
              <w:rPr>
                <w:rFonts w:ascii="宋体" w:hAnsi="宋体" w:cs="宋体" w:eastAsia="宋体"/>
              </w:rPr>
              <w:t>。</w:t>
            </w:r>
          </w:p>
          <w:p>
            <w:pPr>
              <w:pStyle w:val="null3"/>
            </w:pPr>
            <w:r>
              <w:rPr>
                <w:rFonts w:ascii="calibri" w:hAnsi="calibri" w:cs="calibri" w:eastAsia="calibri"/>
              </w:rPr>
              <w:t>(8)</w:t>
            </w:r>
            <w:r>
              <w:rPr>
                <w:rFonts w:ascii="宋体" w:hAnsi="宋体" w:cs="宋体" w:eastAsia="宋体"/>
              </w:rPr>
              <w:t>主机房内绝缘体的静电电位</w:t>
            </w:r>
            <w:r>
              <w:rPr>
                <w:rFonts w:ascii="宋体" w:hAnsi="宋体" w:cs="宋体" w:eastAsia="宋体"/>
              </w:rPr>
              <w:t>：</w:t>
            </w:r>
            <w:r>
              <w:rPr>
                <w:rFonts w:ascii="宋体" w:hAnsi="宋体" w:cs="宋体" w:eastAsia="宋体"/>
              </w:rPr>
              <w:t>计算机工作区域</w:t>
            </w:r>
            <w:r>
              <w:rPr>
                <w:rFonts w:ascii="calibri" w:hAnsi="calibri" w:cs="calibri" w:eastAsia="calibri"/>
              </w:rPr>
              <w:t>&lt;1KV</w:t>
            </w:r>
            <w:r>
              <w:rPr>
                <w:rFonts w:ascii="宋体" w:hAnsi="宋体" w:cs="宋体" w:eastAsia="宋体"/>
              </w:rPr>
              <w:t>。</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、其余电子设备硬件维修保障标准要求</w:t>
            </w:r>
            <w:r>
              <w:rPr>
                <w:rFonts w:ascii="宋体" w:hAnsi="宋体" w:cs="宋体" w:eastAsia="宋体"/>
                <w:sz w:val="21"/>
              </w:rPr>
              <w:t>：</w:t>
            </w:r>
            <w:r>
              <w:rPr>
                <w:rFonts w:ascii="宋体" w:hAnsi="宋体" w:cs="宋体" w:eastAsia="宋体"/>
                <w:sz w:val="21"/>
              </w:rPr>
              <w:t>确保电子设备硬件日常正常运行。</w:t>
            </w:r>
          </w:p>
        </w:tc>
      </w:tr>
    </w:tbl>
    <w:p>
      <w:pPr>
        <w:pStyle w:val="null3"/>
        <w:outlineLvl w:val="2"/>
      </w:pPr>
      <w:r>
        <w:rPr>
          <w:sz w:val="28"/>
          <w:b/>
        </w:rPr>
        <w:t>3.2.3人员配置要求</w:t>
      </w:r>
    </w:p>
    <w:p>
      <w:pPr>
        <w:pStyle w:val="null3"/>
      </w:pPr>
      <w:r>
        <w:rPr/>
        <w:t>采购包1：</w:t>
      </w:r>
    </w:p>
    <w:p>
      <w:pPr>
        <w:pStyle w:val="null3"/>
      </w:pPr>
      <w:r>
        <w:rPr/>
        <w:t>在服务期内，供应商针对本项目成立不少于4名维修工程师的技术团队，维修工程师须具备相关专业的技能证书或中级职称，提供1-2名工程师根据采购人实际需求安排各大厅日常巡查，1名负责人电话随时沟通、随时响应采购人服务请求，处理设备硬件故障，同时储备1-3名工程师处理应急事项，并可随时服从采购人的加班要求;供应商技术组24小时响应，随时到现场处理突发事故，为突发事件提供有效保障:供应商要设置专人职守的热线电话，接听采购人服务请求和咨询，并记录相关事件处理结果。</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一年(2024年12月15日至2025年12月14日)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按国家相关标准及要求执行，符合采购人要求。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合同签订后，乙方向甲方提出付款申请，经甲方同意后，乙方出具费用发票给甲方，甲方收到发票后10个工作日内向乙方转账支付</w:t>
      </w:r>
      <w:r>
        <w:rPr/>
        <w:t xml:space="preserve"> ，达到付款条件起 </w:t>
      </w:r>
      <w:r>
        <w:rPr/>
        <w:t>10</w:t>
      </w:r>
      <w:r>
        <w:rPr/>
        <w:t xml:space="preserve"> 日内，支付合同总金额的 </w:t>
      </w:r>
      <w:r>
        <w:rPr/>
        <w:t>80.00</w:t>
      </w:r>
      <w:r>
        <w:rPr/>
        <w:t>%。</w:t>
      </w:r>
    </w:p>
    <w:p>
      <w:pPr>
        <w:pStyle w:val="null3"/>
      </w:pPr>
      <w:r>
        <w:rPr/>
        <w:t>采购包1：</w:t>
      </w:r>
      <w:r>
        <w:rPr/>
        <w:t xml:space="preserve"> 付款条件说明： </w:t>
      </w:r>
      <w:r>
        <w:rPr/>
        <w:t>在服务期过半后，经乙方申请甲方同意，甲方向乙方转账支付</w:t>
      </w:r>
      <w:r>
        <w:rPr/>
        <w:t xml:space="preserve"> ，达到付款条件起 </w:t>
      </w:r>
      <w:r>
        <w:rPr/>
        <w:t>10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（一）按《民法典》中的相关条款执行。 （二）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 （三）对本合同执行过程中发生的一切争议，双方友好协商解决，如协商不能解决，依法向采购人所在地有管辖权的人民法院提起诉讼。</w:t>
      </w:r>
    </w:p>
    <w:p>
      <w:pPr>
        <w:pStyle w:val="null3"/>
        <w:outlineLvl w:val="2"/>
      </w:pPr>
      <w:r>
        <w:rPr>
          <w:sz w:val="28"/>
          <w:b/>
        </w:rPr>
        <w:t>3.4其他要求</w:t>
      </w:r>
    </w:p>
    <w:p>
      <w:pPr>
        <w:pStyle w:val="null3"/>
      </w:pPr>
      <w:r>
        <w:rPr/>
        <w:t>1、在服务期内，供应商针对本项目成立不少于4名维修工程师的技术团队，维修工程师须具备相关专业的技能证书或中级职称，提供1-2名工程师根据采购人实际需求安排各大厅日常巡查，1名负责人电话随时沟通、随时响应采购人服务请求，处理设备硬件故障，同时储备1-3名工程师处理应急事项，并可随时服从采购人的加班要求;供应商技术组24小时响应，随时到现场处理突发事故，为突发事件提供有效保障:供应商要设置专人职守的热线电话，接听采购人服务请求和咨询，并记录相关事件处理结果。 2、在服务期内，供应商接到采购人设备故障电话后，1小时内到达现场，并针对由硬件故障产生的问题进行故障排查，并对其进行维修、更换，直到故障消除，保证设备硬件正常运行。如果不能在6小时之内解决由硬件损坏引起的设备运行故障，供应商应提供备用设备，确保整个系统设备硬件正常运行。 3、服务期内，必须严格遵守国家有关安全、隐私方面的所有法律法规和采购人对于安全方面的相关规定，配合第三方服务工作，做好工作协调，共同解决设备故障，确保采购人相关业务正常进行;到场维修人员进行严格遵守采购人各项管理规定，现场维修相关事务需要严格按照采购人相关人员的安排。 4、服务期内，供应商需对中心所有业务办公电子设备硬件全年进行不少于24次专业全面硬件检测，并及时上报设备硬件的故障及损坏等非正常情况:在巡检维修过程中，对出现故障的电子设备硬件免费进行维修、更换(包含配件、辅材、人工等)，需要更换的件及相关配件，由供应商自行承担，并确保维修或更换后的设备硬件与其系统均正常工作;设备硬件损坏的部件仍在质保期内的，由供应商负责对接联系厂商报修或更换。 5、服务期内，供应商须确保采购人业务办公电子设备硬件(含设备硬件匹配的对应系统)正常、平稳、安全可靠运行，并提供硬件正常运行所必须的相关配件、备件，当设备出现故障时需要维修时供应商应及时更换设备备件，以保障业务系统正常运行。 6、供应商在本项目采购招标环节中，可进行项目实地勘察，在充分了解项目的实际情况后，响应采购文件时，必须承诺自服务期约定之日开始起两个月内，完成本项目服务内容全部设备的巡检、维护及维修(含部分设备及系统的重大维修、补充及更换)，确保服务内容范围内的设备以及对应的系统正常运行，达到国家、省、市及行业相关规范、标准化建设要求。该条款为实质性条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监狱企业证明函 中小企业声明函 残疾人福利性单位声明函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投标供应商应授权合法的人员参加投标全过程，其中法定代表人直接参加投标的，须出具法人身份证，并与营业执照上信息一致。法定代表人授权代表参加投标的，须出具法定代表人授权书及授权代表身份证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3322"/>
          </w:tcPr>
          <w:p>
            <w:pPr>
              <w:pStyle w:val="null3"/>
            </w:pPr>
            <w:r>
              <w:rPr/>
              <w:t>投标供应商应授权合法的人员参加投标全过程，其中法定代表人直接参加投标的，须出具法人身份证，并与营业执照上信息一致。法定代表人授权代表参加投标的，须出具法定代表人授权书及授权代表身份证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投标人信用信息查询</w:t>
            </w:r>
          </w:p>
        </w:tc>
        <w:tc>
          <w:tcPr>
            <w:tcW w:type="dxa" w:w="3322"/>
          </w:tcPr>
          <w:p>
            <w:pPr>
              <w:pStyle w:val="null3"/>
            </w:pPr>
            <w:r>
              <w:rPr/>
              <w:t>投标供应商未列入国家企业信用信息公示系统(http://www.gsxt.gov.cn/)中被列入严重违法失信企业名单、 “信用中国”网（http://www.creditchina.gov.cn/）中被列入失信被执行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无重大违法记录的声明</w:t>
            </w:r>
          </w:p>
        </w:tc>
        <w:tc>
          <w:tcPr>
            <w:tcW w:type="dxa" w:w="3322"/>
          </w:tcPr>
          <w:p>
            <w:pPr>
              <w:pStyle w:val="null3"/>
            </w:pPr>
            <w:r>
              <w:rPr/>
              <w:t>供应商提供参加政府采购活动前三年内在经营活动中没有重大违法记录的声明</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财务审计报告或资信证明</w:t>
            </w:r>
          </w:p>
        </w:tc>
        <w:tc>
          <w:tcPr>
            <w:tcW w:type="dxa" w:w="3322"/>
          </w:tcPr>
          <w:p>
            <w:pPr>
              <w:pStyle w:val="null3"/>
            </w:pPr>
            <w:r>
              <w:rPr/>
              <w:t>提供2023年度经审计的供应商财务审计报告或者提供开标前六个月其基本账户开户银行出具的资信证明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社保缴纳证明</w:t>
            </w:r>
          </w:p>
        </w:tc>
        <w:tc>
          <w:tcPr>
            <w:tcW w:type="dxa" w:w="3322"/>
          </w:tcPr>
          <w:p>
            <w:pPr>
              <w:pStyle w:val="null3"/>
            </w:pPr>
            <w:r>
              <w:rPr/>
              <w:t>供应商提供截止至开标时间前六个月任一月份的缴费凭据或社保机构开具的社会保险参保缴费情况证明；依法不需要缴纳社会保障资金的应提供相关文件证明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提供截止至开标时间前六个月任一月份的税收缴费凭据；依法免税的应提供相关文件证明承诺</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具备履行合同所必须的设备和专业技术能力的承诺</w:t>
            </w:r>
          </w:p>
        </w:tc>
        <w:tc>
          <w:tcPr>
            <w:tcW w:type="dxa" w:w="3322"/>
          </w:tcPr>
          <w:p>
            <w:pPr>
              <w:pStyle w:val="null3"/>
            </w:pPr>
            <w:r>
              <w:rPr/>
              <w:t>具备履行合同所必须的设备和专业技术能力的承诺</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本项目不接受联合体</w:t>
            </w:r>
          </w:p>
        </w:tc>
        <w:tc>
          <w:tcPr>
            <w:tcW w:type="dxa" w:w="3322"/>
          </w:tcPr>
          <w:p>
            <w:pPr>
              <w:pStyle w:val="null3"/>
            </w:pPr>
            <w:r>
              <w:rPr/>
              <w:t>本项目不接受联合体，需提供声明函</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至少以下三处的项目名称、项目编号、标段（未分标段的除外）与本项目完全一致： （1）响应文件封面 （2）响应函 （3）法定代表人（主要负责人）委托授权书\身份证明</w:t>
            </w:r>
          </w:p>
        </w:tc>
        <w:tc>
          <w:tcPr>
            <w:tcW w:type="dxa" w:w="1661"/>
          </w:tcPr>
          <w:p>
            <w:pPr>
              <w:pStyle w:val="null3"/>
            </w:pPr>
            <w:r>
              <w:rPr/>
              <w:t>响应文件封面 资格证明材料 响应函</w:t>
            </w:r>
          </w:p>
        </w:tc>
      </w:tr>
      <w:tr>
        <w:tc>
          <w:tcPr>
            <w:tcW w:type="dxa" w:w="831"/>
          </w:tcPr>
          <w:p>
            <w:pPr>
              <w:pStyle w:val="null3"/>
            </w:pPr>
            <w:r>
              <w:rPr/>
              <w:t>2</w:t>
            </w:r>
          </w:p>
        </w:tc>
        <w:tc>
          <w:tcPr>
            <w:tcW w:type="dxa" w:w="2492"/>
          </w:tcPr>
          <w:p>
            <w:pPr>
              <w:pStyle w:val="null3"/>
            </w:pPr>
            <w:r>
              <w:rPr/>
              <w:t>响应文件组成</w:t>
            </w:r>
          </w:p>
        </w:tc>
        <w:tc>
          <w:tcPr>
            <w:tcW w:type="dxa" w:w="3322"/>
          </w:tcPr>
          <w:p>
            <w:pPr>
              <w:pStyle w:val="null3"/>
            </w:pPr>
            <w:r>
              <w:rPr/>
              <w:t>响应文件应包含以下部分： （1）响应函 （2）标的清单 （3）资格证明材料 （4）供应商概况 （5）供应商参加政府采购活动承诺书 （6）服务方案</w:t>
            </w:r>
          </w:p>
        </w:tc>
        <w:tc>
          <w:tcPr>
            <w:tcW w:type="dxa" w:w="1661"/>
          </w:tcPr>
          <w:p>
            <w:pPr>
              <w:pStyle w:val="null3"/>
            </w:pPr>
            <w:r>
              <w:rPr/>
              <w:t>响应文件封面 供应商参加政府采购活动承诺书 供应商概况 资格证明材料 服务方案 标的清单</w:t>
            </w:r>
          </w:p>
        </w:tc>
      </w:tr>
      <w:tr>
        <w:tc>
          <w:tcPr>
            <w:tcW w:type="dxa" w:w="831"/>
          </w:tcPr>
          <w:p>
            <w:pPr>
              <w:pStyle w:val="null3"/>
            </w:pPr>
            <w:r>
              <w:rPr/>
              <w:t>3</w:t>
            </w:r>
          </w:p>
        </w:tc>
        <w:tc>
          <w:tcPr>
            <w:tcW w:type="dxa" w:w="2492"/>
          </w:tcPr>
          <w:p>
            <w:pPr>
              <w:pStyle w:val="null3"/>
            </w:pPr>
            <w:r>
              <w:rPr/>
              <w:t>签章</w:t>
            </w:r>
          </w:p>
        </w:tc>
        <w:tc>
          <w:tcPr>
            <w:tcW w:type="dxa" w:w="3322"/>
          </w:tcPr>
          <w:p>
            <w:pPr>
              <w:pStyle w:val="null3"/>
            </w:pPr>
            <w:r>
              <w:rPr/>
              <w:t>签章均符合采购文件要求，且无遗漏。</w:t>
            </w:r>
          </w:p>
        </w:tc>
        <w:tc>
          <w:tcPr>
            <w:tcW w:type="dxa" w:w="1661"/>
          </w:tcPr>
          <w:p>
            <w:pPr>
              <w:pStyle w:val="null3"/>
            </w:pPr>
            <w:r>
              <w:rPr/>
              <w:t>响应文件封面 监狱企业证明函 供应商参加政府采购活动承诺书 供应商概况 中小企业声明函 残疾人福利性单位声明函 资格证明材料 服务方案 标的清单 报价表 响应函</w:t>
            </w:r>
          </w:p>
        </w:tc>
      </w:tr>
      <w:tr>
        <w:tc>
          <w:tcPr>
            <w:tcW w:type="dxa" w:w="831"/>
          </w:tcPr>
          <w:p>
            <w:pPr>
              <w:pStyle w:val="null3"/>
            </w:pPr>
            <w:r>
              <w:rPr/>
              <w:t>4</w:t>
            </w:r>
          </w:p>
        </w:tc>
        <w:tc>
          <w:tcPr>
            <w:tcW w:type="dxa" w:w="2492"/>
          </w:tcPr>
          <w:p>
            <w:pPr>
              <w:pStyle w:val="null3"/>
            </w:pPr>
            <w:r>
              <w:rPr/>
              <w:t>语言和计量单位</w:t>
            </w:r>
          </w:p>
        </w:tc>
        <w:tc>
          <w:tcPr>
            <w:tcW w:type="dxa" w:w="3322"/>
          </w:tcPr>
          <w:p>
            <w:pPr>
              <w:pStyle w:val="null3"/>
            </w:pPr>
            <w:r>
              <w:rPr/>
              <w:t>符合采购文件要求</w:t>
            </w:r>
          </w:p>
        </w:tc>
        <w:tc>
          <w:tcPr>
            <w:tcW w:type="dxa" w:w="1661"/>
          </w:tcPr>
          <w:p>
            <w:pPr>
              <w:pStyle w:val="null3"/>
            </w:pPr>
            <w:r>
              <w:rPr/>
              <w:t>标的清单 报价表 响应函</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符合采购文件要求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响应报价</w:t>
            </w:r>
          </w:p>
        </w:tc>
        <w:tc>
          <w:tcPr>
            <w:tcW w:type="dxa" w:w="3322"/>
          </w:tcPr>
          <w:p>
            <w:pPr>
              <w:pStyle w:val="null3"/>
            </w:pPr>
            <w:r>
              <w:rPr/>
              <w:t>同时满足以下条款： （1）货币单位符合采购文件要求 （2）报价符合唯一性要求 （3）未超出采购预算或最高限价 （4）符合《报价表》的填报要求</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逐条响应招标文件要求的各项技术（服务）、商务实质性条款。</w:t>
            </w:r>
          </w:p>
        </w:tc>
        <w:tc>
          <w:tcPr>
            <w:tcW w:type="dxa" w:w="1661"/>
          </w:tcPr>
          <w:p>
            <w:pPr>
              <w:pStyle w:val="null3"/>
            </w:pPr>
            <w:r>
              <w:rPr/>
              <w:t>服务方案</w:t>
            </w:r>
          </w:p>
        </w:tc>
      </w:tr>
      <w:tr>
        <w:tc>
          <w:tcPr>
            <w:tcW w:type="dxa" w:w="831"/>
          </w:tcPr>
          <w:p>
            <w:pPr>
              <w:pStyle w:val="null3"/>
            </w:pPr>
            <w:r>
              <w:rPr/>
              <w:t>8</w:t>
            </w:r>
          </w:p>
        </w:tc>
        <w:tc>
          <w:tcPr>
            <w:tcW w:type="dxa" w:w="2492"/>
          </w:tcPr>
          <w:p>
            <w:pPr>
              <w:pStyle w:val="null3"/>
            </w:pPr>
            <w:r>
              <w:rPr/>
              <w:t>合同条款响应</w:t>
            </w:r>
          </w:p>
        </w:tc>
        <w:tc>
          <w:tcPr>
            <w:tcW w:type="dxa" w:w="3322"/>
          </w:tcPr>
          <w:p>
            <w:pPr>
              <w:pStyle w:val="null3"/>
            </w:pPr>
            <w:r>
              <w:rPr/>
              <w:t>完全理解并逐条响应招标文件合同条款的要求，且未含有采购人不能接受的附加条件的。</w:t>
            </w:r>
          </w:p>
        </w:tc>
        <w:tc>
          <w:tcPr>
            <w:tcW w:type="dxa" w:w="1661"/>
          </w:tcPr>
          <w:p>
            <w:pPr>
              <w:pStyle w:val="null3"/>
            </w:pPr>
            <w:r>
              <w:rPr/>
              <w:t>服务方案</w:t>
            </w:r>
          </w:p>
        </w:tc>
      </w:tr>
      <w:tr>
        <w:tc>
          <w:tcPr>
            <w:tcW w:type="dxa" w:w="831"/>
          </w:tcPr>
          <w:p>
            <w:pPr>
              <w:pStyle w:val="null3"/>
            </w:pPr>
            <w:r>
              <w:rPr/>
              <w:t>9</w:t>
            </w:r>
          </w:p>
        </w:tc>
        <w:tc>
          <w:tcPr>
            <w:tcW w:type="dxa" w:w="2492"/>
          </w:tcPr>
          <w:p>
            <w:pPr>
              <w:pStyle w:val="null3"/>
            </w:pPr>
            <w:r>
              <w:rPr/>
              <w:t>电子响应文件雷同性分析</w:t>
            </w:r>
          </w:p>
        </w:tc>
        <w:tc>
          <w:tcPr>
            <w:tcW w:type="dxa" w:w="3322"/>
          </w:tcPr>
          <w:p>
            <w:pPr>
              <w:pStyle w:val="null3"/>
            </w:pPr>
            <w:r>
              <w:rPr/>
              <w:t>电子响应文件的“文件制作机器码”和“文件创建标识码”通过评标系统的雷同性分析。</w:t>
            </w:r>
          </w:p>
        </w:tc>
        <w:tc>
          <w:tcPr>
            <w:tcW w:type="dxa" w:w="1661"/>
          </w:tcPr>
          <w:p>
            <w:pPr>
              <w:pStyle w:val="null3"/>
            </w:pPr>
            <w:r>
              <w:rPr/>
              <w:t>响应文件封面 监狱企业证明函 供应商参加政府采购活动承诺书 供应商概况 中小企业声明函 残疾人福利性单位声明函 资格证明材料 服务方案 标的清单 报价表 响应函</w:t>
            </w:r>
          </w:p>
        </w:tc>
      </w:tr>
      <w:tr>
        <w:tc>
          <w:tcPr>
            <w:tcW w:type="dxa" w:w="831"/>
          </w:tcPr>
          <w:p>
            <w:pPr>
              <w:pStyle w:val="null3"/>
            </w:pPr>
            <w:r>
              <w:rPr/>
              <w:t>10</w:t>
            </w:r>
          </w:p>
        </w:tc>
        <w:tc>
          <w:tcPr>
            <w:tcW w:type="dxa" w:w="2492"/>
          </w:tcPr>
          <w:p>
            <w:pPr>
              <w:pStyle w:val="null3"/>
            </w:pPr>
            <w:r>
              <w:rPr/>
              <w:t>其他</w:t>
            </w:r>
          </w:p>
        </w:tc>
        <w:tc>
          <w:tcPr>
            <w:tcW w:type="dxa" w:w="3322"/>
          </w:tcPr>
          <w:p>
            <w:pPr>
              <w:pStyle w:val="null3"/>
            </w:pPr>
            <w:r>
              <w:rPr/>
              <w:t>完全理解并接受法律法规和采购文件对供应商合法经营的各类规约和责任义务要求，没有出现法律法规或采购文件规定的其他无效情形。</w:t>
            </w:r>
          </w:p>
        </w:tc>
        <w:tc>
          <w:tcPr>
            <w:tcW w:type="dxa" w:w="1661"/>
          </w:tcPr>
          <w:p>
            <w:pPr>
              <w:pStyle w:val="null3"/>
            </w:pPr>
            <w:r>
              <w:rPr/>
              <w:t>响应文件封面 监狱企业证明函 供应商参加政府采购活动承诺书 供应商概况 中小企业声明函 残疾人福利性单位声明函 资格证明材料 服务方案 标的清单 报价表 响应函</w:t>
            </w:r>
          </w:p>
        </w:tc>
      </w:tr>
      <w:tr>
        <w:tc>
          <w:tcPr>
            <w:tcW w:type="dxa" w:w="831"/>
          </w:tcPr>
          <w:p>
            <w:pPr>
              <w:pStyle w:val="null3"/>
            </w:pPr>
            <w:r>
              <w:rPr/>
              <w:t>11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总体维保服务方案</w:t>
            </w:r>
          </w:p>
        </w:tc>
        <w:tc>
          <w:tcPr>
            <w:tcW w:type="dxa" w:w="2492"/>
          </w:tcPr>
          <w:p>
            <w:pPr>
              <w:pStyle w:val="null3"/>
            </w:pPr>
            <w:r>
              <w:rPr/>
              <w:t>供应商能全面理解采购人的维保需求，对设备硬件的风险防控和实时监控精准，根据维保内容和要求制定维保服务方案，方案科学有效，合理先进、安全可靠、经济实用，有完善的设备硬件维保管理体系及服务策略，提供的标准化服务流程科学、合理、体系完善，完全满足采购人维保服务需求。 方案合理有效，流程完善，完全满足服务需求的计14～20分； 方案较合理有效，流程较完善，基本满足服务需求的计7～14分； 方案不太合理，流程不完善，不能满足服务需求的计1～7分。 不提供此项内容不得分。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保证措施</w:t>
            </w:r>
          </w:p>
        </w:tc>
        <w:tc>
          <w:tcPr>
            <w:tcW w:type="dxa" w:w="2492"/>
          </w:tcPr>
          <w:p>
            <w:pPr>
              <w:pStyle w:val="null3"/>
            </w:pPr>
            <w:r>
              <w:rPr/>
              <w:t>供应商针对采购人业务现状及设备硬件现状，提供有效、可行的业务连续性办理和设备连续性工作的保证措施，确保设备硬件正常运行及存储在设备上的业务数据正常存储及流通。 措施方案合理、可操作性强的计7～10分； 措施方案较合理、可操作性较强的计3～7分； 措施方案不合理、可操作性差的计1～3分。 不提供此项内容不得分。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故障处理方案</w:t>
            </w:r>
          </w:p>
        </w:tc>
        <w:tc>
          <w:tcPr>
            <w:tcW w:type="dxa" w:w="2492"/>
          </w:tcPr>
          <w:p>
            <w:pPr>
              <w:pStyle w:val="null3"/>
            </w:pPr>
            <w:r>
              <w:rPr/>
              <w:t>按照承诺的期限排除故障，定期对设备硬件进行巡检，故障响应和故障修复措施详细、完善，针对性强，可操作性强，提供的巡检报告和故障处理服务报告模板完善、详细。 方案详细完善、针对性和可操作性强，报告模板详细完善的计7～10分； 方案教详细完善、针对性和可操作性较强，报告模板较详细完善的计3～7分； 方案不完善、针对性和可操作性不强，报告模板不详细完善的计1～3 分。 不提供此项内容不得分。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应急管理方案</w:t>
            </w:r>
          </w:p>
        </w:tc>
        <w:tc>
          <w:tcPr>
            <w:tcW w:type="dxa" w:w="2492"/>
          </w:tcPr>
          <w:p>
            <w:pPr>
              <w:pStyle w:val="null3"/>
            </w:pPr>
            <w:r>
              <w:rPr/>
              <w:t>具有成熟应急预案体系，要评估维保中可能发生的突然状况，制定完整预案内容、合理应急人员安排和完善应急流程的应急方案，内容详细、完善，可操作性强，确保系统运行可靠、稳定，保证维保工作有序推进。方案详细完善、可操作性强的计7～10分； 方案较详细完善、可操作性较强的计3～7分； 方案不太详细完善，可操作性不强的计1～3分。 不提供此项内容不得分。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售后服务响应</w:t>
            </w:r>
          </w:p>
        </w:tc>
        <w:tc>
          <w:tcPr>
            <w:tcW w:type="dxa" w:w="2492"/>
          </w:tcPr>
          <w:p>
            <w:pPr>
              <w:pStyle w:val="null3"/>
            </w:pPr>
            <w:r>
              <w:rPr/>
              <w:t>供应商具有良好的服务能力，售后服务方案编制详细（包括但不限于服务响应时间、响应程度、解决问题的能力等），提供完整的方案。根据其响应程度计0-15分。服务方案完善详细的计10~15分； 服务方案较完善详细的计5~10分； 服务方案有漏项不完整的计0~5分； 不提供不得分。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人员组织架构与管理体系</w:t>
            </w:r>
          </w:p>
        </w:tc>
        <w:tc>
          <w:tcPr>
            <w:tcW w:type="dxa" w:w="2492"/>
          </w:tcPr>
          <w:p>
            <w:pPr>
              <w:pStyle w:val="null3"/>
            </w:pPr>
            <w:r>
              <w:rPr/>
              <w:t>人员组织架构设置与管理科学合理，符合本项目实际情况，针对性强，有完善的项目管理方案、人员安排方案，有效保证本地化服务，整个项目的实施组织机构分工合理、责任明确，可保障服务质量。 项目管理方案、人员安排方案针对性强、方案详实、完善计7～10分； 项目管理方案、人员安排方案针对性一般、方案基本符合项目实际情况计3～7分； 项目管理方案、人员安排方案针对性差、方案不完善，不符合项目实际情况计1～3分； 不提供此项内容不得分。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备品备件方案</w:t>
            </w:r>
          </w:p>
        </w:tc>
        <w:tc>
          <w:tcPr>
            <w:tcW w:type="dxa" w:w="2492"/>
          </w:tcPr>
          <w:p>
            <w:pPr>
              <w:pStyle w:val="null3"/>
            </w:pPr>
            <w:r>
              <w:rPr/>
              <w:t>供应商应具有完善的备品备件管理制度，能够提供常用备件清单。 管理制度完善、常用备品备件齐全计7～10分； 管理制度较完善、常用备品备件较齐全计3～7分； 管理制度不完善、常用备品备件不齐全计0～3分。 不提供此项内容不得分。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提供近五年（2019年1月1日至今）类似项目业绩，每一个类似项目业绩计1分，满分5分。（以合同签订日期为准，磋商响应文件中附件盖公章的合同扫描件）。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采用低价优先法计算，即满足磋商文件要求且价格最低的磋商报价为评审基准价，其价格分为满分。 磋商报价得分＝（评审基准价/磋商报价）×10%×100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详见附件：供应商概况</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详见附件：监狱企业证明函</w:t>
      </w:r>
    </w:p>
    <w:p>
      <w:pPr>
        <w:pStyle w:val="null3"/>
        <w:ind w:firstLine="960"/>
      </w:pPr>
      <w:r>
        <w:rPr/>
        <w:t>详见附件：资格证明材料</w:t>
      </w:r>
    </w:p>
    <w:p>
      <w:pPr>
        <w:pStyle w:val="null3"/>
        <w:ind w:firstLine="960"/>
      </w:pPr>
      <w:r>
        <w:rPr/>
        <w:t>详见附件：供应商参加政府采购活动承诺书</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