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大雁塔自动化监测费用项目(二次)</w:t>
      </w:r>
    </w:p>
    <w:p>
      <w:pPr>
        <w:pStyle w:val="null3"/>
        <w:jc w:val="center"/>
        <w:outlineLvl w:val="2"/>
      </w:pPr>
      <w:r>
        <w:rPr>
          <w:sz w:val="28"/>
          <w:b/>
        </w:rPr>
        <w:t>采购项目编号：</w:t>
      </w:r>
      <w:r>
        <w:rPr>
          <w:sz w:val="28"/>
          <w:b/>
        </w:rPr>
        <w:t>ZZGJ-2024XA073（2）</w:t>
      </w:r>
      <w:r>
        <w:br/>
      </w:r>
      <w:r>
        <w:br/>
      </w:r>
      <w:r>
        <w:br/>
      </w:r>
    </w:p>
    <w:p>
      <w:pPr>
        <w:pStyle w:val="null3"/>
        <w:jc w:val="center"/>
        <w:outlineLvl w:val="2"/>
      </w:pPr>
      <w:r>
        <w:rPr>
          <w:sz w:val="28"/>
          <w:b/>
        </w:rPr>
        <w:t>西安市大雁塔保管所</w:t>
      </w:r>
    </w:p>
    <w:p>
      <w:pPr>
        <w:pStyle w:val="null3"/>
        <w:jc w:val="center"/>
        <w:outlineLvl w:val="2"/>
      </w:pPr>
      <w:r>
        <w:rPr>
          <w:sz w:val="28"/>
          <w:b/>
        </w:rPr>
        <w:t>中洲国际项目管理（西安）集团有限公司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中洲国际项目管理（西安）集团有限公司</w:t>
      </w:r>
      <w:r>
        <w:rPr/>
        <w:t>（以下简称“代理机构”）受</w:t>
      </w:r>
      <w:r>
        <w:rPr/>
        <w:t>西安市大雁塔保管所</w:t>
      </w:r>
      <w:r>
        <w:rPr/>
        <w:t>委托，拟对</w:t>
      </w:r>
      <w:r>
        <w:rPr/>
        <w:t>大雁塔自动化监测费用项目(二次)</w:t>
      </w:r>
      <w:r>
        <w:rPr/>
        <w:t>采用竞争性磋商采购方式进行采购，兹邀请供应商参加本项目的竞争性磋商。</w:t>
      </w:r>
    </w:p>
    <w:p>
      <w:pPr>
        <w:pStyle w:val="null3"/>
        <w:outlineLvl w:val="2"/>
      </w:pPr>
      <w:r>
        <w:rPr>
          <w:sz w:val="28"/>
          <w:b/>
        </w:rPr>
        <w:t>一、项目编号：</w:t>
      </w:r>
      <w:r>
        <w:rPr>
          <w:sz w:val="28"/>
          <w:b/>
        </w:rPr>
        <w:t>ZZGJ-2024XA073（2）</w:t>
      </w:r>
    </w:p>
    <w:p>
      <w:pPr>
        <w:pStyle w:val="null3"/>
        <w:outlineLvl w:val="2"/>
      </w:pPr>
      <w:r>
        <w:rPr>
          <w:sz w:val="28"/>
          <w:b/>
        </w:rPr>
        <w:t>二、项目名称：</w:t>
      </w:r>
      <w:r>
        <w:rPr>
          <w:sz w:val="28"/>
          <w:b/>
        </w:rPr>
        <w:t>大雁塔自动化监测费用项目(二次)</w:t>
      </w:r>
    </w:p>
    <w:p>
      <w:pPr>
        <w:pStyle w:val="null3"/>
        <w:outlineLvl w:val="2"/>
      </w:pPr>
      <w:r>
        <w:rPr>
          <w:sz w:val="28"/>
          <w:b/>
        </w:rPr>
        <w:t>三、磋商项目简介</w:t>
      </w:r>
    </w:p>
    <w:p>
      <w:pPr>
        <w:pStyle w:val="null3"/>
        <w:ind w:firstLine="480"/>
      </w:pPr>
      <w:r>
        <w:rPr/>
        <w:t>对大雁塔倾斜、塔檐变形、塔体水平位移、竖向沉降及塔基沉降开展自动化监测。建立监测预警机制，及时发现安全隐患，确保大雁塔本体安全。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1、营业执照等：提供合格有效的法人或者其他组织的营业执照等证明文件或自然人的身份证明</w:t>
      </w:r>
    </w:p>
    <w:p>
      <w:pPr>
        <w:pStyle w:val="null3"/>
      </w:pPr>
      <w:r>
        <w:rPr/>
        <w:t>2、财务状况报告：提供 2023 年度的财务审计报告或开标前一个月内其基本存款账户开户银行出具的资信证明（附开户许可证或开户备案证明或基本账户信息）</w:t>
      </w:r>
    </w:p>
    <w:p>
      <w:pPr>
        <w:pStyle w:val="null3"/>
      </w:pPr>
      <w:r>
        <w:rPr/>
        <w:t>3、税收缴纳证明：提供 2024 年 1 月 1 日至今已缴存的至少一个月的纳税证明或完税证明，依法免税的单位应提供相关证明材料</w:t>
      </w:r>
    </w:p>
    <w:p>
      <w:pPr>
        <w:pStyle w:val="null3"/>
      </w:pPr>
      <w:r>
        <w:rPr/>
        <w:t>4、社会保障资金缴纳证明：提供 2024 年 1 月 1 日至今已缴存的至少一个月的社会保障资金缴存单据或社保机构开具的社会保险参保缴费情况证明，依法不需要缴纳社会保障资金的单位应提供相关证明材料</w:t>
      </w:r>
    </w:p>
    <w:p>
      <w:pPr>
        <w:pStyle w:val="null3"/>
      </w:pPr>
      <w:r>
        <w:rPr/>
        <w:t>5、无重大违法记录的书面声明：参加采购活动前 3 年内，在经营活动中没有重大违法记录的书面声明</w:t>
      </w:r>
    </w:p>
    <w:p>
      <w:pPr>
        <w:pStyle w:val="null3"/>
      </w:pPr>
      <w:r>
        <w:rPr/>
        <w:t>6、证明材料：具备履行合同所必需的设备和专业技术能力的证明材料(由投标人根据项目需求提供说明材料或者承诺)</w:t>
      </w:r>
    </w:p>
    <w:p>
      <w:pPr>
        <w:pStyle w:val="null3"/>
      </w:pPr>
      <w:r>
        <w:rPr/>
        <w:t>7、公司资质：投标人应具备行政主管部门核发的工程勘察综合甲级资质和甲级测绘资质</w:t>
      </w:r>
    </w:p>
    <w:p>
      <w:pPr>
        <w:pStyle w:val="null3"/>
      </w:pPr>
      <w:r>
        <w:rPr/>
        <w:t>8、项目负责人资格：供应商拟派项目负责人须具备“注册土木工程师（岩土）”或“注册测绘师”证书；</w:t>
      </w:r>
    </w:p>
    <w:p>
      <w:pPr>
        <w:pStyle w:val="null3"/>
      </w:pPr>
      <w:r>
        <w:rPr/>
        <w:t>9、法定代表人证明书或法定代表人授权委托书：投标人应授权合法的人员参加投标全过程，其中法定代表人直接参加投标的，须出具法定代表人身份证原件，并与营业执照上信息一致。法定代表人授权代表参加投标的，须出具法定代表人授权书及授权代表身份证原件</w:t>
      </w:r>
    </w:p>
    <w:p>
      <w:pPr>
        <w:pStyle w:val="null3"/>
      </w:pPr>
      <w:r>
        <w:rPr/>
        <w:t>10、信用报告：投标人通过“信用中国”网站(www.creditchina.gov.cn)、中国政府采购网(www.ccgp.gov.cn)等查询相关主体信用记录；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西安市大雁塔保管所</w:t>
      </w:r>
    </w:p>
    <w:p>
      <w:pPr>
        <w:pStyle w:val="null3"/>
      </w:pPr>
      <w:r>
        <w:rPr/>
        <w:t xml:space="preserve"> 地址： </w:t>
      </w:r>
      <w:r>
        <w:rPr/>
        <w:t>西安市大雁塔</w:t>
      </w:r>
    </w:p>
    <w:p>
      <w:pPr>
        <w:pStyle w:val="null3"/>
      </w:pPr>
      <w:r>
        <w:rPr/>
        <w:t xml:space="preserve"> 邮编： </w:t>
      </w:r>
      <w:r>
        <w:rPr/>
        <w:t>/</w:t>
      </w:r>
    </w:p>
    <w:p>
      <w:pPr>
        <w:pStyle w:val="null3"/>
      </w:pPr>
      <w:r>
        <w:rPr/>
        <w:t xml:space="preserve"> 联系人： </w:t>
      </w:r>
      <w:r>
        <w:rPr/>
        <w:t>周斌</w:t>
      </w:r>
    </w:p>
    <w:p>
      <w:pPr>
        <w:pStyle w:val="null3"/>
      </w:pPr>
      <w:r>
        <w:rPr/>
        <w:t xml:space="preserve"> 联系电话： </w:t>
      </w:r>
      <w:r>
        <w:rPr/>
        <w:t>85518446</w:t>
      </w:r>
    </w:p>
    <w:p>
      <w:pPr>
        <w:pStyle w:val="null3"/>
        <w:outlineLvl w:val="3"/>
      </w:pPr>
      <w:r>
        <w:rPr>
          <w:sz w:val="24"/>
          <w:b/>
        </w:rPr>
        <w:t>代理机构：</w:t>
      </w:r>
      <w:r>
        <w:rPr>
          <w:sz w:val="24"/>
          <w:b/>
        </w:rPr>
        <w:t>中洲国际项目管理（西安）集团有限公司</w:t>
      </w:r>
    </w:p>
    <w:p>
      <w:pPr>
        <w:pStyle w:val="null3"/>
      </w:pPr>
      <w:r>
        <w:rPr/>
        <w:t xml:space="preserve"> 地址： </w:t>
      </w:r>
      <w:r>
        <w:rPr/>
        <w:t>陕西省西安市市本级西安市雁塔区金辉环球中心C座1509室</w:t>
      </w:r>
    </w:p>
    <w:p>
      <w:pPr>
        <w:pStyle w:val="null3"/>
      </w:pPr>
      <w:r>
        <w:rPr/>
        <w:t xml:space="preserve"> 邮编： </w:t>
      </w:r>
      <w:r>
        <w:rPr/>
        <w:t>/</w:t>
      </w:r>
    </w:p>
    <w:p>
      <w:pPr>
        <w:pStyle w:val="null3"/>
      </w:pPr>
      <w:r>
        <w:rPr/>
        <w:t xml:space="preserve"> 联系人： </w:t>
      </w:r>
      <w:r>
        <w:rPr/>
        <w:t>魏沙沙</w:t>
      </w:r>
    </w:p>
    <w:p>
      <w:pPr>
        <w:pStyle w:val="null3"/>
      </w:pPr>
      <w:r>
        <w:rPr/>
        <w:t xml:space="preserve"> 联系电话： </w:t>
      </w:r>
      <w:r>
        <w:rPr/>
        <w:t>188 2902 0802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采购包1：1,304,250.00元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准计算，参照国家计委颁发的《招标代理服务收费管理暂行办法》（计价格[2002]1980号）和国家发展改革委员会办公厅颁发的《关于招标代理服务收费有关问题的通知》（发改办价格[2003]857号）的有关规定按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西安市大雁塔保管所</w:t>
      </w:r>
      <w:r>
        <w:rPr/>
        <w:t>和</w:t>
      </w:r>
      <w:r>
        <w:rPr/>
        <w:t>中洲国际项目管理（西安）集团有限公司</w:t>
      </w:r>
      <w:r>
        <w:rPr/>
        <w:t>享有。对磋商文件中供应商参加本次政府采购活动应当具备的条件，磋商项目技术、服务、商务及其他要求，评审细则及标准由</w:t>
      </w:r>
      <w:r>
        <w:rPr/>
        <w:t>西安市大雁塔保管所</w:t>
      </w:r>
      <w:r>
        <w:rPr/>
        <w:t>负责解释。除上述磋商文件内容，其他内容由</w:t>
      </w:r>
      <w:r>
        <w:rPr/>
        <w:t>中洲国际项目管理（西安）集团有限公司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西安市大雁塔保管所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中洲国际项目管理（西安）集团有限公司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按照《全国重点文物保护单位文物保护工程竣工验收管理暂行办法》进行相关验收。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中洲国际项目管理（西安）集团有限公司</w:t>
      </w:r>
      <w:r>
        <w:rPr/>
        <w:t xml:space="preserve"> 负责答复；供应商对除采购需求外的采购文件的询问、质疑由</w:t>
      </w:r>
      <w:r>
        <w:rPr/>
        <w:t>中洲国际项目管理（西安）集团有限公司</w:t>
      </w:r>
      <w:r>
        <w:rPr/>
        <w:t xml:space="preserve"> 负责答复；供应商对采购过程、采购结果的询问、质疑由 </w:t>
      </w:r>
      <w:r>
        <w:rPr/>
        <w:t>中洲国际项目管理（西安）集团有限公司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联系人：魏沙沙</w:t>
      </w:r>
    </w:p>
    <w:p>
      <w:pPr>
        <w:pStyle w:val="null3"/>
      </w:pPr>
      <w:r>
        <w:rPr/>
        <w:t>联系电话：188 2902 0802</w:t>
      </w:r>
    </w:p>
    <w:p>
      <w:pPr>
        <w:pStyle w:val="null3"/>
      </w:pPr>
      <w:r>
        <w:rPr/>
        <w:t>地址：陕西省西安市金辉环球中心C座1509</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对大雁塔倾斜、塔檐变形、塔体水平位移、竖向沉降及塔基沉降开展自动化监测。建立监测预警机制，及时发现安全隐患，确保大雁塔本体安全。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1,304,250.00</w:t>
      </w:r>
    </w:p>
    <w:p>
      <w:pPr>
        <w:pStyle w:val="null3"/>
      </w:pPr>
      <w:r>
        <w:rPr/>
        <w:t>采购包最高限价（元）: 1,304,250.00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大雁塔自动化监测费用项目</w:t>
            </w:r>
          </w:p>
        </w:tc>
        <w:tc>
          <w:tcPr>
            <w:tcW w:type="dxa" w:w="831"/>
          </w:tcPr>
          <w:p>
            <w:pPr>
              <w:pStyle w:val="null3"/>
              <w:jc w:val="right"/>
            </w:pPr>
            <w:r>
              <w:rPr/>
              <w:t>1.00</w:t>
            </w:r>
          </w:p>
        </w:tc>
        <w:tc>
          <w:tcPr>
            <w:tcW w:type="dxa" w:w="831"/>
          </w:tcPr>
          <w:p>
            <w:pPr>
              <w:pStyle w:val="null3"/>
              <w:jc w:val="right"/>
            </w:pPr>
            <w:r>
              <w:rPr/>
              <w:t>1,304,250.00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标的名称：大雁塔自动化监测费用项目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sz w:val="21"/>
              </w:rPr>
              <w:t>检测方法</w:t>
            </w:r>
          </w:p>
          <w:p>
            <w:pPr>
              <w:pStyle w:val="null3"/>
              <w:jc w:val="both"/>
            </w:pPr>
            <w:r>
              <w:rPr>
                <w:rFonts w:ascii="宋体" w:hAnsi="宋体" w:cs="宋体" w:eastAsia="宋体"/>
                <w:sz w:val="21"/>
              </w:rPr>
              <w:t>变形监测：拟采用非接触式的远程视频监控监测系统对大雁塔变形进行自动化监测，不在大雁塔文物本体上新安装监测设施。</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监测精度及仪器设备选型：</w:t>
            </w:r>
            <w:r>
              <w:rPr>
                <w:rFonts w:ascii="宋体" w:hAnsi="宋体" w:cs="宋体" w:eastAsia="宋体"/>
                <w:sz w:val="21"/>
              </w:rPr>
              <w:t>远程视频三维监控系统，</w:t>
            </w:r>
            <w:r>
              <w:rPr>
                <w:rFonts w:ascii="宋体" w:hAnsi="宋体" w:cs="宋体" w:eastAsia="宋体"/>
                <w:sz w:val="21"/>
              </w:rPr>
              <w:t>精度：≤2.5</w:t>
            </w:r>
            <w:r>
              <w:rPr>
                <w:rFonts w:ascii="calibri" w:hAnsi="calibri" w:cs="calibri" w:eastAsia="calibri"/>
                <w:sz w:val="21"/>
              </w:rPr>
              <w:t>mm</w:t>
            </w:r>
            <w:r>
              <w:rPr>
                <w:rFonts w:ascii="宋体" w:hAnsi="宋体" w:cs="宋体" w:eastAsia="宋体"/>
                <w:sz w:val="21"/>
              </w:rPr>
              <w:t>（</w:t>
            </w:r>
            <w:r>
              <w:rPr>
                <w:rFonts w:ascii="calibri" w:hAnsi="calibri" w:cs="calibri" w:eastAsia="calibri"/>
                <w:sz w:val="21"/>
              </w:rPr>
              <w:t>0~100m</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监测点位布置</w:t>
            </w:r>
          </w:p>
          <w:p>
            <w:pPr>
              <w:pStyle w:val="null3"/>
              <w:jc w:val="both"/>
            </w:pPr>
            <w:r>
              <w:rPr>
                <w:rFonts w:ascii="宋体" w:hAnsi="宋体" w:cs="宋体" w:eastAsia="宋体"/>
                <w:sz w:val="21"/>
              </w:rPr>
              <w:t>根据现场通视条件，选择在大雁塔基座顶部四面各布置</w:t>
            </w:r>
            <w:r>
              <w:rPr>
                <w:rFonts w:ascii="calibri" w:hAnsi="calibri" w:cs="calibri" w:eastAsia="calibri"/>
                <w:sz w:val="21"/>
              </w:rPr>
              <w:t>1</w:t>
            </w:r>
            <w:r>
              <w:rPr>
                <w:rFonts w:ascii="宋体" w:hAnsi="宋体" w:cs="宋体" w:eastAsia="宋体"/>
                <w:sz w:val="21"/>
              </w:rPr>
              <w:t>处远程自动化三维监控系统，监测塔体中下部变形；在大雁塔基座外东北角、西南角区域各布置</w:t>
            </w:r>
            <w:r>
              <w:rPr>
                <w:rFonts w:ascii="calibri" w:hAnsi="calibri" w:cs="calibri" w:eastAsia="calibri"/>
                <w:sz w:val="21"/>
              </w:rPr>
              <w:t>1</w:t>
            </w:r>
            <w:r>
              <w:rPr>
                <w:rFonts w:ascii="宋体" w:hAnsi="宋体" w:cs="宋体" w:eastAsia="宋体"/>
                <w:sz w:val="21"/>
              </w:rPr>
              <w:t>处远程自动化三维监测系统，监测塔体中上部变形情况。本次自动化监测过程中不需要在大雁塔本体安装监测设备。</w:t>
            </w:r>
          </w:p>
        </w:tc>
      </w:tr>
      <w:tr>
        <w:tc>
          <w:tcPr>
            <w:tcW w:type="dxa" w:w="2769"/>
          </w:tcPr>
          <w:p/>
        </w:tc>
        <w:tc>
          <w:tcPr>
            <w:tcW w:type="dxa" w:w="2769"/>
          </w:tcPr>
          <w:p>
            <w:pPr>
              <w:pStyle w:val="null3"/>
            </w:pPr>
            <w:r>
              <w:rPr/>
              <w:t>4</w:t>
            </w:r>
          </w:p>
        </w:tc>
        <w:tc>
          <w:tcPr>
            <w:tcW w:type="dxa" w:w="2769"/>
          </w:tcPr>
          <w:p>
            <w:pPr>
              <w:pStyle w:val="null3"/>
              <w:ind w:firstLine="420"/>
              <w:jc w:val="left"/>
            </w:pPr>
            <w:r>
              <w:rPr>
                <w:rFonts w:ascii="宋体" w:hAnsi="宋体" w:cs="宋体" w:eastAsia="宋体"/>
                <w:sz w:val="21"/>
              </w:rPr>
              <w:t>监测时间及频次</w:t>
            </w:r>
          </w:p>
          <w:p>
            <w:pPr>
              <w:pStyle w:val="null3"/>
              <w:ind w:firstLine="420"/>
              <w:jc w:val="left"/>
            </w:pPr>
            <w:r>
              <w:rPr>
                <w:rFonts w:ascii="calibri" w:hAnsi="calibri" w:cs="calibri" w:eastAsia="calibri"/>
                <w:sz w:val="21"/>
              </w:rPr>
              <w:t>每天不少于一次，每月对数据进行一次小结，每年向管理单位提供年度报告</w:t>
            </w:r>
          </w:p>
        </w:tc>
      </w:tr>
      <w:tr>
        <w:tc>
          <w:tcPr>
            <w:tcW w:type="dxa" w:w="2769"/>
          </w:tcPr>
          <w:p/>
        </w:tc>
        <w:tc>
          <w:tcPr>
            <w:tcW w:type="dxa" w:w="2769"/>
          </w:tcPr>
          <w:p>
            <w:pPr>
              <w:pStyle w:val="null3"/>
            </w:pPr>
            <w:r>
              <w:rPr/>
              <w:t>5</w:t>
            </w:r>
          </w:p>
        </w:tc>
        <w:tc>
          <w:tcPr>
            <w:tcW w:type="dxa" w:w="2769"/>
          </w:tcPr>
          <w:p>
            <w:pPr>
              <w:pStyle w:val="null3"/>
              <w:ind w:firstLine="420"/>
              <w:jc w:val="left"/>
            </w:pPr>
            <w:r>
              <w:rPr>
                <w:rFonts w:ascii="simsun" w:hAnsi="simsun" w:cs="simsun" w:eastAsia="simsun"/>
                <w:sz w:val="21"/>
              </w:rPr>
              <w:t>1、</w:t>
            </w:r>
            <w:r>
              <w:rPr>
                <w:rFonts w:ascii="simsun" w:hAnsi="simsun" w:cs="simsun" w:eastAsia="simsun"/>
                <w:sz w:val="21"/>
              </w:rPr>
              <w:t>监测</w:t>
            </w:r>
            <w:r>
              <w:rPr>
                <w:rFonts w:ascii="simsun" w:hAnsi="simsun" w:cs="simsun" w:eastAsia="simsun"/>
                <w:sz w:val="21"/>
              </w:rPr>
              <w:t>目的及</w:t>
            </w:r>
            <w:r>
              <w:rPr>
                <w:rFonts w:ascii="simsun" w:hAnsi="simsun" w:cs="simsun" w:eastAsia="simsun"/>
                <w:sz w:val="21"/>
              </w:rPr>
              <w:t>内容</w:t>
            </w:r>
          </w:p>
          <w:p>
            <w:pPr>
              <w:pStyle w:val="null3"/>
              <w:ind w:firstLine="420"/>
              <w:jc w:val="left"/>
            </w:pPr>
            <w:r>
              <w:rPr>
                <w:rFonts w:ascii="simsun" w:hAnsi="simsun" w:cs="simsun" w:eastAsia="simsun"/>
                <w:sz w:val="21"/>
              </w:rPr>
              <w:t>为了更好的保护大雁塔本体安全，本项目拟在大雁塔现有保护工作基础上，实施大雁塔自动化变形监测工作，完善大雁塔系统监测内容，建立大雁塔监测预警机制，实现大雁塔预防性保护综合监测。</w:t>
            </w:r>
          </w:p>
          <w:p>
            <w:pPr>
              <w:pStyle w:val="null3"/>
              <w:ind w:firstLine="420"/>
              <w:jc w:val="left"/>
            </w:pPr>
            <w:r>
              <w:rPr>
                <w:rFonts w:ascii="simsun" w:hAnsi="simsun" w:cs="simsun" w:eastAsia="simsun"/>
                <w:sz w:val="21"/>
              </w:rPr>
              <w:t>塔体变形监测：对大雁塔倾斜、塔檐变形、塔体水平位移、竖向沉降、塔基沉降等变形开展自动化监测。建立监测预警机制，及时发现安全隐患，确保大雁塔本体安全。</w:t>
            </w:r>
          </w:p>
          <w:p>
            <w:pPr>
              <w:pStyle w:val="null3"/>
              <w:ind w:firstLine="420"/>
              <w:jc w:val="left"/>
            </w:pPr>
            <w:r>
              <w:rPr>
                <w:rFonts w:ascii="simsun" w:hAnsi="simsun" w:cs="simsun" w:eastAsia="simsun"/>
                <w:sz w:val="21"/>
              </w:rPr>
              <w:t>2、</w:t>
            </w:r>
            <w:r>
              <w:rPr>
                <w:rFonts w:ascii="simsun" w:hAnsi="simsun" w:cs="simsun" w:eastAsia="simsun"/>
                <w:sz w:val="21"/>
              </w:rPr>
              <w:t>监测方案编制依据</w:t>
            </w:r>
          </w:p>
          <w:p>
            <w:pPr>
              <w:pStyle w:val="null3"/>
              <w:ind w:firstLine="420"/>
              <w:jc w:val="left"/>
            </w:pPr>
            <w:r>
              <w:rPr>
                <w:rFonts w:ascii="simsun" w:hAnsi="simsun" w:cs="simsun" w:eastAsia="simsun"/>
                <w:sz w:val="21"/>
              </w:rPr>
              <w:t>《中华人民共和国文物保护法》；</w:t>
            </w:r>
          </w:p>
          <w:p>
            <w:pPr>
              <w:pStyle w:val="null3"/>
              <w:ind w:firstLine="420"/>
              <w:jc w:val="left"/>
            </w:pPr>
            <w:r>
              <w:rPr>
                <w:rFonts w:ascii="simsun" w:hAnsi="simsun" w:cs="simsun" w:eastAsia="simsun"/>
                <w:sz w:val="21"/>
              </w:rPr>
              <w:t>《中国文物古迹保护准则》；</w:t>
            </w:r>
          </w:p>
          <w:p>
            <w:pPr>
              <w:pStyle w:val="null3"/>
              <w:ind w:firstLine="420"/>
              <w:jc w:val="left"/>
            </w:pPr>
            <w:r>
              <w:rPr>
                <w:rFonts w:ascii="simsun" w:hAnsi="simsun" w:cs="simsun" w:eastAsia="simsun"/>
                <w:sz w:val="21"/>
              </w:rPr>
              <w:t>《陕西省文物保护管理条例》</w:t>
            </w:r>
            <w:r>
              <w:rPr>
                <w:rFonts w:ascii="simsun" w:hAnsi="simsun" w:cs="simsun" w:eastAsia="simsun"/>
                <w:sz w:val="21"/>
              </w:rPr>
              <w:t>；</w:t>
            </w:r>
          </w:p>
          <w:p>
            <w:pPr>
              <w:pStyle w:val="null3"/>
              <w:ind w:firstLine="420"/>
              <w:jc w:val="left"/>
            </w:pPr>
            <w:r>
              <w:rPr>
                <w:rFonts w:ascii="simsun" w:hAnsi="simsun" w:cs="simsun" w:eastAsia="simsun"/>
                <w:sz w:val="21"/>
              </w:rPr>
              <w:t>《西安市不可移动文物保护条例》</w:t>
            </w:r>
            <w:r>
              <w:rPr>
                <w:rFonts w:ascii="simsun" w:hAnsi="simsun" w:cs="simsun" w:eastAsia="simsun"/>
                <w:sz w:val="21"/>
              </w:rPr>
              <w:t>；</w:t>
            </w:r>
          </w:p>
          <w:p>
            <w:pPr>
              <w:pStyle w:val="null3"/>
              <w:ind w:firstLine="420"/>
              <w:jc w:val="left"/>
            </w:pPr>
            <w:r>
              <w:rPr>
                <w:rFonts w:ascii="simsun" w:hAnsi="simsun" w:cs="simsun" w:eastAsia="simsun"/>
                <w:sz w:val="21"/>
              </w:rPr>
              <w:t>《工程测量标准》（GB50026-2020）；</w:t>
            </w:r>
          </w:p>
          <w:p>
            <w:pPr>
              <w:pStyle w:val="null3"/>
              <w:ind w:firstLine="420"/>
              <w:jc w:val="left"/>
            </w:pPr>
            <w:r>
              <w:rPr>
                <w:rFonts w:ascii="simsun" w:hAnsi="simsun" w:cs="simsun" w:eastAsia="simsun"/>
                <w:sz w:val="21"/>
              </w:rPr>
              <w:t>《建筑变形测量规范》（</w:t>
            </w:r>
            <w:r>
              <w:rPr>
                <w:rFonts w:ascii="simsun" w:hAnsi="simsun" w:cs="simsun" w:eastAsia="simsun"/>
                <w:sz w:val="21"/>
              </w:rPr>
              <w:t>JGJ8-2016）</w:t>
            </w:r>
            <w:r>
              <w:rPr>
                <w:rFonts w:ascii="simsun" w:hAnsi="simsun" w:cs="simsun" w:eastAsia="simsun"/>
                <w:sz w:val="21"/>
              </w:rPr>
              <w:t>；</w:t>
            </w:r>
          </w:p>
          <w:p>
            <w:pPr>
              <w:pStyle w:val="null3"/>
              <w:ind w:firstLine="420"/>
              <w:jc w:val="left"/>
            </w:pPr>
            <w:r>
              <w:rPr>
                <w:rFonts w:ascii="simsun" w:hAnsi="simsun" w:cs="simsun" w:eastAsia="simsun"/>
                <w:sz w:val="21"/>
              </w:rPr>
              <w:t>《全球定位系统（GPS）测量规范》（GB/T 18314-2009）；</w:t>
            </w:r>
          </w:p>
          <w:p>
            <w:pPr>
              <w:pStyle w:val="null3"/>
              <w:ind w:firstLine="420"/>
              <w:jc w:val="left"/>
            </w:pPr>
            <w:r>
              <w:rPr>
                <w:rFonts w:ascii="simsun" w:hAnsi="simsun" w:cs="simsun" w:eastAsia="simsun"/>
                <w:sz w:val="21"/>
              </w:rPr>
              <w:t>《公共安全视频监控联网系统信息传输、交换、控制技术要求》（GB/T28181-2016）；</w:t>
            </w:r>
          </w:p>
          <w:p>
            <w:pPr>
              <w:pStyle w:val="null3"/>
              <w:ind w:firstLine="420"/>
              <w:jc w:val="left"/>
            </w:pPr>
            <w:r>
              <w:rPr>
                <w:rFonts w:ascii="simsun" w:hAnsi="simsun" w:cs="simsun" w:eastAsia="simsun"/>
                <w:sz w:val="21"/>
              </w:rPr>
              <w:t>《视频安防监控系统工程设计规范》 GB50395-2015；</w:t>
            </w:r>
          </w:p>
          <w:p>
            <w:pPr>
              <w:pStyle w:val="null3"/>
              <w:ind w:firstLine="420"/>
              <w:jc w:val="left"/>
            </w:pPr>
            <w:r>
              <w:rPr>
                <w:rFonts w:ascii="simsun" w:hAnsi="simsun" w:cs="simsun" w:eastAsia="simsun"/>
                <w:sz w:val="21"/>
              </w:rPr>
              <w:t>国家或行业其他相关规范、强制性标准。</w:t>
            </w:r>
          </w:p>
          <w:p>
            <w:pPr>
              <w:pStyle w:val="null3"/>
              <w:ind w:firstLine="420"/>
              <w:jc w:val="left"/>
            </w:pPr>
            <w:r>
              <w:rPr>
                <w:rFonts w:ascii="simsun" w:hAnsi="simsun" w:cs="simsun" w:eastAsia="simsun"/>
                <w:sz w:val="21"/>
              </w:rPr>
              <w:t>3、实施方案</w:t>
            </w:r>
          </w:p>
          <w:p>
            <w:pPr>
              <w:pStyle w:val="null3"/>
              <w:ind w:firstLine="420"/>
              <w:jc w:val="left"/>
            </w:pPr>
            <w:r>
              <w:rPr>
                <w:rFonts w:ascii="simsun" w:hAnsi="simsun" w:cs="simsun" w:eastAsia="simsun"/>
                <w:sz w:val="21"/>
              </w:rPr>
              <w:t>3.1监测方法选择</w:t>
            </w:r>
          </w:p>
          <w:p>
            <w:pPr>
              <w:pStyle w:val="null3"/>
              <w:ind w:firstLine="420"/>
              <w:jc w:val="left"/>
            </w:pPr>
            <w:r>
              <w:rPr>
                <w:rFonts w:ascii="simsun" w:hAnsi="simsun" w:cs="simsun" w:eastAsia="simsun"/>
                <w:sz w:val="21"/>
              </w:rPr>
              <w:t>变形监测：拟采用非接触式的远程自动化监控监测系统对大雁塔变形进行自动化监测，不在大雁塔文物本体上新安装监测设施。</w:t>
            </w:r>
            <w:r>
              <w:br/>
            </w:r>
            <w:r>
              <w:rPr>
                <w:rFonts w:ascii="simsun" w:hAnsi="simsun" w:cs="simsun" w:eastAsia="simsun"/>
                <w:sz w:val="21"/>
              </w:rPr>
              <w:t xml:space="preserve"> 3.2监测精度及仪器设备选型</w:t>
            </w:r>
          </w:p>
          <w:p>
            <w:pPr>
              <w:pStyle w:val="null3"/>
              <w:ind w:firstLine="420"/>
              <w:jc w:val="left"/>
            </w:pPr>
            <w:r>
              <w:rPr>
                <w:rFonts w:ascii="simsun" w:hAnsi="simsun" w:cs="simsun" w:eastAsia="simsun"/>
                <w:sz w:val="21"/>
              </w:rPr>
              <w:t>根据本项目特点，</w:t>
            </w:r>
            <w:r>
              <w:rPr>
                <w:rFonts w:ascii="simsun" w:hAnsi="simsun" w:cs="simsun" w:eastAsia="simsun"/>
                <w:sz w:val="21"/>
              </w:rPr>
              <w:t>本</w:t>
            </w:r>
            <w:r>
              <w:rPr>
                <w:rFonts w:ascii="simsun" w:hAnsi="simsun" w:cs="simsun" w:eastAsia="simsun"/>
                <w:sz w:val="21"/>
              </w:rPr>
              <w:t>项目变形监测精度需满足</w:t>
            </w:r>
            <w:r>
              <w:rPr>
                <w:rFonts w:ascii="simsun" w:hAnsi="simsun" w:cs="simsun" w:eastAsia="simsun"/>
                <w:sz w:val="21"/>
              </w:rPr>
              <w:t>《建筑变形测量规范》（</w:t>
            </w:r>
            <w:r>
              <w:rPr>
                <w:rFonts w:ascii="simsun" w:hAnsi="simsun" w:cs="simsun" w:eastAsia="simsun"/>
                <w:sz w:val="21"/>
              </w:rPr>
              <w:t>JGJ8-2016）</w:t>
            </w:r>
            <w:r>
              <w:rPr>
                <w:rFonts w:ascii="simsun" w:hAnsi="simsun" w:cs="simsun" w:eastAsia="simsun"/>
                <w:sz w:val="21"/>
              </w:rPr>
              <w:t>中规定的</w:t>
            </w:r>
            <w:r>
              <w:rPr>
                <w:rFonts w:ascii="simsun" w:hAnsi="simsun" w:cs="simsun" w:eastAsia="simsun"/>
                <w:sz w:val="21"/>
              </w:rPr>
              <w:t>二等变形精度</w:t>
            </w:r>
            <w:r>
              <w:rPr>
                <w:rFonts w:ascii="simsun" w:hAnsi="simsun" w:cs="simsun" w:eastAsia="simsun"/>
                <w:sz w:val="21"/>
              </w:rPr>
              <w:t>要求，所有仪器精度均满足相应标准、规范要求。</w:t>
            </w:r>
            <w:r>
              <w:br/>
            </w:r>
            <w:r>
              <w:rPr>
                <w:rFonts w:ascii="simsun" w:hAnsi="simsun" w:cs="simsun" w:eastAsia="simsun"/>
                <w:sz w:val="21"/>
              </w:rPr>
              <w:t xml:space="preserve"> 3.3监测点位布置</w:t>
            </w:r>
          </w:p>
          <w:p>
            <w:pPr>
              <w:pStyle w:val="null3"/>
              <w:ind w:firstLine="420"/>
              <w:jc w:val="left"/>
            </w:pPr>
            <w:r>
              <w:rPr>
                <w:rFonts w:ascii="simsun" w:hAnsi="simsun" w:cs="simsun" w:eastAsia="simsun"/>
                <w:sz w:val="21"/>
              </w:rPr>
              <w:t>综合考虑</w:t>
            </w:r>
            <w:r>
              <w:rPr>
                <w:rFonts w:ascii="simsun" w:hAnsi="simsun" w:cs="simsun" w:eastAsia="simsun"/>
                <w:sz w:val="21"/>
              </w:rPr>
              <w:t>大雁塔病害发育现状及现场实际情况，拟对本次测点作如下布置。</w:t>
            </w:r>
          </w:p>
          <w:p>
            <w:pPr>
              <w:pStyle w:val="null3"/>
              <w:ind w:firstLine="420"/>
              <w:jc w:val="left"/>
            </w:pPr>
            <w:r>
              <w:rPr>
                <w:rFonts w:ascii="simsun" w:hAnsi="simsun" w:cs="simsun" w:eastAsia="simsun"/>
                <w:sz w:val="21"/>
              </w:rPr>
              <w:t>根据现场通视条件，选择在大雁塔基座顶部四面各布置1处远程自动化三维监控系统，监测塔体中下部变形；在大雁塔基座外东北角、西南角区域各布置1处远程自动化三维监控系统，监测塔体中上部变形情况。本次视频监测过程中不需要在大雁塔本体安装监测设备。</w:t>
            </w:r>
          </w:p>
          <w:p>
            <w:pPr>
              <w:pStyle w:val="null3"/>
              <w:ind w:firstLine="420"/>
              <w:jc w:val="left"/>
            </w:pPr>
            <w:r>
              <w:rPr>
                <w:rFonts w:ascii="宋体" w:hAnsi="宋体" w:cs="宋体" w:eastAsia="宋体"/>
                <w:sz w:val="21"/>
              </w:rPr>
              <w:t xml:space="preserve">  </w:t>
            </w:r>
            <w:r>
              <w:rPr>
                <w:rFonts w:ascii="simsun" w:hAnsi="simsun" w:cs="simsun" w:eastAsia="simsun"/>
                <w:sz w:val="21"/>
              </w:rPr>
              <w:t>3.4监测时间及频次</w:t>
            </w:r>
          </w:p>
          <w:p>
            <w:pPr>
              <w:pStyle w:val="null3"/>
              <w:ind w:firstLine="420"/>
              <w:jc w:val="left"/>
            </w:pPr>
            <w:r>
              <w:rPr>
                <w:rFonts w:ascii="simsun" w:hAnsi="simsun" w:cs="simsun" w:eastAsia="simsun"/>
                <w:sz w:val="21"/>
              </w:rPr>
              <w:t>本项目监测持续时间至2025年12月31日。自动化监测数据采集频率每天不少于一次。</w:t>
            </w:r>
          </w:p>
          <w:p>
            <w:pPr>
              <w:pStyle w:val="null3"/>
              <w:ind w:firstLine="420"/>
              <w:jc w:val="left"/>
            </w:pPr>
            <w:r>
              <w:rPr>
                <w:rFonts w:ascii="simsun" w:hAnsi="simsun" w:cs="simsun" w:eastAsia="simsun"/>
                <w:sz w:val="21"/>
              </w:rPr>
              <w:t>3.5监测预警机制</w:t>
            </w:r>
          </w:p>
          <w:p>
            <w:pPr>
              <w:pStyle w:val="null3"/>
              <w:ind w:firstLine="420"/>
              <w:jc w:val="left"/>
            </w:pPr>
            <w:r>
              <w:rPr>
                <w:rFonts w:ascii="simsun" w:hAnsi="simsun" w:cs="simsun" w:eastAsia="simsun"/>
                <w:sz w:val="21"/>
              </w:rPr>
              <w:t>目前尚未开展</w:t>
            </w:r>
            <w:r>
              <w:rPr>
                <w:rFonts w:ascii="simsun" w:hAnsi="simsun" w:cs="simsun" w:eastAsia="simsun"/>
                <w:sz w:val="21"/>
              </w:rPr>
              <w:t>大雁塔</w:t>
            </w:r>
            <w:r>
              <w:rPr>
                <w:rFonts w:ascii="simsun" w:hAnsi="simsun" w:cs="simsun" w:eastAsia="simsun"/>
                <w:sz w:val="21"/>
              </w:rPr>
              <w:t>变形监测预警阈值研究，</w:t>
            </w:r>
            <w:r>
              <w:rPr>
                <w:rFonts w:ascii="simsun" w:hAnsi="simsun" w:cs="simsun" w:eastAsia="simsun"/>
                <w:sz w:val="21"/>
              </w:rPr>
              <w:t>初步设置监测预警阈值，建立三级监测预警机制：</w:t>
            </w:r>
          </w:p>
          <w:p>
            <w:pPr>
              <w:pStyle w:val="null3"/>
              <w:ind w:firstLine="420"/>
              <w:jc w:val="left"/>
            </w:pPr>
            <w:r>
              <w:rPr>
                <w:rFonts w:ascii="simsun" w:hAnsi="simsun" w:cs="simsun" w:eastAsia="simsun"/>
                <w:sz w:val="21"/>
              </w:rPr>
              <w:t>①</w:t>
            </w:r>
            <w:r>
              <w:rPr>
                <w:rFonts w:ascii="simsun" w:hAnsi="simsun" w:cs="simsun" w:eastAsia="simsun"/>
                <w:sz w:val="21"/>
              </w:rPr>
              <w:t>监测数据超出预警阈值或出现异常时，监测云平台向监测技术人员发出预警,5分钟之内通知管理单位，再将情况上报项目负责人和技术负责人，通过项目负责人和技术负责人对信息再次研判分析，12小时内将情况以书面形式上报管理单位；</w:t>
            </w:r>
          </w:p>
          <w:p>
            <w:pPr>
              <w:pStyle w:val="null3"/>
              <w:ind w:firstLine="420"/>
              <w:jc w:val="left"/>
            </w:pPr>
            <w:r>
              <w:rPr>
                <w:rFonts w:ascii="simsun" w:hAnsi="simsun" w:cs="simsun" w:eastAsia="simsun"/>
                <w:sz w:val="21"/>
              </w:rPr>
              <w:t>②技术人员对监测数据及现场情况进行综合研判分析，剔除异常预警，对需要预警的及时上报项目负责人和技术负责人；</w:t>
            </w:r>
          </w:p>
          <w:p>
            <w:pPr>
              <w:pStyle w:val="null3"/>
              <w:ind w:firstLine="420"/>
              <w:jc w:val="left"/>
            </w:pPr>
            <w:r>
              <w:rPr>
                <w:rFonts w:ascii="simsun" w:hAnsi="simsun" w:cs="simsun" w:eastAsia="simsun"/>
                <w:sz w:val="21"/>
              </w:rPr>
              <w:t>③项目负责人和技术负责人对预警信息进行研判分析，如需预警的及时上报管理单位。</w:t>
            </w:r>
          </w:p>
          <w:p>
            <w:pPr>
              <w:pStyle w:val="null3"/>
              <w:ind w:firstLine="420"/>
              <w:jc w:val="left"/>
            </w:pPr>
            <w:r>
              <w:rPr>
                <w:rFonts w:ascii="simsun" w:hAnsi="simsun" w:cs="simsun" w:eastAsia="simsun"/>
                <w:sz w:val="21"/>
              </w:rPr>
              <w:t>3.6</w:t>
            </w:r>
            <w:r>
              <w:rPr>
                <w:rFonts w:ascii="simsun" w:hAnsi="simsun" w:cs="simsun" w:eastAsia="simsun"/>
                <w:sz w:val="21"/>
              </w:rPr>
              <w:t>监测工作量</w:t>
            </w:r>
          </w:p>
          <w:p>
            <w:pPr>
              <w:pStyle w:val="null3"/>
              <w:ind w:firstLine="420"/>
              <w:jc w:val="left"/>
            </w:pPr>
            <w:r>
              <w:rPr>
                <w:rFonts w:ascii="simsun" w:hAnsi="simsun" w:cs="simsun" w:eastAsia="simsun"/>
                <w:sz w:val="21"/>
              </w:rPr>
              <w:t>本项目具体监测工作量详见</w:t>
            </w:r>
            <w:r>
              <w:rPr>
                <w:rFonts w:ascii="simsun" w:hAnsi="simsun" w:cs="simsun" w:eastAsia="simsun"/>
                <w:sz w:val="21"/>
              </w:rPr>
              <w:t xml:space="preserve">表 </w:t>
            </w:r>
            <w:r>
              <w:rPr>
                <w:rFonts w:ascii="simsun" w:hAnsi="simsun" w:cs="simsun" w:eastAsia="simsun"/>
                <w:sz w:val="21"/>
              </w:rPr>
              <w:t>4</w:t>
            </w:r>
            <w:r>
              <w:rPr>
                <w:rFonts w:ascii="simsun" w:hAnsi="simsun" w:cs="simsun" w:eastAsia="simsun"/>
                <w:sz w:val="21"/>
              </w:rPr>
              <w:t>-1</w:t>
            </w:r>
            <w:r>
              <w:rPr>
                <w:rFonts w:ascii="simsun" w:hAnsi="simsun" w:cs="simsun" w:eastAsia="simsun"/>
                <w:sz w:val="21"/>
              </w:rPr>
              <w:t>。</w:t>
            </w:r>
          </w:p>
          <w:p>
            <w:pPr>
              <w:pStyle w:val="null3"/>
              <w:ind w:firstLine="420"/>
              <w:jc w:val="left"/>
            </w:pPr>
            <w:r>
              <w:rPr>
                <w:rFonts w:ascii="simsun" w:hAnsi="simsun" w:cs="simsun" w:eastAsia="simsun"/>
                <w:sz w:val="21"/>
              </w:rPr>
              <w:t xml:space="preserve">表 </w:t>
            </w:r>
            <w:r>
              <w:rPr>
                <w:rFonts w:ascii="simsun" w:hAnsi="simsun" w:cs="simsun" w:eastAsia="simsun"/>
                <w:sz w:val="21"/>
              </w:rPr>
              <w:t>4</w:t>
            </w:r>
            <w:r>
              <w:rPr>
                <w:rFonts w:ascii="simsun" w:hAnsi="simsun" w:cs="simsun" w:eastAsia="simsun"/>
                <w:sz w:val="21"/>
              </w:rPr>
              <w:t>-</w:t>
            </w:r>
            <w:r>
              <w:rPr>
                <w:rFonts w:ascii="simsun" w:hAnsi="simsun" w:cs="simsun" w:eastAsia="simsun"/>
                <w:sz w:val="21"/>
              </w:rPr>
              <w:t>1</w:t>
            </w:r>
            <w:r>
              <w:rPr>
                <w:rFonts w:ascii="simsun" w:hAnsi="simsun" w:cs="simsun" w:eastAsia="simsun"/>
                <w:sz w:val="21"/>
              </w:rPr>
              <w:t xml:space="preserve">  监测工作量一览表</w:t>
            </w:r>
          </w:p>
          <w:tbl>
            <w:tblPr>
              <w:tblBorders>
                <w:top w:val="none" w:color="000000" w:sz="4"/>
                <w:left w:val="none" w:color="000000" w:sz="4"/>
                <w:bottom w:val="none" w:color="000000" w:sz="4"/>
                <w:right w:val="none" w:color="000000" w:sz="4"/>
                <w:insideH w:val="none"/>
                <w:insideV w:val="none"/>
              </w:tblBorders>
            </w:tblPr>
            <w:tblGrid>
              <w:gridCol w:w="298"/>
              <w:gridCol w:w="572"/>
              <w:gridCol w:w="607"/>
              <w:gridCol w:w="742"/>
              <w:gridCol w:w="331"/>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对象</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内容</w:t>
                  </w:r>
                </w:p>
              </w:tc>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点位数量</w:t>
                  </w:r>
                </w:p>
              </w:tc>
              <w:tc>
                <w:tcPr>
                  <w:tcW w:type="dxa" w:w="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监测次数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备注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19"/>
                    </w:rPr>
                    <w:t>大雁塔</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times new roman&quot;" w:hAnsi="&quot;times new roman&quot;" w:cs="&quot;times new roman&quot;" w:eastAsia="&quot;times new roman&quot;"/>
                      <w:sz w:val="19"/>
                    </w:rPr>
                    <w:t>变形监测</w:t>
                  </w:r>
                </w:p>
              </w:tc>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6台自动化监测设备</w:t>
                  </w:r>
                </w:p>
              </w:tc>
              <w:tc>
                <w:tcPr>
                  <w:tcW w:type="dxa" w:w="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每天不少于一次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pPr>
              <w:pStyle w:val="null3"/>
              <w:jc w:val="left"/>
            </w:pPr>
            <w:r>
              <w:rPr>
                <w:rFonts w:ascii="simsun" w:hAnsi="simsun" w:cs="simsun" w:eastAsia="simsun"/>
                <w:sz w:val="21"/>
              </w:rPr>
              <w:t>3.6</w:t>
            </w:r>
            <w:r>
              <w:rPr>
                <w:rFonts w:ascii="simsun" w:hAnsi="simsun" w:cs="simsun" w:eastAsia="simsun"/>
                <w:sz w:val="21"/>
              </w:rPr>
              <w:t>监测成果</w:t>
            </w:r>
            <w:r>
              <w:rPr>
                <w:rFonts w:ascii="simsun" w:hAnsi="simsun" w:cs="simsun" w:eastAsia="simsun"/>
                <w:sz w:val="21"/>
              </w:rPr>
              <w:t>形式及报告</w:t>
            </w:r>
            <w:r>
              <w:rPr>
                <w:rFonts w:ascii="simsun" w:hAnsi="simsun" w:cs="simsun" w:eastAsia="simsun"/>
                <w:sz w:val="21"/>
              </w:rPr>
              <w:t>提交</w:t>
            </w:r>
          </w:p>
          <w:p>
            <w:pPr>
              <w:pStyle w:val="null3"/>
              <w:ind w:firstLine="420"/>
              <w:jc w:val="left"/>
            </w:pPr>
            <w:r>
              <w:rPr>
                <w:rFonts w:ascii="simsun" w:hAnsi="simsun" w:cs="simsun" w:eastAsia="simsun"/>
                <w:sz w:val="21"/>
              </w:rPr>
              <w:t>监测成果形式</w:t>
            </w:r>
          </w:p>
          <w:p>
            <w:pPr>
              <w:pStyle w:val="null3"/>
              <w:ind w:firstLine="420"/>
              <w:jc w:val="left"/>
            </w:pPr>
            <w:r>
              <w:rPr>
                <w:rFonts w:ascii="simsun" w:hAnsi="simsun" w:cs="simsun" w:eastAsia="simsun"/>
                <w:sz w:val="21"/>
              </w:rPr>
              <w:t>（1）监测云平台及小程序</w:t>
            </w:r>
          </w:p>
          <w:p>
            <w:pPr>
              <w:pStyle w:val="null3"/>
              <w:ind w:firstLine="420"/>
              <w:jc w:val="left"/>
            </w:pPr>
            <w:r>
              <w:rPr>
                <w:rFonts w:ascii="simsun" w:hAnsi="simsun" w:cs="simsun" w:eastAsia="simsun"/>
                <w:sz w:val="21"/>
              </w:rPr>
              <w:t>在PC端以云平台的形式展示自动化监测数据，同时可利用小程序进行快速查询监测点及曲线变化情况。</w:t>
            </w:r>
          </w:p>
          <w:tbl>
            <w:tblPr>
              <w:tblBorders>
                <w:top w:val="none" w:color="000000" w:sz="4"/>
                <w:left w:val="none" w:color="000000" w:sz="4"/>
                <w:bottom w:val="none" w:color="000000" w:sz="4"/>
                <w:right w:val="none" w:color="000000" w:sz="4"/>
                <w:insideH w:val="none"/>
                <w:insideV w:val="none"/>
              </w:tblBorders>
            </w:tblPr>
            <w:tblGrid/>
          </w:tbl>
          <w:p>
            <w:pPr>
              <w:pStyle w:val="null3"/>
              <w:ind w:firstLine="420"/>
              <w:jc w:val="left"/>
            </w:pPr>
            <w:r>
              <w:rPr>
                <w:rFonts w:ascii="simsun" w:hAnsi="simsun" w:cs="simsun" w:eastAsia="simsun"/>
                <w:sz w:val="21"/>
              </w:rPr>
              <w:t>（2）监测报告</w:t>
            </w:r>
          </w:p>
          <w:p>
            <w:pPr>
              <w:pStyle w:val="null3"/>
              <w:ind w:firstLine="420"/>
              <w:jc w:val="left"/>
            </w:pPr>
            <w:r>
              <w:rPr>
                <w:rFonts w:ascii="simsun" w:hAnsi="simsun" w:cs="simsun" w:eastAsia="simsun"/>
                <w:sz w:val="21"/>
              </w:rPr>
              <w:t>包括预警信息快报、阶段性成果和</w:t>
            </w:r>
            <w:r>
              <w:rPr>
                <w:rFonts w:ascii="simsun" w:hAnsi="simsun" w:cs="simsun" w:eastAsia="simsun"/>
                <w:sz w:val="21"/>
              </w:rPr>
              <w:t>最终成果</w:t>
            </w:r>
            <w:r>
              <w:rPr>
                <w:rFonts w:ascii="simsun" w:hAnsi="simsun" w:cs="simsun" w:eastAsia="simsun"/>
                <w:sz w:val="21"/>
              </w:rPr>
              <w:t>。</w:t>
            </w:r>
          </w:p>
          <w:p>
            <w:pPr>
              <w:pStyle w:val="null3"/>
              <w:ind w:firstLine="420"/>
              <w:jc w:val="left"/>
            </w:pPr>
            <w:r>
              <w:rPr>
                <w:rFonts w:ascii="simsun" w:hAnsi="simsun" w:cs="simsun" w:eastAsia="simsun"/>
                <w:sz w:val="21"/>
              </w:rPr>
              <w:t>①报告提交</w:t>
            </w:r>
          </w:p>
          <w:p>
            <w:pPr>
              <w:pStyle w:val="null3"/>
              <w:ind w:firstLine="420"/>
              <w:jc w:val="left"/>
            </w:pPr>
            <w:r>
              <w:rPr>
                <w:rFonts w:ascii="simsun" w:hAnsi="simsun" w:cs="simsun" w:eastAsia="simsun"/>
                <w:sz w:val="21"/>
              </w:rPr>
              <w:t>预警信息快报</w:t>
            </w:r>
          </w:p>
          <w:p>
            <w:pPr>
              <w:pStyle w:val="null3"/>
              <w:ind w:firstLine="420"/>
              <w:jc w:val="left"/>
            </w:pPr>
            <w:r>
              <w:rPr>
                <w:rFonts w:ascii="simsun" w:hAnsi="simsun" w:cs="simsun" w:eastAsia="simsun"/>
                <w:sz w:val="21"/>
              </w:rPr>
              <w:t>发现监测结果达到警戒值时，</w:t>
            </w:r>
            <w:r>
              <w:rPr>
                <w:rFonts w:ascii="simsun" w:hAnsi="simsun" w:cs="simsun" w:eastAsia="simsun"/>
                <w:sz w:val="21"/>
              </w:rPr>
              <w:t>24小时内</w:t>
            </w:r>
            <w:r>
              <w:rPr>
                <w:rFonts w:ascii="simsun" w:hAnsi="simsun" w:cs="simsun" w:eastAsia="simsun"/>
                <w:sz w:val="21"/>
              </w:rPr>
              <w:t>上报</w:t>
            </w:r>
            <w:r>
              <w:rPr>
                <w:rFonts w:ascii="simsun" w:hAnsi="simsun" w:cs="simsun" w:eastAsia="simsun"/>
                <w:sz w:val="21"/>
              </w:rPr>
              <w:t>管理单位</w:t>
            </w:r>
            <w:r>
              <w:rPr>
                <w:rFonts w:ascii="simsun" w:hAnsi="simsun" w:cs="simsun" w:eastAsia="simsun"/>
                <w:sz w:val="21"/>
              </w:rPr>
              <w:t>。</w:t>
            </w:r>
          </w:p>
          <w:p>
            <w:pPr>
              <w:pStyle w:val="null3"/>
              <w:ind w:firstLine="420"/>
              <w:jc w:val="left"/>
            </w:pPr>
            <w:r>
              <w:rPr>
                <w:rFonts w:ascii="simsun" w:hAnsi="simsun" w:cs="simsun" w:eastAsia="simsun"/>
                <w:sz w:val="21"/>
              </w:rPr>
              <w:t>②阶段性成果</w:t>
            </w:r>
          </w:p>
          <w:p>
            <w:pPr>
              <w:pStyle w:val="null3"/>
              <w:ind w:firstLine="420"/>
              <w:jc w:val="left"/>
            </w:pPr>
            <w:r>
              <w:rPr>
                <w:rFonts w:ascii="simsun" w:hAnsi="simsun" w:cs="simsun" w:eastAsia="simsun"/>
                <w:sz w:val="21"/>
              </w:rPr>
              <w:t>每</w:t>
            </w:r>
            <w:r>
              <w:rPr>
                <w:rFonts w:ascii="simsun" w:hAnsi="simsun" w:cs="simsun" w:eastAsia="simsun"/>
                <w:sz w:val="21"/>
              </w:rPr>
              <w:t>月</w:t>
            </w:r>
            <w:r>
              <w:rPr>
                <w:rFonts w:ascii="simsun" w:hAnsi="simsun" w:cs="simsun" w:eastAsia="simsun"/>
                <w:sz w:val="21"/>
              </w:rPr>
              <w:t>监测结束后</w:t>
            </w:r>
            <w:r>
              <w:rPr>
                <w:rFonts w:ascii="simsun" w:hAnsi="simsun" w:cs="simsun" w:eastAsia="simsun"/>
                <w:sz w:val="21"/>
              </w:rPr>
              <w:t>及时整理数据，</w:t>
            </w:r>
            <w:r>
              <w:rPr>
                <w:rFonts w:ascii="simsun" w:hAnsi="simsun" w:cs="simsun" w:eastAsia="simsun"/>
                <w:sz w:val="21"/>
              </w:rPr>
              <w:t>发现</w:t>
            </w:r>
            <w:r>
              <w:rPr>
                <w:rFonts w:ascii="simsun" w:hAnsi="simsun" w:cs="simsun" w:eastAsia="simsun"/>
                <w:sz w:val="21"/>
              </w:rPr>
              <w:t>异常的应及时复测。</w:t>
            </w:r>
            <w:r>
              <w:rPr>
                <w:rFonts w:ascii="simsun" w:hAnsi="simsun" w:cs="simsun" w:eastAsia="simsun"/>
                <w:sz w:val="21"/>
              </w:rPr>
              <w:t>并</w:t>
            </w:r>
            <w:r>
              <w:rPr>
                <w:rFonts w:ascii="simsun" w:hAnsi="simsun" w:cs="simsun" w:eastAsia="simsun"/>
                <w:sz w:val="21"/>
              </w:rPr>
              <w:t>以固定格式形成</w:t>
            </w:r>
            <w:r>
              <w:rPr>
                <w:rFonts w:ascii="simsun" w:hAnsi="simsun" w:cs="simsun" w:eastAsia="simsun"/>
                <w:sz w:val="21"/>
              </w:rPr>
              <w:t>月</w:t>
            </w:r>
            <w:r>
              <w:rPr>
                <w:rFonts w:ascii="simsun" w:hAnsi="simsun" w:cs="simsun" w:eastAsia="simsun"/>
                <w:sz w:val="21"/>
              </w:rPr>
              <w:t>报告，提交监测点汇总表</w:t>
            </w:r>
            <w:r>
              <w:rPr>
                <w:rFonts w:ascii="simsun" w:hAnsi="simsun" w:cs="simsun" w:eastAsia="simsun"/>
                <w:sz w:val="21"/>
              </w:rPr>
              <w:t>、</w:t>
            </w:r>
            <w:r>
              <w:rPr>
                <w:rFonts w:ascii="simsun" w:hAnsi="simsun" w:cs="simsun" w:eastAsia="simsun"/>
                <w:sz w:val="21"/>
              </w:rPr>
              <w:t>数据分析曲线及必要的文字说明等。</w:t>
            </w:r>
          </w:p>
          <w:p>
            <w:pPr>
              <w:pStyle w:val="null3"/>
              <w:ind w:firstLine="420"/>
              <w:jc w:val="left"/>
            </w:pPr>
            <w:r>
              <w:rPr>
                <w:rFonts w:ascii="simsun" w:hAnsi="simsun" w:cs="simsun" w:eastAsia="simsun"/>
                <w:sz w:val="21"/>
              </w:rPr>
              <w:t>③最终成果报告</w:t>
            </w:r>
          </w:p>
          <w:p>
            <w:pPr>
              <w:pStyle w:val="null3"/>
              <w:ind w:firstLine="420"/>
              <w:jc w:val="left"/>
            </w:pPr>
            <w:r>
              <w:rPr>
                <w:rFonts w:ascii="simsun" w:hAnsi="simsun" w:cs="simsun" w:eastAsia="simsun"/>
                <w:sz w:val="21"/>
              </w:rPr>
              <w:t>所有监测工作结束后，出具包含所有监测成果</w:t>
            </w:r>
            <w:r>
              <w:rPr>
                <w:rFonts w:ascii="simsun" w:hAnsi="simsun" w:cs="simsun" w:eastAsia="simsun"/>
                <w:sz w:val="21"/>
              </w:rPr>
              <w:t>和稳定性评估成果</w:t>
            </w:r>
            <w:r>
              <w:rPr>
                <w:rFonts w:ascii="simsun" w:hAnsi="simsun" w:cs="simsun" w:eastAsia="simsun"/>
                <w:sz w:val="21"/>
              </w:rPr>
              <w:t>的</w:t>
            </w:r>
            <w:r>
              <w:rPr>
                <w:rFonts w:ascii="simsun" w:hAnsi="simsun" w:cs="simsun" w:eastAsia="simsun"/>
                <w:sz w:val="21"/>
              </w:rPr>
              <w:t>最终</w:t>
            </w:r>
            <w:r>
              <w:rPr>
                <w:rFonts w:ascii="simsun" w:hAnsi="simsun" w:cs="simsun" w:eastAsia="simsun"/>
                <w:sz w:val="21"/>
              </w:rPr>
              <w:t>报告，报告包含现场监测资料、计算分析资料、监测曲线、图表、文字报告等；并将全部监测资料整理归档。</w:t>
            </w:r>
          </w:p>
        </w:tc>
      </w:tr>
      <w:tr>
        <w:tc>
          <w:tcPr>
            <w:tcW w:type="dxa" w:w="2769"/>
          </w:tcPr>
          <w:p/>
        </w:tc>
        <w:tc>
          <w:tcPr>
            <w:tcW w:type="dxa" w:w="2769"/>
          </w:tcPr>
          <w:p>
            <w:pPr>
              <w:pStyle w:val="null3"/>
            </w:pPr>
            <w:r>
              <w:rPr/>
              <w:t>6</w:t>
            </w:r>
          </w:p>
        </w:tc>
        <w:tc>
          <w:tcPr>
            <w:tcW w:type="dxa" w:w="2769"/>
          </w:tcPr>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项目</w:t>
                  </w:r>
                </w:p>
              </w:tc>
              <w:tc>
                <w:tcPr>
                  <w:tcW w:type="dxa" w:w="638"/>
                </w:tcPr>
                <w:p>
                  <w:pPr>
                    <w:pStyle w:val="null3"/>
                  </w:pPr>
                  <w:r>
                    <w:rPr/>
                    <w:t>单位</w:t>
                  </w:r>
                </w:p>
              </w:tc>
              <w:tc>
                <w:tcPr>
                  <w:tcW w:type="dxa" w:w="638"/>
                </w:tcPr>
                <w:p>
                  <w:pPr>
                    <w:pStyle w:val="null3"/>
                  </w:pPr>
                  <w:r>
                    <w:rPr/>
                    <w:t>规格型号及要求</w:t>
                  </w:r>
                </w:p>
              </w:tc>
            </w:tr>
            <w:tr>
              <w:tc>
                <w:tcPr>
                  <w:tcW w:type="dxa" w:w="638"/>
                </w:tcPr>
                <w:p>
                  <w:pPr>
                    <w:pStyle w:val="null3"/>
                  </w:pPr>
                  <w:r>
                    <w:rPr/>
                    <w:t>A1</w:t>
                  </w:r>
                </w:p>
              </w:tc>
              <w:tc>
                <w:tcPr>
                  <w:tcW w:type="dxa" w:w="638"/>
                </w:tcPr>
                <w:p>
                  <w:pPr>
                    <w:pStyle w:val="null3"/>
                  </w:pPr>
                  <w:r>
                    <w:rPr>
                      <w:rFonts w:ascii="宋体" w:hAnsi="宋体" w:cs="宋体" w:eastAsia="宋体"/>
                      <w:sz w:val="21"/>
                    </w:rPr>
                    <w:t>自动化监控测量仪</w:t>
                  </w:r>
                </w:p>
              </w:tc>
              <w:tc>
                <w:tcPr>
                  <w:tcW w:type="dxa" w:w="638"/>
                </w:tcPr>
                <w:p>
                  <w:pPr>
                    <w:pStyle w:val="null3"/>
                  </w:pPr>
                  <w:r>
                    <w:rPr>
                      <w:rFonts w:ascii="宋体" w:hAnsi="宋体" w:cs="宋体" w:eastAsia="宋体"/>
                      <w:sz w:val="21"/>
                    </w:rPr>
                    <w:t>套</w:t>
                  </w:r>
                </w:p>
              </w:tc>
              <w:tc>
                <w:tcPr>
                  <w:tcW w:type="dxa" w:w="638"/>
                </w:tcPr>
                <w:p>
                  <w:pPr>
                    <w:pStyle w:val="null3"/>
                  </w:pPr>
                  <w:r>
                    <w:rPr>
                      <w:rFonts w:ascii="宋体" w:hAnsi="宋体" w:cs="宋体" w:eastAsia="宋体"/>
                      <w:sz w:val="21"/>
                    </w:rPr>
                    <w:t>①监测范围覆盖塔体一周，监测内容包括水平位移、竖向沉降等三个方向的位移变化；</w:t>
                  </w:r>
                  <w:r>
                    <w:rPr>
                      <w:rFonts w:ascii="宋体" w:hAnsi="宋体" w:cs="宋体" w:eastAsia="宋体"/>
                      <w:sz w:val="21"/>
                    </w:rPr>
                    <w:t>②自动化监测精度：≤</w:t>
                  </w:r>
                  <w:r>
                    <w:rPr>
                      <w:rFonts w:ascii="calibri" w:hAnsi="calibri" w:cs="calibri" w:eastAsia="calibri"/>
                      <w:sz w:val="21"/>
                    </w:rPr>
                    <w:t>2.5mm</w:t>
                  </w:r>
                  <w:r>
                    <w:rPr>
                      <w:rFonts w:ascii="宋体" w:hAnsi="宋体" w:cs="宋体" w:eastAsia="宋体"/>
                      <w:sz w:val="21"/>
                    </w:rPr>
                    <w:t>。</w:t>
                  </w:r>
                </w:p>
              </w:tc>
            </w:tr>
            <w:tr>
              <w:tc>
                <w:tcPr>
                  <w:tcW w:type="dxa" w:w="638"/>
                </w:tcPr>
                <w:p>
                  <w:pPr>
                    <w:pStyle w:val="null3"/>
                  </w:pPr>
                  <w:r>
                    <w:rPr/>
                    <w:t>A2</w:t>
                  </w:r>
                </w:p>
              </w:tc>
              <w:tc>
                <w:tcPr>
                  <w:tcW w:type="dxa" w:w="638"/>
                </w:tcPr>
                <w:p>
                  <w:pPr>
                    <w:pStyle w:val="null3"/>
                  </w:pPr>
                  <w:r>
                    <w:rPr>
                      <w:rFonts w:ascii="宋体" w:hAnsi="宋体" w:cs="宋体" w:eastAsia="宋体"/>
                      <w:sz w:val="21"/>
                    </w:rPr>
                    <w:t>自动化监控测量专用软件</w:t>
                  </w:r>
                </w:p>
              </w:tc>
              <w:tc>
                <w:tcPr>
                  <w:tcW w:type="dxa" w:w="638"/>
                </w:tcPr>
                <w:p>
                  <w:pPr>
                    <w:pStyle w:val="null3"/>
                  </w:pPr>
                  <w:r>
                    <w:rPr>
                      <w:rFonts w:ascii="宋体" w:hAnsi="宋体" w:cs="宋体" w:eastAsia="宋体"/>
                      <w:sz w:val="21"/>
                    </w:rPr>
                    <w:t>套</w:t>
                  </w:r>
                </w:p>
              </w:tc>
              <w:tc>
                <w:tcPr>
                  <w:tcW w:type="dxa" w:w="638"/>
                </w:tcPr>
                <w:p>
                  <w:pPr>
                    <w:pStyle w:val="null3"/>
                  </w:pPr>
                  <w:r>
                    <w:rPr>
                      <w:rFonts w:ascii="宋体" w:hAnsi="宋体" w:cs="宋体" w:eastAsia="宋体"/>
                      <w:sz w:val="21"/>
                    </w:rPr>
                    <w:t>自动化监测数据自动处理</w:t>
                  </w:r>
                </w:p>
              </w:tc>
            </w:tr>
          </w:tbl>
          <w:p/>
        </w:tc>
      </w:tr>
    </w:tbl>
    <w:p>
      <w:pPr>
        <w:pStyle w:val="null3"/>
        <w:outlineLvl w:val="2"/>
      </w:pPr>
      <w:r>
        <w:rPr>
          <w:sz w:val="28"/>
          <w:b/>
        </w:rPr>
        <w:t>3.2.3人员配置要求</w:t>
      </w:r>
    </w:p>
    <w:p>
      <w:pPr>
        <w:pStyle w:val="null3"/>
      </w:pPr>
      <w:r>
        <w:rPr/>
        <w:t>采购包1：</w:t>
      </w:r>
    </w:p>
    <w:p>
      <w:pPr>
        <w:pStyle w:val="null3"/>
      </w:pPr>
      <w:r>
        <w:rPr/>
        <w:t>无强制要求，各投标人依据本项目需求情况自行安排</w:t>
      </w:r>
    </w:p>
    <w:p>
      <w:pPr>
        <w:pStyle w:val="null3"/>
        <w:outlineLvl w:val="2"/>
      </w:pPr>
      <w:r>
        <w:rPr>
          <w:sz w:val="28"/>
          <w:b/>
        </w:rPr>
        <w:t>3.2.4设施设备要求</w:t>
      </w:r>
    </w:p>
    <w:p>
      <w:pPr>
        <w:pStyle w:val="null3"/>
      </w:pPr>
      <w:r>
        <w:rPr/>
        <w:t>采购包1：</w:t>
      </w:r>
    </w:p>
    <w:p>
      <w:pPr>
        <w:pStyle w:val="null3"/>
      </w:pPr>
      <w:r>
        <w:rPr/>
        <w:t>无强制要求，各投标人依据本项目需求情况自行安排</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自签订合同起至2025年12月31日</w:t>
      </w:r>
    </w:p>
    <w:p>
      <w:pPr>
        <w:pStyle w:val="null3"/>
        <w:outlineLvl w:val="3"/>
      </w:pPr>
      <w:r>
        <w:rPr>
          <w:sz w:val="24"/>
          <w:b/>
        </w:rPr>
        <w:t>3.3.2服务地点</w:t>
      </w:r>
    </w:p>
    <w:p>
      <w:pPr>
        <w:pStyle w:val="null3"/>
      </w:pPr>
      <w:r>
        <w:rPr/>
        <w:t>采购包1：</w:t>
      </w:r>
    </w:p>
    <w:p>
      <w:pPr>
        <w:pStyle w:val="null3"/>
      </w:pPr>
      <w:r>
        <w:rPr/>
        <w:t>西安市雁塔区大雁塔街道雁塔南路北口大雁塔南广场北侧大慈恩寺大雁塔风景区大慈恩寺内</w:t>
      </w:r>
    </w:p>
    <w:p>
      <w:pPr>
        <w:pStyle w:val="null3"/>
        <w:outlineLvl w:val="3"/>
      </w:pPr>
      <w:r>
        <w:rPr>
          <w:sz w:val="24"/>
          <w:b/>
        </w:rPr>
        <w:t>3.3.3考核（验收）标准和方法</w:t>
      </w:r>
    </w:p>
    <w:p>
      <w:pPr>
        <w:pStyle w:val="null3"/>
      </w:pPr>
      <w:r>
        <w:rPr/>
        <w:t>采购包1：</w:t>
      </w:r>
    </w:p>
    <w:p>
      <w:pPr>
        <w:pStyle w:val="null3"/>
      </w:pPr>
      <w:r>
        <w:rPr/>
        <w:t>详见合同内容。</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合同签订之日起10天内支付全款</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1、合同生效后，无正当理由，甲方擅自中途停止或解除合同，乙方未开始工作的， 甲方不承担违约责任，乙方已开始工作的，双方按照实际工作量据实结算费用，除此之 外甲方不承担其他违约或损坏赔偿责任：乙方无正当理由不履行合同，或擅自单方解除 本合同，乙方向甲方支付违约金（总价款的 20%），并退还已支付的项目款。 2、乙方违反本合同任一条款约定，甲方有权解除合同，不再支付任何费用，同时 乙方承担合同暂定总价款 20%的合同解除违约金。 3、甲方超过合同规定的日期付款时，甲方应按延误天数和当期银行间同业拆借中心贷款市场报价利率标准，向乙方支付违约金。 4、乙方逾期完成本合同各阶段约定工作， 自逾期之日起，承担合同总价款千分之 一/日的逾期违约金，逾期达 7 日，甲方有权解除合同，不再支付任何费用，同时乙方 承担合同暂定总价款 20%的合同解除违约金。 5、乙方不得将本项目转包或委托任何第三方实施，同时乙方承诺具备合法资质履 行本合同，如违反前述任一约定，甲方有权解除合同，不再支付任何费用，同时乙方承 担合同总价款 20%的合同解除违约金。 6、乙方的监测质量不合格的，应予以重新监测并承担费用，并在甲方要求的时间 内完成，乙方逾期监测、拒不重新监测，或监测后质量仍然不合格或累计发生 2 次监测 不合格情形的，甲方有权解除合同，不再支付任何费用，同时乙方承担合同总价款 20% 的合同解除违约金。 7、由于不可抗力，致使合同无法履行时，双方应按有关法律规定及时协商处理。</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 2023 年度的财务审计报告或开标前一个月内其基本存款账户开户银行出具的资信证明（附开户许可证或开户备案证明或基本账户信息）</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 2024 年 1 月 1 日至今已缴存的至少一个月的纳税证明或完税证明，依法免税的单位应提供相关证明材料</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 2024 年 1 月 1 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参加采购活动前 3 年内，在经营活动中没有重大违法记录的书面声明</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6</w:t>
            </w:r>
          </w:p>
        </w:tc>
        <w:tc>
          <w:tcPr>
            <w:tcW w:type="dxa" w:w="2492"/>
          </w:tcPr>
          <w:p>
            <w:pPr>
              <w:pStyle w:val="null3"/>
            </w:pPr>
            <w:r>
              <w:rPr/>
              <w:t>证明材料</w:t>
            </w:r>
          </w:p>
        </w:tc>
        <w:tc>
          <w:tcPr>
            <w:tcW w:type="dxa" w:w="3322"/>
          </w:tcPr>
          <w:p>
            <w:pPr>
              <w:pStyle w:val="null3"/>
            </w:pPr>
            <w:r>
              <w:rPr/>
              <w:t>具备履行合同所必需的设备和专业技术能力的证明材料(由投标人根据项目需求提供说明材料或者承诺)</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7</w:t>
            </w:r>
          </w:p>
        </w:tc>
        <w:tc>
          <w:tcPr>
            <w:tcW w:type="dxa" w:w="2492"/>
          </w:tcPr>
          <w:p>
            <w:pPr>
              <w:pStyle w:val="null3"/>
            </w:pPr>
            <w:r>
              <w:rPr/>
              <w:t>公司资质</w:t>
            </w:r>
          </w:p>
        </w:tc>
        <w:tc>
          <w:tcPr>
            <w:tcW w:type="dxa" w:w="3322"/>
          </w:tcPr>
          <w:p>
            <w:pPr>
              <w:pStyle w:val="null3"/>
            </w:pPr>
            <w:r>
              <w:rPr/>
              <w:t>投标人应具备行政主管部门核发的工程勘察综合甲级资质和甲级测绘资质</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8</w:t>
            </w:r>
          </w:p>
        </w:tc>
        <w:tc>
          <w:tcPr>
            <w:tcW w:type="dxa" w:w="2492"/>
          </w:tcPr>
          <w:p>
            <w:pPr>
              <w:pStyle w:val="null3"/>
            </w:pPr>
            <w:r>
              <w:rPr/>
              <w:t>项目负责人资格</w:t>
            </w:r>
          </w:p>
        </w:tc>
        <w:tc>
          <w:tcPr>
            <w:tcW w:type="dxa" w:w="3322"/>
          </w:tcPr>
          <w:p>
            <w:pPr>
              <w:pStyle w:val="null3"/>
            </w:pPr>
            <w:r>
              <w:rPr/>
              <w:t>供应商拟派项目负责人须具备“注册土木工程师（岩土）”或“注册测绘师”证书；</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9</w:t>
            </w:r>
          </w:p>
        </w:tc>
        <w:tc>
          <w:tcPr>
            <w:tcW w:type="dxa" w:w="2492"/>
          </w:tcPr>
          <w:p>
            <w:pPr>
              <w:pStyle w:val="null3"/>
            </w:pPr>
            <w:r>
              <w:rPr/>
              <w:t>法定代表人证明书或法定代表人授权委托书</w:t>
            </w:r>
          </w:p>
        </w:tc>
        <w:tc>
          <w:tcPr>
            <w:tcW w:type="dxa" w:w="3322"/>
          </w:tcPr>
          <w:p>
            <w:pPr>
              <w:pStyle w:val="null3"/>
            </w:pPr>
            <w:r>
              <w:rPr/>
              <w:t>投标人应授权合法的人员参加投标全过程，其中法定代表人直接参加投标的，须出具法定代表人身份证原件，并与营业执照上信息一致。法定代表人授权代表参加投标的，须出具法定代表人授权书及授权代表身份证原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10</w:t>
            </w:r>
          </w:p>
        </w:tc>
        <w:tc>
          <w:tcPr>
            <w:tcW w:type="dxa" w:w="2492"/>
          </w:tcPr>
          <w:p>
            <w:pPr>
              <w:pStyle w:val="null3"/>
            </w:pPr>
            <w:r>
              <w:rPr/>
              <w:t>信用报告</w:t>
            </w:r>
          </w:p>
        </w:tc>
        <w:tc>
          <w:tcPr>
            <w:tcW w:type="dxa" w:w="3322"/>
          </w:tcPr>
          <w:p>
            <w:pPr>
              <w:pStyle w:val="null3"/>
            </w:pPr>
            <w:r>
              <w:rPr/>
              <w:t>投标人通过“信用中国”网站(www.creditchina.gov.cn)、中国政府采购网(www.ccgp.gov.cn)等查询相关主体信用记录；</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招标文件要求的其它材料 中小企业声明函 残疾人福利性单位声明函 商务应答表 服务方案 标的清单 供应商应提交的相关资格证明材料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投标人针对本项目提供详细、具体、可行的实施方案，且方案合理科学，措施得当，并对本项目实施的重点、难点给出相应的解决方案。方案完整，合理可行计7.1-10分；方案简单，有实施方案及解决方案的计4.1-7分；能提供实施方案大纲的，单内容过于简单的计1-4分；未提供的不计分。 2.针对本项目有具体的时间进度控制方案和应急处理方案，方案合理、架构完整、时间节点层次清楚，分级明确，根据方案横向对比计分。方案科学合理、完全满足计7.1-10分；方案基本合理可行计4.1-7分，方案欠缺、不利于实施计1-4分，未提供不计分。 3.投标人提供本项目应急预案，针对突发情况在补救措施及响应时间等方面，具备详细的服务措施及承诺，并制定异常数据监控制度和处理处置方法。方案科学合理、完全满足计7.1-10分；方案基本合理可行计4.1-7分，方案欠缺、不利于实施计1-4分，未提供不计分。 4.根据提供的质量保证措施、安全文明施工措施、安装调试流程、运维方案进行赋分，服务方案详细、科学、合理计5.1-10分；方案基本详细，较为科学合理计1-5分；方案不详细或不合理得0分。</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项目负责人具有高级及以上职称得4分； 具有同类型古建筑物监测类业绩，每提供一个计2分，满分6分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1.项目团队人员配置情况。项目团队人员结构数量合理，专业技术人员配备齐全、分工合理，专业人员能力强、项目经验丰富。7.1-10分。 2.人员配置满足项目需求，分工明确、配置合理，总体实力较强，得4.1-7分。 3.人员配置基本满足项目需求，分工较明确，配置一般，得1-4分；未提供相关方案不计分。提供相关证明材料。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仪器设备配置方案</w:t>
            </w:r>
          </w:p>
        </w:tc>
        <w:tc>
          <w:tcPr>
            <w:tcW w:type="dxa" w:w="2492"/>
          </w:tcPr>
          <w:p>
            <w:pPr>
              <w:pStyle w:val="null3"/>
            </w:pPr>
            <w:r>
              <w:rPr/>
              <w:t>1.拟投入本项目的设备配置方案，方案科学合理、完全满足计7.1-10分。 2.方案基本合理可行计4.1-7分，方案欠缺、不利于实施计0-4分，未提供不计分。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1.服务承诺方案及合理化建议内容完善、可行、具体、针对性强得7.1-10分； 2.服务承诺方案及合理化建议内容较为完善，基本可行，有针对性得得4.1-7分； 3.服务承诺方案及合理化建议内容欠缺、不具有针对性的得0-4分；未提供服务承诺不得分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具有同类古建物监测类业绩（不限年份），每提供一份计2分，满分10分。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标的清单 报价表</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详见附件：招标文件要求的其它材料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详见附件：大雁塔自动化监测费用项目——合同主要条款.docx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