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37A3BE">
      <w:pPr>
        <w:widowControl/>
        <w:spacing w:after="240" w:afterLines="100" w:line="400" w:lineRule="atLeast"/>
        <w:jc w:val="center"/>
        <w:outlineLvl w:val="0"/>
        <w:rPr>
          <w:rFonts w:hint="eastAsia" w:ascii="黑体" w:hAnsi="黑体" w:eastAsia="黑体"/>
          <w:sz w:val="44"/>
          <w:szCs w:val="44"/>
        </w:rPr>
      </w:pPr>
      <w:r>
        <w:rPr>
          <w:rFonts w:hint="eastAsia" w:ascii="黑体" w:hAnsi="黑体" w:eastAsia="黑体"/>
          <w:sz w:val="44"/>
          <w:szCs w:val="44"/>
        </w:rPr>
        <w:t>政府采购合同格式</w:t>
      </w:r>
    </w:p>
    <w:p w14:paraId="54DD3853">
      <w:pPr>
        <w:spacing w:line="360" w:lineRule="auto"/>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西安市文物保护考古研究院考古发掘合作委托协议</w:t>
      </w:r>
    </w:p>
    <w:p w14:paraId="1DDB5C94">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西安市不可移动文物保护条例》实施后，考古工作前置，在追赶超越的形势下，配合基建的考古任务十分急迫而繁重，西安市文物保护考古研究院现有的专业考古人员和技术力量已难以承担目前剧增的考古发掘任务。按照市委、市政府开放考古、联合科研的指示精神，在省、市文物局的指导下，西安市文物保护考古研究院联合具有考古力量的科研院所和高校，采取合作委托的方式开展考古发掘与文物保护有关项目。鉴于此，经双方协商，签订以下合作委托协议：</w:t>
      </w:r>
    </w:p>
    <w:p w14:paraId="5653F852">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甲    方： 西安市文物保护考古研究院</w:t>
      </w:r>
    </w:p>
    <w:p w14:paraId="5ABA9E68">
      <w:pPr>
        <w:spacing w:line="360" w:lineRule="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 xml:space="preserve">乙    方： </w:t>
      </w:r>
      <w:r>
        <w:rPr>
          <w:rFonts w:hint="eastAsia" w:ascii="宋体" w:hAnsi="宋体" w:eastAsia="宋体" w:cs="宋体"/>
          <w:sz w:val="21"/>
          <w:szCs w:val="21"/>
          <w:highlight w:val="none"/>
          <w:u w:val="single"/>
          <w:lang w:val="en-US" w:eastAsia="zh-CN"/>
        </w:rPr>
        <w:t xml:space="preserve">                        </w:t>
      </w:r>
    </w:p>
    <w:p w14:paraId="222BE0B0">
      <w:pPr>
        <w:spacing w:line="360" w:lineRule="auto"/>
        <w:rPr>
          <w:rFonts w:hint="eastAsia" w:ascii="宋体" w:hAnsi="宋体" w:eastAsia="宋体" w:cs="宋体"/>
          <w:sz w:val="21"/>
          <w:szCs w:val="21"/>
          <w:highlight w:val="none"/>
          <w:u w:val="single"/>
          <w:lang w:val="en-US" w:eastAsia="zh-CN"/>
        </w:rPr>
      </w:pPr>
      <w:r>
        <w:rPr>
          <w:rFonts w:hint="eastAsia" w:ascii="宋体" w:hAnsi="宋体" w:eastAsia="宋体" w:cs="宋体"/>
          <w:sz w:val="21"/>
          <w:szCs w:val="21"/>
          <w:highlight w:val="none"/>
          <w:lang w:val="en-US" w:eastAsia="zh-CN"/>
        </w:rPr>
        <w:t>项目</w:t>
      </w:r>
      <w:r>
        <w:rPr>
          <w:rFonts w:hint="eastAsia" w:ascii="宋体" w:hAnsi="宋体" w:eastAsia="宋体" w:cs="宋体"/>
          <w:sz w:val="21"/>
          <w:szCs w:val="21"/>
          <w:highlight w:val="none"/>
        </w:rPr>
        <w:t xml:space="preserve">名称： </w:t>
      </w:r>
      <w:r>
        <w:rPr>
          <w:rFonts w:hint="eastAsia" w:ascii="宋体" w:hAnsi="宋体" w:eastAsia="宋体" w:cs="宋体"/>
          <w:sz w:val="21"/>
          <w:szCs w:val="21"/>
          <w:highlight w:val="none"/>
          <w:u w:val="single"/>
          <w:lang w:val="en-US" w:eastAsia="zh-CN"/>
        </w:rPr>
        <w:t xml:space="preserve">                        </w:t>
      </w:r>
    </w:p>
    <w:p w14:paraId="54809C46">
      <w:pPr>
        <w:spacing w:line="360" w:lineRule="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项目</w:t>
      </w:r>
      <w:r>
        <w:rPr>
          <w:rFonts w:hint="eastAsia" w:ascii="宋体" w:hAnsi="宋体" w:eastAsia="宋体" w:cs="宋体"/>
          <w:sz w:val="21"/>
          <w:szCs w:val="21"/>
          <w:highlight w:val="none"/>
        </w:rPr>
        <w:t xml:space="preserve">地点： </w:t>
      </w:r>
      <w:r>
        <w:rPr>
          <w:rFonts w:hint="eastAsia" w:ascii="宋体" w:hAnsi="宋体" w:eastAsia="宋体" w:cs="宋体"/>
          <w:sz w:val="21"/>
          <w:szCs w:val="21"/>
          <w:highlight w:val="none"/>
          <w:u w:val="single"/>
          <w:lang w:val="en-US" w:eastAsia="zh-CN"/>
        </w:rPr>
        <w:t xml:space="preserve">                        </w:t>
      </w:r>
    </w:p>
    <w:p w14:paraId="62120DA2">
      <w:pPr>
        <w:spacing w:line="360" w:lineRule="auto"/>
        <w:ind w:firstLine="525" w:firstLineChars="250"/>
        <w:rPr>
          <w:rFonts w:hint="eastAsia" w:ascii="宋体" w:hAnsi="宋体" w:eastAsia="宋体" w:cs="宋体"/>
          <w:sz w:val="21"/>
          <w:szCs w:val="21"/>
          <w:highlight w:val="none"/>
        </w:rPr>
      </w:pPr>
      <w:r>
        <w:rPr>
          <w:rFonts w:hint="eastAsia" w:ascii="宋体" w:hAnsi="宋体" w:eastAsia="宋体" w:cs="宋体"/>
          <w:sz w:val="21"/>
          <w:szCs w:val="21"/>
          <w:highlight w:val="none"/>
        </w:rPr>
        <w:t>甲方将</w:t>
      </w:r>
      <w:r>
        <w:rPr>
          <w:rFonts w:hint="eastAsia" w:ascii="宋体" w:hAnsi="宋体" w:eastAsia="宋体" w:cs="宋体"/>
          <w:sz w:val="21"/>
          <w:szCs w:val="21"/>
          <w:highlight w:val="none"/>
          <w:u w:val="single"/>
          <w:lang w:val="en-US" w:eastAsia="zh-CN"/>
        </w:rPr>
        <w:t xml:space="preserve">                        项目</w:t>
      </w:r>
      <w:r>
        <w:rPr>
          <w:rFonts w:hint="eastAsia" w:ascii="宋体" w:hAnsi="宋体" w:eastAsia="宋体" w:cs="宋体"/>
          <w:sz w:val="21"/>
          <w:szCs w:val="21"/>
          <w:highlight w:val="none"/>
        </w:rPr>
        <w:t>的考古发掘工作全部委托给乙方承担，双方联合申报考古发掘证照，双方的责任和义务如下：</w:t>
      </w:r>
    </w:p>
    <w:p w14:paraId="121C4749">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一、甲方责任：</w:t>
      </w:r>
    </w:p>
    <w:p w14:paraId="59891906">
      <w:pPr>
        <w:numPr>
          <w:ilvl w:val="0"/>
          <w:numId w:val="0"/>
        </w:numPr>
        <w:spacing w:line="360" w:lineRule="auto"/>
        <w:ind w:left="5" w:leftChars="0" w:firstLine="415" w:firstLineChars="0"/>
        <w:rPr>
          <w:rFonts w:hint="eastAsia" w:ascii="宋体" w:hAnsi="宋体" w:eastAsia="宋体" w:cs="宋体"/>
          <w:sz w:val="21"/>
          <w:szCs w:val="21"/>
          <w:highlight w:val="none"/>
        </w:rPr>
      </w:pPr>
      <w:r>
        <w:rPr>
          <w:rFonts w:hint="eastAsia" w:ascii="宋体" w:hAnsi="宋体" w:eastAsia="宋体" w:cs="宋体"/>
          <w:kern w:val="2"/>
          <w:sz w:val="21"/>
          <w:szCs w:val="21"/>
          <w:highlight w:val="none"/>
          <w:lang w:val="en-US" w:eastAsia="zh-CN" w:bidi="ar-SA"/>
        </w:rPr>
        <w:t>1.</w:t>
      </w:r>
      <w:r>
        <w:rPr>
          <w:rFonts w:hint="eastAsia" w:ascii="宋体" w:hAnsi="宋体" w:eastAsia="宋体" w:cs="宋体"/>
          <w:sz w:val="21"/>
          <w:szCs w:val="21"/>
          <w:highlight w:val="none"/>
        </w:rPr>
        <w:t>甲方指派项目负责人，负责该项目的管理与实施。</w:t>
      </w:r>
    </w:p>
    <w:p w14:paraId="74924DFF">
      <w:pPr>
        <w:numPr>
          <w:ilvl w:val="0"/>
          <w:numId w:val="0"/>
        </w:numPr>
        <w:spacing w:line="360" w:lineRule="auto"/>
        <w:ind w:left="5" w:leftChars="0" w:firstLine="415" w:firstLineChars="0"/>
        <w:rPr>
          <w:rFonts w:hint="eastAsia" w:ascii="宋体" w:hAnsi="宋体" w:eastAsia="宋体" w:cs="宋体"/>
          <w:sz w:val="21"/>
          <w:szCs w:val="21"/>
          <w:highlight w:val="none"/>
        </w:rPr>
      </w:pPr>
      <w:r>
        <w:rPr>
          <w:rFonts w:hint="eastAsia" w:ascii="宋体" w:hAnsi="宋体" w:eastAsia="宋体" w:cs="宋体"/>
          <w:kern w:val="2"/>
          <w:sz w:val="21"/>
          <w:szCs w:val="21"/>
          <w:highlight w:val="none"/>
          <w:lang w:val="en-US" w:eastAsia="zh-CN" w:bidi="ar-SA"/>
        </w:rPr>
        <w:t>2.</w:t>
      </w:r>
      <w:r>
        <w:rPr>
          <w:rFonts w:hint="eastAsia" w:ascii="宋体" w:hAnsi="宋体" w:eastAsia="宋体" w:cs="宋体"/>
          <w:sz w:val="21"/>
          <w:szCs w:val="21"/>
          <w:highlight w:val="none"/>
        </w:rPr>
        <w:t>甲方负责与建设单位和当地相关部门的协调工作，协调建设方清除现场垃圾、堆土、植被等障碍，排除可能干扰发掘工作的各种人为因素，以保证乙方考古发掘工作的顺利进行。</w:t>
      </w:r>
    </w:p>
    <w:p w14:paraId="3FF7B24D">
      <w:pPr>
        <w:numPr>
          <w:ilvl w:val="0"/>
          <w:numId w:val="0"/>
        </w:numPr>
        <w:spacing w:line="360" w:lineRule="auto"/>
        <w:ind w:left="5" w:leftChars="0" w:firstLine="415" w:firstLineChars="0"/>
        <w:rPr>
          <w:rFonts w:hint="eastAsia" w:ascii="宋体" w:hAnsi="宋体" w:eastAsia="宋体" w:cs="宋体"/>
          <w:sz w:val="21"/>
          <w:szCs w:val="21"/>
          <w:highlight w:val="none"/>
        </w:rPr>
      </w:pPr>
      <w:r>
        <w:rPr>
          <w:rFonts w:hint="eastAsia" w:ascii="宋体" w:hAnsi="宋体" w:eastAsia="宋体" w:cs="宋体"/>
          <w:kern w:val="2"/>
          <w:sz w:val="21"/>
          <w:szCs w:val="21"/>
          <w:highlight w:val="none"/>
          <w:lang w:val="en-US" w:eastAsia="zh-CN" w:bidi="ar-SA"/>
        </w:rPr>
        <w:t>3.</w:t>
      </w:r>
      <w:r>
        <w:rPr>
          <w:rFonts w:hint="eastAsia" w:ascii="宋体" w:hAnsi="宋体" w:eastAsia="宋体" w:cs="宋体"/>
          <w:sz w:val="21"/>
          <w:szCs w:val="21"/>
          <w:highlight w:val="none"/>
        </w:rPr>
        <w:t>甲方负责在考古发掘前派驻第三方保安公司，负责考古工地的安全保卫工作。</w:t>
      </w:r>
    </w:p>
    <w:p w14:paraId="1B7EF9BD">
      <w:pPr>
        <w:numPr>
          <w:ilvl w:val="0"/>
          <w:numId w:val="0"/>
        </w:numPr>
        <w:spacing w:line="360" w:lineRule="auto"/>
        <w:ind w:left="5" w:leftChars="0" w:firstLine="415" w:firstLineChars="0"/>
        <w:rPr>
          <w:rFonts w:hint="eastAsia" w:ascii="宋体" w:hAnsi="宋体" w:eastAsia="宋体" w:cs="宋体"/>
          <w:sz w:val="21"/>
          <w:szCs w:val="21"/>
          <w:highlight w:val="none"/>
        </w:rPr>
      </w:pPr>
      <w:r>
        <w:rPr>
          <w:rFonts w:hint="eastAsia" w:ascii="宋体" w:hAnsi="宋体" w:eastAsia="宋体" w:cs="宋体"/>
          <w:kern w:val="2"/>
          <w:sz w:val="21"/>
          <w:szCs w:val="21"/>
          <w:highlight w:val="none"/>
          <w:lang w:val="en-US" w:eastAsia="zh-CN" w:bidi="ar-SA"/>
        </w:rPr>
        <w:t>4.</w:t>
      </w:r>
      <w:r>
        <w:rPr>
          <w:rFonts w:hint="eastAsia" w:ascii="宋体" w:hAnsi="宋体" w:eastAsia="宋体" w:cs="宋体"/>
          <w:sz w:val="21"/>
          <w:szCs w:val="21"/>
          <w:highlight w:val="none"/>
        </w:rPr>
        <w:t>甲方对该项目进行统一管理，不定期对项目进度、质量、安全等方面进行检查及督导，并进行完工后的验收。</w:t>
      </w:r>
    </w:p>
    <w:p w14:paraId="22087477">
      <w:pPr>
        <w:numPr>
          <w:ilvl w:val="0"/>
          <w:numId w:val="0"/>
        </w:numPr>
        <w:spacing w:line="360" w:lineRule="auto"/>
        <w:ind w:left="5" w:leftChars="0" w:firstLine="415" w:firstLineChars="0"/>
        <w:rPr>
          <w:rFonts w:hint="eastAsia" w:ascii="宋体" w:hAnsi="宋体" w:eastAsia="宋体" w:cs="宋体"/>
          <w:sz w:val="21"/>
          <w:szCs w:val="21"/>
          <w:highlight w:val="none"/>
        </w:rPr>
      </w:pPr>
      <w:r>
        <w:rPr>
          <w:rFonts w:hint="eastAsia" w:ascii="宋体" w:hAnsi="宋体" w:eastAsia="宋体" w:cs="宋体"/>
          <w:kern w:val="2"/>
          <w:sz w:val="21"/>
          <w:szCs w:val="21"/>
          <w:highlight w:val="none"/>
          <w:lang w:val="en-US" w:eastAsia="zh-CN" w:bidi="ar-SA"/>
        </w:rPr>
        <w:t>5.</w:t>
      </w:r>
      <w:r>
        <w:rPr>
          <w:rFonts w:hint="eastAsia" w:ascii="宋体" w:hAnsi="宋体" w:eastAsia="宋体" w:cs="宋体"/>
          <w:sz w:val="21"/>
          <w:szCs w:val="21"/>
          <w:highlight w:val="none"/>
        </w:rPr>
        <w:t>甲方负责接收和保管所有出土文物及标本资料。</w:t>
      </w:r>
    </w:p>
    <w:p w14:paraId="426B4D26">
      <w:pPr>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二、乙方责任：</w:t>
      </w:r>
    </w:p>
    <w:p w14:paraId="0115E595">
      <w:pPr>
        <w:spacing w:line="360" w:lineRule="auto"/>
        <w:ind w:left="10" w:leftChars="5" w:firstLine="357" w:firstLineChars="170"/>
        <w:rPr>
          <w:rFonts w:hint="eastAsia" w:ascii="宋体" w:hAnsi="宋体" w:eastAsia="宋体" w:cs="宋体"/>
          <w:sz w:val="21"/>
          <w:szCs w:val="21"/>
          <w:highlight w:val="none"/>
        </w:rPr>
      </w:pPr>
      <w:r>
        <w:rPr>
          <w:rFonts w:hint="eastAsia" w:ascii="宋体" w:hAnsi="宋体" w:eastAsia="宋体" w:cs="宋体"/>
          <w:sz w:val="21"/>
          <w:szCs w:val="21"/>
          <w:highlight w:val="none"/>
        </w:rPr>
        <w:t>1、 乙方负责在甲方的指导下，按照国家文物局颁布的《田野考古工作规程》进行施工，科学发掘，精确记录，确保发掘质量。田野考古工作结束后7个工作日内向甲方出具考古工作报告书。</w:t>
      </w:r>
    </w:p>
    <w:p w14:paraId="238C1BC0">
      <w:pPr>
        <w:spacing w:line="360" w:lineRule="auto"/>
        <w:ind w:left="10" w:leftChars="5" w:firstLine="357" w:firstLineChars="170"/>
        <w:rPr>
          <w:rFonts w:hint="eastAsia" w:ascii="宋体" w:hAnsi="宋体" w:eastAsia="宋体" w:cs="宋体"/>
          <w:sz w:val="21"/>
          <w:szCs w:val="21"/>
          <w:highlight w:val="none"/>
        </w:rPr>
      </w:pPr>
      <w:r>
        <w:rPr>
          <w:rFonts w:hint="eastAsia" w:ascii="宋体" w:hAnsi="宋体" w:eastAsia="宋体" w:cs="宋体"/>
          <w:sz w:val="21"/>
          <w:szCs w:val="21"/>
          <w:highlight w:val="none"/>
        </w:rPr>
        <w:t>2、 乙方须配备专业考古技术人员和现场文物保护人员，能熟练完成发掘、记录、照像、扫描、测绘、现场文物保护及采集标本、提取文物等各个环节的专业工作。</w:t>
      </w:r>
    </w:p>
    <w:p w14:paraId="3310B3FC">
      <w:pPr>
        <w:spacing w:line="360" w:lineRule="auto"/>
        <w:ind w:left="10" w:leftChars="5" w:firstLine="357" w:firstLineChars="170"/>
        <w:rPr>
          <w:rFonts w:hint="eastAsia" w:ascii="宋体" w:hAnsi="宋体" w:eastAsia="宋体" w:cs="宋体"/>
          <w:sz w:val="21"/>
          <w:szCs w:val="21"/>
          <w:highlight w:val="none"/>
        </w:rPr>
      </w:pPr>
      <w:r>
        <w:rPr>
          <w:rFonts w:hint="eastAsia" w:ascii="宋体" w:hAnsi="宋体" w:eastAsia="宋体" w:cs="宋体"/>
          <w:sz w:val="21"/>
          <w:szCs w:val="21"/>
          <w:highlight w:val="none"/>
        </w:rPr>
        <w:t>3、 乙方须配备相应测绘设备，如RTK、全站仪、笔记本或平板电脑、专业相机，完工资料中要有RTK或全站仪测绘图。</w:t>
      </w:r>
    </w:p>
    <w:p w14:paraId="278D5985">
      <w:pPr>
        <w:spacing w:line="360" w:lineRule="auto"/>
        <w:ind w:left="10" w:leftChars="5" w:firstLine="357" w:firstLineChars="170"/>
        <w:rPr>
          <w:rFonts w:hint="eastAsia" w:ascii="宋体" w:hAnsi="宋体" w:eastAsia="宋体" w:cs="宋体"/>
          <w:sz w:val="21"/>
          <w:szCs w:val="21"/>
          <w:highlight w:val="none"/>
        </w:rPr>
      </w:pPr>
      <w:r>
        <w:rPr>
          <w:rFonts w:hint="eastAsia" w:ascii="宋体" w:hAnsi="宋体" w:eastAsia="宋体" w:cs="宋体"/>
          <w:sz w:val="21"/>
          <w:szCs w:val="21"/>
          <w:highlight w:val="none"/>
        </w:rPr>
        <w:t>4、 乙方作为项目执行方，须接受甲方项目负责人的管理和指导，并与甲方紧密合作共同做好现场发掘和文物保护工作。</w:t>
      </w:r>
    </w:p>
    <w:p w14:paraId="61C98A33">
      <w:pPr>
        <w:spacing w:line="360" w:lineRule="auto"/>
        <w:ind w:left="10" w:leftChars="5" w:firstLine="357" w:firstLineChars="170"/>
        <w:rPr>
          <w:rFonts w:hint="eastAsia" w:ascii="宋体" w:hAnsi="宋体" w:eastAsia="宋体" w:cs="宋体"/>
          <w:sz w:val="21"/>
          <w:szCs w:val="21"/>
          <w:highlight w:val="none"/>
        </w:rPr>
      </w:pPr>
      <w:r>
        <w:rPr>
          <w:rFonts w:hint="eastAsia" w:ascii="宋体" w:hAnsi="宋体" w:eastAsia="宋体" w:cs="宋体"/>
          <w:sz w:val="21"/>
          <w:szCs w:val="21"/>
          <w:highlight w:val="none"/>
        </w:rPr>
        <w:t>5、乙方须接受甲方委派的第三方保安公司对工地现场、驻地及文物库房安全的监管。</w:t>
      </w:r>
    </w:p>
    <w:p w14:paraId="3099AA8E">
      <w:pPr>
        <w:spacing w:line="360" w:lineRule="auto"/>
        <w:ind w:left="10" w:leftChars="5" w:firstLine="357" w:firstLineChars="170"/>
        <w:rPr>
          <w:rFonts w:hint="eastAsia" w:ascii="宋体" w:hAnsi="宋体" w:eastAsia="宋体" w:cs="宋体"/>
          <w:sz w:val="21"/>
          <w:szCs w:val="21"/>
          <w:highlight w:val="none"/>
        </w:rPr>
      </w:pPr>
      <w:r>
        <w:rPr>
          <w:rFonts w:hint="eastAsia" w:ascii="宋体" w:hAnsi="宋体" w:eastAsia="宋体" w:cs="宋体"/>
          <w:sz w:val="21"/>
          <w:szCs w:val="21"/>
          <w:highlight w:val="none"/>
        </w:rPr>
        <w:t>6、现场考古发掘完工后，乙方需进一步完成文物修复及基本资料（含出土文物、标本以及记录、图纸等）的整理工作。</w:t>
      </w:r>
    </w:p>
    <w:p w14:paraId="25316DF7">
      <w:pPr>
        <w:spacing w:line="360" w:lineRule="auto"/>
        <w:ind w:left="10" w:leftChars="5" w:firstLine="357" w:firstLineChars="170"/>
        <w:rPr>
          <w:rFonts w:hint="eastAsia" w:ascii="宋体" w:hAnsi="宋体" w:eastAsia="宋体" w:cs="宋体"/>
          <w:sz w:val="21"/>
          <w:szCs w:val="21"/>
          <w:highlight w:val="none"/>
        </w:rPr>
      </w:pPr>
      <w:r>
        <w:rPr>
          <w:rFonts w:hint="eastAsia" w:ascii="宋体" w:hAnsi="宋体" w:eastAsia="宋体" w:cs="宋体"/>
          <w:sz w:val="21"/>
          <w:szCs w:val="21"/>
          <w:highlight w:val="none"/>
        </w:rPr>
        <w:t>7、发掘工作及资料整理结束后，</w:t>
      </w:r>
      <w:r>
        <w:rPr>
          <w:rFonts w:hint="eastAsia" w:ascii="宋体" w:hAnsi="宋体" w:eastAsia="宋体" w:cs="宋体"/>
          <w:sz w:val="21"/>
          <w:szCs w:val="21"/>
          <w:highlight w:val="none"/>
          <w:lang w:val="en-US" w:eastAsia="zh-CN"/>
        </w:rPr>
        <w:t>乙</w:t>
      </w:r>
      <w:r>
        <w:rPr>
          <w:rFonts w:hint="eastAsia" w:ascii="宋体" w:hAnsi="宋体" w:eastAsia="宋体" w:cs="宋体"/>
          <w:sz w:val="21"/>
          <w:szCs w:val="21"/>
          <w:highlight w:val="none"/>
        </w:rPr>
        <w:t xml:space="preserve">方应将出土文物及标本全部移交给甲方保管，另需给甲方移交考古发掘文字、图片等原始记录资料（或拷贝、复印件）。双方应安排专人核对无误后签字确认办理办理移交手续。 </w:t>
      </w:r>
    </w:p>
    <w:p w14:paraId="591D2705">
      <w:pPr>
        <w:numPr>
          <w:ilvl w:val="0"/>
          <w:numId w:val="0"/>
        </w:numPr>
        <w:tabs>
          <w:tab w:val="left" w:pos="0"/>
          <w:tab w:val="left" w:pos="420"/>
          <w:tab w:val="left" w:pos="630"/>
        </w:tabs>
        <w:spacing w:line="360" w:lineRule="auto"/>
        <w:ind w:left="0" w:leftChars="0" w:firstLine="0" w:firstLineChars="0"/>
        <w:rPr>
          <w:rFonts w:hint="eastAsia" w:ascii="宋体" w:hAnsi="宋体" w:eastAsia="宋体" w:cs="宋体"/>
          <w:sz w:val="21"/>
          <w:szCs w:val="21"/>
          <w:highlight w:val="none"/>
        </w:rPr>
      </w:pPr>
      <w:r>
        <w:rPr>
          <w:rFonts w:hint="eastAsia" w:ascii="宋体" w:hAnsi="宋体" w:eastAsia="宋体" w:cs="宋体"/>
          <w:kern w:val="2"/>
          <w:sz w:val="21"/>
          <w:szCs w:val="21"/>
          <w:highlight w:val="none"/>
          <w:lang w:val="en-US" w:eastAsia="zh-CN" w:bidi="ar-SA"/>
        </w:rPr>
        <w:t>三、</w:t>
      </w:r>
      <w:r>
        <w:rPr>
          <w:rFonts w:hint="eastAsia" w:ascii="宋体" w:hAnsi="宋体" w:eastAsia="宋体" w:cs="宋体"/>
          <w:sz w:val="21"/>
          <w:szCs w:val="21"/>
          <w:highlight w:val="none"/>
        </w:rPr>
        <w:t>发掘时间：自进入该项目工地开始发掘至结束，共计</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sz w:val="21"/>
          <w:szCs w:val="21"/>
          <w:highlight w:val="none"/>
        </w:rPr>
        <w:t>个工作日。如遇不可抗拒因素，工期顺延。</w:t>
      </w:r>
    </w:p>
    <w:p w14:paraId="5D13D640">
      <w:pPr>
        <w:numPr>
          <w:ilvl w:val="0"/>
          <w:numId w:val="0"/>
        </w:numPr>
        <w:tabs>
          <w:tab w:val="left" w:pos="0"/>
          <w:tab w:val="left" w:pos="630"/>
        </w:tabs>
        <w:spacing w:line="360" w:lineRule="auto"/>
        <w:ind w:left="420" w:leftChars="0" w:hanging="420" w:firstLineChars="0"/>
        <w:rPr>
          <w:rFonts w:hint="eastAsia" w:ascii="宋体" w:hAnsi="宋体" w:eastAsia="宋体" w:cs="宋体"/>
          <w:sz w:val="21"/>
          <w:szCs w:val="21"/>
          <w:highlight w:val="none"/>
        </w:rPr>
      </w:pPr>
      <w:r>
        <w:rPr>
          <w:rFonts w:hint="eastAsia" w:ascii="宋体" w:hAnsi="宋体" w:eastAsia="宋体" w:cs="宋体"/>
          <w:kern w:val="2"/>
          <w:sz w:val="21"/>
          <w:szCs w:val="21"/>
          <w:highlight w:val="none"/>
          <w:lang w:val="en-US" w:eastAsia="zh-CN" w:bidi="ar-SA"/>
        </w:rPr>
        <w:t>四、</w:t>
      </w:r>
      <w:r>
        <w:rPr>
          <w:rFonts w:hint="eastAsia" w:ascii="宋体" w:hAnsi="宋体" w:eastAsia="宋体" w:cs="宋体"/>
          <w:sz w:val="21"/>
          <w:szCs w:val="21"/>
          <w:highlight w:val="none"/>
        </w:rPr>
        <w:t>发掘费用与付款方式：</w:t>
      </w:r>
    </w:p>
    <w:p w14:paraId="407FF552">
      <w:pPr>
        <w:numPr>
          <w:ilvl w:val="0"/>
          <w:numId w:val="0"/>
        </w:numPr>
        <w:spacing w:line="360" w:lineRule="auto"/>
        <w:ind w:left="-5" w:leftChars="0" w:firstLine="425" w:firstLineChars="0"/>
        <w:rPr>
          <w:rFonts w:hint="eastAsia" w:ascii="宋体" w:hAnsi="宋体" w:eastAsia="宋体" w:cs="宋体"/>
          <w:sz w:val="21"/>
          <w:szCs w:val="21"/>
          <w:highlight w:val="none"/>
        </w:rPr>
      </w:pPr>
      <w:r>
        <w:rPr>
          <w:rFonts w:hint="eastAsia" w:ascii="宋体" w:hAnsi="宋体" w:eastAsia="宋体" w:cs="宋体"/>
          <w:kern w:val="2"/>
          <w:sz w:val="21"/>
          <w:szCs w:val="21"/>
          <w:highlight w:val="none"/>
          <w:lang w:val="en-US" w:eastAsia="zh-CN" w:bidi="ar-SA"/>
        </w:rPr>
        <w:t>1.</w:t>
      </w:r>
      <w:r>
        <w:rPr>
          <w:rFonts w:hint="eastAsia" w:ascii="宋体" w:hAnsi="宋体" w:eastAsia="宋体" w:cs="宋体"/>
          <w:sz w:val="21"/>
          <w:szCs w:val="21"/>
          <w:highlight w:val="none"/>
        </w:rPr>
        <w:t>取费依据：根据《中华人民共和国文物保护法》及国家计委、财政部、文物局颁发的《考古调查、勘探、发掘、经费预算定额管理办法》（[90]文物字第248号）规定，结合西安地区的实际情况，制订取费标准，收取发掘费用。</w:t>
      </w:r>
    </w:p>
    <w:p w14:paraId="2FF0182D">
      <w:pPr>
        <w:numPr>
          <w:ilvl w:val="0"/>
          <w:numId w:val="0"/>
        </w:numPr>
        <w:spacing w:line="360" w:lineRule="auto"/>
        <w:ind w:left="-5" w:leftChars="0" w:firstLine="425" w:firstLineChars="0"/>
        <w:rPr>
          <w:rFonts w:hint="eastAsia" w:ascii="宋体" w:hAnsi="宋体" w:eastAsia="宋体" w:cs="宋体"/>
          <w:color w:val="auto"/>
          <w:sz w:val="21"/>
          <w:szCs w:val="21"/>
          <w:highlight w:val="none"/>
          <w:u w:val="single"/>
        </w:rPr>
      </w:pPr>
      <w:r>
        <w:rPr>
          <w:rFonts w:hint="eastAsia" w:ascii="宋体" w:hAnsi="宋体" w:eastAsia="宋体" w:cs="宋体"/>
          <w:color w:val="auto"/>
          <w:kern w:val="2"/>
          <w:sz w:val="21"/>
          <w:szCs w:val="21"/>
          <w:highlight w:val="none"/>
          <w:lang w:val="en-US" w:eastAsia="zh-CN" w:bidi="ar-SA"/>
        </w:rPr>
        <w:t>2.</w:t>
      </w:r>
      <w:r>
        <w:rPr>
          <w:rFonts w:hint="eastAsia" w:ascii="宋体" w:hAnsi="宋体" w:eastAsia="宋体" w:cs="宋体"/>
          <w:color w:val="auto"/>
          <w:sz w:val="21"/>
          <w:szCs w:val="21"/>
          <w:highlight w:val="none"/>
        </w:rPr>
        <w:t>该项目：</w:t>
      </w:r>
    </w:p>
    <w:p w14:paraId="2DA20CCE">
      <w:pPr>
        <w:spacing w:line="360" w:lineRule="auto"/>
        <w:ind w:left="-5" w:leftChars="0" w:firstLine="425"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总价（人民币元）</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u w:val="singl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w:t>
      </w:r>
      <w:r>
        <w:rPr>
          <w:rFonts w:hint="eastAsia" w:ascii="宋体" w:hAnsi="宋体" w:eastAsia="宋体" w:cs="宋体"/>
          <w:sz w:val="21"/>
          <w:szCs w:val="21"/>
          <w:highlight w:val="none"/>
          <w:u w:val="single"/>
        </w:rPr>
        <w:t>人民币（大写：</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sz w:val="21"/>
          <w:szCs w:val="21"/>
          <w:highlight w:val="none"/>
          <w:u w:val="single"/>
        </w:rPr>
        <w:t>）</w:t>
      </w:r>
      <w:r>
        <w:rPr>
          <w:rFonts w:hint="eastAsia" w:ascii="宋体" w:hAnsi="宋体" w:eastAsia="宋体" w:cs="宋体"/>
          <w:sz w:val="21"/>
          <w:szCs w:val="21"/>
          <w:highlight w:val="none"/>
        </w:rPr>
        <w:t>。</w:t>
      </w:r>
    </w:p>
    <w:p w14:paraId="256F216B">
      <w:pPr>
        <w:numPr>
          <w:ilvl w:val="0"/>
          <w:numId w:val="0"/>
        </w:numPr>
        <w:spacing w:line="360" w:lineRule="auto"/>
        <w:ind w:left="-5" w:leftChars="0" w:firstLine="425" w:firstLineChars="0"/>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bidi="ar-SA"/>
        </w:rPr>
        <w:t>3.</w:t>
      </w:r>
      <w:r>
        <w:rPr>
          <w:rFonts w:hint="eastAsia" w:ascii="宋体" w:hAnsi="宋体" w:eastAsia="宋体" w:cs="宋体"/>
          <w:color w:val="auto"/>
          <w:sz w:val="21"/>
          <w:szCs w:val="21"/>
          <w:highlight w:val="none"/>
        </w:rPr>
        <w:t>付款方式：首付款</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0%，田野发掘结束，经验收合格，并提交该项目考古发掘工作报告后，支付剩余的</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0%价款。</w:t>
      </w: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1"/>
        <w:gridCol w:w="3181"/>
        <w:gridCol w:w="2687"/>
        <w:gridCol w:w="1720"/>
      </w:tblGrid>
      <w:tr w14:paraId="04E02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632" w:type="dxa"/>
            <w:gridSpan w:val="2"/>
            <w:noWrap w:val="0"/>
            <w:vAlign w:val="top"/>
          </w:tcPr>
          <w:p w14:paraId="5881FA8E">
            <w:pPr>
              <w:spacing w:line="360" w:lineRule="auto"/>
              <w:ind w:firstLine="420" w:firstLineChars="20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甲方开票信息及账号</w:t>
            </w:r>
          </w:p>
        </w:tc>
        <w:tc>
          <w:tcPr>
            <w:tcW w:w="4407" w:type="dxa"/>
            <w:gridSpan w:val="2"/>
            <w:noWrap w:val="0"/>
            <w:vAlign w:val="top"/>
          </w:tcPr>
          <w:p w14:paraId="516AAA56">
            <w:pPr>
              <w:spacing w:line="360" w:lineRule="auto"/>
              <w:ind w:firstLine="420" w:firstLineChars="20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乙方单位账号信息</w:t>
            </w:r>
          </w:p>
        </w:tc>
      </w:tr>
      <w:tr w14:paraId="6D714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51" w:type="dxa"/>
            <w:noWrap w:val="0"/>
            <w:vAlign w:val="center"/>
          </w:tcPr>
          <w:p w14:paraId="6B7B2931">
            <w:pPr>
              <w:spacing w:line="360" w:lineRule="auto"/>
              <w:jc w:val="center"/>
              <w:rPr>
                <w:rFonts w:hint="eastAsia" w:ascii="宋体" w:hAnsi="宋体" w:eastAsia="宋体" w:cs="宋体"/>
                <w:sz w:val="21"/>
                <w:szCs w:val="21"/>
                <w:highlight w:val="none"/>
                <w:vertAlign w:val="baseline"/>
              </w:rPr>
            </w:pPr>
            <w:r>
              <w:rPr>
                <w:rFonts w:hint="eastAsia" w:ascii="宋体" w:hAnsi="宋体" w:eastAsia="宋体" w:cs="宋体"/>
                <w:sz w:val="21"/>
                <w:szCs w:val="21"/>
                <w:highlight w:val="none"/>
              </w:rPr>
              <w:t>税</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号</w:t>
            </w:r>
          </w:p>
        </w:tc>
        <w:tc>
          <w:tcPr>
            <w:tcW w:w="3181" w:type="dxa"/>
            <w:noWrap w:val="0"/>
            <w:vAlign w:val="center"/>
          </w:tcPr>
          <w:p w14:paraId="18B523FB">
            <w:pPr>
              <w:spacing w:line="360" w:lineRule="auto"/>
              <w:jc w:val="center"/>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12610100H16256768G</w:t>
            </w:r>
          </w:p>
        </w:tc>
        <w:tc>
          <w:tcPr>
            <w:tcW w:w="2687" w:type="dxa"/>
            <w:noWrap w:val="0"/>
            <w:vAlign w:val="center"/>
          </w:tcPr>
          <w:p w14:paraId="30D6CB50">
            <w:pPr>
              <w:spacing w:line="360" w:lineRule="auto"/>
              <w:jc w:val="center"/>
              <w:rPr>
                <w:rFonts w:hint="eastAsia" w:ascii="宋体" w:hAnsi="宋体" w:eastAsia="宋体" w:cs="宋体"/>
                <w:sz w:val="21"/>
                <w:szCs w:val="21"/>
                <w:highlight w:val="none"/>
                <w:vertAlign w:val="baseline"/>
              </w:rPr>
            </w:pPr>
            <w:r>
              <w:rPr>
                <w:rFonts w:hint="eastAsia" w:ascii="宋体" w:hAnsi="宋体" w:eastAsia="宋体" w:cs="宋体"/>
                <w:sz w:val="21"/>
                <w:szCs w:val="21"/>
                <w:highlight w:val="none"/>
              </w:rPr>
              <w:t>税</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号</w:t>
            </w:r>
          </w:p>
        </w:tc>
        <w:tc>
          <w:tcPr>
            <w:tcW w:w="1720" w:type="dxa"/>
            <w:noWrap w:val="0"/>
            <w:vAlign w:val="top"/>
          </w:tcPr>
          <w:p w14:paraId="4D010CF3">
            <w:pPr>
              <w:spacing w:line="360" w:lineRule="auto"/>
              <w:jc w:val="both"/>
              <w:rPr>
                <w:rFonts w:hint="eastAsia" w:ascii="宋体" w:hAnsi="宋体" w:eastAsia="宋体" w:cs="宋体"/>
                <w:sz w:val="21"/>
                <w:szCs w:val="21"/>
                <w:highlight w:val="none"/>
                <w:vertAlign w:val="baseline"/>
              </w:rPr>
            </w:pPr>
          </w:p>
        </w:tc>
      </w:tr>
      <w:tr w14:paraId="55C1D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51" w:type="dxa"/>
            <w:noWrap w:val="0"/>
            <w:vAlign w:val="center"/>
          </w:tcPr>
          <w:p w14:paraId="76562D7B">
            <w:pPr>
              <w:spacing w:line="360" w:lineRule="auto"/>
              <w:jc w:val="center"/>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账户名称</w:t>
            </w:r>
          </w:p>
        </w:tc>
        <w:tc>
          <w:tcPr>
            <w:tcW w:w="3181" w:type="dxa"/>
            <w:noWrap w:val="0"/>
            <w:vAlign w:val="center"/>
          </w:tcPr>
          <w:p w14:paraId="63E96F68">
            <w:pPr>
              <w:snapToGrid w:val="0"/>
              <w:spacing w:line="240" w:lineRule="auto"/>
              <w:jc w:val="center"/>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lang w:val="en-US" w:eastAsia="zh-CN"/>
              </w:rPr>
              <w:t>西安市文物保护考古研究院</w:t>
            </w:r>
          </w:p>
        </w:tc>
        <w:tc>
          <w:tcPr>
            <w:tcW w:w="2687" w:type="dxa"/>
            <w:noWrap w:val="0"/>
            <w:vAlign w:val="center"/>
          </w:tcPr>
          <w:p w14:paraId="16A71EFC">
            <w:pPr>
              <w:spacing w:line="360" w:lineRule="auto"/>
              <w:jc w:val="center"/>
              <w:rPr>
                <w:rFonts w:hint="eastAsia" w:ascii="宋体" w:hAnsi="宋体" w:eastAsia="宋体" w:cs="宋体"/>
                <w:sz w:val="21"/>
                <w:szCs w:val="21"/>
                <w:highlight w:val="none"/>
                <w:vertAlign w:val="baseline"/>
              </w:rPr>
            </w:pPr>
            <w:r>
              <w:rPr>
                <w:rFonts w:hint="eastAsia" w:ascii="宋体" w:hAnsi="宋体" w:eastAsia="宋体" w:cs="宋体"/>
                <w:sz w:val="21"/>
                <w:szCs w:val="21"/>
                <w:highlight w:val="none"/>
              </w:rPr>
              <w:t>收款方名称</w:t>
            </w:r>
          </w:p>
        </w:tc>
        <w:tc>
          <w:tcPr>
            <w:tcW w:w="1720" w:type="dxa"/>
            <w:noWrap w:val="0"/>
            <w:vAlign w:val="top"/>
          </w:tcPr>
          <w:p w14:paraId="7B1D8002">
            <w:pPr>
              <w:spacing w:line="360" w:lineRule="auto"/>
              <w:jc w:val="both"/>
              <w:rPr>
                <w:rFonts w:hint="eastAsia" w:ascii="宋体" w:hAnsi="宋体" w:eastAsia="宋体" w:cs="宋体"/>
                <w:sz w:val="21"/>
                <w:szCs w:val="21"/>
                <w:highlight w:val="none"/>
                <w:vertAlign w:val="baseline"/>
              </w:rPr>
            </w:pPr>
          </w:p>
        </w:tc>
      </w:tr>
      <w:tr w14:paraId="5C503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51" w:type="dxa"/>
            <w:noWrap w:val="0"/>
            <w:vAlign w:val="center"/>
          </w:tcPr>
          <w:p w14:paraId="13184C82">
            <w:pPr>
              <w:spacing w:line="360" w:lineRule="auto"/>
              <w:jc w:val="center"/>
              <w:rPr>
                <w:rFonts w:hint="eastAsia" w:ascii="宋体" w:hAnsi="宋体" w:eastAsia="宋体" w:cs="宋体"/>
                <w:sz w:val="21"/>
                <w:szCs w:val="21"/>
                <w:highlight w:val="none"/>
                <w:vertAlign w:val="baseline"/>
              </w:rPr>
            </w:pPr>
            <w:r>
              <w:rPr>
                <w:rFonts w:hint="eastAsia" w:ascii="宋体" w:hAnsi="宋体" w:eastAsia="宋体" w:cs="宋体"/>
                <w:sz w:val="21"/>
                <w:szCs w:val="21"/>
                <w:highlight w:val="none"/>
              </w:rPr>
              <w:t>账      号</w:t>
            </w:r>
          </w:p>
        </w:tc>
        <w:tc>
          <w:tcPr>
            <w:tcW w:w="3181" w:type="dxa"/>
            <w:noWrap w:val="0"/>
            <w:vAlign w:val="center"/>
          </w:tcPr>
          <w:p w14:paraId="00DDA592">
            <w:pPr>
              <w:snapToGrid w:val="0"/>
              <w:spacing w:line="240" w:lineRule="auto"/>
              <w:jc w:val="center"/>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lang w:val="en-US" w:eastAsia="zh-CN"/>
              </w:rPr>
              <w:t>102900201305</w:t>
            </w:r>
          </w:p>
        </w:tc>
        <w:tc>
          <w:tcPr>
            <w:tcW w:w="2687" w:type="dxa"/>
            <w:noWrap w:val="0"/>
            <w:vAlign w:val="center"/>
          </w:tcPr>
          <w:p w14:paraId="7DF1ADB2">
            <w:pPr>
              <w:spacing w:line="360" w:lineRule="auto"/>
              <w:jc w:val="center"/>
              <w:rPr>
                <w:rFonts w:hint="eastAsia" w:ascii="宋体" w:hAnsi="宋体" w:eastAsia="宋体" w:cs="宋体"/>
                <w:sz w:val="21"/>
                <w:szCs w:val="21"/>
                <w:highlight w:val="none"/>
                <w:vertAlign w:val="baseline"/>
              </w:rPr>
            </w:pPr>
            <w:r>
              <w:rPr>
                <w:rFonts w:hint="eastAsia" w:ascii="宋体" w:hAnsi="宋体" w:eastAsia="宋体" w:cs="宋体"/>
                <w:sz w:val="21"/>
                <w:szCs w:val="21"/>
                <w:highlight w:val="none"/>
              </w:rPr>
              <w:t>账      号</w:t>
            </w:r>
          </w:p>
        </w:tc>
        <w:tc>
          <w:tcPr>
            <w:tcW w:w="1720" w:type="dxa"/>
            <w:noWrap w:val="0"/>
            <w:vAlign w:val="top"/>
          </w:tcPr>
          <w:p w14:paraId="065AE132">
            <w:pPr>
              <w:spacing w:line="360" w:lineRule="auto"/>
              <w:jc w:val="both"/>
              <w:rPr>
                <w:rFonts w:hint="eastAsia" w:ascii="宋体" w:hAnsi="宋体" w:eastAsia="宋体" w:cs="宋体"/>
                <w:sz w:val="21"/>
                <w:szCs w:val="21"/>
                <w:highlight w:val="none"/>
                <w:vertAlign w:val="baseline"/>
              </w:rPr>
            </w:pPr>
          </w:p>
        </w:tc>
      </w:tr>
      <w:tr w14:paraId="4F127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51" w:type="dxa"/>
            <w:noWrap w:val="0"/>
            <w:vAlign w:val="center"/>
          </w:tcPr>
          <w:p w14:paraId="56A9A861">
            <w:pPr>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开  户  行</w:t>
            </w:r>
          </w:p>
        </w:tc>
        <w:tc>
          <w:tcPr>
            <w:tcW w:w="3181" w:type="dxa"/>
            <w:noWrap w:val="0"/>
            <w:vAlign w:val="center"/>
          </w:tcPr>
          <w:p w14:paraId="055A7757">
            <w:pPr>
              <w:snapToGrid w:val="0"/>
              <w:spacing w:line="240" w:lineRule="auto"/>
              <w:jc w:val="center"/>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lang w:val="en-US" w:eastAsia="zh-CN"/>
              </w:rPr>
              <w:t>中行钟楼支行</w:t>
            </w:r>
          </w:p>
        </w:tc>
        <w:tc>
          <w:tcPr>
            <w:tcW w:w="2687" w:type="dxa"/>
            <w:noWrap w:val="0"/>
            <w:vAlign w:val="center"/>
          </w:tcPr>
          <w:p w14:paraId="455D823F">
            <w:pPr>
              <w:spacing w:line="360" w:lineRule="auto"/>
              <w:jc w:val="center"/>
              <w:rPr>
                <w:rFonts w:hint="eastAsia" w:ascii="宋体" w:hAnsi="宋体" w:eastAsia="宋体" w:cs="宋体"/>
                <w:sz w:val="21"/>
                <w:szCs w:val="21"/>
                <w:highlight w:val="none"/>
                <w:vertAlign w:val="baseline"/>
              </w:rPr>
            </w:pPr>
            <w:r>
              <w:rPr>
                <w:rFonts w:hint="eastAsia" w:ascii="宋体" w:hAnsi="宋体" w:eastAsia="宋体" w:cs="宋体"/>
                <w:sz w:val="21"/>
                <w:szCs w:val="21"/>
                <w:highlight w:val="none"/>
              </w:rPr>
              <w:t>开  户  行</w:t>
            </w:r>
          </w:p>
        </w:tc>
        <w:tc>
          <w:tcPr>
            <w:tcW w:w="1720" w:type="dxa"/>
            <w:noWrap w:val="0"/>
            <w:vAlign w:val="top"/>
          </w:tcPr>
          <w:p w14:paraId="72914ED4">
            <w:pPr>
              <w:spacing w:line="360" w:lineRule="auto"/>
              <w:jc w:val="both"/>
              <w:rPr>
                <w:rFonts w:hint="eastAsia" w:ascii="宋体" w:hAnsi="宋体" w:eastAsia="宋体" w:cs="宋体"/>
                <w:sz w:val="21"/>
                <w:szCs w:val="21"/>
                <w:highlight w:val="none"/>
                <w:vertAlign w:val="baseline"/>
              </w:rPr>
            </w:pPr>
          </w:p>
        </w:tc>
      </w:tr>
      <w:tr w14:paraId="3F969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1451" w:type="dxa"/>
            <w:noWrap w:val="0"/>
            <w:vAlign w:val="center"/>
          </w:tcPr>
          <w:p w14:paraId="56E2CC23">
            <w:pPr>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地址、电话</w:t>
            </w:r>
          </w:p>
        </w:tc>
        <w:tc>
          <w:tcPr>
            <w:tcW w:w="3181" w:type="dxa"/>
            <w:noWrap w:val="0"/>
            <w:vAlign w:val="center"/>
          </w:tcPr>
          <w:p w14:paraId="7C7ECEC5">
            <w:pPr>
              <w:spacing w:line="360" w:lineRule="auto"/>
              <w:jc w:val="center"/>
              <w:rPr>
                <w:rFonts w:hint="eastAsia" w:ascii="宋体" w:hAnsi="宋体" w:eastAsia="宋体" w:cs="宋体"/>
                <w:sz w:val="21"/>
                <w:szCs w:val="21"/>
                <w:highlight w:val="none"/>
                <w:vertAlign w:val="baseline"/>
                <w:lang w:val="en-US" w:eastAsia="zh-CN"/>
              </w:rPr>
            </w:pPr>
            <w:r>
              <w:rPr>
                <w:rFonts w:hint="eastAsia" w:ascii="宋体" w:hAnsi="宋体" w:eastAsia="宋体" w:cs="宋体"/>
                <w:sz w:val="21"/>
                <w:szCs w:val="21"/>
                <w:highlight w:val="none"/>
                <w:vertAlign w:val="baseline"/>
                <w:lang w:val="en-US" w:eastAsia="zh-CN"/>
              </w:rPr>
              <w:t>西安市碑林区友谊西路68，029-85258795</w:t>
            </w:r>
          </w:p>
        </w:tc>
        <w:tc>
          <w:tcPr>
            <w:tcW w:w="2687" w:type="dxa"/>
            <w:noWrap w:val="0"/>
            <w:vAlign w:val="center"/>
          </w:tcPr>
          <w:p w14:paraId="6377739B">
            <w:pPr>
              <w:spacing w:line="360" w:lineRule="auto"/>
              <w:jc w:val="center"/>
              <w:rPr>
                <w:rFonts w:hint="eastAsia" w:ascii="宋体" w:hAnsi="宋体" w:eastAsia="宋体" w:cs="宋体"/>
                <w:sz w:val="21"/>
                <w:szCs w:val="21"/>
                <w:highlight w:val="none"/>
                <w:vertAlign w:val="baseline"/>
              </w:rPr>
            </w:pPr>
            <w:r>
              <w:rPr>
                <w:rFonts w:hint="eastAsia" w:ascii="宋体" w:hAnsi="宋体" w:eastAsia="宋体" w:cs="宋体"/>
                <w:sz w:val="21"/>
                <w:szCs w:val="21"/>
                <w:highlight w:val="none"/>
              </w:rPr>
              <w:t>地址、电话</w:t>
            </w:r>
          </w:p>
        </w:tc>
        <w:tc>
          <w:tcPr>
            <w:tcW w:w="1720" w:type="dxa"/>
            <w:noWrap w:val="0"/>
            <w:vAlign w:val="top"/>
          </w:tcPr>
          <w:p w14:paraId="35E6D517">
            <w:pPr>
              <w:spacing w:line="360" w:lineRule="auto"/>
              <w:jc w:val="both"/>
              <w:rPr>
                <w:rFonts w:hint="eastAsia" w:ascii="宋体" w:hAnsi="宋体" w:eastAsia="宋体" w:cs="宋体"/>
                <w:sz w:val="21"/>
                <w:szCs w:val="21"/>
                <w:highlight w:val="none"/>
                <w:vertAlign w:val="baseline"/>
              </w:rPr>
            </w:pPr>
          </w:p>
        </w:tc>
      </w:tr>
    </w:tbl>
    <w:p w14:paraId="556DFD07">
      <w:pPr>
        <w:snapToGrid/>
        <w:spacing w:line="360" w:lineRule="auto"/>
        <w:ind w:left="10" w:leftChars="5" w:firstLine="357" w:firstLineChars="170"/>
        <w:rPr>
          <w:rFonts w:hint="eastAsia" w:ascii="宋体" w:hAnsi="宋体" w:eastAsia="宋体" w:cs="宋体"/>
          <w:sz w:val="21"/>
          <w:szCs w:val="21"/>
          <w:highlight w:val="none"/>
        </w:rPr>
      </w:pPr>
      <w:r>
        <w:rPr>
          <w:rFonts w:hint="eastAsia" w:ascii="宋体" w:hAnsi="宋体" w:eastAsia="宋体" w:cs="宋体"/>
          <w:sz w:val="21"/>
          <w:szCs w:val="21"/>
          <w:highlight w:val="none"/>
        </w:rPr>
        <w:t>五、验收及保密</w:t>
      </w:r>
    </w:p>
    <w:p w14:paraId="72CD81BF">
      <w:pPr>
        <w:snapToGrid/>
        <w:spacing w:line="360" w:lineRule="auto"/>
        <w:ind w:left="10" w:leftChars="5" w:firstLine="357" w:firstLineChars="170"/>
        <w:rPr>
          <w:rFonts w:hint="eastAsia" w:ascii="宋体" w:hAnsi="宋体" w:eastAsia="宋体" w:cs="宋体"/>
          <w:sz w:val="21"/>
          <w:szCs w:val="21"/>
          <w:highlight w:val="none"/>
        </w:rPr>
      </w:pPr>
      <w:r>
        <w:rPr>
          <w:rFonts w:hint="eastAsia" w:ascii="宋体" w:hAnsi="宋体" w:eastAsia="宋体" w:cs="宋体"/>
          <w:sz w:val="21"/>
          <w:szCs w:val="21"/>
          <w:highlight w:val="none"/>
        </w:rPr>
        <w:t>（一）成果验收：</w:t>
      </w:r>
      <w:r>
        <w:rPr>
          <w:rFonts w:hint="eastAsia" w:ascii="宋体" w:hAnsi="宋体" w:eastAsia="宋体" w:cs="宋体"/>
          <w:sz w:val="21"/>
          <w:szCs w:val="21"/>
          <w:highlight w:val="none"/>
          <w:lang w:eastAsia="zh-CN"/>
        </w:rPr>
        <w:t>本项目成果内容包括但不限于：田野验收、科研成果、文物修复、线图、文字、电子影像。</w:t>
      </w:r>
      <w:r>
        <w:rPr>
          <w:rFonts w:hint="eastAsia" w:ascii="宋体" w:hAnsi="宋体" w:eastAsia="宋体" w:cs="宋体"/>
          <w:sz w:val="21"/>
          <w:szCs w:val="21"/>
          <w:highlight w:val="none"/>
        </w:rPr>
        <w:t>甲方会同乙方及相关部门进行项目验收工作，并出具验收单。验收内容具体包含以下几个方面：</w:t>
      </w:r>
    </w:p>
    <w:p w14:paraId="1CAD3E14">
      <w:pPr>
        <w:snapToGrid/>
        <w:spacing w:line="360" w:lineRule="auto"/>
        <w:ind w:left="10" w:leftChars="5" w:firstLine="357" w:firstLineChars="170"/>
        <w:rPr>
          <w:rFonts w:hint="eastAsia" w:ascii="宋体" w:hAnsi="宋体" w:eastAsia="宋体" w:cs="宋体"/>
          <w:sz w:val="21"/>
          <w:szCs w:val="21"/>
          <w:highlight w:val="none"/>
        </w:rPr>
      </w:pPr>
      <w:r>
        <w:rPr>
          <w:rFonts w:hint="eastAsia" w:ascii="宋体" w:hAnsi="宋体" w:eastAsia="宋体" w:cs="宋体"/>
          <w:sz w:val="21"/>
          <w:szCs w:val="21"/>
          <w:highlight w:val="none"/>
        </w:rPr>
        <w:t>1、乙方保证本项目技术服务符合《田野考古工作规程》的要求和规定。</w:t>
      </w:r>
    </w:p>
    <w:p w14:paraId="16FAD740">
      <w:pPr>
        <w:snapToGrid/>
        <w:spacing w:line="360" w:lineRule="auto"/>
        <w:ind w:left="10" w:leftChars="5" w:firstLine="357" w:firstLineChars="170"/>
        <w:rPr>
          <w:rFonts w:hint="eastAsia" w:ascii="宋体" w:hAnsi="宋体" w:eastAsia="宋体" w:cs="宋体"/>
          <w:sz w:val="21"/>
          <w:szCs w:val="21"/>
          <w:highlight w:val="none"/>
        </w:rPr>
      </w:pPr>
      <w:r>
        <w:rPr>
          <w:rFonts w:hint="eastAsia" w:ascii="宋体" w:hAnsi="宋体" w:eastAsia="宋体" w:cs="宋体"/>
          <w:sz w:val="21"/>
          <w:szCs w:val="21"/>
          <w:highlight w:val="none"/>
        </w:rPr>
        <w:t>2、乙方尊重和服从甲方的领导和管理，积极配合甲方的工作安排。</w:t>
      </w:r>
    </w:p>
    <w:p w14:paraId="53138F4C">
      <w:pPr>
        <w:snapToGrid/>
        <w:spacing w:line="360" w:lineRule="auto"/>
        <w:ind w:left="10" w:leftChars="5" w:firstLine="357" w:firstLineChars="170"/>
        <w:rPr>
          <w:rFonts w:hint="eastAsia" w:ascii="宋体" w:hAnsi="宋体" w:eastAsia="宋体" w:cs="宋体"/>
          <w:sz w:val="21"/>
          <w:szCs w:val="21"/>
          <w:highlight w:val="none"/>
        </w:rPr>
      </w:pPr>
      <w:r>
        <w:rPr>
          <w:rFonts w:hint="eastAsia" w:ascii="宋体" w:hAnsi="宋体" w:eastAsia="宋体" w:cs="宋体"/>
          <w:sz w:val="21"/>
          <w:szCs w:val="21"/>
          <w:highlight w:val="none"/>
        </w:rPr>
        <w:t>3、发掘前期准备工作充分，发掘协作方案编制全面、科学、严谨。</w:t>
      </w:r>
    </w:p>
    <w:p w14:paraId="3C673FE5">
      <w:pPr>
        <w:snapToGrid/>
        <w:spacing w:line="360" w:lineRule="auto"/>
        <w:ind w:left="10" w:leftChars="5" w:firstLine="357" w:firstLineChars="170"/>
        <w:rPr>
          <w:rFonts w:hint="eastAsia" w:ascii="宋体" w:hAnsi="宋体" w:eastAsia="宋体" w:cs="宋体"/>
          <w:sz w:val="21"/>
          <w:szCs w:val="21"/>
          <w:highlight w:val="none"/>
        </w:rPr>
      </w:pPr>
      <w:r>
        <w:rPr>
          <w:rFonts w:hint="eastAsia" w:ascii="宋体" w:hAnsi="宋体" w:eastAsia="宋体" w:cs="宋体"/>
          <w:sz w:val="21"/>
          <w:szCs w:val="21"/>
          <w:highlight w:val="none"/>
        </w:rPr>
        <w:t>4、发掘队伍齐全，人员分工合理。</w:t>
      </w:r>
    </w:p>
    <w:p w14:paraId="4A9A1244">
      <w:pPr>
        <w:snapToGrid/>
        <w:spacing w:line="360" w:lineRule="auto"/>
        <w:ind w:left="10" w:leftChars="5" w:firstLine="357" w:firstLineChars="170"/>
        <w:rPr>
          <w:rFonts w:hint="eastAsia" w:ascii="宋体" w:hAnsi="宋体" w:eastAsia="宋体" w:cs="宋体"/>
          <w:sz w:val="21"/>
          <w:szCs w:val="21"/>
          <w:highlight w:val="none"/>
        </w:rPr>
      </w:pPr>
      <w:r>
        <w:rPr>
          <w:rFonts w:hint="eastAsia" w:ascii="宋体" w:hAnsi="宋体" w:eastAsia="宋体" w:cs="宋体"/>
          <w:sz w:val="21"/>
          <w:szCs w:val="21"/>
          <w:highlight w:val="none"/>
        </w:rPr>
        <w:t>5、遗迹现象分析判断科学准确，层位关系清楚。</w:t>
      </w:r>
    </w:p>
    <w:p w14:paraId="05B82392">
      <w:pPr>
        <w:snapToGrid/>
        <w:spacing w:line="360" w:lineRule="auto"/>
        <w:ind w:left="10" w:leftChars="5" w:firstLine="357" w:firstLineChars="170"/>
        <w:rPr>
          <w:rFonts w:hint="eastAsia" w:ascii="宋体" w:hAnsi="宋体" w:eastAsia="宋体" w:cs="宋体"/>
          <w:sz w:val="21"/>
          <w:szCs w:val="21"/>
          <w:highlight w:val="none"/>
        </w:rPr>
      </w:pPr>
      <w:r>
        <w:rPr>
          <w:rFonts w:hint="eastAsia" w:ascii="宋体" w:hAnsi="宋体" w:eastAsia="宋体" w:cs="宋体"/>
          <w:sz w:val="21"/>
          <w:szCs w:val="21"/>
          <w:highlight w:val="none"/>
        </w:rPr>
        <w:t>6、发掘方法符合工作规程要求。</w:t>
      </w:r>
    </w:p>
    <w:p w14:paraId="1149E944">
      <w:pPr>
        <w:snapToGrid/>
        <w:spacing w:line="360" w:lineRule="auto"/>
        <w:ind w:left="10" w:leftChars="5" w:firstLine="357" w:firstLineChars="170"/>
        <w:rPr>
          <w:rFonts w:hint="eastAsia" w:ascii="宋体" w:hAnsi="宋体" w:eastAsia="宋体" w:cs="宋体"/>
          <w:sz w:val="21"/>
          <w:szCs w:val="21"/>
          <w:highlight w:val="none"/>
        </w:rPr>
      </w:pPr>
      <w:r>
        <w:rPr>
          <w:rFonts w:hint="eastAsia" w:ascii="宋体" w:hAnsi="宋体" w:eastAsia="宋体" w:cs="宋体"/>
          <w:sz w:val="21"/>
          <w:szCs w:val="21"/>
          <w:highlight w:val="none"/>
        </w:rPr>
        <w:t>7、出土文物、标本、土样等采集齐全，编号清楚，提取科学。</w:t>
      </w:r>
    </w:p>
    <w:p w14:paraId="0223355E">
      <w:pPr>
        <w:snapToGrid/>
        <w:spacing w:line="360" w:lineRule="auto"/>
        <w:ind w:left="10" w:leftChars="5" w:firstLine="357" w:firstLineChars="170"/>
        <w:rPr>
          <w:rFonts w:hint="eastAsia" w:ascii="宋体" w:hAnsi="宋体" w:eastAsia="宋体" w:cs="宋体"/>
          <w:sz w:val="21"/>
          <w:szCs w:val="21"/>
          <w:highlight w:val="none"/>
        </w:rPr>
      </w:pPr>
      <w:r>
        <w:rPr>
          <w:rFonts w:hint="eastAsia" w:ascii="宋体" w:hAnsi="宋体" w:eastAsia="宋体" w:cs="宋体"/>
          <w:sz w:val="21"/>
          <w:szCs w:val="21"/>
          <w:highlight w:val="none"/>
        </w:rPr>
        <w:t>8、发掘记录详尽齐全。</w:t>
      </w:r>
    </w:p>
    <w:p w14:paraId="67054100">
      <w:pPr>
        <w:snapToGrid/>
        <w:spacing w:line="360" w:lineRule="auto"/>
        <w:ind w:left="10" w:leftChars="5" w:firstLine="357" w:firstLineChars="170"/>
        <w:rPr>
          <w:rFonts w:hint="eastAsia" w:ascii="宋体" w:hAnsi="宋体" w:eastAsia="宋体" w:cs="宋体"/>
          <w:sz w:val="21"/>
          <w:szCs w:val="21"/>
          <w:highlight w:val="none"/>
        </w:rPr>
      </w:pPr>
      <w:r>
        <w:rPr>
          <w:rFonts w:hint="eastAsia" w:ascii="宋体" w:hAnsi="宋体" w:eastAsia="宋体" w:cs="宋体"/>
          <w:sz w:val="21"/>
          <w:szCs w:val="21"/>
          <w:highlight w:val="none"/>
        </w:rPr>
        <w:t>9、工地现场管理规范，无事故发生。</w:t>
      </w:r>
    </w:p>
    <w:p w14:paraId="1DAF58C0">
      <w:pPr>
        <w:snapToGrid/>
        <w:spacing w:line="360" w:lineRule="auto"/>
        <w:ind w:left="10" w:leftChars="5" w:firstLine="357" w:firstLineChars="170"/>
        <w:rPr>
          <w:rFonts w:hint="eastAsia" w:ascii="宋体" w:hAnsi="宋体" w:eastAsia="宋体" w:cs="宋体"/>
          <w:sz w:val="21"/>
          <w:szCs w:val="21"/>
          <w:highlight w:val="none"/>
        </w:rPr>
      </w:pPr>
      <w:r>
        <w:rPr>
          <w:rFonts w:hint="eastAsia" w:ascii="宋体" w:hAnsi="宋体" w:eastAsia="宋体" w:cs="宋体"/>
          <w:sz w:val="21"/>
          <w:szCs w:val="21"/>
          <w:highlight w:val="none"/>
        </w:rPr>
        <w:t>（二）保密</w:t>
      </w:r>
    </w:p>
    <w:p w14:paraId="1088617A">
      <w:pPr>
        <w:spacing w:line="360" w:lineRule="auto"/>
        <w:ind w:left="10" w:leftChars="5" w:firstLine="357" w:firstLineChars="170"/>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eastAsia="zh-CN"/>
        </w:rPr>
        <w:t>乙方对发掘全过程负有保密责任，不得擅自泄露资料</w:t>
      </w:r>
      <w:r>
        <w:rPr>
          <w:rFonts w:hint="eastAsia" w:ascii="宋体" w:hAnsi="宋体" w:eastAsia="宋体" w:cs="宋体"/>
          <w:sz w:val="21"/>
          <w:szCs w:val="21"/>
          <w:highlight w:val="none"/>
        </w:rPr>
        <w:t>。乙方对出土的文物进行保密</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在项目所在地出土文物，按照文物发掘保护相关法律法规要求，可由乙方暂时保管并修复，乙方则根据甲方所提供项目所在地出土文物清单按时归还所有文物。根据相关要求，乙方经甲方同意后可留存部分项目所在地出土文物作为研究</w:t>
      </w:r>
      <w:r>
        <w:rPr>
          <w:rFonts w:hint="eastAsia" w:ascii="宋体" w:hAnsi="宋体" w:eastAsia="宋体" w:cs="宋体"/>
          <w:sz w:val="21"/>
          <w:szCs w:val="21"/>
          <w:highlight w:val="none"/>
          <w:lang w:eastAsia="zh-CN"/>
        </w:rPr>
        <w:t>。</w:t>
      </w:r>
    </w:p>
    <w:p w14:paraId="0648D8F8">
      <w:pPr>
        <w:snapToGrid w:val="0"/>
        <w:spacing w:line="360" w:lineRule="auto"/>
        <w:ind w:left="0" w:firstLine="420" w:firstLineChars="200"/>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六、违约责任：</w:t>
      </w:r>
    </w:p>
    <w:p w14:paraId="1A172501">
      <w:pPr>
        <w:numPr>
          <w:ilvl w:val="0"/>
          <w:numId w:val="0"/>
        </w:numPr>
        <w:snapToGrid w:val="0"/>
        <w:spacing w:line="360" w:lineRule="auto"/>
        <w:ind w:left="0" w:leftChars="0" w:firstLine="420" w:firstLineChars="200"/>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如乙方不能按合同约定的工期、工作质量、数量等要求完成各个阶段的工作任务，应按《民法典》关于合同法的规定，承担相应的违约责任。</w:t>
      </w:r>
    </w:p>
    <w:p w14:paraId="641E3806">
      <w:pPr>
        <w:snapToGrid w:val="0"/>
        <w:spacing w:line="360" w:lineRule="auto"/>
        <w:ind w:left="0" w:firstLine="420" w:firstLineChars="200"/>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七、风险承担：</w:t>
      </w:r>
    </w:p>
    <w:p w14:paraId="5385241F">
      <w:pPr>
        <w:snapToGrid/>
        <w:spacing w:line="360" w:lineRule="auto"/>
        <w:ind w:left="10" w:leftChars="5" w:firstLine="357" w:firstLineChars="17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（一）乙方从事甲方委托的服务工作时，所发生的工伤风险和安全责任，由乙方自行承担。</w:t>
      </w:r>
    </w:p>
    <w:p w14:paraId="22F50C0E">
      <w:pPr>
        <w:snapToGrid/>
        <w:spacing w:line="360" w:lineRule="auto"/>
        <w:ind w:left="10" w:leftChars="5" w:firstLine="357" w:firstLineChars="17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（二）由于乙方配合甲方的安保工作不到位，而酿成安全保卫工作事故，应承担相应的责任。</w:t>
      </w:r>
    </w:p>
    <w:p w14:paraId="05961C98">
      <w:pPr>
        <w:snapToGrid w:val="0"/>
        <w:spacing w:line="360" w:lineRule="auto"/>
        <w:ind w:left="0" w:firstLine="420" w:firstLineChars="200"/>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八、知识产权：</w:t>
      </w:r>
    </w:p>
    <w:p w14:paraId="1E4BC7D6">
      <w:pPr>
        <w:snapToGrid w:val="0"/>
        <w:spacing w:line="360" w:lineRule="auto"/>
        <w:ind w:left="0" w:firstLine="420" w:firstLineChars="200"/>
        <w:jc w:val="left"/>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因实施本委托合同而产生的知识产权，归委托方拥有，未经委托方许可，乙方不得以自己名义发布和发表。</w:t>
      </w:r>
    </w:p>
    <w:p w14:paraId="3461C0D3">
      <w:pPr>
        <w:snapToGrid w:val="0"/>
        <w:spacing w:line="360" w:lineRule="auto"/>
        <w:ind w:left="0"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九</w:t>
      </w:r>
      <w:r>
        <w:rPr>
          <w:rFonts w:hint="eastAsia" w:ascii="宋体" w:hAnsi="宋体" w:eastAsia="宋体" w:cs="宋体"/>
          <w:sz w:val="21"/>
          <w:szCs w:val="21"/>
          <w:highlight w:val="none"/>
        </w:rPr>
        <w:t>、双方因履行本合同而发生的争议，应协商解决。协商不成，依法向本合同履行地人民法院起诉。</w:t>
      </w:r>
    </w:p>
    <w:p w14:paraId="07DF03A3">
      <w:pPr>
        <w:snapToGrid w:val="0"/>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十</w:t>
      </w:r>
      <w:r>
        <w:rPr>
          <w:rFonts w:hint="eastAsia" w:ascii="宋体" w:hAnsi="宋体" w:eastAsia="宋体" w:cs="宋体"/>
          <w:sz w:val="21"/>
          <w:szCs w:val="21"/>
          <w:highlight w:val="none"/>
        </w:rPr>
        <w:t>、本协议一式</w:t>
      </w:r>
      <w:r>
        <w:rPr>
          <w:rFonts w:hint="eastAsia" w:ascii="宋体" w:hAnsi="宋体" w:cs="宋体"/>
          <w:sz w:val="21"/>
          <w:szCs w:val="21"/>
          <w:highlight w:val="none"/>
          <w:lang w:val="en-US" w:eastAsia="zh-CN"/>
        </w:rPr>
        <w:t>陆</w:t>
      </w:r>
      <w:r>
        <w:rPr>
          <w:rFonts w:hint="eastAsia" w:ascii="宋体" w:hAnsi="宋体" w:eastAsia="宋体" w:cs="宋体"/>
          <w:sz w:val="21"/>
          <w:szCs w:val="21"/>
          <w:highlight w:val="none"/>
        </w:rPr>
        <w:t>份，甲</w:t>
      </w:r>
      <w:r>
        <w:rPr>
          <w:rFonts w:hint="eastAsia" w:ascii="宋体" w:hAnsi="宋体" w:eastAsia="宋体" w:cs="宋体"/>
          <w:sz w:val="21"/>
          <w:szCs w:val="21"/>
          <w:highlight w:val="none"/>
          <w:lang w:val="en-US" w:eastAsia="zh-CN"/>
        </w:rPr>
        <w:t>方</w:t>
      </w:r>
      <w:r>
        <w:rPr>
          <w:rFonts w:hint="eastAsia" w:ascii="宋体" w:hAnsi="宋体" w:eastAsia="宋体" w:cs="宋体"/>
          <w:sz w:val="21"/>
          <w:szCs w:val="21"/>
          <w:highlight w:val="none"/>
        </w:rPr>
        <w:t>持</w:t>
      </w:r>
      <w:r>
        <w:rPr>
          <w:rFonts w:hint="eastAsia" w:ascii="宋体" w:hAnsi="宋体" w:eastAsia="宋体" w:cs="宋体"/>
          <w:sz w:val="21"/>
          <w:szCs w:val="21"/>
          <w:highlight w:val="none"/>
          <w:lang w:val="en-US" w:eastAsia="zh-CN"/>
        </w:rPr>
        <w:t>伍</w:t>
      </w:r>
      <w:r>
        <w:rPr>
          <w:rFonts w:hint="eastAsia" w:ascii="宋体" w:hAnsi="宋体" w:eastAsia="宋体" w:cs="宋体"/>
          <w:sz w:val="21"/>
          <w:szCs w:val="21"/>
          <w:highlight w:val="none"/>
        </w:rPr>
        <w:t>份乙</w:t>
      </w:r>
      <w:r>
        <w:rPr>
          <w:rFonts w:hint="eastAsia" w:ascii="宋体" w:hAnsi="宋体" w:eastAsia="宋体" w:cs="宋体"/>
          <w:sz w:val="21"/>
          <w:szCs w:val="21"/>
          <w:highlight w:val="none"/>
          <w:lang w:val="en-US" w:eastAsia="zh-CN"/>
        </w:rPr>
        <w:t>方</w:t>
      </w:r>
      <w:r>
        <w:rPr>
          <w:rFonts w:hint="eastAsia" w:ascii="宋体" w:hAnsi="宋体" w:eastAsia="宋体" w:cs="宋体"/>
          <w:sz w:val="21"/>
          <w:szCs w:val="21"/>
          <w:highlight w:val="none"/>
        </w:rPr>
        <w:t>持</w:t>
      </w:r>
      <w:r>
        <w:rPr>
          <w:rFonts w:hint="eastAsia" w:ascii="宋体" w:hAnsi="宋体" w:eastAsia="宋体" w:cs="宋体"/>
          <w:sz w:val="21"/>
          <w:szCs w:val="21"/>
          <w:highlight w:val="none"/>
          <w:lang w:val="en-US" w:eastAsia="zh-CN"/>
        </w:rPr>
        <w:t>壹</w:t>
      </w:r>
      <w:r>
        <w:rPr>
          <w:rFonts w:hint="eastAsia" w:ascii="宋体" w:hAnsi="宋体" w:eastAsia="宋体" w:cs="宋体"/>
          <w:sz w:val="21"/>
          <w:szCs w:val="21"/>
          <w:highlight w:val="none"/>
        </w:rPr>
        <w:t>份</w:t>
      </w:r>
      <w:bookmarkStart w:id="0" w:name="_GoBack"/>
      <w:bookmarkEnd w:id="0"/>
      <w:r>
        <w:rPr>
          <w:rFonts w:hint="eastAsia" w:ascii="宋体" w:hAnsi="宋体" w:eastAsia="宋体" w:cs="宋体"/>
          <w:sz w:val="21"/>
          <w:szCs w:val="21"/>
          <w:highlight w:val="none"/>
        </w:rPr>
        <w:t>。自签字盖章之日起生效。</w:t>
      </w:r>
    </w:p>
    <w:p w14:paraId="0329A0B2">
      <w:pPr>
        <w:spacing w:line="360" w:lineRule="auto"/>
        <w:ind w:firstLine="315" w:firstLineChars="150"/>
        <w:rPr>
          <w:rFonts w:hint="eastAsia" w:ascii="宋体" w:hAnsi="宋体" w:eastAsia="宋体" w:cs="宋体"/>
          <w:sz w:val="21"/>
          <w:szCs w:val="21"/>
        </w:rPr>
      </w:pPr>
    </w:p>
    <w:p w14:paraId="13576250">
      <w:pPr>
        <w:spacing w:line="360" w:lineRule="auto"/>
        <w:ind w:firstLine="315" w:firstLineChars="150"/>
        <w:rPr>
          <w:rFonts w:hint="eastAsia" w:ascii="宋体" w:hAnsi="宋体" w:eastAsia="宋体" w:cs="宋体"/>
          <w:sz w:val="21"/>
          <w:szCs w:val="21"/>
        </w:rPr>
      </w:pPr>
      <w:r>
        <w:rPr>
          <w:rFonts w:hint="eastAsia" w:ascii="宋体" w:hAnsi="宋体" w:eastAsia="宋体" w:cs="宋体"/>
          <w:sz w:val="21"/>
          <w:szCs w:val="21"/>
        </w:rPr>
        <w:t xml:space="preserve">甲方：（盖章）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乙方：（盖章）</w:t>
      </w:r>
    </w:p>
    <w:p w14:paraId="113F58D3">
      <w:pPr>
        <w:spacing w:line="360" w:lineRule="auto"/>
        <w:rPr>
          <w:rFonts w:hint="eastAsia" w:ascii="宋体" w:hAnsi="宋体" w:eastAsia="宋体" w:cs="宋体"/>
          <w:sz w:val="21"/>
          <w:szCs w:val="21"/>
          <w:u w:val="single"/>
          <w:lang w:val="en-US" w:eastAsia="zh-CN"/>
        </w:rPr>
      </w:pP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西安市文物保护考古研究院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4539E9EC">
      <w:pPr>
        <w:spacing w:line="360" w:lineRule="auto"/>
        <w:rPr>
          <w:rFonts w:hint="eastAsia" w:ascii="宋体" w:hAnsi="宋体" w:eastAsia="宋体" w:cs="宋体"/>
          <w:sz w:val="21"/>
          <w:szCs w:val="21"/>
        </w:rPr>
      </w:pPr>
      <w:r>
        <w:rPr>
          <w:rFonts w:hint="eastAsia" w:ascii="宋体" w:hAnsi="宋体" w:eastAsia="宋体" w:cs="宋体"/>
          <w:sz w:val="21"/>
          <w:szCs w:val="21"/>
        </w:rPr>
        <w:t xml:space="preserve">   负责人：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负责人：                </w:t>
      </w:r>
    </w:p>
    <w:p w14:paraId="6F4CE1BC">
      <w:pPr>
        <w:bidi w:val="0"/>
        <w:spacing w:line="360" w:lineRule="auto"/>
        <w:ind w:firstLine="840" w:firstLineChars="400"/>
        <w:rPr>
          <w:rFonts w:hint="eastAsia" w:ascii="宋体" w:hAnsi="宋体" w:eastAsia="宋体" w:cs="宋体"/>
          <w:sz w:val="21"/>
          <w:szCs w:val="21"/>
        </w:rPr>
      </w:pPr>
      <w:r>
        <w:rPr>
          <w:rFonts w:hint="eastAsia" w:ascii="宋体" w:hAnsi="宋体" w:eastAsia="宋体" w:cs="宋体"/>
          <w:b w:val="0"/>
          <w:kern w:val="2"/>
          <w:sz w:val="21"/>
          <w:szCs w:val="21"/>
          <w:lang w:val="en-US" w:eastAsia="zh-CN" w:bidi="ar-SA"/>
        </w:rPr>
        <w:t>年    月   日                 年    月   日</w:t>
      </w:r>
    </w:p>
    <w:p w14:paraId="5F3839C2">
      <w:pPr>
        <w:spacing w:before="120" w:beforeLines="50" w:after="120" w:afterLines="50" w:line="360" w:lineRule="auto"/>
        <w:ind w:firstLine="210" w:firstLineChars="100"/>
        <w:jc w:val="left"/>
        <w:rPr>
          <w:rFonts w:hint="eastAsia" w:ascii="宋体" w:hAnsi="宋体"/>
          <w:color w:val="000000"/>
          <w:szCs w:val="21"/>
        </w:rPr>
      </w:pPr>
    </w:p>
    <w:p w14:paraId="08F37F5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zN2UzYmY0MjIxZGRhNDI2Nzk0OGRiNWM3YmJlYTkifQ=="/>
  </w:docVars>
  <w:rsids>
    <w:rsidRoot w:val="00000000"/>
    <w:rsid w:val="135D5FE4"/>
    <w:rsid w:val="1AF5763A"/>
    <w:rsid w:val="219757FB"/>
    <w:rsid w:val="365A07D7"/>
    <w:rsid w:val="369D1D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2120</Words>
  <Characters>2183</Characters>
  <Lines>0</Lines>
  <Paragraphs>0</Paragraphs>
  <TotalTime>0</TotalTime>
  <ScaleCrop>false</ScaleCrop>
  <LinksUpToDate>false</LinksUpToDate>
  <CharactersWithSpaces>2502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2024-01-10T02:23:00Z</dcterms:created>
  <dc:creator>Administrator</dc:creator>
  <cp:lastModifiedBy>Ailsa</cp:lastModifiedBy>
  <dcterms:modified xsi:type="dcterms:W3CDTF">2024-08-28T08:13:53Z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179661197AC44B13A40D837E68189358_12</vt:lpwstr>
  </property>
</Properties>
</file>