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陕汽配套产业园（遗址区）考古发掘委托第三方技术服务</w:t>
      </w:r>
    </w:p>
    <w:p>
      <w:pPr>
        <w:pStyle w:val="null3"/>
        <w:jc w:val="center"/>
        <w:outlineLvl w:val="2"/>
      </w:pPr>
      <w:r>
        <w:rPr>
          <w:sz w:val="28"/>
          <w:b/>
        </w:rPr>
        <w:t>采购项目编号：</w:t>
      </w:r>
      <w:r>
        <w:rPr>
          <w:sz w:val="28"/>
          <w:b/>
        </w:rPr>
        <w:t>ZD0924-009ZXA</w:t>
      </w:r>
      <w:r>
        <w:br/>
      </w:r>
      <w:r>
        <w:br/>
      </w:r>
      <w:r>
        <w:br/>
      </w:r>
    </w:p>
    <w:p>
      <w:pPr>
        <w:pStyle w:val="null3"/>
        <w:jc w:val="center"/>
        <w:outlineLvl w:val="2"/>
      </w:pPr>
      <w:r>
        <w:rPr>
          <w:sz w:val="28"/>
          <w:b/>
        </w:rPr>
        <w:t>西安市文物保护考古研究院</w:t>
      </w:r>
    </w:p>
    <w:p>
      <w:pPr>
        <w:pStyle w:val="null3"/>
        <w:jc w:val="center"/>
        <w:outlineLvl w:val="2"/>
      </w:pPr>
      <w:r>
        <w:rPr>
          <w:sz w:val="28"/>
          <w:b/>
        </w:rPr>
        <w:t>正大方略工程咨询有限公司</w:t>
      </w:r>
      <w:r>
        <w:rPr>
          <w:sz w:val="28"/>
          <w:b/>
        </w:rPr>
        <w:t>共同编制</w:t>
      </w:r>
    </w:p>
    <w:p>
      <w:pPr>
        <w:pStyle w:val="null3"/>
        <w:jc w:val="center"/>
        <w:outlineLvl w:val="2"/>
      </w:pPr>
      <w:r>
        <w:rPr>
          <w:sz w:val="28"/>
          <w:b/>
        </w:rPr>
        <w:t>2024年12月02日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正大方略工程咨询有限公司</w:t>
      </w:r>
      <w:r>
        <w:rPr/>
        <w:t>（以下简称“代理机构”）受</w:t>
      </w:r>
      <w:r>
        <w:rPr/>
        <w:t>西安市文物保护考古研究院</w:t>
      </w:r>
      <w:r>
        <w:rPr/>
        <w:t>委托，拟对</w:t>
      </w:r>
      <w:r>
        <w:rPr/>
        <w:t>陕汽配套产业园（遗址区）考古发掘委托第三方技术服务</w:t>
      </w:r>
      <w:r>
        <w:rPr/>
        <w:t>采用竞争性磋商采购方式进行采购，兹邀请供应商参加本项目的竞争性磋商。</w:t>
      </w:r>
    </w:p>
    <w:p>
      <w:pPr>
        <w:pStyle w:val="null3"/>
        <w:outlineLvl w:val="2"/>
      </w:pPr>
      <w:r>
        <w:rPr>
          <w:sz w:val="28"/>
          <w:b/>
        </w:rPr>
        <w:t>一、项目编号：</w:t>
      </w:r>
      <w:r>
        <w:rPr>
          <w:sz w:val="28"/>
          <w:b/>
        </w:rPr>
        <w:t>ZD0924-009ZXA</w:t>
      </w:r>
    </w:p>
    <w:p>
      <w:pPr>
        <w:pStyle w:val="null3"/>
        <w:outlineLvl w:val="2"/>
      </w:pPr>
      <w:r>
        <w:rPr>
          <w:sz w:val="28"/>
          <w:b/>
        </w:rPr>
        <w:t>二、项目名称：</w:t>
      </w:r>
      <w:r>
        <w:rPr>
          <w:sz w:val="28"/>
          <w:b/>
        </w:rPr>
        <w:t>陕汽配套产业园（遗址区）考古发掘委托第三方技术服务</w:t>
      </w:r>
    </w:p>
    <w:p>
      <w:pPr>
        <w:pStyle w:val="null3"/>
        <w:outlineLvl w:val="2"/>
      </w:pPr>
      <w:r>
        <w:rPr>
          <w:sz w:val="28"/>
          <w:b/>
        </w:rPr>
        <w:t>三、磋商项目简介</w:t>
      </w:r>
    </w:p>
    <w:p>
      <w:pPr>
        <w:pStyle w:val="null3"/>
        <w:ind w:firstLine="480"/>
      </w:pPr>
      <w:r>
        <w:rPr/>
        <w:t>西安市文物保护考古研究院陕汽配套产业园（遗址区）考古发掘委托第三方技术服务，供应商应按照国家文物局颁布的《田野考古操作规程》及相关法律法规进行发掘，并提供相关考古发掘工作报告、考古发掘报告、修复完毕的文物及相关文物资料。</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1、供应商资质：供应商应具有国家文物局颁发的中华人民共和国考古发掘资质证书。</w:t>
      </w:r>
    </w:p>
    <w:p>
      <w:pPr>
        <w:pStyle w:val="null3"/>
      </w:pPr>
      <w:r>
        <w:rPr/>
        <w:t>2、项目负责人：拟派项目负责人具有国家文物局颁发的考古发掘领队资格证书或考古发掘项目负责人资质证书或考古发掘项目负责人业务培训证书。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西安市文物保护考古研究院</w:t>
      </w:r>
    </w:p>
    <w:p>
      <w:pPr>
        <w:pStyle w:val="null3"/>
      </w:pPr>
      <w:r>
        <w:rPr/>
        <w:t xml:space="preserve"> 地址： </w:t>
      </w:r>
      <w:r>
        <w:rPr/>
        <w:t>西安市碑林区友谊西路68号</w:t>
      </w:r>
    </w:p>
    <w:p>
      <w:pPr>
        <w:pStyle w:val="null3"/>
      </w:pPr>
      <w:r>
        <w:rPr/>
        <w:t xml:space="preserve"> 邮编： </w:t>
      </w:r>
      <w:r>
        <w:rPr/>
        <w:t>710000</w:t>
      </w:r>
    </w:p>
    <w:p>
      <w:pPr>
        <w:pStyle w:val="null3"/>
      </w:pPr>
      <w:r>
        <w:rPr/>
        <w:t xml:space="preserve"> 联系人： </w:t>
      </w:r>
      <w:r>
        <w:rPr/>
        <w:t>西安市文物保护考古研究院经办张老师</w:t>
      </w:r>
    </w:p>
    <w:p>
      <w:pPr>
        <w:pStyle w:val="null3"/>
      </w:pPr>
      <w:r>
        <w:rPr/>
        <w:t xml:space="preserve"> 联系电话： </w:t>
      </w:r>
      <w:r>
        <w:rPr/>
        <w:t>029-85258795</w:t>
      </w:r>
    </w:p>
    <w:p>
      <w:pPr>
        <w:pStyle w:val="null3"/>
        <w:outlineLvl w:val="3"/>
      </w:pPr>
      <w:r>
        <w:rPr>
          <w:sz w:val="24"/>
          <w:b/>
        </w:rPr>
        <w:t>代理机构：</w:t>
      </w:r>
      <w:r>
        <w:rPr>
          <w:sz w:val="24"/>
          <w:b/>
        </w:rPr>
        <w:t>正大方略工程咨询有限公司</w:t>
      </w:r>
    </w:p>
    <w:p>
      <w:pPr>
        <w:pStyle w:val="null3"/>
      </w:pPr>
      <w:r>
        <w:rPr/>
        <w:t xml:space="preserve"> 地址： </w:t>
      </w:r>
      <w:r>
        <w:rPr/>
        <w:t>西安市雁塔区南二环东段22号（凯森盛世1号）A座26楼</w:t>
      </w:r>
    </w:p>
    <w:p>
      <w:pPr>
        <w:pStyle w:val="null3"/>
      </w:pPr>
      <w:r>
        <w:rPr/>
        <w:t xml:space="preserve"> 邮编： </w:t>
      </w:r>
      <w:r>
        <w:rPr/>
        <w:t>710000</w:t>
      </w:r>
    </w:p>
    <w:p>
      <w:pPr>
        <w:pStyle w:val="null3"/>
      </w:pPr>
      <w:r>
        <w:rPr/>
        <w:t xml:space="preserve"> 联系人： </w:t>
      </w:r>
      <w:r>
        <w:rPr/>
        <w:t>王蕾、黑华伟</w:t>
      </w:r>
    </w:p>
    <w:p>
      <w:pPr>
        <w:pStyle w:val="null3"/>
      </w:pPr>
      <w:r>
        <w:rPr/>
        <w:t xml:space="preserve"> 联系电话： </w:t>
      </w:r>
      <w:r>
        <w:rPr/>
        <w:t>029-82296986</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采购包1：747,840.00元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依据《招标代理服务收费管理暂行办法的通知》（计价格〔2002〕1980号）和《关于招标代理服务收费有关问题的通知》（发改办价格〔2003〕857号）文件规定按标准收取。具体收费金额将在中标（成交）结果公告中公布。开户名称：正大方略工程咨询有限公司 开户行名称：西安银行东二环南段支行 账号：209011580000076430</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西安市文物保护考古研究院</w:t>
      </w:r>
      <w:r>
        <w:rPr/>
        <w:t>和</w:t>
      </w:r>
      <w:r>
        <w:rPr/>
        <w:t>正大方略工程咨询有限公司</w:t>
      </w:r>
      <w:r>
        <w:rPr/>
        <w:t>享有。对磋商文件中供应商参加本次政府采购活动应当具备的条件，磋商项目技术、服务、商务及其他要求，评审细则及标准由</w:t>
      </w:r>
      <w:r>
        <w:rPr/>
        <w:t>西安市文物保护考古研究院</w:t>
      </w:r>
      <w:r>
        <w:rPr/>
        <w:t>负责解释。除上述磋商文件内容，其他内容由</w:t>
      </w:r>
      <w:r>
        <w:rPr/>
        <w:t>正大方略工程咨询有限公司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西安市文物保护考古研究院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正大方略工程咨询有限公司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正大方略工程咨询有限公司</w:t>
      </w:r>
      <w:r>
        <w:rPr/>
        <w:t xml:space="preserve"> 负责答复；供应商对除采购需求外的采购文件的询问、质疑由</w:t>
      </w:r>
      <w:r>
        <w:rPr/>
        <w:t>正大方略工程咨询有限公司</w:t>
      </w:r>
      <w:r>
        <w:rPr/>
        <w:t xml:space="preserve"> 负责答复；供应商对采购过程、采购结果的询问、质疑由 </w:t>
      </w:r>
      <w:r>
        <w:rPr/>
        <w:t>正大方略工程咨询有限公司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联系人：王蕾、黑华伟</w:t>
      </w:r>
    </w:p>
    <w:p>
      <w:pPr>
        <w:pStyle w:val="null3"/>
      </w:pPr>
      <w:r>
        <w:rPr/>
        <w:t>联系电话：029-82296986</w:t>
      </w:r>
    </w:p>
    <w:p>
      <w:pPr>
        <w:pStyle w:val="null3"/>
      </w:pPr>
      <w:r>
        <w:rPr/>
        <w:t>地址：西安市雁塔区南二环东段22号（凯森盛世1号）A座26楼招标九部</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文物保护考古研究院陕汽配套产业园（遗址区）考古发掘委托第三方技术服务，供应商应按照国家文物局颁布的《田野考古操作规程》及相关法律法规进行发掘，并提供相关考古发掘工作报告、考古发掘报告、修复完毕的文物及相关文物资料。</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747,840.00</w:t>
      </w:r>
    </w:p>
    <w:p>
      <w:pPr>
        <w:pStyle w:val="null3"/>
      </w:pPr>
      <w:r>
        <w:rPr/>
        <w:t>采购包最高限价（元）: 747,840.00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考古发掘技术服务</w:t>
            </w:r>
          </w:p>
        </w:tc>
        <w:tc>
          <w:tcPr>
            <w:tcW w:type="dxa" w:w="831"/>
          </w:tcPr>
          <w:p>
            <w:pPr>
              <w:pStyle w:val="null3"/>
              <w:jc w:val="right"/>
            </w:pPr>
            <w:r>
              <w:rPr/>
              <w:t>1.00</w:t>
            </w:r>
          </w:p>
        </w:tc>
        <w:tc>
          <w:tcPr>
            <w:tcW w:type="dxa" w:w="831"/>
          </w:tcPr>
          <w:p>
            <w:pPr>
              <w:pStyle w:val="null3"/>
              <w:jc w:val="right"/>
            </w:pPr>
            <w:r>
              <w:rPr/>
              <w:t>747,840.00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标的名称：考古发掘技术服务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0"/>
              <w:jc w:val="both"/>
            </w:pPr>
            <w:r>
              <w:rPr>
                <w:b/>
              </w:rPr>
              <w:t>（一）</w:t>
            </w:r>
            <w:r>
              <w:rPr>
                <w:b/>
              </w:rPr>
              <w:t>采购内容：</w:t>
            </w:r>
          </w:p>
          <w:tbl>
            <w:tblPr>
              <w:tblInd w:type="dxa" w:w="210"/>
              <w:tblBorders>
                <w:top w:val="none" w:color="000000" w:sz="4"/>
                <w:left w:val="none" w:color="000000" w:sz="4"/>
                <w:bottom w:val="none" w:color="000000" w:sz="4"/>
                <w:right w:val="none" w:color="000000" w:sz="4"/>
                <w:insideH w:val="none"/>
                <w:insideV w:val="none"/>
              </w:tblBorders>
            </w:tblPr>
            <w:tblGrid>
              <w:gridCol w:w="240"/>
              <w:gridCol w:w="235"/>
              <w:gridCol w:w="240"/>
              <w:gridCol w:w="315"/>
              <w:gridCol w:w="315"/>
              <w:gridCol w:w="315"/>
              <w:gridCol w:w="433"/>
              <w:gridCol w:w="433"/>
            </w:tblGrid>
            <w:tr>
              <w:tc>
                <w:tcPr>
                  <w:tcW w:type="dxa" w:w="24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编号</w:t>
                  </w:r>
                </w:p>
              </w:tc>
              <w:tc>
                <w:tcPr>
                  <w:tcW w:type="dxa" w:w="2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名称</w:t>
                  </w:r>
                </w:p>
              </w:tc>
              <w:tc>
                <w:tcPr>
                  <w:tcW w:type="dxa" w:w="24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形制</w:t>
                  </w:r>
                </w:p>
              </w:tc>
              <w:tc>
                <w:tcPr>
                  <w:tcW w:type="dxa" w:w="1378"/>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古遗址</w:t>
                  </w:r>
                </w:p>
              </w:tc>
              <w:tc>
                <w:tcPr>
                  <w:tcW w:type="dxa" w:w="43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总面积</w:t>
                  </w:r>
                </w:p>
                <w:p>
                  <w:pPr>
                    <w:pStyle w:val="null3"/>
                    <w:jc w:val="center"/>
                  </w:pPr>
                  <w:r>
                    <w:rPr>
                      <w:rFonts w:ascii="&quot;times new roman&quot;" w:hAnsi="&quot;times new roman&quot;" w:cs="&quot;times new roman&quot;" w:eastAsia="&quot;times new roman&quot;"/>
                      <w:sz w:val="19"/>
                      <w:b/>
                    </w:rPr>
                    <w:t>（平方米）</w:t>
                  </w:r>
                </w:p>
              </w:tc>
            </w:tr>
            <w:tr>
              <w:tc>
                <w:tcPr>
                  <w:tcW w:type="dxa" w:w="240"/>
                  <w:vMerge/>
                  <w:tcBorders>
                    <w:top w:val="single" w:color="000000" w:sz="4"/>
                    <w:left w:val="single" w:color="000000" w:sz="4"/>
                    <w:bottom w:val="single" w:color="000000" w:sz="4"/>
                    <w:right w:val="single" w:color="000000" w:sz="4"/>
                  </w:tcBorders>
                </w:tcPr>
                <w:p/>
              </w:tc>
              <w:tc>
                <w:tcPr>
                  <w:tcW w:type="dxa" w:w="235"/>
                  <w:vMerge/>
                  <w:tcBorders>
                    <w:top w:val="single" w:color="000000" w:sz="4"/>
                    <w:left w:val="none" w:color="000000" w:sz="4"/>
                    <w:bottom w:val="single" w:color="000000" w:sz="4"/>
                    <w:right w:val="single" w:color="000000" w:sz="4"/>
                  </w:tcBorders>
                </w:tcPr>
                <w:p/>
              </w:tc>
              <w:tc>
                <w:tcPr>
                  <w:tcW w:type="dxa" w:w="240"/>
                  <w:vMerge/>
                  <w:tcBorders>
                    <w:top w:val="single" w:color="000000" w:sz="4"/>
                    <w:left w:val="none" w:color="000000" w:sz="4"/>
                    <w:bottom w:val="single" w:color="000000" w:sz="4"/>
                    <w:right w:val="single" w:color="000000" w:sz="4"/>
                  </w:tcBorders>
                </w:tcP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长（米）</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宽（米）</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深（米）</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面积</w:t>
                  </w:r>
                </w:p>
                <w:p>
                  <w:pPr>
                    <w:pStyle w:val="null3"/>
                    <w:jc w:val="center"/>
                  </w:pPr>
                  <w:r>
                    <w:rPr>
                      <w:rFonts w:ascii="&quot;times new roman&quot;" w:hAnsi="&quot;times new roman&quot;" w:cs="&quot;times new roman&quot;" w:eastAsia="&quot;times new roman&quot;"/>
                      <w:sz w:val="19"/>
                      <w:b/>
                    </w:rPr>
                    <w:t>（平方米）</w:t>
                  </w:r>
                </w:p>
              </w:tc>
              <w:tc>
                <w:tcPr>
                  <w:tcW w:type="dxa" w:w="433"/>
                  <w:vMerge/>
                  <w:tcBorders>
                    <w:top w:val="single" w:color="000000" w:sz="4"/>
                    <w:left w:val="none" w:color="000000" w:sz="4"/>
                    <w:bottom w:val="single" w:color="000000" w:sz="4"/>
                    <w:right w:val="single" w:color="000000" w:sz="4"/>
                  </w:tcBorders>
                </w:tcP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T</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古遗址</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 xml:space="preserve"> </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 xml:space="preserve"> </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 xml:space="preserve"> </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2.00</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 xml:space="preserve"> </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1500.00</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合计</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 xml:space="preserve"> </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 xml:space="preserve"> </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 xml:space="preserve"> </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 xml:space="preserve"> </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2.00</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rPr>
                    <w:t xml:space="preserve"> </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quot;times new roman&quot;" w:hAnsi="&quot;times new roman&quot;" w:cs="&quot;times new roman&quot;" w:eastAsia="&quot;times new roman&quot;"/>
                      <w:sz w:val="19"/>
                      <w:b/>
                    </w:rPr>
                    <w:t>1500.00</w:t>
                  </w:r>
                </w:p>
              </w:tc>
            </w:tr>
          </w:tbl>
          <w:p>
            <w:pPr>
              <w:pStyle w:val="null3"/>
              <w:jc w:val="both"/>
            </w:pPr>
            <w:r>
              <w:rPr>
                <w:b/>
              </w:rPr>
              <w:t>（二）</w:t>
            </w:r>
            <w:r>
              <w:rPr>
                <w:b/>
              </w:rPr>
              <w:t>技术要求：</w:t>
            </w:r>
          </w:p>
          <w:p>
            <w:pPr>
              <w:pStyle w:val="null3"/>
              <w:ind w:firstLine="210"/>
              <w:jc w:val="both"/>
            </w:pPr>
            <w:r>
              <w:rPr/>
              <w:t>1、按照国家文物局颁布的《田野考古操作规程》及相关法律法规进行发掘。</w:t>
            </w:r>
          </w:p>
          <w:p>
            <w:pPr>
              <w:pStyle w:val="null3"/>
              <w:ind w:firstLine="210"/>
              <w:jc w:val="both"/>
            </w:pPr>
            <w:r>
              <w:rPr/>
              <w:t>2、发掘工作：</w:t>
            </w:r>
          </w:p>
          <w:p>
            <w:pPr>
              <w:pStyle w:val="null3"/>
              <w:ind w:firstLine="420"/>
              <w:jc w:val="both"/>
            </w:pPr>
            <w:r>
              <w:rPr/>
              <w:t>1)古遗址（建筑基址、古道路、古沟渠、古窑址、灰坑、古井等）类：采用布置探方/探沟作业方法。布置探方/探沟规格视现场情况而定。</w:t>
            </w:r>
          </w:p>
          <w:p>
            <w:pPr>
              <w:pStyle w:val="null3"/>
              <w:ind w:firstLine="420"/>
              <w:jc w:val="both"/>
            </w:pPr>
            <w:r>
              <w:rPr/>
              <w:t>2）墓葬类：从上至下人工开挖，先发掘墓道后发掘墓室。墓室采取大揭顶厚，逐层下挖清理。以上发掘内容均需挖至生土层。</w:t>
            </w:r>
          </w:p>
          <w:p>
            <w:pPr>
              <w:pStyle w:val="null3"/>
              <w:ind w:firstLine="420"/>
              <w:jc w:val="both"/>
            </w:pPr>
            <w:r>
              <w:rPr/>
              <w:t>3）资料录入：</w:t>
            </w:r>
          </w:p>
          <w:p>
            <w:pPr>
              <w:pStyle w:val="null3"/>
              <w:ind w:firstLine="367"/>
              <w:jc w:val="both"/>
            </w:pPr>
            <w:r>
              <w:rPr/>
              <w:t>发掘记录应包括文字、测绘、影像（航拍、照相等）三种形式，构成统一的记录系统。文字记录包括工地日记、探方日记、发掘记录表、遗迹单位总记录等；测绘记录包括发掘区总平、剖面图，各遗迹单位总平、剖面图等；影像记录包括摄影、摄像等资料。</w:t>
            </w:r>
          </w:p>
          <w:p>
            <w:pPr>
              <w:pStyle w:val="null3"/>
              <w:ind w:firstLine="420"/>
              <w:jc w:val="both"/>
            </w:pPr>
            <w:r>
              <w:rPr/>
              <w:t>4）发掘资料拾取</w:t>
            </w:r>
          </w:p>
          <w:p>
            <w:pPr>
              <w:pStyle w:val="null3"/>
              <w:ind w:firstLine="420"/>
              <w:jc w:val="both"/>
            </w:pPr>
            <w:r>
              <w:rPr/>
              <w:t>资料拾取过程中应由考古领队、技术工人全程参与，指定专人对发掘物资、出土文物和记录资料应及时清点、核实并移交至</w:t>
            </w:r>
            <w:r>
              <w:rPr/>
              <w:t>采购人</w:t>
            </w:r>
            <w:r>
              <w:rPr/>
              <w:t>。</w:t>
            </w:r>
          </w:p>
          <w:p>
            <w:pPr>
              <w:pStyle w:val="null3"/>
              <w:ind w:firstLine="210"/>
              <w:jc w:val="both"/>
            </w:pPr>
            <w:r>
              <w:rPr/>
              <w:t>3、发掘资料整理</w:t>
            </w:r>
          </w:p>
          <w:p>
            <w:pPr>
              <w:pStyle w:val="null3"/>
              <w:ind w:firstLine="420"/>
              <w:jc w:val="both"/>
            </w:pPr>
            <w:r>
              <w:rPr/>
              <w:t>按照规定的技术要求对考古资料进行整理并建立资料库。</w:t>
            </w:r>
          </w:p>
          <w:p>
            <w:pPr>
              <w:pStyle w:val="null3"/>
              <w:ind w:firstLine="420"/>
              <w:jc w:val="both"/>
            </w:pPr>
            <w:r>
              <w:rPr/>
              <w:t>整理修复</w:t>
            </w:r>
            <w:r>
              <w:rPr/>
              <w:t>：</w:t>
            </w:r>
            <w:r>
              <w:rPr/>
              <w:t>根据不同材质特点对遗物进行必要的技术处理并记录；对于数量大、不能复原的遗物进行观察和测量并进行分类整理、记录；文物标本应按堆积单位统一编号至登记表中；文物标本应登记填写器物登记卡片；文物标本应实测绘图、临摹、照相和拓片，并填写相应的登记表。</w:t>
            </w:r>
          </w:p>
          <w:p>
            <w:pPr>
              <w:pStyle w:val="null3"/>
              <w:ind w:firstLine="420"/>
              <w:jc w:val="both"/>
            </w:pPr>
            <w:r>
              <w:rPr/>
              <w:t>建立资料库与电子数据库：</w:t>
            </w:r>
          </w:p>
          <w:p>
            <w:pPr>
              <w:pStyle w:val="null3"/>
              <w:ind w:firstLine="420"/>
              <w:jc w:val="both"/>
            </w:pPr>
            <w:r>
              <w:rPr/>
              <w:t>按照遗迹单位统一汇总所有田野发掘记录和资料整理记录，形成完整的资料档案；电子数据库基于田野工作的各项文字、影像和测绘记录，符合数据库的要求。</w:t>
            </w:r>
          </w:p>
          <w:p>
            <w:pPr>
              <w:pStyle w:val="null3"/>
              <w:jc w:val="both"/>
            </w:pPr>
            <w:r>
              <w:rPr>
                <w:b/>
              </w:rPr>
              <w:t>（三）</w:t>
            </w:r>
            <w:r>
              <w:rPr>
                <w:b/>
              </w:rPr>
              <w:t>质量要求</w:t>
            </w:r>
            <w:r>
              <w:rPr>
                <w:b/>
              </w:rPr>
              <w:t>：</w:t>
            </w:r>
          </w:p>
          <w:p>
            <w:pPr>
              <w:pStyle w:val="null3"/>
              <w:ind w:firstLine="420"/>
              <w:jc w:val="both"/>
            </w:pPr>
            <w:r>
              <w:rPr/>
              <w:t>应根据国家和省、市有关法律法规及</w:t>
            </w:r>
            <w:r>
              <w:rPr/>
              <w:t>采购</w:t>
            </w:r>
            <w:r>
              <w:rPr/>
              <w:t>人的有关规定，科学、</w:t>
            </w:r>
            <w:r>
              <w:rPr/>
              <w:t>规范</w:t>
            </w:r>
            <w:r>
              <w:rPr/>
              <w:t>地开展工作，根据委托要求按时按质提供相关</w:t>
            </w:r>
            <w:r>
              <w:rPr/>
              <w:t>考古发掘工作报告、考古发掘报告、修复完毕的文物及相关文物资料。</w:t>
            </w:r>
            <w:r>
              <w:rPr/>
              <w:t>对资料的真实性、准确性负责，并负有保密责任。</w:t>
            </w:r>
          </w:p>
          <w:p>
            <w:pPr>
              <w:pStyle w:val="null3"/>
              <w:jc w:val="both"/>
            </w:pPr>
            <w:r>
              <w:rPr>
                <w:b/>
              </w:rPr>
              <w:t>（四）</w:t>
            </w:r>
            <w:r>
              <w:rPr>
                <w:b/>
              </w:rPr>
              <w:t>安全要求：</w:t>
            </w:r>
          </w:p>
          <w:p>
            <w:pPr>
              <w:pStyle w:val="null3"/>
              <w:ind w:firstLine="420"/>
              <w:jc w:val="both"/>
            </w:pPr>
            <w:r>
              <w:rPr/>
              <w:t>遵守国家的相关安全规定，全面履行服务实施过程中的相关安全管理职责，确保考古工地的施工安全、人员安全和文物安全，因供应商未尽到管理职责发生安全事故的，由供应商承担相应的法律责任，与采购人无关。</w:t>
            </w:r>
          </w:p>
          <w:p>
            <w:pPr>
              <w:pStyle w:val="null3"/>
              <w:ind w:firstLine="420"/>
              <w:jc w:val="both"/>
            </w:pPr>
            <w:r>
              <w:rPr/>
              <w:t>应坚持“安全第一、预防为主”的原则，在开工前应根据实际情况制定安全保卫工作方案及应急预案。负责组织对所有参与工作的人员进行安全警示教育，提高安全意识，防止和避免因工作失误和安全措施不到位诱发的安全责任事故。</w:t>
            </w:r>
          </w:p>
          <w:p>
            <w:pPr>
              <w:pStyle w:val="null3"/>
              <w:ind w:firstLine="420"/>
              <w:jc w:val="both"/>
            </w:pPr>
            <w:r>
              <w:rPr/>
              <w:t>供应商在考古发掘工作中对发现的古遗址、古墓葬等地下文物古迹负有看管保护的责任，并对相关信息负有保密的责任。供应商考古驻地的所有工作人员、财物、设备、设施以及暂存文物标本的文物库房等的安全保卫工作由供应商全权负责。</w:t>
            </w:r>
          </w:p>
          <w:p>
            <w:pPr>
              <w:pStyle w:val="null3"/>
              <w:jc w:val="both"/>
            </w:pPr>
            <w:r>
              <w:rPr>
                <w:b/>
              </w:rPr>
              <w:t>（五）最高限价：</w:t>
            </w:r>
          </w:p>
          <w:p>
            <w:pPr>
              <w:pStyle w:val="null3"/>
              <w:ind w:firstLine="420"/>
              <w:jc w:val="both"/>
            </w:pPr>
            <w:r>
              <w:rPr/>
              <w:t>本项目发掘费单价（不含安保费、支护费）：498.56元/平方米；深度超过2米的按国家文物局【90】文物字第248号文件规定的每增加0.5米预算相应递增15%的调整系数进行预算。发掘对象为大中型墓葬或其他特殊遗迹时，总预算按照200%计算。</w:t>
            </w:r>
          </w:p>
          <w:p>
            <w:pPr>
              <w:pStyle w:val="null3"/>
              <w:ind w:firstLine="420"/>
              <w:jc w:val="both"/>
            </w:pPr>
            <w:r>
              <w:rPr/>
              <w:t>供应商磋商总报价超出最高限价或发掘费单价超出单项限价的，作为不实质性响应磋商文件，按无效投标处理。</w:t>
            </w:r>
          </w:p>
        </w:tc>
      </w:tr>
    </w:tbl>
    <w:p>
      <w:pPr>
        <w:pStyle w:val="null3"/>
        <w:outlineLvl w:val="2"/>
      </w:pPr>
      <w:r>
        <w:rPr>
          <w:sz w:val="28"/>
          <w:b/>
        </w:rPr>
        <w:t>3.2.3人员配置要求</w:t>
      </w:r>
    </w:p>
    <w:p>
      <w:pPr>
        <w:pStyle w:val="null3"/>
      </w:pPr>
      <w:r>
        <w:rPr/>
        <w:t>采购包1：</w:t>
      </w:r>
    </w:p>
    <w:p>
      <w:pPr>
        <w:pStyle w:val="null3"/>
      </w:pPr>
      <w:r>
        <w:rPr/>
        <w:t>供应商应组建专业的服务团队，负责对项目实施过程的控制及管理，明确项目负责人及技术人员。</w:t>
      </w:r>
    </w:p>
    <w:p>
      <w:pPr>
        <w:pStyle w:val="null3"/>
        <w:outlineLvl w:val="2"/>
      </w:pPr>
      <w:r>
        <w:rPr>
          <w:sz w:val="28"/>
          <w:b/>
        </w:rPr>
        <w:t>3.2.4设施设备要求</w:t>
      </w:r>
    </w:p>
    <w:p>
      <w:pPr>
        <w:pStyle w:val="null3"/>
      </w:pPr>
      <w:r>
        <w:rPr/>
        <w:t>采购包1：</w:t>
      </w:r>
    </w:p>
    <w:p>
      <w:pPr>
        <w:pStyle w:val="null3"/>
      </w:pPr>
      <w:r>
        <w:rPr/>
        <w:t>供应商应配置履行服务所需的设施设备，以便提高服务质量及效率。</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合同签订后24个月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详见合同</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合同签订后，乙方应开具增值税发票</w:t>
      </w:r>
      <w:r>
        <w:rPr/>
        <w:t xml:space="preserve"> ，达到付款条件起 </w:t>
      </w:r>
      <w:r>
        <w:rPr/>
        <w:t>15</w:t>
      </w:r>
      <w:r>
        <w:rPr/>
        <w:t xml:space="preserve"> 日内，支付合同总金额的 </w:t>
      </w:r>
      <w:r>
        <w:rPr/>
        <w:t>70.00</w:t>
      </w:r>
      <w:r>
        <w:rPr/>
        <w:t>%。</w:t>
      </w:r>
    </w:p>
    <w:p>
      <w:pPr>
        <w:pStyle w:val="null3"/>
      </w:pPr>
      <w:r>
        <w:rPr/>
        <w:t>采购包1：</w:t>
      </w:r>
      <w:r>
        <w:rPr/>
        <w:t xml:space="preserve"> 付款条件说明： </w:t>
      </w:r>
      <w:r>
        <w:rPr/>
        <w:t>田野发掘结束，经验收合格并提交发掘工作报告后</w:t>
      </w:r>
      <w:r>
        <w:rPr/>
        <w:t xml:space="preserve"> ，达到付款条件起 </w:t>
      </w:r>
      <w:r>
        <w:rPr/>
        <w:t>15</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本项目采购标的所属行业为其他未列明行业。从业人员300人以下的为中小微型企业。其中，从业人员100人及以上的为中型企业；从业人员10人及以上的为小型企业；从业人员10人以下的为微型企业。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主体资格证明：企业响应的提供营业执照；事业单位响应的提供事业单位法人证书；其他组织响应的提供登记证书；个体工商户响应的提供个体工商户营业执照；自然人响应的提供身份证。（2）法定代表人或授权代表身份证明：法定代表人（负责人）参加磋商的提供法定代表人（负责人）身份证明及身份证；授权代表参加磋商的提供授权委托书及授权代表身份证。（3）税收缴纳证明：供应商自磋商前1年内已缴纳任意时段、任意税种凭证或税务机关开具的完税证明；依法免税的应提供相关文件证明。（4）社保资金缴纳证明：供应商自磋商前1年内已缴存的任意时段的社会保障资金缴存单据或社保机构开具的社会保险参保缴费情况证明；依法不需要缴纳社会保障资金的应提供相关文件证明。（5）供应商具备履行合同所必需的设备和专业技术能力的证明。（6）磋商响应声明书：供应商参加本次采购活动3年内，在经营活动中没有重大违法记录以及未被列入失信被执行人、重大税收违法案件当事人名单、政府采购严重违法失信行为记录名单的书面声明。 供应商需在项目电子化交易系统中按要求填写《响应函》完成承诺并进行电子签章。</w:t>
            </w:r>
          </w:p>
        </w:tc>
        <w:tc>
          <w:tcPr>
            <w:tcW w:type="dxa" w:w="1661"/>
          </w:tcPr>
          <w:p>
            <w:pPr>
              <w:pStyle w:val="null3"/>
            </w:pPr>
            <w:r>
              <w:rPr/>
              <w:t>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2023年度经审计的财务报告（包括“四表一注”即《资产负债表》《利润表》《现金流量表》《所有者权益变动表》及其附注）或者提供响应文件递交截止时间6个月内其基本账户开户银行出具的资信证明；供应商成立不到1年的，可提供企业任意时段财务报表；供应商为公益类事业单位或者自然人的无需提供。供应商需在项目电子化交易系统中按要求填写《响应函》完成承诺后，在项目电子化交易系统中按要求上传相应证明文件并进行电子签章。</w:t>
            </w:r>
          </w:p>
        </w:tc>
        <w:tc>
          <w:tcPr>
            <w:tcW w:type="dxa" w:w="1661"/>
          </w:tcPr>
          <w:p>
            <w:pPr>
              <w:pStyle w:val="null3"/>
            </w:pPr>
            <w:r>
              <w:rPr/>
              <w:t>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供应商资质</w:t>
            </w:r>
          </w:p>
        </w:tc>
        <w:tc>
          <w:tcPr>
            <w:tcW w:type="dxa" w:w="3322"/>
          </w:tcPr>
          <w:p>
            <w:pPr>
              <w:pStyle w:val="null3"/>
            </w:pPr>
            <w:r>
              <w:rPr/>
              <w:t>供应商应具有国家文物局颁发的中华人民共和国考古发掘资质证书。</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项目负责人</w:t>
            </w:r>
          </w:p>
        </w:tc>
        <w:tc>
          <w:tcPr>
            <w:tcW w:type="dxa" w:w="3322"/>
          </w:tcPr>
          <w:p>
            <w:pPr>
              <w:pStyle w:val="null3"/>
            </w:pPr>
            <w:r>
              <w:rPr/>
              <w:t>拟派项目负责人具有国家文物局颁发的考古发掘领队资格证书或考古发掘项目负责人资质证书或考古发掘项目负责人业务培训证书。</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 分项报价明细表</w:t>
            </w:r>
          </w:p>
        </w:tc>
      </w:tr>
      <w:tr>
        <w:tc>
          <w:tcPr>
            <w:tcW w:type="dxa" w:w="831"/>
          </w:tcPr>
          <w:p>
            <w:pPr>
              <w:pStyle w:val="null3"/>
            </w:pPr>
            <w:r>
              <w:rPr/>
              <w:t>2</w:t>
            </w:r>
          </w:p>
        </w:tc>
        <w:tc>
          <w:tcPr>
            <w:tcW w:type="dxa" w:w="2492"/>
          </w:tcPr>
          <w:p>
            <w:pPr>
              <w:pStyle w:val="null3"/>
            </w:pPr>
            <w:r>
              <w:rPr/>
              <w:t>响应文件的签署盖章</w:t>
            </w:r>
          </w:p>
        </w:tc>
        <w:tc>
          <w:tcPr>
            <w:tcW w:type="dxa" w:w="3322"/>
          </w:tcPr>
          <w:p>
            <w:pPr>
              <w:pStyle w:val="null3"/>
            </w:pPr>
            <w:r>
              <w:rPr/>
              <w:t>按磋商文件要求签署、盖章</w:t>
            </w:r>
          </w:p>
        </w:tc>
        <w:tc>
          <w:tcPr>
            <w:tcW w:type="dxa" w:w="1661"/>
          </w:tcPr>
          <w:p>
            <w:pPr>
              <w:pStyle w:val="null3"/>
            </w:pPr>
            <w:r>
              <w:rPr/>
              <w:t>响应文件封面 商务技术资料 服务内容及服务邀请应答表 中小企业声明函 残疾人福利性单位声明函 商务应答表 资格证明材料 标的清单 报价表 分项报价明细表 响应函 监狱企业的证明文件</w:t>
            </w:r>
          </w:p>
        </w:tc>
      </w:tr>
      <w:tr>
        <w:tc>
          <w:tcPr>
            <w:tcW w:type="dxa" w:w="831"/>
          </w:tcPr>
          <w:p>
            <w:pPr>
              <w:pStyle w:val="null3"/>
            </w:pPr>
            <w:r>
              <w:rPr/>
              <w:t>3</w:t>
            </w:r>
          </w:p>
        </w:tc>
        <w:tc>
          <w:tcPr>
            <w:tcW w:type="dxa" w:w="2492"/>
          </w:tcPr>
          <w:p>
            <w:pPr>
              <w:pStyle w:val="null3"/>
            </w:pPr>
            <w:r>
              <w:rPr/>
              <w:t>报价唯一</w:t>
            </w:r>
          </w:p>
        </w:tc>
        <w:tc>
          <w:tcPr>
            <w:tcW w:type="dxa" w:w="3322"/>
          </w:tcPr>
          <w:p>
            <w:pPr>
              <w:pStyle w:val="null3"/>
            </w:pPr>
            <w:r>
              <w:rPr/>
              <w:t>只能有一个有效报价，不得提交选择性报价，且报价不超过磋商文件规定的采购预算或最高限价</w:t>
            </w:r>
          </w:p>
        </w:tc>
        <w:tc>
          <w:tcPr>
            <w:tcW w:type="dxa" w:w="1661"/>
          </w:tcPr>
          <w:p>
            <w:pPr>
              <w:pStyle w:val="null3"/>
            </w:pPr>
            <w:r>
              <w:rPr/>
              <w:t>标的清单 报价表 分项报价明细表</w:t>
            </w:r>
          </w:p>
        </w:tc>
      </w:tr>
      <w:tr>
        <w:tc>
          <w:tcPr>
            <w:tcW w:type="dxa" w:w="831"/>
          </w:tcPr>
          <w:p>
            <w:pPr>
              <w:pStyle w:val="null3"/>
            </w:pPr>
            <w:r>
              <w:rPr/>
              <w:t>4</w:t>
            </w:r>
          </w:p>
        </w:tc>
        <w:tc>
          <w:tcPr>
            <w:tcW w:type="dxa" w:w="2492"/>
          </w:tcPr>
          <w:p>
            <w:pPr>
              <w:pStyle w:val="null3"/>
            </w:pPr>
            <w:r>
              <w:rPr/>
              <w:t>附加条件</w:t>
            </w:r>
          </w:p>
        </w:tc>
        <w:tc>
          <w:tcPr>
            <w:tcW w:type="dxa" w:w="3322"/>
          </w:tcPr>
          <w:p>
            <w:pPr>
              <w:pStyle w:val="null3"/>
            </w:pPr>
            <w:r>
              <w:rPr/>
              <w:t>响应文件未含有采购人不能接受的附加条件</w:t>
            </w:r>
          </w:p>
        </w:tc>
        <w:tc>
          <w:tcPr>
            <w:tcW w:type="dxa" w:w="1661"/>
          </w:tcPr>
          <w:p>
            <w:pPr>
              <w:pStyle w:val="null3"/>
            </w:pPr>
            <w:r>
              <w:rPr/>
              <w:t>商务技术资料 服务内容及服务邀请应答表 商务应答表 响应函</w:t>
            </w:r>
          </w:p>
        </w:tc>
      </w:tr>
      <w:tr>
        <w:tc>
          <w:tcPr>
            <w:tcW w:type="dxa" w:w="831"/>
          </w:tcPr>
          <w:p>
            <w:pPr>
              <w:pStyle w:val="null3"/>
            </w:pPr>
            <w:r>
              <w:rPr/>
              <w:t>5</w:t>
            </w:r>
          </w:p>
        </w:tc>
        <w:tc>
          <w:tcPr>
            <w:tcW w:type="dxa" w:w="2492"/>
          </w:tcPr>
          <w:p>
            <w:pPr>
              <w:pStyle w:val="null3"/>
            </w:pPr>
            <w:r>
              <w:rPr/>
              <w:t>对磋商文件响应程度</w:t>
            </w:r>
          </w:p>
        </w:tc>
        <w:tc>
          <w:tcPr>
            <w:tcW w:type="dxa" w:w="3322"/>
          </w:tcPr>
          <w:p>
            <w:pPr>
              <w:pStyle w:val="null3"/>
            </w:pPr>
            <w:r>
              <w:rPr/>
              <w:t>符合磋商文件实质性要求的规定</w:t>
            </w:r>
          </w:p>
        </w:tc>
        <w:tc>
          <w:tcPr>
            <w:tcW w:type="dxa" w:w="1661"/>
          </w:tcPr>
          <w:p>
            <w:pPr>
              <w:pStyle w:val="null3"/>
            </w:pPr>
            <w:r>
              <w:rPr/>
              <w:t>服务内容及服务邀请应答表 商务应答表 标的清单 报价表 分项报价明细表 响应函</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符合磋商文件的规定</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权利义务</w:t>
            </w:r>
          </w:p>
        </w:tc>
        <w:tc>
          <w:tcPr>
            <w:tcW w:type="dxa" w:w="3322"/>
          </w:tcPr>
          <w:p>
            <w:pPr>
              <w:pStyle w:val="null3"/>
            </w:pPr>
            <w:r>
              <w:rPr/>
              <w:t>符合磋商文件“政府采购合同格式”条款中实质性要求和条件</w:t>
            </w:r>
          </w:p>
        </w:tc>
        <w:tc>
          <w:tcPr>
            <w:tcW w:type="dxa" w:w="1661"/>
          </w:tcPr>
          <w:p>
            <w:pPr>
              <w:pStyle w:val="null3"/>
            </w:pPr>
            <w:r>
              <w:rPr/>
              <w:t>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详细评审80.0000分</w:t>
            </w:r>
          </w:p>
          <w:p>
            <w:pPr>
              <w:pStyle w:val="null3"/>
            </w:pPr>
            <w:r>
              <w:rPr/>
              <w:t>报价得分20.0000分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文物发掘工作流程及实施方案</w:t>
            </w:r>
          </w:p>
        </w:tc>
        <w:tc>
          <w:tcPr>
            <w:tcW w:type="dxa" w:w="2492"/>
          </w:tcPr>
          <w:p>
            <w:pPr>
              <w:pStyle w:val="null3"/>
            </w:pPr>
            <w:r>
              <w:rPr/>
              <w:t>一、评审内容：供应商针对本项目制定文物发掘工作流程及实施方案，包括但不限于现场勘探、发掘记录、文物修复、资料整理等。 二、评审标准：1.完整性：内容全面，对评审内容中的各项要求有详细描述；2.可实施性：切合本项目实际情况，提出步骤清晰、合理的方案；3.针对性：方案能够紧扣项目实际情况，内容科学合理。 三、赋分标准：（满分12分） ①文物发掘工作流程：此评审项满分6分，每完全满足一条评审标准得2分；针对每条评审标准，如存在不合理的方面扣1分；针对每条评审标准，方案内容与本项目无关或未提供的，得0分。②实施方案：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商务技术资料</w:t>
            </w:r>
          </w:p>
        </w:tc>
      </w:tr>
      <w:tr>
        <w:tc>
          <w:tcPr>
            <w:tcW w:type="dxa" w:w="831"/>
            <w:vMerge/>
          </w:tcPr>
          <w:p/>
        </w:tc>
        <w:tc>
          <w:tcPr>
            <w:tcW w:type="dxa" w:w="1661"/>
          </w:tcPr>
          <w:p>
            <w:pPr>
              <w:pStyle w:val="null3"/>
            </w:pPr>
            <w:r>
              <w:rPr/>
              <w:t>服务质量保证措施</w:t>
            </w:r>
          </w:p>
        </w:tc>
        <w:tc>
          <w:tcPr>
            <w:tcW w:type="dxa" w:w="2492"/>
          </w:tcPr>
          <w:p>
            <w:pPr>
              <w:pStyle w:val="null3"/>
            </w:pPr>
            <w:r>
              <w:rPr/>
              <w:t>一、评审内容：供应商针对本项目制定服务质量保证措施，包括但不限于田野工作、整理工作等。 二、评审标准：1.完整性：内容全面，对评审内容中的各项要求有详细描述；2.可实施性：切合本项目实际情况，提出步骤清晰、合理的方案；3.针对性：方案能够紧扣项目实际情况，内容科学合理。 三、赋分标准：（满分9分） ①田野工作：此评审项满分4.5分，每完全满足一条评审标准得1.5分；针对每条评审标准，如存在不合理的方面扣0.5分；针对每条评审标准，方案内容与本项目无关或未提供的，得0分。②整理工作：此评审项满分4.5分，每完全满足一条评审标准得1.5分；针对每条评审标准，如存在不合理的方面扣0.5分；针对每条评审标准，方案内容与本项目无关或未提供的，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商务技术资料</w:t>
            </w:r>
          </w:p>
        </w:tc>
      </w:tr>
      <w:tr>
        <w:tc>
          <w:tcPr>
            <w:tcW w:type="dxa" w:w="831"/>
            <w:vMerge/>
          </w:tcPr>
          <w:p/>
        </w:tc>
        <w:tc>
          <w:tcPr>
            <w:tcW w:type="dxa" w:w="1661"/>
          </w:tcPr>
          <w:p>
            <w:pPr>
              <w:pStyle w:val="null3"/>
            </w:pPr>
            <w:r>
              <w:rPr/>
              <w:t>进度计划保证措施</w:t>
            </w:r>
          </w:p>
        </w:tc>
        <w:tc>
          <w:tcPr>
            <w:tcW w:type="dxa" w:w="2492"/>
          </w:tcPr>
          <w:p>
            <w:pPr>
              <w:pStyle w:val="null3"/>
            </w:pPr>
            <w:r>
              <w:rPr/>
              <w:t>一、评审内容：供应商针对本项目制定进度计划保证措施，包括但不限于田野工作时限、整理工作时限等。 二、评审标准：1.完整性：内容全面，对评审内容中的各项要求有详细描述；2.可实施性：切合本项目实际情况，提出步骤清晰、合理的方案；3.针对性：方案能够紧扣项目实际情况，内容科学合理。 三、赋分标准：（满分9分） ①田野工作时限：此评审项满分4.5分，每完全满足一条评审标准得1.5分；针对每条评审标准，如存在不合理的方面扣0.5分；针对每条评审标准，方案内容与本项目无关或未提供的，得0分。②整理工作时限：此评审项满分4.5分，每完全满足一条评审标准得1.5分；针对每条评审标准，如存在不合理的方面扣0.5分；针对每条评审标准，方案内容与本项目无关或未提供的，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商务技术资料</w:t>
            </w:r>
          </w:p>
        </w:tc>
      </w:tr>
      <w:tr>
        <w:tc>
          <w:tcPr>
            <w:tcW w:type="dxa" w:w="831"/>
            <w:vMerge/>
          </w:tcPr>
          <w:p/>
        </w:tc>
        <w:tc>
          <w:tcPr>
            <w:tcW w:type="dxa" w:w="1661"/>
          </w:tcPr>
          <w:p>
            <w:pPr>
              <w:pStyle w:val="null3"/>
            </w:pPr>
            <w:r>
              <w:rPr/>
              <w:t>特殊性遗存的解决方案</w:t>
            </w:r>
          </w:p>
        </w:tc>
        <w:tc>
          <w:tcPr>
            <w:tcW w:type="dxa" w:w="2492"/>
          </w:tcPr>
          <w:p>
            <w:pPr>
              <w:pStyle w:val="null3"/>
            </w:pPr>
            <w:r>
              <w:rPr/>
              <w:t>一、评审内容：根据本项目的实际情况，提出有针对性的特殊性遗存（例如大型墓葬、壁画墓、车马坑、有机类文物（如漆器）、青铜器、金银器等）分析及解决方案。 二、评审标准：1.完整性：内容全面，对评审内容中的各项要求有详细描述；2.可实施性：切合本项目实际情况，提出步骤清晰、合理的方案；3.针对性：方案能够紧扣项目实际情况，内容科学合理。 三、赋分标准：（满分9分） ①特殊性遗存的分析：此评审项满分4.5分，每完全满足一条评审标准得1.5分；针对每条评审标准，如存在不合理的方面扣0.5分；针对每条评审标准，方案内容与本项目无关或未提供的，得0分。②特殊性遗存的解决方案：此评审项满分4.5分，每完全满足一条评审标准得1.5分；针对每条评审标准，如存在不合理的方面扣0.5分；针对每条评审标准，方案内容与本项目无关或未提供的，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商务技术资料</w:t>
            </w:r>
          </w:p>
        </w:tc>
      </w:tr>
      <w:tr>
        <w:tc>
          <w:tcPr>
            <w:tcW w:type="dxa" w:w="831"/>
            <w:vMerge/>
          </w:tcPr>
          <w:p/>
        </w:tc>
        <w:tc>
          <w:tcPr>
            <w:tcW w:type="dxa" w:w="1661"/>
          </w:tcPr>
          <w:p>
            <w:pPr>
              <w:pStyle w:val="null3"/>
            </w:pPr>
            <w:r>
              <w:rPr/>
              <w:t>安全保障方案</w:t>
            </w:r>
          </w:p>
        </w:tc>
        <w:tc>
          <w:tcPr>
            <w:tcW w:type="dxa" w:w="2492"/>
          </w:tcPr>
          <w:p>
            <w:pPr>
              <w:pStyle w:val="null3"/>
            </w:pPr>
            <w:r>
              <w:rPr/>
              <w:t>一、评审内容：供应商针对本项目制定安全保障方案，包括但不限于文物安全保障方案、人身安全保障方案等。 二、评审标准：1.完整性：内容全面，对评审内容中的各项要求有详细描述；2.可实施性：切合本项目实际情况，提出步骤清晰、合理的方案；3.针对性：方案能够紧扣项目实际情况，内容科学合理。 三、赋分标准：（满分12分） ①文物安全保障方案：此评审项满分6分，每完全满足一条评审标准得2分；针对每条评审标准，如存在不合理的方面扣1分；针对每条评审标准，方案内容与本项目无关或未提供的，得0分。②人身安全保障方案：此评审项满分6分，每完全满足一条评审标准得2分；针对每条评审标准，如存在不合理的方面扣1分；针对每条评审标准，方案内容与本项目无关或未提供的，得0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商务技术资料</w:t>
            </w:r>
          </w:p>
        </w:tc>
      </w:tr>
      <w:tr>
        <w:tc>
          <w:tcPr>
            <w:tcW w:type="dxa" w:w="831"/>
            <w:vMerge/>
          </w:tcPr>
          <w:p/>
        </w:tc>
        <w:tc>
          <w:tcPr>
            <w:tcW w:type="dxa" w:w="1661"/>
          </w:tcPr>
          <w:p>
            <w:pPr>
              <w:pStyle w:val="null3"/>
            </w:pPr>
            <w:r>
              <w:rPr/>
              <w:t>拟投入本项目人员</w:t>
            </w:r>
          </w:p>
        </w:tc>
        <w:tc>
          <w:tcPr>
            <w:tcW w:type="dxa" w:w="2492"/>
          </w:tcPr>
          <w:p>
            <w:pPr>
              <w:pStyle w:val="null3"/>
            </w:pPr>
            <w:r>
              <w:rPr/>
              <w:t>一、评审内容：供应商针对本项目有专业的服务团队，包括但不限于①项目负责人②技术人员③工程人员④安全人员⑤后勤人员等。 二、赋分标准：（满分10分） 评审内容中各项人员配备数量充足，组织结构合理，人员分工明确，各专业配置齐全，完全满足项目实施需求得10分；人员配备数量充足，专业人员配备能够基本满足项目实施需要，分工有一定的合理性，基本能满足项目需求得7分；人员配备数量较充足、专业配置基本能够满足项目实施需要但分工不明确得4分；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商务技术资料</w:t>
            </w:r>
          </w:p>
        </w:tc>
      </w:tr>
      <w:tr>
        <w:tc>
          <w:tcPr>
            <w:tcW w:type="dxa" w:w="831"/>
            <w:vMerge/>
          </w:tcPr>
          <w:p/>
        </w:tc>
        <w:tc>
          <w:tcPr>
            <w:tcW w:type="dxa" w:w="1661"/>
          </w:tcPr>
          <w:p>
            <w:pPr>
              <w:pStyle w:val="null3"/>
            </w:pPr>
            <w:r>
              <w:rPr/>
              <w:t>业绩</w:t>
            </w:r>
          </w:p>
        </w:tc>
        <w:tc>
          <w:tcPr>
            <w:tcW w:type="dxa" w:w="2492"/>
          </w:tcPr>
          <w:p>
            <w:pPr>
              <w:pStyle w:val="null3"/>
            </w:pPr>
            <w:r>
              <w:rPr/>
              <w:t>一、评审内容：提供供应商2021年1月1日至今类似项目的业绩证明（时间以合同签订时间为准）。 二、赋分标准：（满分10分） 一个业绩得2分，最高10分。供应商需提供完整的业绩合同复印件并加盖公章，未按照要求提供不得分。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商务技术资料</w:t>
            </w:r>
          </w:p>
        </w:tc>
      </w:tr>
      <w:tr>
        <w:tc>
          <w:tcPr>
            <w:tcW w:type="dxa" w:w="831"/>
            <w:vMerge/>
          </w:tcPr>
          <w:p/>
        </w:tc>
        <w:tc>
          <w:tcPr>
            <w:tcW w:type="dxa" w:w="1661"/>
          </w:tcPr>
          <w:p>
            <w:pPr>
              <w:pStyle w:val="null3"/>
            </w:pPr>
            <w:r>
              <w:rPr/>
              <w:t>服务承诺</w:t>
            </w:r>
          </w:p>
        </w:tc>
        <w:tc>
          <w:tcPr>
            <w:tcW w:type="dxa" w:w="2492"/>
          </w:tcPr>
          <w:p>
            <w:pPr>
              <w:pStyle w:val="null3"/>
            </w:pPr>
            <w:r>
              <w:rPr/>
              <w:t>一、评审内容：供应商针对本项目提供服务承诺，包括但不限于①对田野工作的进度、时限、施工现场安全、文物安全、人身安全等做出承诺。②对发掘资料整理时限、成果文件的质量、服务质量等做出承诺。③对服务时限内团队稳定性、人员到位情况等做出承诺。 二、评审标准：1.完整性：内容全面，对评审内容中的各项要求有详细描述；2.可实施性：切合本项目实际情况，提出步骤清晰、合理的方案；3.针对性：方案能够紧扣项目实际情况，内容科学合理。 三、赋分标准：（满分9分） ①对田野工作的进度、时限、施工现场安全、文物安全、人身安全等做出承诺：此评审项满分3分，每完全满足一条评审标准得1分；针对每条评审标准，如存在不合理的方面扣0.5分；针对每条评审标准，方案内容与本项目无关或未提供的，得0分。②对发掘资料整理时限、成果文件的质量、服务质量等做出承诺：此评审项满分3分，每完全满足一条评审标准得1分；针对每条评审标准，如存在不合理的方面扣0.5分；针对每条评审标准，方案内容与本项目无关或未提供的，得0分。③对服务时限内团队稳定性、人员到位情况等做出承诺：此评审项满分3分，每完全满足一条评审标准得1分；针对每条评审标准，如存在不合理的方面扣0.5分；针对每条评审标准，方案内容与本项目无关或未提供的，得0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商务技术资料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按照财政部财库[2014]214号文件第二十四条和财库[2020]46号文件的规定，采用低价优先法计算，以本次满足磋商文件要求的最低磋商评审价为磋商基准价，其价格为满分。供应商的价格分，统一按照下列公式计算： 磋商评审价=最后报价×（1-报价扣除幅度） 最后报价得分=(磋商基准价／最后报价)×100×20%</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分项报价明细表</w:t>
            </w:r>
          </w:p>
          <w:p>
            <w:pPr>
              <w:pStyle w:val="null3"/>
            </w:pPr>
            <w:r>
              <w:rPr/>
              <w:t>中小企业声明函</w:t>
            </w:r>
          </w:p>
          <w:p>
            <w:pPr>
              <w:pStyle w:val="null3"/>
            </w:pPr>
            <w:r>
              <w:rPr/>
              <w:t>残疾人福利性单位声明函</w:t>
            </w:r>
          </w:p>
          <w:p>
            <w:pPr>
              <w:pStyle w:val="null3"/>
            </w:pPr>
            <w:r>
              <w:rPr/>
              <w:t>监狱企业的证明文件</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详见附件：分项报价明细表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详见附件：商务技术资料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