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呼吸神经肌肉刺激仪采购</w:t>
      </w:r>
    </w:p>
    <w:p>
      <w:pPr>
        <w:pStyle w:val="null3"/>
        <w:jc w:val="center"/>
        <w:outlineLvl w:val="2"/>
      </w:pPr>
      <w:r>
        <w:rPr>
          <w:sz w:val="28"/>
          <w:b/>
        </w:rPr>
        <w:t>采购项目编号：</w:t>
      </w:r>
      <w:r>
        <w:rPr>
          <w:sz w:val="28"/>
          <w:b/>
        </w:rPr>
        <w:t>LZBB2024-1894</w:t>
      </w:r>
      <w:r>
        <w:br/>
      </w:r>
      <w:r>
        <w:br/>
      </w:r>
      <w:r>
        <w:br/>
      </w:r>
    </w:p>
    <w:p>
      <w:pPr>
        <w:pStyle w:val="null3"/>
        <w:jc w:val="center"/>
        <w:outlineLvl w:val="2"/>
      </w:pPr>
      <w:r>
        <w:rPr>
          <w:sz w:val="28"/>
          <w:b/>
        </w:rPr>
        <w:t>西安市胸科医院</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2024年12月24日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龙寰项目管理咨询有限公司</w:t>
      </w:r>
      <w:r>
        <w:rPr/>
        <w:t>（以下简称“代理机构”）受</w:t>
      </w:r>
      <w:r>
        <w:rPr/>
        <w:t>西安市胸科医院</w:t>
      </w:r>
      <w:r>
        <w:rPr/>
        <w:t>委托，拟对</w:t>
      </w:r>
      <w:r>
        <w:rPr/>
        <w:t>呼吸神经肌肉刺激仪采购</w:t>
      </w:r>
      <w:r>
        <w:rPr/>
        <w:t>采用竞争性磋商采购方式进行采购，兹邀请供应商参加本项目的竞争性磋商。</w:t>
      </w:r>
    </w:p>
    <w:p>
      <w:pPr>
        <w:pStyle w:val="null3"/>
        <w:outlineLvl w:val="2"/>
      </w:pPr>
      <w:r>
        <w:rPr>
          <w:sz w:val="28"/>
          <w:b/>
        </w:rPr>
        <w:t>一、项目编号：</w:t>
      </w:r>
      <w:r>
        <w:rPr>
          <w:sz w:val="28"/>
          <w:b/>
        </w:rPr>
        <w:t>LZBB2024-1894</w:t>
      </w:r>
    </w:p>
    <w:p>
      <w:pPr>
        <w:pStyle w:val="null3"/>
        <w:outlineLvl w:val="2"/>
      </w:pPr>
      <w:r>
        <w:rPr>
          <w:sz w:val="28"/>
          <w:b/>
        </w:rPr>
        <w:t>二、项目名称：</w:t>
      </w:r>
      <w:r>
        <w:rPr>
          <w:sz w:val="28"/>
          <w:b/>
        </w:rPr>
        <w:t>呼吸神经肌肉刺激仪采购</w:t>
      </w:r>
    </w:p>
    <w:p>
      <w:pPr>
        <w:pStyle w:val="null3"/>
        <w:outlineLvl w:val="2"/>
      </w:pPr>
      <w:r>
        <w:rPr>
          <w:sz w:val="28"/>
          <w:b/>
        </w:rPr>
        <w:t>三、磋商项目简介</w:t>
      </w:r>
    </w:p>
    <w:p>
      <w:pPr>
        <w:pStyle w:val="null3"/>
        <w:ind w:firstLine="480"/>
      </w:pPr>
      <w:r>
        <w:rPr/>
        <w:t>呼吸神经肌肉刺激仪采购</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1、营业执照等主体资格证明文件：提供合格有效的法人或者其他组织的营业执照等证明文件，自然人的身份证明</w:t>
      </w:r>
    </w:p>
    <w:p>
      <w:pPr>
        <w:pStyle w:val="null3"/>
      </w:pPr>
      <w:r>
        <w:rPr/>
        <w:t>2、财务状况报告：提供具有经审计资质单位出具的2023年度的财务审计报告；或财政部门认可的政府采购专业担保机构出具的投标担保函；或其开标前六个月内基本存款账户开户银行出具的资信证明。（以上形式的资料提供任何一种即可）</w:t>
      </w:r>
    </w:p>
    <w:p>
      <w:pPr>
        <w:pStyle w:val="null3"/>
      </w:pPr>
      <w:r>
        <w:rPr/>
        <w:t>3、税收缴纳证明：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p>
      <w:pPr>
        <w:pStyle w:val="null3"/>
      </w:pPr>
      <w:r>
        <w:rPr/>
        <w:t>4、社保缴纳证明：提供首次磋商响应文件递交截止时间前1年内任意时段的社会保障资金缴存单据或社保机构开具的社会保险参保缴费情况证明，依法不需要缴纳社会保障资金的单位应提供相关证明材料</w:t>
      </w:r>
    </w:p>
    <w:p>
      <w:pPr>
        <w:pStyle w:val="null3"/>
      </w:pPr>
      <w:r>
        <w:rPr/>
        <w:t>5、履行合同承诺函：提供具有履行合同所必需的设备和专业技术能力的承诺</w:t>
      </w:r>
    </w:p>
    <w:p>
      <w:pPr>
        <w:pStyle w:val="null3"/>
      </w:pPr>
      <w:r>
        <w:rPr/>
        <w:t>6、无重大违法记录书面声明：参加政府采购活动前3年内，在经营活动中没有重大违法记录的书面声明</w:t>
      </w:r>
    </w:p>
    <w:p>
      <w:pPr>
        <w:pStyle w:val="null3"/>
      </w:pPr>
      <w:r>
        <w:rPr/>
        <w:t>7、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pPr>
        <w:pStyle w:val="null3"/>
      </w:pPr>
      <w:r>
        <w:rPr/>
        <w:t>8、信用记录：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t>9、控股管理关系：单位负责人为同一人或者存在直接控股、管理关系的供应商，不得参加同一合同下的政府采购活动</w:t>
      </w:r>
    </w:p>
    <w:p>
      <w:pPr>
        <w:pStyle w:val="null3"/>
      </w:pPr>
      <w:r>
        <w:rPr/>
        <w:t>10、供应商书面声明：供应商未为本项目提供整体设计、规范编制或者项目管理、监理、检测等服务的书面声明</w:t>
      </w:r>
    </w:p>
    <w:p>
      <w:pPr>
        <w:pStyle w:val="null3"/>
      </w:pPr>
      <w:r>
        <w:rPr/>
        <w:t>11、供应商资质要求：1）所投产品纳入医疗器械管理的，提供医疗器械经营许可证或医疗器械经营备案凭证；2）所投产品纳入医疗器械管理的，提供医疗器械注册证或医疗器械备案凭证；3）投标产品纳入医疗器械管理的，提供投标产品制造商的营业执照、医疗器械生产许可证或医疗器械生产备案凭证</w:t>
      </w:r>
    </w:p>
    <w:p>
      <w:pPr>
        <w:pStyle w:val="null3"/>
      </w:pPr>
      <w:r>
        <w:rPr/>
        <w:t>12、承诺书：采购人职工及其配偶、直系亲属投资开办或在相关企业担任高管、独立董事等有重大利益关系职务的相关供应商，不得参与磋商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西安市胸科医院</w:t>
      </w:r>
    </w:p>
    <w:p>
      <w:pPr>
        <w:pStyle w:val="null3"/>
      </w:pPr>
      <w:r>
        <w:rPr/>
        <w:t xml:space="preserve"> 地址： </w:t>
      </w:r>
      <w:r>
        <w:rPr/>
        <w:t>航天大道东段</w:t>
      </w:r>
    </w:p>
    <w:p>
      <w:pPr>
        <w:pStyle w:val="null3"/>
      </w:pPr>
      <w:r>
        <w:rPr/>
        <w:t xml:space="preserve"> 邮编： </w:t>
      </w:r>
      <w:r>
        <w:rPr/>
        <w:t>710000</w:t>
      </w:r>
    </w:p>
    <w:p>
      <w:pPr>
        <w:pStyle w:val="null3"/>
      </w:pPr>
      <w:r>
        <w:rPr/>
        <w:t xml:space="preserve"> 联系人： </w:t>
      </w:r>
      <w:r>
        <w:rPr/>
        <w:t>郝丽丽</w:t>
      </w:r>
    </w:p>
    <w:p>
      <w:pPr>
        <w:pStyle w:val="null3"/>
      </w:pPr>
      <w:r>
        <w:rPr/>
        <w:t xml:space="preserve"> 联系电话： </w:t>
      </w:r>
      <w:r>
        <w:rPr/>
        <w:t>029062500115</w:t>
      </w:r>
    </w:p>
    <w:p>
      <w:pPr>
        <w:pStyle w:val="null3"/>
        <w:outlineLvl w:val="3"/>
      </w:pPr>
      <w:r>
        <w:rPr>
          <w:sz w:val="24"/>
          <w:b/>
        </w:rPr>
        <w:t>代理机构：</w:t>
      </w:r>
      <w:r>
        <w:rPr>
          <w:sz w:val="24"/>
          <w:b/>
        </w:rPr>
        <w:t>龙寰项目管理咨询有限公司</w:t>
      </w:r>
    </w:p>
    <w:p>
      <w:pPr>
        <w:pStyle w:val="null3"/>
      </w:pPr>
      <w:r>
        <w:rPr/>
        <w:t xml:space="preserve"> 地址： </w:t>
      </w:r>
      <w:r>
        <w:rPr/>
        <w:t>西安市太白南路181号西部电子社区A座A区501室</w:t>
      </w:r>
    </w:p>
    <w:p>
      <w:pPr>
        <w:pStyle w:val="null3"/>
      </w:pPr>
      <w:r>
        <w:rPr/>
        <w:t xml:space="preserve"> 邮编： </w:t>
      </w:r>
      <w:r>
        <w:rPr/>
        <w:t>710000</w:t>
      </w:r>
    </w:p>
    <w:p>
      <w:pPr>
        <w:pStyle w:val="null3"/>
      </w:pPr>
      <w:r>
        <w:rPr/>
        <w:t xml:space="preserve"> 联系人： </w:t>
      </w:r>
      <w:r>
        <w:rPr/>
        <w:t>高维、安力、张波</w:t>
      </w:r>
    </w:p>
    <w:p>
      <w:pPr>
        <w:pStyle w:val="null3"/>
      </w:pPr>
      <w:r>
        <w:rPr/>
        <w:t xml:space="preserve"> 联系电话： </w:t>
      </w:r>
      <w:r>
        <w:rPr/>
        <w:t>029-88228899-625</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说明：乙方应当在合同签订后5个工作日内，按照供货合同总金额的5%作为履约保证金交付给甲方。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和改革委员会办公厅颁发的《关于招标代理服务收费有关问题的通知》（发改办价格[2003]857号）的有关规定标准下浮20%收取。 招标代理服务费公布方式：代理服务费金额将在成交公告中明确，成交单位在领取成交通知书前，须向采购代理机构一次性支付招标代理服务费。 户 名：龙寰项目管理咨询有限公司 开户行：平安银行西安高新路支行 账 号：30201278015968 请成交供应商按照要求将服务费汇入以上指定账户，如因自身原因发生错误，产生的不利后果均由供应商自行承担。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西安市胸科医院</w:t>
      </w:r>
      <w:r>
        <w:rPr/>
        <w:t>和</w:t>
      </w:r>
      <w:r>
        <w:rPr/>
        <w:t>龙寰项目管理咨询有限公司</w:t>
      </w:r>
      <w:r>
        <w:rPr/>
        <w:t>享有。对磋商文件中供应商参加本次政府采购活动应当具备的条件，磋商项目技术、服务、商务及其他要求，评审细则及标准由</w:t>
      </w:r>
      <w:r>
        <w:rPr/>
        <w:t>西安市胸科医院</w:t>
      </w:r>
      <w:r>
        <w:rPr/>
        <w:t>负责解释。除上述磋商文件内容，其他内容由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具体详见合同要求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龙寰项目管理咨询有限公司</w:t>
      </w:r>
      <w:r>
        <w:rPr/>
        <w:t xml:space="preserve"> 负责答复；供应商对采购过程的询问、质疑由</w:t>
      </w:r>
      <w:r>
        <w:rPr/>
        <w:t>龙寰项目管理咨询有限公司</w:t>
      </w:r>
      <w:r>
        <w:rPr/>
        <w:t xml:space="preserve"> 负责答复；供应商对采购结果的询问、质疑由 </w:t>
      </w:r>
      <w:r>
        <w:rPr/>
        <w:t>龙寰项目管理咨询有限公司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联系人：高维、安力、张波</w:t>
      </w:r>
    </w:p>
    <w:p>
      <w:pPr>
        <w:pStyle w:val="null3"/>
      </w:pPr>
      <w:r>
        <w:rPr/>
        <w:t>联系电话：029-88228899-625</w:t>
      </w:r>
    </w:p>
    <w:p>
      <w:pPr>
        <w:pStyle w:val="null3"/>
      </w:pPr>
      <w:r>
        <w:rPr/>
        <w:t>地址：西安市太白南路181号西部电子社区A座A区501</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呼吸神经肌肉刺激仪采购</w:t>
      </w:r>
    </w:p>
    <w:p>
      <w:pPr>
        <w:pStyle w:val="null3"/>
        <w:outlineLvl w:val="2"/>
      </w:pPr>
      <w:r>
        <w:rPr>
          <w:sz w:val="28"/>
          <w:b/>
        </w:rPr>
        <w:t>3.2采购内容</w:t>
      </w:r>
    </w:p>
    <w:p>
      <w:pPr>
        <w:pStyle w:val="null3"/>
      </w:pPr>
      <w:r>
        <w:rPr/>
        <w:t>采购包1：</w:t>
      </w:r>
    </w:p>
    <w:p>
      <w:pPr>
        <w:pStyle w:val="null3"/>
      </w:pPr>
      <w:r>
        <w:rPr/>
        <w:t>采购包预算金额（元）: 400,000.00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呼吸神经刺激仪</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标的名称：呼吸神经刺激仪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一、总体要求</w:t>
            </w:r>
          </w:p>
          <w:p>
            <w:pPr>
              <w:pStyle w:val="null3"/>
            </w:pPr>
            <w:r>
              <w:rPr>
                <w:rFonts w:ascii="calibri" w:hAnsi="calibri" w:cs="calibri" w:eastAsia="calibri"/>
              </w:rPr>
              <w:t>1</w:t>
            </w:r>
            <w:r>
              <w:rPr>
                <w:rFonts w:ascii="宋体" w:hAnsi="宋体" w:cs="宋体" w:eastAsia="宋体"/>
              </w:rPr>
              <w:t>、设备名称：呼吸神经肌肉刺激仪</w:t>
            </w:r>
          </w:p>
          <w:p>
            <w:pPr>
              <w:pStyle w:val="null3"/>
            </w:pPr>
            <w:r>
              <w:rPr>
                <w:rFonts w:ascii="calibri" w:hAnsi="calibri" w:cs="calibri" w:eastAsia="calibri"/>
              </w:rPr>
              <w:t>2</w:t>
            </w:r>
            <w:r>
              <w:rPr>
                <w:rFonts w:ascii="宋体" w:hAnsi="宋体" w:cs="宋体" w:eastAsia="宋体"/>
              </w:rPr>
              <w:t>、数量</w:t>
            </w:r>
            <w:r>
              <w:rPr>
                <w:rFonts w:ascii="calibri" w:hAnsi="calibri" w:cs="calibri" w:eastAsia="calibri"/>
              </w:rPr>
              <w:t>1</w:t>
            </w:r>
            <w:r>
              <w:rPr>
                <w:rFonts w:ascii="宋体" w:hAnsi="宋体" w:cs="宋体" w:eastAsia="宋体"/>
              </w:rPr>
              <w:t>套，含便携机</w:t>
            </w:r>
            <w:r>
              <w:rPr>
                <w:rFonts w:ascii="calibri" w:hAnsi="calibri" w:cs="calibri" w:eastAsia="calibri"/>
              </w:rPr>
              <w:t>2</w:t>
            </w:r>
            <w:r>
              <w:rPr>
                <w:rFonts w:ascii="宋体" w:hAnsi="宋体" w:cs="宋体" w:eastAsia="宋体"/>
              </w:rPr>
              <w:t>台。</w:t>
            </w:r>
          </w:p>
          <w:p>
            <w:pPr>
              <w:pStyle w:val="null3"/>
            </w:pP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、注册证标注产品适用范围需包括以下功能，用于慢性阻塞性肺疾病稳定期、慢性呼吸衰竭、机械通气患者撤机前和撤机后的康复辅助治疗</w:t>
            </w:r>
            <w:r>
              <w:rPr>
                <w:rFonts w:ascii="宋体" w:hAnsi="宋体" w:cs="宋体" w:eastAsia="宋体"/>
                <w:sz w:val="21"/>
              </w:rPr>
              <w:t>。</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rPr>
              <w:t>二、技术参数</w:t>
            </w:r>
          </w:p>
          <w:p>
            <w:pPr>
              <w:pStyle w:val="null3"/>
            </w:pPr>
            <w:r>
              <w:rPr>
                <w:rFonts w:ascii="calibri" w:hAnsi="calibri" w:cs="calibri" w:eastAsia="calibri"/>
              </w:rPr>
              <w:t>1</w:t>
            </w:r>
            <w:r>
              <w:rPr>
                <w:rFonts w:ascii="宋体" w:hAnsi="宋体" w:cs="宋体" w:eastAsia="宋体"/>
              </w:rPr>
              <w:t>、能同时对膈神经和腹肌进行闭环式电刺激训练；</w:t>
            </w:r>
          </w:p>
          <w:p>
            <w:pPr>
              <w:pStyle w:val="null3"/>
            </w:pPr>
            <w:r>
              <w:rPr>
                <w:rFonts w:ascii="calibri" w:hAnsi="calibri" w:cs="calibri" w:eastAsia="calibri"/>
              </w:rPr>
              <w:t>2</w:t>
            </w:r>
            <w:r>
              <w:rPr>
                <w:rFonts w:ascii="宋体" w:hAnsi="宋体" w:cs="宋体" w:eastAsia="宋体"/>
              </w:rPr>
              <w:t>、膈肌和腹肌独立的通道数≥</w:t>
            </w:r>
            <w:r>
              <w:rPr>
                <w:rFonts w:ascii="calibri" w:hAnsi="calibri" w:cs="calibri" w:eastAsia="calibri"/>
              </w:rPr>
              <w:t>6</w:t>
            </w:r>
            <w:r>
              <w:rPr>
                <w:rFonts w:ascii="宋体" w:hAnsi="宋体" w:cs="宋体" w:eastAsia="宋体"/>
              </w:rPr>
              <w:t>，可根据需要选择不同通道的电刺激；</w:t>
            </w:r>
          </w:p>
          <w:p>
            <w:pPr>
              <w:pStyle w:val="null3"/>
            </w:pPr>
            <w:r>
              <w:rPr>
                <w:rFonts w:ascii="calibri" w:hAnsi="calibri" w:cs="calibri" w:eastAsia="calibri"/>
              </w:rPr>
              <w:t>3</w:t>
            </w:r>
            <w:r>
              <w:rPr>
                <w:rFonts w:ascii="宋体" w:hAnsi="宋体" w:cs="宋体" w:eastAsia="宋体"/>
              </w:rPr>
              <w:t>、能记录患者每次治疗参数，可查询调取</w:t>
            </w:r>
            <w:r>
              <w:rPr>
                <w:rFonts w:ascii="calibri" w:hAnsi="calibri" w:cs="calibri" w:eastAsia="calibri"/>
              </w:rPr>
              <w:t>1</w:t>
            </w:r>
            <w:r>
              <w:rPr>
                <w:rFonts w:ascii="宋体" w:hAnsi="宋体" w:cs="宋体" w:eastAsia="宋体"/>
              </w:rPr>
              <w:t>年的</w:t>
            </w:r>
            <w:r>
              <w:rPr>
                <w:rFonts w:ascii="宋体" w:hAnsi="宋体" w:cs="宋体" w:eastAsia="宋体"/>
              </w:rPr>
              <w:t>历史记录；</w:t>
            </w:r>
          </w:p>
          <w:p>
            <w:pPr>
              <w:pStyle w:val="null3"/>
            </w:pPr>
            <w:r>
              <w:rPr>
                <w:rFonts w:ascii="calibri" w:hAnsi="calibri" w:cs="calibri" w:eastAsia="calibri"/>
              </w:rPr>
              <w:t>4</w:t>
            </w:r>
            <w:r>
              <w:rPr>
                <w:rFonts w:ascii="宋体" w:hAnsi="宋体" w:cs="宋体" w:eastAsia="宋体"/>
              </w:rPr>
              <w:t>、能根据患者的呼气和吸气节奏，个性化设置呼吸参数：</w:t>
            </w:r>
          </w:p>
          <w:p>
            <w:pPr>
              <w:pStyle w:val="null3"/>
            </w:pPr>
            <w:r>
              <w:rPr>
                <w:rFonts w:ascii="calibri" w:hAnsi="calibri" w:cs="calibri" w:eastAsia="calibri"/>
              </w:rPr>
              <w:t>4.1</w:t>
            </w:r>
            <w:r>
              <w:rPr>
                <w:rFonts w:ascii="宋体" w:hAnsi="宋体" w:cs="宋体" w:eastAsia="宋体"/>
              </w:rPr>
              <w:t>治疗时间调节范围：</w:t>
            </w:r>
            <w:r>
              <w:rPr>
                <w:rFonts w:ascii="calibri" w:hAnsi="calibri" w:cs="calibri" w:eastAsia="calibri"/>
              </w:rPr>
              <w:t>1</w:t>
            </w:r>
            <w:r>
              <w:rPr>
                <w:rFonts w:ascii="宋体" w:hAnsi="宋体" w:cs="宋体" w:eastAsia="宋体"/>
              </w:rPr>
              <w:t>～</w:t>
            </w:r>
            <w:r>
              <w:rPr>
                <w:rFonts w:ascii="calibri" w:hAnsi="calibri" w:cs="calibri" w:eastAsia="calibri"/>
              </w:rPr>
              <w:t>30 min</w:t>
            </w:r>
            <w:r>
              <w:rPr>
                <w:rFonts w:ascii="宋体" w:hAnsi="宋体" w:cs="宋体" w:eastAsia="宋体"/>
              </w:rPr>
              <w:t>：</w:t>
            </w:r>
          </w:p>
          <w:p>
            <w:pPr>
              <w:pStyle w:val="null3"/>
            </w:pPr>
            <w:r>
              <w:rPr>
                <w:rFonts w:ascii="calibri" w:hAnsi="calibri" w:cs="calibri" w:eastAsia="calibri"/>
              </w:rPr>
              <w:t>4.2</w:t>
            </w:r>
            <w:r>
              <w:rPr>
                <w:rFonts w:ascii="宋体" w:hAnsi="宋体" w:cs="宋体" w:eastAsia="宋体"/>
              </w:rPr>
              <w:t>呼吸频率调节范围：</w:t>
            </w:r>
            <w:r>
              <w:rPr>
                <w:rFonts w:ascii="calibri" w:hAnsi="calibri" w:cs="calibri" w:eastAsia="calibri"/>
              </w:rPr>
              <w:t>5</w:t>
            </w:r>
            <w:r>
              <w:rPr>
                <w:rFonts w:ascii="宋体" w:hAnsi="宋体" w:cs="宋体" w:eastAsia="宋体"/>
              </w:rPr>
              <w:t>～</w:t>
            </w:r>
            <w:r>
              <w:rPr>
                <w:rFonts w:ascii="calibri" w:hAnsi="calibri" w:cs="calibri" w:eastAsia="calibri"/>
              </w:rPr>
              <w:t>40</w:t>
            </w:r>
            <w:r>
              <w:rPr>
                <w:rFonts w:ascii="宋体" w:hAnsi="宋体" w:cs="宋体" w:eastAsia="宋体"/>
              </w:rPr>
              <w:t>次</w:t>
            </w:r>
            <w:r>
              <w:rPr>
                <w:rFonts w:ascii="calibri" w:hAnsi="calibri" w:cs="calibri" w:eastAsia="calibri"/>
              </w:rPr>
              <w:t>/ min</w:t>
            </w:r>
            <w:r>
              <w:rPr>
                <w:rFonts w:ascii="宋体" w:hAnsi="宋体" w:cs="宋体" w:eastAsia="宋体"/>
              </w:rPr>
              <w:t>；</w:t>
            </w:r>
          </w:p>
          <w:p>
            <w:pPr>
              <w:pStyle w:val="null3"/>
            </w:pPr>
            <w:r>
              <w:rPr>
                <w:rFonts w:ascii="calibri" w:hAnsi="calibri" w:cs="calibri" w:eastAsia="calibri"/>
              </w:rPr>
              <w:t>4.3</w:t>
            </w:r>
            <w:r>
              <w:rPr>
                <w:rFonts w:ascii="宋体" w:hAnsi="宋体" w:cs="宋体" w:eastAsia="宋体"/>
              </w:rPr>
              <w:t>脉冲重复频率调节范围：</w:t>
            </w:r>
            <w:r>
              <w:rPr>
                <w:rFonts w:ascii="calibri" w:hAnsi="calibri" w:cs="calibri" w:eastAsia="calibri"/>
              </w:rPr>
              <w:t>20</w:t>
            </w:r>
            <w:r>
              <w:rPr>
                <w:rFonts w:ascii="宋体" w:hAnsi="宋体" w:cs="宋体" w:eastAsia="宋体"/>
              </w:rPr>
              <w:t>～</w:t>
            </w:r>
            <w:r>
              <w:rPr>
                <w:rFonts w:ascii="calibri" w:hAnsi="calibri" w:cs="calibri" w:eastAsia="calibri"/>
              </w:rPr>
              <w:t>100 Hz</w:t>
            </w:r>
            <w:r>
              <w:rPr>
                <w:rFonts w:ascii="宋体" w:hAnsi="宋体" w:cs="宋体" w:eastAsia="宋体"/>
              </w:rPr>
              <w:t>；</w:t>
            </w:r>
          </w:p>
          <w:p>
            <w:pPr>
              <w:pStyle w:val="null3"/>
            </w:pPr>
            <w:r>
              <w:rPr>
                <w:rFonts w:ascii="calibri" w:hAnsi="calibri" w:cs="calibri" w:eastAsia="calibri"/>
              </w:rPr>
              <w:t>4.4</w:t>
            </w:r>
            <w:r>
              <w:rPr>
                <w:rFonts w:ascii="宋体" w:hAnsi="宋体" w:cs="宋体" w:eastAsia="宋体"/>
              </w:rPr>
              <w:t>电流幅度</w:t>
            </w:r>
          </w:p>
          <w:p>
            <w:pPr>
              <w:pStyle w:val="null3"/>
            </w:pPr>
            <w:r>
              <w:rPr>
                <w:rFonts w:ascii="calibri" w:hAnsi="calibri" w:cs="calibri" w:eastAsia="calibri"/>
              </w:rPr>
              <w:t xml:space="preserve">4.4.1 </w:t>
            </w:r>
            <w:r>
              <w:rPr>
                <w:rFonts w:ascii="宋体" w:hAnsi="宋体" w:cs="宋体" w:eastAsia="宋体"/>
              </w:rPr>
              <w:t>膈肌模块刺激电流幅度：</w:t>
            </w:r>
          </w:p>
          <w:p>
            <w:pPr>
              <w:pStyle w:val="null3"/>
            </w:pPr>
            <w:r>
              <w:rPr>
                <w:rFonts w:ascii="宋体" w:hAnsi="宋体" w:cs="宋体" w:eastAsia="宋体"/>
              </w:rPr>
              <w:t>正向调节范围：</w:t>
            </w:r>
            <w:r>
              <w:rPr>
                <w:rFonts w:ascii="calibri" w:hAnsi="calibri" w:cs="calibri" w:eastAsia="calibri"/>
              </w:rPr>
              <w:t>1</w:t>
            </w:r>
            <w:r>
              <w:rPr>
                <w:rFonts w:ascii="宋体" w:hAnsi="宋体" w:cs="宋体" w:eastAsia="宋体"/>
              </w:rPr>
              <w:t>～</w:t>
            </w:r>
            <w:r>
              <w:rPr>
                <w:rFonts w:ascii="calibri" w:hAnsi="calibri" w:cs="calibri" w:eastAsia="calibri"/>
              </w:rPr>
              <w:t>100 mA</w:t>
            </w:r>
            <w:r>
              <w:rPr>
                <w:rFonts w:ascii="宋体" w:hAnsi="宋体" w:cs="宋体" w:eastAsia="宋体"/>
              </w:rPr>
              <w:t>；</w:t>
            </w:r>
          </w:p>
          <w:p>
            <w:pPr>
              <w:pStyle w:val="null3"/>
            </w:pPr>
            <w:r>
              <w:rPr>
                <w:rFonts w:ascii="宋体" w:hAnsi="宋体" w:cs="宋体" w:eastAsia="宋体"/>
              </w:rPr>
              <w:t>负向调节范围：</w:t>
            </w:r>
            <w:r>
              <w:rPr>
                <w:rFonts w:ascii="calibri" w:hAnsi="calibri" w:cs="calibri" w:eastAsia="calibri"/>
              </w:rPr>
              <w:t>0.</w:t>
            </w:r>
            <w:r>
              <w:rPr>
                <w:rFonts w:ascii="calibri" w:hAnsi="calibri" w:cs="calibri" w:eastAsia="calibri"/>
              </w:rPr>
              <w:t>30</w:t>
            </w:r>
            <w:r>
              <w:rPr>
                <w:rFonts w:ascii="宋体" w:hAnsi="宋体" w:cs="宋体" w:eastAsia="宋体"/>
              </w:rPr>
              <w:t>～</w:t>
            </w:r>
            <w:r>
              <w:rPr>
                <w:rFonts w:ascii="calibri" w:hAnsi="calibri" w:cs="calibri" w:eastAsia="calibri"/>
              </w:rPr>
              <w:t>2</w:t>
            </w:r>
            <w:r>
              <w:rPr>
                <w:rFonts w:ascii="calibri" w:hAnsi="calibri" w:cs="calibri" w:eastAsia="calibri"/>
              </w:rPr>
              <w:t>5</w:t>
            </w:r>
            <w:r>
              <w:rPr>
                <w:rFonts w:ascii="宋体" w:hAnsi="宋体" w:cs="宋体" w:eastAsia="宋体"/>
              </w:rPr>
              <w:t xml:space="preserve"> </w:t>
            </w:r>
            <w:r>
              <w:rPr>
                <w:rFonts w:ascii="calibri" w:hAnsi="calibri" w:cs="calibri" w:eastAsia="calibri"/>
              </w:rPr>
              <w:t>mA</w:t>
            </w:r>
            <w:r>
              <w:rPr>
                <w:rFonts w:ascii="宋体" w:hAnsi="宋体" w:cs="宋体" w:eastAsia="宋体"/>
              </w:rPr>
              <w:t>；</w:t>
            </w:r>
          </w:p>
          <w:p>
            <w:pPr>
              <w:pStyle w:val="null3"/>
            </w:pPr>
            <w:r>
              <w:rPr>
                <w:rFonts w:ascii="calibri" w:hAnsi="calibri" w:cs="calibri" w:eastAsia="calibri"/>
              </w:rPr>
              <w:t>4.4.2</w:t>
            </w:r>
            <w:r>
              <w:rPr>
                <w:rFonts w:ascii="宋体" w:hAnsi="宋体" w:cs="宋体" w:eastAsia="宋体"/>
              </w:rPr>
              <w:t>腹肌模块刺激电流幅度：</w:t>
            </w:r>
          </w:p>
          <w:p>
            <w:pPr>
              <w:pStyle w:val="null3"/>
            </w:pPr>
            <w:r>
              <w:rPr>
                <w:rFonts w:ascii="宋体" w:hAnsi="宋体" w:cs="宋体" w:eastAsia="宋体"/>
              </w:rPr>
              <w:t>正向调节范围：</w:t>
            </w:r>
            <w:r>
              <w:rPr>
                <w:rFonts w:ascii="calibri" w:hAnsi="calibri" w:cs="calibri" w:eastAsia="calibri"/>
              </w:rPr>
              <w:t>1</w:t>
            </w:r>
            <w:r>
              <w:rPr>
                <w:rFonts w:ascii="宋体" w:hAnsi="宋体" w:cs="宋体" w:eastAsia="宋体"/>
              </w:rPr>
              <w:t>～</w:t>
            </w:r>
            <w:r>
              <w:rPr>
                <w:rFonts w:ascii="calibri" w:hAnsi="calibri" w:cs="calibri" w:eastAsia="calibri"/>
              </w:rPr>
              <w:t>100 mA</w:t>
            </w:r>
            <w:r>
              <w:rPr>
                <w:rFonts w:ascii="宋体" w:hAnsi="宋体" w:cs="宋体" w:eastAsia="宋体"/>
              </w:rPr>
              <w:t>；</w:t>
            </w:r>
          </w:p>
          <w:p>
            <w:pPr>
              <w:pStyle w:val="null3"/>
            </w:pPr>
            <w:r>
              <w:rPr>
                <w:rFonts w:ascii="宋体" w:hAnsi="宋体" w:cs="宋体" w:eastAsia="宋体"/>
              </w:rPr>
              <w:t>负向调节范围：</w:t>
            </w:r>
            <w:r>
              <w:rPr>
                <w:rFonts w:ascii="calibri" w:hAnsi="calibri" w:cs="calibri" w:eastAsia="calibri"/>
              </w:rPr>
              <w:t>1</w:t>
            </w:r>
            <w:r>
              <w:rPr>
                <w:rFonts w:ascii="宋体" w:hAnsi="宋体" w:cs="宋体" w:eastAsia="宋体"/>
              </w:rPr>
              <w:t>～</w:t>
            </w:r>
            <w:r>
              <w:rPr>
                <w:rFonts w:ascii="calibri" w:hAnsi="calibri" w:cs="calibri" w:eastAsia="calibri"/>
              </w:rPr>
              <w:t>100 mA</w:t>
            </w:r>
            <w:r>
              <w:rPr>
                <w:rFonts w:ascii="宋体" w:hAnsi="宋体" w:cs="宋体" w:eastAsia="宋体"/>
              </w:rPr>
              <w:t>；</w:t>
            </w:r>
          </w:p>
          <w:p>
            <w:pPr>
              <w:pStyle w:val="null3"/>
            </w:pPr>
            <w:r>
              <w:rPr>
                <w:rFonts w:ascii="calibri" w:hAnsi="calibri" w:cs="calibri" w:eastAsia="calibri"/>
              </w:rPr>
              <w:t>4.5</w:t>
            </w:r>
            <w:r>
              <w:rPr>
                <w:rFonts w:ascii="宋体" w:hAnsi="宋体" w:cs="宋体" w:eastAsia="宋体"/>
              </w:rPr>
              <w:t>刺激时间</w:t>
            </w:r>
          </w:p>
          <w:p>
            <w:pPr>
              <w:pStyle w:val="null3"/>
            </w:pPr>
            <w:r>
              <w:rPr>
                <w:rFonts w:ascii="calibri" w:hAnsi="calibri" w:cs="calibri" w:eastAsia="calibri"/>
              </w:rPr>
              <w:t xml:space="preserve">4.5.1 </w:t>
            </w:r>
            <w:r>
              <w:rPr>
                <w:rFonts w:ascii="宋体" w:hAnsi="宋体" w:cs="宋体" w:eastAsia="宋体"/>
              </w:rPr>
              <w:t xml:space="preserve">膈肌模块刺激时间调节范围： </w:t>
            </w:r>
            <w:r>
              <w:rPr>
                <w:rFonts w:ascii="calibri" w:hAnsi="calibri" w:cs="calibri" w:eastAsia="calibri"/>
              </w:rPr>
              <w:t>0.7</w:t>
            </w:r>
            <w:r>
              <w:rPr>
                <w:rFonts w:ascii="宋体" w:hAnsi="宋体" w:cs="宋体" w:eastAsia="宋体"/>
              </w:rPr>
              <w:t>～</w:t>
            </w:r>
            <w:r>
              <w:rPr>
                <w:rFonts w:ascii="calibri" w:hAnsi="calibri" w:cs="calibri" w:eastAsia="calibri"/>
              </w:rPr>
              <w:t>2 s</w:t>
            </w:r>
            <w:r>
              <w:rPr>
                <w:rFonts w:ascii="宋体" w:hAnsi="宋体" w:cs="宋体" w:eastAsia="宋体"/>
              </w:rPr>
              <w:t>；</w:t>
            </w:r>
          </w:p>
          <w:p>
            <w:pPr>
              <w:pStyle w:val="null3"/>
            </w:pPr>
            <w:r>
              <w:rPr>
                <w:rFonts w:ascii="calibri" w:hAnsi="calibri" w:cs="calibri" w:eastAsia="calibri"/>
              </w:rPr>
              <w:t xml:space="preserve">4.5.2 </w:t>
            </w:r>
            <w:r>
              <w:rPr>
                <w:rFonts w:ascii="宋体" w:hAnsi="宋体" w:cs="宋体" w:eastAsia="宋体"/>
              </w:rPr>
              <w:t xml:space="preserve">腹肌模块刺激时间调节范围： </w:t>
            </w:r>
            <w:r>
              <w:rPr>
                <w:rFonts w:ascii="calibri" w:hAnsi="calibri" w:cs="calibri" w:eastAsia="calibri"/>
              </w:rPr>
              <w:t>0.7</w:t>
            </w:r>
            <w:r>
              <w:rPr>
                <w:rFonts w:ascii="宋体" w:hAnsi="宋体" w:cs="宋体" w:eastAsia="宋体"/>
              </w:rPr>
              <w:t>～</w:t>
            </w:r>
            <w:r>
              <w:rPr>
                <w:rFonts w:ascii="calibri" w:hAnsi="calibri" w:cs="calibri" w:eastAsia="calibri"/>
              </w:rPr>
              <w:t>2 s</w:t>
            </w:r>
            <w:r>
              <w:rPr>
                <w:rFonts w:ascii="宋体" w:hAnsi="宋体" w:cs="宋体" w:eastAsia="宋体"/>
              </w:rPr>
              <w:t>；</w:t>
            </w:r>
          </w:p>
          <w:p>
            <w:pPr>
              <w:pStyle w:val="null3"/>
            </w:pPr>
            <w:r>
              <w:rPr>
                <w:rFonts w:ascii="calibri" w:hAnsi="calibri" w:cs="calibri" w:eastAsia="calibri"/>
              </w:rPr>
              <w:t xml:space="preserve">4.6 </w:t>
            </w:r>
            <w:r>
              <w:rPr>
                <w:rFonts w:ascii="宋体" w:hAnsi="宋体" w:cs="宋体" w:eastAsia="宋体"/>
              </w:rPr>
              <w:t>吸气时间调节范围：</w:t>
            </w:r>
            <w:r>
              <w:rPr>
                <w:rFonts w:ascii="calibri" w:hAnsi="calibri" w:cs="calibri" w:eastAsia="calibri"/>
              </w:rPr>
              <w:t>0.7</w:t>
            </w:r>
            <w:r>
              <w:rPr>
                <w:rFonts w:ascii="宋体" w:hAnsi="宋体" w:cs="宋体" w:eastAsia="宋体"/>
              </w:rPr>
              <w:t>～</w:t>
            </w:r>
            <w:r>
              <w:rPr>
                <w:rFonts w:ascii="calibri" w:hAnsi="calibri" w:cs="calibri" w:eastAsia="calibri"/>
              </w:rPr>
              <w:t>5 s</w:t>
            </w:r>
            <w:r>
              <w:rPr>
                <w:rFonts w:ascii="宋体" w:hAnsi="宋体" w:cs="宋体" w:eastAsia="宋体"/>
              </w:rPr>
              <w:t>；</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rFonts w:ascii="宋体" w:hAnsi="宋体" w:cs="宋体" w:eastAsia="宋体"/>
                <w:sz w:val="21"/>
              </w:rPr>
              <w:t>★</w:t>
            </w:r>
            <w:r>
              <w:rPr>
                <w:rFonts w:ascii="calibri" w:hAnsi="calibri" w:cs="calibri" w:eastAsia="calibri"/>
              </w:rPr>
              <w:t>4.7</w:t>
            </w:r>
            <w:r>
              <w:rPr>
                <w:rFonts w:ascii="宋体" w:hAnsi="宋体" w:cs="宋体" w:eastAsia="宋体"/>
              </w:rPr>
              <w:t>具有</w:t>
            </w:r>
            <w:r>
              <w:rPr>
                <w:rFonts w:ascii="宋体" w:hAnsi="宋体" w:cs="宋体" w:eastAsia="宋体"/>
              </w:rPr>
              <w:t>呼吸实时同步</w:t>
            </w:r>
            <w:r>
              <w:rPr>
                <w:rFonts w:ascii="宋体" w:hAnsi="宋体" w:cs="宋体" w:eastAsia="宋体"/>
              </w:rPr>
              <w:t>功能</w:t>
            </w:r>
            <w:r>
              <w:rPr>
                <w:rFonts w:ascii="宋体" w:hAnsi="宋体" w:cs="宋体" w:eastAsia="宋体"/>
              </w:rPr>
              <w:t>。</w:t>
            </w:r>
          </w:p>
        </w:tc>
      </w:tr>
      <w:tr>
        <w:tc>
          <w:tcPr>
            <w:tcW w:type="dxa" w:w="2769"/>
          </w:tcPr>
          <w:p/>
        </w:tc>
        <w:tc>
          <w:tcPr>
            <w:tcW w:type="dxa" w:w="2769"/>
          </w:tcPr>
          <w:p>
            <w:pPr>
              <w:pStyle w:val="null3"/>
            </w:pPr>
            <w:r>
              <w:rPr/>
              <w:t>5</w:t>
            </w:r>
          </w:p>
        </w:tc>
        <w:tc>
          <w:tcPr>
            <w:tcW w:type="dxa" w:w="2769"/>
          </w:tcPr>
          <w:p>
            <w:pPr>
              <w:pStyle w:val="null3"/>
            </w:pPr>
            <w:r>
              <w:rPr>
                <w:rFonts w:ascii="calibri" w:hAnsi="calibri" w:cs="calibri" w:eastAsia="calibri"/>
              </w:rPr>
              <w:t>5</w:t>
            </w:r>
            <w:r>
              <w:rPr>
                <w:rFonts w:ascii="宋体" w:hAnsi="宋体" w:cs="宋体" w:eastAsia="宋体"/>
              </w:rPr>
              <w:t>、治疗过程中语音提示功能</w:t>
            </w:r>
          </w:p>
        </w:tc>
      </w:tr>
      <w:tr>
        <w:tc>
          <w:tcPr>
            <w:tcW w:type="dxa" w:w="2769"/>
          </w:tcPr>
          <w:p>
            <w:pPr>
              <w:pStyle w:val="null3"/>
            </w:pPr>
            <w:r>
              <w:rPr/>
              <w:t>★</w:t>
            </w:r>
          </w:p>
        </w:tc>
        <w:tc>
          <w:tcPr>
            <w:tcW w:type="dxa" w:w="2769"/>
          </w:tcPr>
          <w:p>
            <w:pPr>
              <w:pStyle w:val="null3"/>
            </w:pPr>
            <w:r>
              <w:rPr/>
              <w:t>6</w:t>
            </w:r>
          </w:p>
        </w:tc>
        <w:tc>
          <w:tcPr>
            <w:tcW w:type="dxa" w:w="2769"/>
          </w:tcPr>
          <w:p>
            <w:pPr>
              <w:pStyle w:val="null3"/>
            </w:pPr>
            <w:r>
              <w:rPr>
                <w:rFonts w:ascii="宋体" w:hAnsi="宋体" w:cs="宋体" w:eastAsia="宋体"/>
                <w:sz w:val="21"/>
              </w:rPr>
              <w:t>★</w:t>
            </w:r>
            <w:r>
              <w:rPr>
                <w:rFonts w:ascii="calibri" w:hAnsi="calibri" w:cs="calibri" w:eastAsia="calibri"/>
              </w:rPr>
              <w:t>5.1</w:t>
            </w:r>
            <w:r>
              <w:rPr>
                <w:rFonts w:ascii="宋体" w:hAnsi="宋体" w:cs="宋体" w:eastAsia="宋体"/>
              </w:rPr>
              <w:t>膈肌模块输出时，具有指示灯及“吸气”语音提示；</w:t>
            </w:r>
          </w:p>
          <w:p>
            <w:pPr>
              <w:pStyle w:val="null3"/>
            </w:pPr>
            <w:r>
              <w:rPr>
                <w:rFonts w:ascii="宋体" w:hAnsi="宋体" w:cs="宋体" w:eastAsia="宋体"/>
                <w:sz w:val="21"/>
              </w:rPr>
              <w:t>★</w:t>
            </w:r>
            <w:r>
              <w:rPr>
                <w:rFonts w:ascii="calibri" w:hAnsi="calibri" w:cs="calibri" w:eastAsia="calibri"/>
              </w:rPr>
              <w:t>5.2</w:t>
            </w:r>
            <w:r>
              <w:rPr>
                <w:rFonts w:ascii="宋体" w:hAnsi="宋体" w:cs="宋体" w:eastAsia="宋体"/>
              </w:rPr>
              <w:t>腹肌模块输出时，具有指示灯及“呼气”语音提示；</w:t>
            </w:r>
          </w:p>
        </w:tc>
      </w:tr>
      <w:tr>
        <w:tc>
          <w:tcPr>
            <w:tcW w:type="dxa" w:w="2769"/>
          </w:tcPr>
          <w:p/>
        </w:tc>
        <w:tc>
          <w:tcPr>
            <w:tcW w:type="dxa" w:w="2769"/>
          </w:tcPr>
          <w:p>
            <w:pPr>
              <w:pStyle w:val="null3"/>
            </w:pPr>
            <w:r>
              <w:rPr/>
              <w:t>7</w:t>
            </w:r>
          </w:p>
        </w:tc>
        <w:tc>
          <w:tcPr>
            <w:tcW w:type="dxa" w:w="2769"/>
          </w:tcPr>
          <w:p>
            <w:pPr>
              <w:pStyle w:val="null3"/>
              <w:jc w:val="both"/>
            </w:pPr>
            <w:r>
              <w:rPr>
                <w:rFonts w:ascii="calibri" w:hAnsi="calibri" w:cs="calibri" w:eastAsia="calibri"/>
                <w:sz w:val="21"/>
              </w:rPr>
              <w:t>5.3</w:t>
            </w:r>
            <w:r>
              <w:rPr>
                <w:rFonts w:ascii="宋体" w:hAnsi="宋体" w:cs="宋体" w:eastAsia="宋体"/>
                <w:sz w:val="21"/>
              </w:rPr>
              <w:t>语音音量的强度在</w:t>
            </w:r>
            <w:r>
              <w:rPr>
                <w:rFonts w:ascii="calibri" w:hAnsi="calibri" w:cs="calibri" w:eastAsia="calibri"/>
                <w:sz w:val="21"/>
              </w:rPr>
              <w:t>0</w:t>
            </w:r>
            <w:r>
              <w:rPr>
                <w:rFonts w:ascii="宋体" w:hAnsi="宋体" w:cs="宋体" w:eastAsia="宋体"/>
                <w:sz w:val="21"/>
              </w:rPr>
              <w:t>～</w:t>
            </w:r>
            <w:r>
              <w:rPr>
                <w:rFonts w:ascii="calibri" w:hAnsi="calibri" w:cs="calibri" w:eastAsia="calibri"/>
                <w:sz w:val="21"/>
              </w:rPr>
              <w:t>100%</w:t>
            </w:r>
            <w:r>
              <w:rPr>
                <w:rFonts w:ascii="宋体" w:hAnsi="宋体" w:cs="宋体" w:eastAsia="宋体"/>
                <w:sz w:val="21"/>
              </w:rPr>
              <w:t>可调节</w:t>
            </w:r>
            <w:r>
              <w:rPr>
                <w:rFonts w:ascii="宋体" w:hAnsi="宋体" w:cs="宋体" w:eastAsia="宋体"/>
                <w:sz w:val="21"/>
              </w:rPr>
              <w:t>，具有</w:t>
            </w:r>
            <w:r>
              <w:rPr>
                <w:rFonts w:ascii="宋体" w:hAnsi="宋体" w:cs="宋体" w:eastAsia="宋体"/>
                <w:sz w:val="22"/>
              </w:rPr>
              <w:t>连续性</w:t>
            </w:r>
          </w:p>
        </w:tc>
      </w:tr>
      <w:tr>
        <w:tc>
          <w:tcPr>
            <w:tcW w:type="dxa" w:w="2769"/>
          </w:tcPr>
          <w:p>
            <w:pPr>
              <w:pStyle w:val="null3"/>
            </w:pPr>
            <w:r>
              <w:rPr/>
              <w:t>★</w:t>
            </w:r>
          </w:p>
        </w:tc>
        <w:tc>
          <w:tcPr>
            <w:tcW w:type="dxa" w:w="2769"/>
          </w:tcPr>
          <w:p>
            <w:pPr>
              <w:pStyle w:val="null3"/>
            </w:pPr>
            <w:r>
              <w:rPr/>
              <w:t>8</w:t>
            </w:r>
          </w:p>
        </w:tc>
        <w:tc>
          <w:tcPr>
            <w:tcW w:type="dxa" w:w="2769"/>
          </w:tcPr>
          <w:p>
            <w:pPr>
              <w:pStyle w:val="null3"/>
            </w:pPr>
            <w:r>
              <w:rPr>
                <w:rFonts w:ascii="宋体" w:hAnsi="宋体" w:cs="宋体" w:eastAsia="宋体"/>
                <w:sz w:val="21"/>
              </w:rPr>
              <w:t>★</w:t>
            </w:r>
            <w:r>
              <w:rPr>
                <w:rFonts w:ascii="calibri" w:hAnsi="calibri" w:cs="calibri" w:eastAsia="calibri"/>
              </w:rPr>
              <w:t>6</w:t>
            </w:r>
            <w:r>
              <w:rPr>
                <w:rFonts w:ascii="宋体" w:hAnsi="宋体" w:cs="宋体" w:eastAsia="宋体"/>
              </w:rPr>
              <w:t>、便携手提式设计；</w:t>
            </w:r>
          </w:p>
        </w:tc>
      </w:tr>
      <w:tr>
        <w:tc>
          <w:tcPr>
            <w:tcW w:type="dxa" w:w="2769"/>
          </w:tcPr>
          <w:p/>
        </w:tc>
        <w:tc>
          <w:tcPr>
            <w:tcW w:type="dxa" w:w="2769"/>
          </w:tcPr>
          <w:p>
            <w:pPr>
              <w:pStyle w:val="null3"/>
            </w:pPr>
            <w:r>
              <w:rPr/>
              <w:t>9</w:t>
            </w:r>
          </w:p>
        </w:tc>
        <w:tc>
          <w:tcPr>
            <w:tcW w:type="dxa" w:w="2769"/>
          </w:tcPr>
          <w:p>
            <w:pPr>
              <w:pStyle w:val="null3"/>
              <w:jc w:val="both"/>
            </w:pPr>
            <w:r>
              <w:rPr>
                <w:rFonts w:ascii="calibri" w:hAnsi="calibri" w:cs="calibri" w:eastAsia="calibri"/>
                <w:sz w:val="21"/>
              </w:rPr>
              <w:t>7</w:t>
            </w:r>
            <w:r>
              <w:rPr>
                <w:rFonts w:ascii="宋体" w:hAnsi="宋体" w:cs="宋体" w:eastAsia="宋体"/>
                <w:sz w:val="21"/>
              </w:rPr>
              <w:t>、配备大容量电池组，屏幕上有电池电量显示，电池充满电后，连续工作时间≥</w:t>
            </w:r>
            <w:r>
              <w:rPr>
                <w:rFonts w:ascii="calibri" w:hAnsi="calibri" w:cs="calibri" w:eastAsia="calibri"/>
                <w:sz w:val="21"/>
              </w:rPr>
              <w:t>4</w:t>
            </w:r>
            <w:r>
              <w:rPr>
                <w:rFonts w:ascii="宋体" w:hAnsi="宋体" w:cs="宋体" w:eastAsia="宋体"/>
                <w:sz w:val="21"/>
              </w:rPr>
              <w:t>小时；</w:t>
            </w:r>
          </w:p>
          <w:p>
            <w:pPr>
              <w:pStyle w:val="null3"/>
            </w:pPr>
            <w:r>
              <w:rPr>
                <w:rFonts w:ascii="宋体" w:hAnsi="宋体" w:cs="宋体" w:eastAsia="宋体"/>
              </w:rPr>
              <w:t>三</w:t>
            </w:r>
            <w:r>
              <w:rPr>
                <w:rFonts w:ascii="宋体" w:hAnsi="宋体" w:cs="宋体" w:eastAsia="宋体"/>
              </w:rPr>
              <w:t>、商务要求</w:t>
            </w:r>
          </w:p>
          <w:p>
            <w:pPr>
              <w:pStyle w:val="null3"/>
            </w:pPr>
            <w:r>
              <w:rPr>
                <w:rFonts w:ascii="calibri" w:hAnsi="calibri" w:cs="calibri" w:eastAsia="calibri"/>
              </w:rPr>
              <w:t>1</w:t>
            </w:r>
            <w:r>
              <w:rPr>
                <w:rFonts w:ascii="宋体" w:hAnsi="宋体" w:cs="宋体" w:eastAsia="宋体"/>
              </w:rPr>
              <w:t>、质保期：设备安装验收合格后开始计算质保期，≥</w:t>
            </w:r>
            <w:r>
              <w:rPr>
                <w:rFonts w:ascii="calibri" w:hAnsi="calibri" w:cs="calibri" w:eastAsia="calibri"/>
              </w:rPr>
              <w:t>3</w:t>
            </w:r>
            <w:r>
              <w:rPr>
                <w:rFonts w:ascii="宋体" w:hAnsi="宋体" w:cs="宋体" w:eastAsia="宋体"/>
              </w:rPr>
              <w:t>年，设备使用期内，提供</w:t>
            </w:r>
            <w:r>
              <w:rPr>
                <w:rFonts w:ascii="calibri" w:hAnsi="calibri" w:cs="calibri" w:eastAsia="calibri"/>
              </w:rPr>
              <w:t>7*24</w:t>
            </w:r>
            <w:r>
              <w:rPr>
                <w:rFonts w:ascii="宋体" w:hAnsi="宋体" w:cs="宋体" w:eastAsia="宋体"/>
              </w:rPr>
              <w:t>小时服务，在接到用户维修要求后</w:t>
            </w:r>
            <w:r>
              <w:rPr>
                <w:rFonts w:ascii="calibri" w:hAnsi="calibri" w:cs="calibri" w:eastAsia="calibri"/>
              </w:rPr>
              <w:t>2</w:t>
            </w:r>
            <w:r>
              <w:rPr>
                <w:rFonts w:ascii="宋体" w:hAnsi="宋体" w:cs="宋体" w:eastAsia="宋体"/>
              </w:rPr>
              <w:t>小时内电话响应，</w:t>
            </w:r>
            <w:r>
              <w:rPr>
                <w:rFonts w:ascii="calibri" w:hAnsi="calibri" w:cs="calibri" w:eastAsia="calibri"/>
              </w:rPr>
              <w:t>8</w:t>
            </w:r>
            <w:r>
              <w:rPr>
                <w:rFonts w:ascii="宋体" w:hAnsi="宋体" w:cs="宋体" w:eastAsia="宋体"/>
              </w:rPr>
              <w:t>小时内到达现场处理，</w:t>
            </w:r>
            <w:r>
              <w:rPr>
                <w:rFonts w:ascii="calibri" w:hAnsi="calibri" w:cs="calibri" w:eastAsia="calibri"/>
              </w:rPr>
              <w:t>24</w:t>
            </w:r>
            <w:r>
              <w:rPr>
                <w:rFonts w:ascii="宋体" w:hAnsi="宋体" w:cs="宋体" w:eastAsia="宋体"/>
              </w:rPr>
              <w:t>小时内维修完成，如</w:t>
            </w:r>
            <w:r>
              <w:rPr>
                <w:rFonts w:ascii="calibri" w:hAnsi="calibri" w:cs="calibri" w:eastAsia="calibri"/>
              </w:rPr>
              <w:t>24</w:t>
            </w:r>
            <w:r>
              <w:rPr>
                <w:rFonts w:ascii="宋体" w:hAnsi="宋体" w:cs="宋体" w:eastAsia="宋体"/>
              </w:rPr>
              <w:t>小时内不能维修好，则在</w:t>
            </w:r>
            <w:r>
              <w:rPr>
                <w:rFonts w:ascii="calibri" w:hAnsi="calibri" w:cs="calibri" w:eastAsia="calibri"/>
              </w:rPr>
              <w:t>72</w:t>
            </w:r>
            <w:r>
              <w:rPr>
                <w:rFonts w:ascii="宋体" w:hAnsi="宋体" w:cs="宋体" w:eastAsia="宋体"/>
              </w:rPr>
              <w:t>小时内提供不低于该型号的备用机。设备终身维修，质保期外零部件供应仅收取配件费，不得收取人工费、差旅交通费等。如同一部件故障两次以上，且两次维修以后同样部位再次故障，需免费更换同型号新机。</w:t>
            </w:r>
          </w:p>
          <w:p>
            <w:pPr>
              <w:pStyle w:val="null3"/>
            </w:pPr>
            <w:r>
              <w:rPr>
                <w:rFonts w:ascii="calibri" w:hAnsi="calibri" w:cs="calibri" w:eastAsia="calibri"/>
              </w:rPr>
              <w:t>2</w:t>
            </w:r>
            <w:r>
              <w:rPr>
                <w:rFonts w:ascii="宋体" w:hAnsi="宋体" w:cs="宋体" w:eastAsia="宋体"/>
              </w:rPr>
              <w:t>、</w:t>
            </w:r>
            <w:r>
              <w:rPr>
                <w:rFonts w:ascii="宋体" w:hAnsi="宋体" w:cs="宋体" w:eastAsia="宋体"/>
              </w:rPr>
              <w:t>供应商在投标文件中提供设备易损件报价和设备适配电极片报价。</w:t>
            </w:r>
          </w:p>
          <w:p>
            <w:pPr>
              <w:pStyle w:val="null3"/>
            </w:pPr>
            <w:r>
              <w:rPr>
                <w:rFonts w:ascii="calibri" w:hAnsi="calibri" w:cs="calibri" w:eastAsia="calibri"/>
              </w:rPr>
              <w:t>3</w:t>
            </w:r>
            <w:r>
              <w:rPr>
                <w:rFonts w:ascii="宋体" w:hAnsi="宋体" w:cs="宋体" w:eastAsia="宋体"/>
              </w:rPr>
              <w:t>、供应商应组织原厂工程师对医院的使用人员、维修人员进行操作培训，确保操作人员能熟练的操作，维修人员能进行日常的维护保养及对一般故障进行维修，送货的同时向医院提供中文版设备操作手册、维修手册、维修密码和软件备份等。</w:t>
            </w:r>
          </w:p>
          <w:p>
            <w:pPr>
              <w:pStyle w:val="null3"/>
            </w:pPr>
            <w:r>
              <w:rPr>
                <w:rFonts w:ascii="calibri" w:hAnsi="calibri" w:cs="calibri" w:eastAsia="calibri"/>
              </w:rPr>
              <w:t>4</w:t>
            </w:r>
            <w:r>
              <w:rPr>
                <w:rFonts w:ascii="宋体" w:hAnsi="宋体" w:cs="宋体" w:eastAsia="宋体"/>
              </w:rPr>
              <w:t>、售后要求：</w:t>
            </w:r>
          </w:p>
          <w:p>
            <w:pPr>
              <w:pStyle w:val="null3"/>
            </w:pPr>
            <w:r>
              <w:rPr>
                <w:rFonts w:ascii="calibri" w:hAnsi="calibri" w:cs="calibri" w:eastAsia="calibri"/>
              </w:rPr>
              <w:t>4.1</w:t>
            </w:r>
            <w:r>
              <w:rPr>
                <w:rFonts w:ascii="宋体" w:hAnsi="宋体" w:cs="宋体" w:eastAsia="宋体"/>
              </w:rPr>
              <w:t>、负责院内信息系统对接；</w:t>
            </w:r>
          </w:p>
          <w:p>
            <w:pPr>
              <w:pStyle w:val="null3"/>
              <w:jc w:val="both"/>
            </w:pPr>
            <w:r>
              <w:rPr>
                <w:rFonts w:ascii="calibri" w:hAnsi="calibri" w:cs="calibri" w:eastAsia="calibri"/>
                <w:sz w:val="21"/>
              </w:rPr>
              <w:t>4.2</w:t>
            </w:r>
            <w:r>
              <w:rPr>
                <w:rFonts w:ascii="宋体" w:hAnsi="宋体" w:cs="宋体" w:eastAsia="宋体"/>
                <w:sz w:val="21"/>
              </w:rPr>
              <w:t>、该产品涉及的软件终身免费升级。</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 7 个日历日内完成安装调试</w:t>
      </w:r>
    </w:p>
    <w:p>
      <w:pPr>
        <w:pStyle w:val="null3"/>
        <w:outlineLvl w:val="3"/>
      </w:pPr>
      <w:r>
        <w:rPr>
          <w:sz w:val="24"/>
          <w:b/>
        </w:rPr>
        <w:t>3.4.2交货地点和方式</w:t>
      </w:r>
    </w:p>
    <w:p>
      <w:pPr>
        <w:pStyle w:val="null3"/>
      </w:pPr>
      <w:r>
        <w:rPr/>
        <w:t>采购包1：</w:t>
      </w:r>
    </w:p>
    <w:p>
      <w:pPr>
        <w:pStyle w:val="null3"/>
      </w:pPr>
      <w:r>
        <w:rPr/>
        <w:t>西安市胸科医院指定地点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货到安装试用期满，符合合同约定的质量标准要求，经产品最终验收合格后 </w:t>
      </w:r>
      <w:r>
        <w:rPr/>
        <w:t xml:space="preserve"> ，达到付款条件起 </w:t>
      </w:r>
      <w:r>
        <w:rPr/>
        <w:t>60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满足采购文件要求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设备安装验收合格后开始计算质保期，≥3年，设备使用期内，提供7*24小时服务，在接到用户维修要求后2小时内电话响应，8小时内到达现场处理，24小时内维修完成，如24小时内不能维修好，则在72小时内提供不低于该型号的备用机。设备终身维修，质保期外零部件供应仅收取配件费，不得收取人工费、差旅交通费等。如同一部件故障两次以上，且两次维修以后同样部位再次故障，需免费更换同型号新机。</w:t>
      </w:r>
    </w:p>
    <w:p>
      <w:pPr>
        <w:pStyle w:val="null3"/>
        <w:outlineLvl w:val="3"/>
      </w:pPr>
      <w:r>
        <w:rPr>
          <w:sz w:val="24"/>
          <w:b/>
        </w:rPr>
        <w:t>3.4.8违约责任与解决争议的方法</w:t>
      </w:r>
    </w:p>
    <w:p>
      <w:pPr>
        <w:pStyle w:val="null3"/>
      </w:pPr>
      <w:r>
        <w:rPr/>
        <w:t>采购包1：</w:t>
      </w:r>
    </w:p>
    <w:p>
      <w:pPr>
        <w:pStyle w:val="null3"/>
      </w:pPr>
      <w:r>
        <w:rPr/>
        <w:t>本合同在履行过程中发生的争议，由甲、乙双方当事人协商解决，协商不成的按下列第二种方式解决： （一）提交西安仲裁委员会仲裁； （二）依法向甲方所在地人民法院起诉。</w:t>
      </w:r>
    </w:p>
    <w:p>
      <w:pPr>
        <w:pStyle w:val="null3"/>
        <w:jc w:val="left"/>
        <w:outlineLvl w:val="2"/>
      </w:pPr>
      <w:r>
        <w:rPr>
          <w:sz w:val="28"/>
          <w:b/>
        </w:rPr>
        <w:t>3.5其他要求</w:t>
      </w:r>
    </w:p>
    <w:p>
      <w:pPr>
        <w:pStyle w:val="null3"/>
      </w:pPr>
      <w:r>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2、款项结算： 以中小企业声明函为准择其一： a.合同签订后，甲方在收到乙方支付的履约保证金后5个工作日内，支付合同总额40%的预付款；货到安装试用期满符合合同约定的质量标准要求，经产品最终验收合格后，60天内支付剩余部分。（用于授予中小企业政府采购合同，残疾人、福利单位视同小微企业）； b.货到安装试用期满，符合合同约定的质量标准要求，经产品最终验收合格后，60天内支付合同总金额100%。 (适用于非授予中小企业政府采购合同)。 3、为顺利推进政府采购电子化交易平台应用工作，供应商需要在线提交所有通过电子化交易平台实施的政府采购项目的响应文件，同时，线下提交纸质响应文件正本壹份、副本两份、电子版壹份（U盘壹份），具体要求详见磋商公告。</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经审计资质单位出具的2023年度的财务审计报告；或财政部门认可的政府采购专业担保机构出具的投标担保函；或其开标前六个月内基本存款账户开户银行出具的资信证明。（以上形式的资料提供任何一种即可）</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提供首次磋商响应文件递交截止时间前1年内任意时段的社会保障资金缴存单据或社保机构开具的社会保险参保缴费情况证明，依法不需要缴纳社会保障资金的单位应提供相关证明材料</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5</w:t>
            </w:r>
          </w:p>
        </w:tc>
        <w:tc>
          <w:tcPr>
            <w:tcW w:type="dxa" w:w="2492"/>
          </w:tcPr>
          <w:p>
            <w:pPr>
              <w:pStyle w:val="null3"/>
            </w:pPr>
            <w:r>
              <w:rPr/>
              <w:t>履行合同承诺函</w:t>
            </w:r>
          </w:p>
        </w:tc>
        <w:tc>
          <w:tcPr>
            <w:tcW w:type="dxa" w:w="3322"/>
          </w:tcPr>
          <w:p>
            <w:pPr>
              <w:pStyle w:val="null3"/>
            </w:pPr>
            <w:r>
              <w:rPr/>
              <w:t>提供具有履行合同所必需的设备和专业技术能力的承诺</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6</w:t>
            </w:r>
          </w:p>
        </w:tc>
        <w:tc>
          <w:tcPr>
            <w:tcW w:type="dxa" w:w="2492"/>
          </w:tcPr>
          <w:p>
            <w:pPr>
              <w:pStyle w:val="null3"/>
            </w:pPr>
            <w:r>
              <w:rPr/>
              <w:t>无重大违法记录书面声明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7</w:t>
            </w:r>
          </w:p>
        </w:tc>
        <w:tc>
          <w:tcPr>
            <w:tcW w:type="dxa" w:w="2492"/>
          </w:tcPr>
          <w:p>
            <w:pPr>
              <w:pStyle w:val="null3"/>
            </w:pPr>
            <w:r>
              <w:rPr/>
              <w:t>法定代表人身份证明/法定代表人授权委托书</w:t>
            </w:r>
          </w:p>
        </w:tc>
        <w:tc>
          <w:tcPr>
            <w:tcW w:type="dxa" w:w="3322"/>
          </w:tcPr>
          <w:p>
            <w:pPr>
              <w:pStyle w:val="null3"/>
            </w:pPr>
            <w:r>
              <w:rPr/>
              <w:t>法定代表人直接参加磋商的，须提供法定代表人身份证明及其身份证电子件或扫描件；法定代表人授权他人参加磋商的，须提供法定代表人授权委托书（附法定代表人、被授权人身份证电子件或扫描件）</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单位负责人为同一人或者存在直接控股、管理关系的供应商，不得参加同一合同下的政府采购活动</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10</w:t>
            </w:r>
          </w:p>
        </w:tc>
        <w:tc>
          <w:tcPr>
            <w:tcW w:type="dxa" w:w="2492"/>
          </w:tcPr>
          <w:p>
            <w:pPr>
              <w:pStyle w:val="null3"/>
            </w:pPr>
            <w:r>
              <w:rPr/>
              <w:t>供应商书面声明</w:t>
            </w:r>
          </w:p>
        </w:tc>
        <w:tc>
          <w:tcPr>
            <w:tcW w:type="dxa" w:w="3322"/>
          </w:tcPr>
          <w:p>
            <w:pPr>
              <w:pStyle w:val="null3"/>
            </w:pPr>
            <w:r>
              <w:rPr/>
              <w:t>供应商未为本项目提供整体设计、规范编制或者项目管理、监理、检测等服务的书面声明</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11</w:t>
            </w:r>
          </w:p>
        </w:tc>
        <w:tc>
          <w:tcPr>
            <w:tcW w:type="dxa" w:w="2492"/>
          </w:tcPr>
          <w:p>
            <w:pPr>
              <w:pStyle w:val="null3"/>
            </w:pPr>
            <w:r>
              <w:rPr/>
              <w:t>供应商资质要求</w:t>
            </w:r>
          </w:p>
        </w:tc>
        <w:tc>
          <w:tcPr>
            <w:tcW w:type="dxa" w:w="3322"/>
          </w:tcPr>
          <w:p>
            <w:pPr>
              <w:pStyle w:val="null3"/>
            </w:pPr>
            <w:r>
              <w:rPr/>
              <w:t>1）所投产品纳入医疗器械管理的，提供医疗器械经营许可证或医疗器械经营备案凭证；2）所投产品纳入医疗器械管理的，提供医疗器械注册证或医疗器械备案凭证；3）投标产品纳入医疗器械管理的，提供投标产品制造商的营业执照、医疗器械生产许可证或医疗器械生产备案凭证</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12</w:t>
            </w:r>
          </w:p>
        </w:tc>
        <w:tc>
          <w:tcPr>
            <w:tcW w:type="dxa" w:w="2492"/>
          </w:tcPr>
          <w:p>
            <w:pPr>
              <w:pStyle w:val="null3"/>
            </w:pPr>
            <w:r>
              <w:rPr/>
              <w:t>承诺书</w:t>
            </w:r>
          </w:p>
        </w:tc>
        <w:tc>
          <w:tcPr>
            <w:tcW w:type="dxa" w:w="3322"/>
          </w:tcPr>
          <w:p>
            <w:pPr>
              <w:pStyle w:val="null3"/>
            </w:pPr>
            <w:r>
              <w:rPr/>
              <w:t>采购人职工及其配偶、直系亲属投资开办或在相关企业担任高管、独立董事等有重大利益关系职务的相关供应商，不得参与磋商</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2</w:t>
            </w:r>
          </w:p>
        </w:tc>
        <w:tc>
          <w:tcPr>
            <w:tcW w:type="dxa" w:w="2492"/>
          </w:tcPr>
          <w:p>
            <w:pPr>
              <w:pStyle w:val="null3"/>
            </w:pPr>
            <w:r>
              <w:rPr/>
              <w:t>竞争性磋商响应文件的签署、盖章</w:t>
            </w:r>
          </w:p>
        </w:tc>
        <w:tc>
          <w:tcPr>
            <w:tcW w:type="dxa" w:w="3322"/>
          </w:tcPr>
          <w:p>
            <w:pPr>
              <w:pStyle w:val="null3"/>
            </w:pPr>
            <w:r>
              <w:rPr/>
              <w:t>符合竞争性磋商文件要求</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4</w:t>
            </w:r>
          </w:p>
        </w:tc>
        <w:tc>
          <w:tcPr>
            <w:tcW w:type="dxa" w:w="2492"/>
          </w:tcPr>
          <w:p>
            <w:pPr>
              <w:pStyle w:val="null3"/>
            </w:pPr>
            <w:r>
              <w:rPr/>
              <w:t>交货期及质保期</w:t>
            </w:r>
          </w:p>
        </w:tc>
        <w:tc>
          <w:tcPr>
            <w:tcW w:type="dxa" w:w="3322"/>
          </w:tcPr>
          <w:p>
            <w:pPr>
              <w:pStyle w:val="null3"/>
            </w:pPr>
            <w:r>
              <w:rPr/>
              <w:t>符合竞争性磋商文件要求</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符合竞争性磋商文件要求</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r>
        <w:tc>
          <w:tcPr>
            <w:tcW w:type="dxa" w:w="831"/>
          </w:tcPr>
          <w:p>
            <w:pPr>
              <w:pStyle w:val="null3"/>
            </w:pPr>
            <w:r>
              <w:rPr/>
              <w:t>6</w:t>
            </w:r>
          </w:p>
        </w:tc>
        <w:tc>
          <w:tcPr>
            <w:tcW w:type="dxa" w:w="2492"/>
          </w:tcPr>
          <w:p>
            <w:pPr>
              <w:pStyle w:val="null3"/>
            </w:pPr>
            <w:r>
              <w:rPr/>
              <w:t>无其他竞争性磋商文件或法律法规明确规定响应无效的事项</w:t>
            </w:r>
          </w:p>
        </w:tc>
        <w:tc>
          <w:tcPr>
            <w:tcW w:type="dxa" w:w="3322"/>
          </w:tcPr>
          <w:p>
            <w:pPr>
              <w:pStyle w:val="null3"/>
            </w:pPr>
            <w:r>
              <w:rPr/>
              <w:t>没有不符合竞争性磋商文件及法律法规规定的被视为无效响应的其他条款，不能有采购人不能接受的附加条件</w:t>
            </w:r>
          </w:p>
        </w:tc>
        <w:tc>
          <w:tcPr>
            <w:tcW w:type="dxa" w:w="1661"/>
          </w:tcPr>
          <w:p>
            <w:pPr>
              <w:pStyle w:val="null3"/>
            </w:pPr>
            <w:r>
              <w:rPr/>
              <w:t>响应文件封面 中小企业声明函 残疾人福利性单位声明函 技术方案 标的清单 符合性证明文件 报价表 响应函 设备易损件和消耗品分项报价表 资格性证明文件 监狱企业的证明文件</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技术指标分关键技术指标（★项）和一般技术指标。完全满足磋商文件要求得15分，关键技术指标（★项）有1项负偏离扣3分，一般技术指标有1项负偏离扣2分，扣完为止，相同产品负偏离不重复扣分。说明：关键技术指标（★项）供应商须提供相关技术指标证明材料予以佐证，若不提供，按负偏离处理。证明材料不限于检测报告、试验报告、产品彩页、厂家出具的技术证明文件、功能截图等，证明材料须呈现相应功能。若未体现，按负偏离处理。供应商自行承担因材料提供不全导致的技术参数评审风险。</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标的清单</w:t>
            </w:r>
          </w:p>
          <w:p>
            <w:pPr>
              <w:pStyle w:val="null3"/>
            </w:pPr>
            <w:r>
              <w:rPr/>
              <w:t>设备易损件和消耗品分项报价表</w:t>
            </w:r>
          </w:p>
          <w:p>
            <w:pPr>
              <w:pStyle w:val="null3"/>
            </w:pPr>
            <w:r>
              <w:rPr/>
              <w:t>符合性证明文件</w:t>
            </w:r>
          </w:p>
          <w:p>
            <w:pPr>
              <w:pStyle w:val="null3"/>
            </w:pPr>
            <w:r>
              <w:rPr/>
              <w:t>技术方案</w:t>
            </w:r>
          </w:p>
        </w:tc>
      </w:tr>
      <w:tr>
        <w:tc>
          <w:tcPr>
            <w:tcW w:type="dxa" w:w="831"/>
            <w:vMerge/>
          </w:tcPr>
          <w:p/>
        </w:tc>
        <w:tc>
          <w:tcPr>
            <w:tcW w:type="dxa" w:w="1661"/>
          </w:tcPr>
          <w:p>
            <w:pPr>
              <w:pStyle w:val="null3"/>
            </w:pPr>
            <w:r>
              <w:rPr/>
              <w:t>产品功能</w:t>
            </w:r>
          </w:p>
        </w:tc>
        <w:tc>
          <w:tcPr>
            <w:tcW w:type="dxa" w:w="2492"/>
          </w:tcPr>
          <w:p>
            <w:pPr>
              <w:pStyle w:val="null3"/>
            </w:pPr>
            <w:r>
              <w:rPr/>
              <w:t>产品配置齐全、选型合理、规格描述详细、技术工艺先进，各部分功能配置合理实用、性能稳定，能够实现建设目标，满足项目需求，得5分；产品配置齐全、选型较合理、规格描述较详细，各部分功能配置较合理，能够实现建设目标，得4分；产品配置齐全、选型基本合理、规格描述基本详细，各部分功能配置基本合理，基本能够实现建设目标，得3分；产品配置齐全、选型不够合理、规格描述不够详细，得2分；产品配置齐全、未进行规格描述得1分；产品配置不齐全或无法实现建设目标，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标的清单</w:t>
            </w:r>
          </w:p>
          <w:p>
            <w:pPr>
              <w:pStyle w:val="null3"/>
            </w:pPr>
            <w:r>
              <w:rPr/>
              <w:t>设备易损件和消耗品分项报价表</w:t>
            </w:r>
          </w:p>
          <w:p>
            <w:pPr>
              <w:pStyle w:val="null3"/>
            </w:pPr>
            <w:r>
              <w:rPr/>
              <w:t>符合性证明文件</w:t>
            </w:r>
          </w:p>
          <w:p>
            <w:pPr>
              <w:pStyle w:val="null3"/>
            </w:pPr>
            <w:r>
              <w:rPr/>
              <w:t>技术方案</w:t>
            </w:r>
          </w:p>
        </w:tc>
      </w:tr>
      <w:tr>
        <w:tc>
          <w:tcPr>
            <w:tcW w:type="dxa" w:w="831"/>
            <w:vMerge/>
          </w:tcPr>
          <w:p/>
        </w:tc>
        <w:tc>
          <w:tcPr>
            <w:tcW w:type="dxa" w:w="1661"/>
          </w:tcPr>
          <w:p>
            <w:pPr>
              <w:pStyle w:val="null3"/>
            </w:pPr>
            <w:r>
              <w:rPr/>
              <w:t>供货、配送、安装、调试方案</w:t>
            </w:r>
          </w:p>
        </w:tc>
        <w:tc>
          <w:tcPr>
            <w:tcW w:type="dxa" w:w="2492"/>
          </w:tcPr>
          <w:p>
            <w:pPr>
              <w:pStyle w:val="null3"/>
            </w:pPr>
            <w:r>
              <w:rPr/>
              <w:t>提供针对本项目的供货、配送、安装、调试方案。 方案全面完整，针对性强，合理可行、可操作性强，完全满足项目实际需求，得5分；方案较全面完整，针对性较强，合理可行、可操作性较强，满足项目实际需求得4分；方案完整，针对性不强，基本合理可行，得3分；方案不够全面完整，没有针对性，得2分；提供方案，方案不可行，得1分；未提供此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标的清单</w:t>
            </w:r>
          </w:p>
          <w:p>
            <w:pPr>
              <w:pStyle w:val="null3"/>
            </w:pPr>
            <w:r>
              <w:rPr/>
              <w:t>设备易损件和消耗品分项报价表</w:t>
            </w:r>
          </w:p>
          <w:p>
            <w:pPr>
              <w:pStyle w:val="null3"/>
            </w:pPr>
            <w:r>
              <w:rPr/>
              <w:t>符合性证明文件</w:t>
            </w:r>
          </w:p>
          <w:p>
            <w:pPr>
              <w:pStyle w:val="null3"/>
            </w:pPr>
            <w:r>
              <w:rPr/>
              <w:t>技术方案</w:t>
            </w:r>
          </w:p>
        </w:tc>
      </w:tr>
      <w:tr>
        <w:tc>
          <w:tcPr>
            <w:tcW w:type="dxa" w:w="831"/>
            <w:vMerge/>
          </w:tcPr>
          <w:p/>
        </w:tc>
        <w:tc>
          <w:tcPr>
            <w:tcW w:type="dxa" w:w="1661"/>
          </w:tcPr>
          <w:p>
            <w:pPr>
              <w:pStyle w:val="null3"/>
            </w:pPr>
            <w:r>
              <w:rPr/>
              <w:t>产品测试、验收措施</w:t>
            </w:r>
          </w:p>
        </w:tc>
        <w:tc>
          <w:tcPr>
            <w:tcW w:type="dxa" w:w="2492"/>
          </w:tcPr>
          <w:p>
            <w:pPr>
              <w:pStyle w:val="null3"/>
            </w:pPr>
            <w:r>
              <w:rPr/>
              <w:t>措施内容专门针对本项目编制，符合项目实际情况及实施要求，内容详尽且涵盖角度全面，合理性和可行性强，能够保障项目顺利实施的，得5分；措施内容能够针对本项目编制，符合项目实际情况及实施要求，内容涵盖角度基本全面，得4分；措施内容基本能够针对本项目编制，基本符合项目实际情况及实施要求，内容涵盖角度略有不全，针对性不强，得3分；具有措施内容，措施内容涵盖角度不全面具备一定可行性，不具备针对性，得2分；具有措施内容但内容未针对本项目，内容空洞宽泛，不具有可行性，得1分；未提供措施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标的清单</w:t>
            </w:r>
          </w:p>
          <w:p>
            <w:pPr>
              <w:pStyle w:val="null3"/>
            </w:pPr>
            <w:r>
              <w:rPr/>
              <w:t>设备易损件和消耗品分项报价表</w:t>
            </w:r>
          </w:p>
          <w:p>
            <w:pPr>
              <w:pStyle w:val="null3"/>
            </w:pPr>
            <w:r>
              <w:rPr/>
              <w:t>符合性证明文件</w:t>
            </w:r>
          </w:p>
          <w:p>
            <w:pPr>
              <w:pStyle w:val="null3"/>
            </w:pPr>
            <w:r>
              <w:rPr/>
              <w:t>技术方案</w:t>
            </w:r>
          </w:p>
        </w:tc>
      </w:tr>
      <w:tr>
        <w:tc>
          <w:tcPr>
            <w:tcW w:type="dxa" w:w="831"/>
            <w:vMerge/>
          </w:tcPr>
          <w:p/>
        </w:tc>
        <w:tc>
          <w:tcPr>
            <w:tcW w:type="dxa" w:w="1661"/>
          </w:tcPr>
          <w:p>
            <w:pPr>
              <w:pStyle w:val="null3"/>
            </w:pPr>
            <w:r>
              <w:rPr/>
              <w:t>进度计划及人员配备</w:t>
            </w:r>
          </w:p>
        </w:tc>
        <w:tc>
          <w:tcPr>
            <w:tcW w:type="dxa" w:w="2492"/>
          </w:tcPr>
          <w:p>
            <w:pPr>
              <w:pStyle w:val="null3"/>
            </w:pPr>
            <w:r>
              <w:rPr/>
              <w:t>供应商提供明确具体的供货（施工）时间、供货（施工）进度计划、到货计划、投入的技术人员专业情况、人员配置情况等方面内容，人员配备具体可行充分满足磋商文件要求，交货时间短于文件要求的得7分；供应商提供的计划及人员配备情况内容基本、进度计划略有拖拉、人员配备略有缺失，基本能够满足需求的得4分；供应商提供的计划及人员配备内容缺失严重，计划内容空洞不符合实际情况人员配备情况难以胜任本项目的得2分；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标的清单</w:t>
            </w:r>
          </w:p>
          <w:p>
            <w:pPr>
              <w:pStyle w:val="null3"/>
            </w:pPr>
            <w:r>
              <w:rPr/>
              <w:t>设备易损件和消耗品分项报价表</w:t>
            </w:r>
          </w:p>
          <w:p>
            <w:pPr>
              <w:pStyle w:val="null3"/>
            </w:pPr>
            <w:r>
              <w:rPr/>
              <w:t>符合性证明文件</w:t>
            </w:r>
          </w:p>
          <w:p>
            <w:pPr>
              <w:pStyle w:val="null3"/>
            </w:pPr>
            <w:r>
              <w:rPr/>
              <w:t>技术方案</w:t>
            </w:r>
          </w:p>
        </w:tc>
      </w:tr>
      <w:tr>
        <w:tc>
          <w:tcPr>
            <w:tcW w:type="dxa" w:w="831"/>
            <w:vMerge/>
          </w:tcPr>
          <w:p/>
        </w:tc>
        <w:tc>
          <w:tcPr>
            <w:tcW w:type="dxa" w:w="1661"/>
          </w:tcPr>
          <w:p>
            <w:pPr>
              <w:pStyle w:val="null3"/>
            </w:pPr>
            <w:r>
              <w:rPr/>
              <w:t>产品渠道及质量保障</w:t>
            </w:r>
          </w:p>
        </w:tc>
        <w:tc>
          <w:tcPr>
            <w:tcW w:type="dxa" w:w="2492"/>
          </w:tcPr>
          <w:p>
            <w:pPr>
              <w:pStyle w:val="null3"/>
            </w:pPr>
            <w:r>
              <w:rPr/>
              <w:t>产品供应渠道正常、质量有保证，具有较好的使用效果，符合国际、国内相关标准及行业要求，出厂检验合格，技术资料齐全。产品的技术证明材料完整、来源渠道正规、质量保证措施完善，质保期限满足或长于文件要求，得8分；产品的技术证明材料基本完整、来源渠道证明文件不完整、质量保证措施略有缺失，得4分；产品技术证明材料不全或质量保证措施不完善，没有针对性，得2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标的清单</w:t>
            </w:r>
          </w:p>
          <w:p>
            <w:pPr>
              <w:pStyle w:val="null3"/>
            </w:pPr>
            <w:r>
              <w:rPr/>
              <w:t>设备易损件和消耗品分项报价表</w:t>
            </w:r>
          </w:p>
          <w:p>
            <w:pPr>
              <w:pStyle w:val="null3"/>
            </w:pPr>
            <w:r>
              <w:rPr/>
              <w:t>符合性证明文件</w:t>
            </w:r>
          </w:p>
          <w:p>
            <w:pPr>
              <w:pStyle w:val="null3"/>
            </w:pPr>
            <w:r>
              <w:rPr/>
              <w:t>技术方案</w:t>
            </w:r>
          </w:p>
        </w:tc>
      </w:tr>
      <w:tr>
        <w:tc>
          <w:tcPr>
            <w:tcW w:type="dxa" w:w="831"/>
            <w:vMerge/>
          </w:tcPr>
          <w:p/>
        </w:tc>
        <w:tc>
          <w:tcPr>
            <w:tcW w:type="dxa" w:w="1661"/>
          </w:tcPr>
          <w:p>
            <w:pPr>
              <w:pStyle w:val="null3"/>
            </w:pPr>
            <w:r>
              <w:rPr/>
              <w:t>售后服务承诺</w:t>
            </w:r>
          </w:p>
        </w:tc>
        <w:tc>
          <w:tcPr>
            <w:tcW w:type="dxa" w:w="2492"/>
          </w:tcPr>
          <w:p>
            <w:pPr>
              <w:pStyle w:val="null3"/>
            </w:pPr>
            <w:r>
              <w:rPr/>
              <w:t>提供可行的售后服务计划、售后服务措施、服务承诺等内容。售后服务计划、售后服务措施、服务承诺全面详细，合理可行、可操作性强，完全满足项目实施需求，得5分；售后服务计划、售后服务措施、服务承诺较详细，较合理可行、可操作性较强，满足项目实施需求，得4分；售后服务计划、售后服务措施、服务承诺基本全面可行、具有一定可操作性，得3分；售后服务计划、售后服务措施、服务承诺不够全面详细，可操作性不强，得2分；提供可行的售后服务计划、售后服务措施、服务承诺等内容但未贴合实际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标的清单</w:t>
            </w:r>
          </w:p>
          <w:p>
            <w:pPr>
              <w:pStyle w:val="null3"/>
            </w:pPr>
            <w:r>
              <w:rPr/>
              <w:t>设备易损件和消耗品分项报价表</w:t>
            </w:r>
          </w:p>
          <w:p>
            <w:pPr>
              <w:pStyle w:val="null3"/>
            </w:pPr>
            <w:r>
              <w:rPr/>
              <w:t>符合性证明文件</w:t>
            </w:r>
          </w:p>
          <w:p>
            <w:pPr>
              <w:pStyle w:val="null3"/>
            </w:pPr>
            <w:r>
              <w:rPr/>
              <w:t>技术方案</w:t>
            </w:r>
          </w:p>
        </w:tc>
      </w:tr>
      <w:tr>
        <w:tc>
          <w:tcPr>
            <w:tcW w:type="dxa" w:w="831"/>
            <w:vMerge/>
          </w:tcPr>
          <w:p/>
        </w:tc>
        <w:tc>
          <w:tcPr>
            <w:tcW w:type="dxa" w:w="1661"/>
          </w:tcPr>
          <w:p>
            <w:pPr>
              <w:pStyle w:val="null3"/>
            </w:pPr>
            <w:r>
              <w:rPr/>
              <w:t>售后服务机构</w:t>
            </w:r>
          </w:p>
        </w:tc>
        <w:tc>
          <w:tcPr>
            <w:tcW w:type="dxa" w:w="2492"/>
          </w:tcPr>
          <w:p>
            <w:pPr>
              <w:pStyle w:val="null3"/>
            </w:pPr>
            <w:r>
              <w:rPr/>
              <w:t>提供制造商售后服务机构证明文件和工程师名单及联系电话。根据制造商服务网点分布列表，网点工程师名单，联系方式等信息及相关资料，信息完整，资料详细，得5分；提供制造商服务网点分布列表，网点工程师名单，联系方式等信息及相关资料，资料相对完整，部分内容有缺失，得3分；制造商服务网点分布列表，网点工程师名单，联系方式等信息及相关资料，信息不完整，资料较少，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标的清单</w:t>
            </w:r>
          </w:p>
          <w:p>
            <w:pPr>
              <w:pStyle w:val="null3"/>
            </w:pPr>
            <w:r>
              <w:rPr/>
              <w:t>设备易损件和消耗品分项报价表</w:t>
            </w:r>
          </w:p>
          <w:p>
            <w:pPr>
              <w:pStyle w:val="null3"/>
            </w:pPr>
            <w:r>
              <w:rPr/>
              <w:t>符合性证明文件</w:t>
            </w:r>
          </w:p>
          <w:p>
            <w:pPr>
              <w:pStyle w:val="null3"/>
            </w:pPr>
            <w:r>
              <w:rPr/>
              <w:t>技术方案</w:t>
            </w:r>
          </w:p>
        </w:tc>
      </w:tr>
      <w:tr>
        <w:tc>
          <w:tcPr>
            <w:tcW w:type="dxa" w:w="831"/>
            <w:vMerge/>
          </w:tcPr>
          <w:p/>
        </w:tc>
        <w:tc>
          <w:tcPr>
            <w:tcW w:type="dxa" w:w="1661"/>
          </w:tcPr>
          <w:p>
            <w:pPr>
              <w:pStyle w:val="null3"/>
            </w:pPr>
            <w:r>
              <w:rPr/>
              <w:t>培训服务方案</w:t>
            </w:r>
          </w:p>
        </w:tc>
        <w:tc>
          <w:tcPr>
            <w:tcW w:type="dxa" w:w="2492"/>
          </w:tcPr>
          <w:p>
            <w:pPr>
              <w:pStyle w:val="null3"/>
            </w:pPr>
            <w:r>
              <w:rPr/>
              <w:t>供应商制定完善的培训服务方案，保证使用单位能熟练操作和正常使用。培训服务方案详细可行，得5分；提供培训服务方案，方案内容基本合理，针对性不强，缺乏可操作性，得3分；提供培训服务方案，方案内容不全，不具备可行性，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标的清单</w:t>
            </w:r>
          </w:p>
          <w:p>
            <w:pPr>
              <w:pStyle w:val="null3"/>
            </w:pPr>
            <w:r>
              <w:rPr/>
              <w:t>设备易损件和消耗品分项报价表</w:t>
            </w:r>
          </w:p>
          <w:p>
            <w:pPr>
              <w:pStyle w:val="null3"/>
            </w:pPr>
            <w:r>
              <w:rPr/>
              <w:t>符合性证明文件</w:t>
            </w:r>
          </w:p>
          <w:p>
            <w:pPr>
              <w:pStyle w:val="null3"/>
            </w:pPr>
            <w:r>
              <w:rPr/>
              <w:t>技术方案</w:t>
            </w:r>
          </w:p>
        </w:tc>
      </w:tr>
      <w:tr>
        <w:tc>
          <w:tcPr>
            <w:tcW w:type="dxa" w:w="831"/>
            <w:vMerge/>
          </w:tcPr>
          <w:p/>
        </w:tc>
        <w:tc>
          <w:tcPr>
            <w:tcW w:type="dxa" w:w="1661"/>
          </w:tcPr>
          <w:p>
            <w:pPr>
              <w:pStyle w:val="null3"/>
            </w:pPr>
            <w:r>
              <w:rPr/>
              <w:t>应急预案</w:t>
            </w:r>
          </w:p>
        </w:tc>
        <w:tc>
          <w:tcPr>
            <w:tcW w:type="dxa" w:w="2492"/>
          </w:tcPr>
          <w:p>
            <w:pPr>
              <w:pStyle w:val="null3"/>
            </w:pPr>
            <w:r>
              <w:rPr/>
              <w:t>提供设备使用期间可能会发生的故障，及故障发生后的响应时间及补救方案。方案中风险故障考虑全面，故障发生后响应时间及时、补救方案合理可行、可操作性强，完全可以保障医院设备的使用需求，得5分；方案中风险故障考虑较全面，故障发生后响应时间及时、补救方案较为合理可行、可操作性较强，得4分；方案中风险故障考虑不够全面，故障发生后能够响应补救但有一定延迟，得3分；方案中风险故障考虑不够全面，故障发生后响应时间不及时得2分；提供应急预案但未贴合实际情况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标的清单</w:t>
            </w:r>
          </w:p>
          <w:p>
            <w:pPr>
              <w:pStyle w:val="null3"/>
            </w:pPr>
            <w:r>
              <w:rPr/>
              <w:t>设备易损件和消耗品分项报价表</w:t>
            </w:r>
          </w:p>
          <w:p>
            <w:pPr>
              <w:pStyle w:val="null3"/>
            </w:pPr>
            <w:r>
              <w:rPr/>
              <w:t>符合性证明文件</w:t>
            </w:r>
          </w:p>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供应商单位提供自2021年1月1日 以来（以合同签订时间为准）类似项目业绩，每提供1份得 2.5分，满分5分。 注：须提供合同 （协议），以 合同（协议）签订时 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标的清单</w:t>
            </w:r>
          </w:p>
          <w:p>
            <w:pPr>
              <w:pStyle w:val="null3"/>
            </w:pPr>
            <w:r>
              <w:rPr/>
              <w:t>设备易损件和消耗品分项报价表</w:t>
            </w:r>
          </w:p>
          <w:p>
            <w:pPr>
              <w:pStyle w:val="null3"/>
            </w:pPr>
            <w:r>
              <w:rPr/>
              <w:t>符合性证明文件</w:t>
            </w:r>
          </w:p>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各有效供应商的评审价中，最终报价最低作为基准价，各有效供应商的价格评分统一按照下列公式计算： 价格评分＝（基准价÷评审价）×价格分分值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响应函</w:t>
            </w:r>
          </w:p>
          <w:p>
            <w:pPr>
              <w:pStyle w:val="null3"/>
            </w:pPr>
            <w:r>
              <w:rPr/>
              <w:t>报价表</w:t>
            </w:r>
          </w:p>
          <w:p>
            <w:pPr>
              <w:pStyle w:val="null3"/>
            </w:pPr>
            <w:r>
              <w:rPr/>
              <w:t>标的清单</w:t>
            </w:r>
          </w:p>
          <w:p>
            <w:pPr>
              <w:pStyle w:val="null3"/>
            </w:pPr>
            <w:r>
              <w:rPr/>
              <w:t>设备易损件和消耗品分项报价表</w:t>
            </w:r>
          </w:p>
          <w:p>
            <w:pPr>
              <w:pStyle w:val="null3"/>
            </w:pPr>
            <w:r>
              <w:rPr/>
              <w:t>符合性证明文件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符合竞争性磋商文件规定的小微企业、监狱企业、残疾人福利企业优惠条件的供应商，价格给予10%的扣除，用扣除后的价格参与评审。</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详见附件：设备易损件和消耗品分项报价表</w:t>
      </w:r>
    </w:p>
    <w:p>
      <w:pPr>
        <w:pStyle w:val="null3"/>
        <w:ind w:firstLine="960"/>
      </w:pPr>
      <w:r>
        <w:rPr/>
        <w:t>详见附件：符合性证明文件</w:t>
      </w:r>
    </w:p>
    <w:p>
      <w:pPr>
        <w:pStyle w:val="null3"/>
        <w:ind w:firstLine="960"/>
      </w:pPr>
      <w:r>
        <w:rPr/>
        <w:t>详见附件：技术方案</w:t>
      </w:r>
    </w:p>
    <w:p>
      <w:pPr>
        <w:pStyle w:val="null3"/>
        <w:ind w:firstLine="960"/>
      </w:pPr>
      <w:r>
        <w:rPr/>
        <w:t>详见附件：资格性证明文件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