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FCDF8">
      <w:pPr>
        <w:spacing w:line="56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项目编号：       </w:t>
      </w:r>
    </w:p>
    <w:p w14:paraId="1C570FE6">
      <w:pPr>
        <w:spacing w:line="480" w:lineRule="auto"/>
        <w:rPr>
          <w:rFonts w:hint="eastAsia" w:ascii="宋体" w:hAnsi="宋体" w:eastAsia="宋体" w:cs="宋体"/>
          <w:color w:val="auto"/>
          <w:sz w:val="52"/>
          <w:szCs w:val="52"/>
          <w:highlight w:val="none"/>
        </w:rPr>
      </w:pPr>
    </w:p>
    <w:p w14:paraId="0A783ACA">
      <w:pPr>
        <w:jc w:val="right"/>
        <w:rPr>
          <w:rFonts w:hint="eastAsia" w:ascii="宋体" w:hAnsi="宋体" w:eastAsia="宋体" w:cs="宋体"/>
          <w:bCs/>
          <w:color w:val="auto"/>
          <w:spacing w:val="-20"/>
          <w:sz w:val="28"/>
          <w:szCs w:val="21"/>
          <w:highlight w:val="none"/>
        </w:rPr>
      </w:pPr>
      <w:r>
        <w:rPr>
          <w:rFonts w:hint="eastAsia" w:ascii="宋体" w:hAnsi="宋体" w:eastAsia="宋体" w:cs="宋体"/>
          <w:b/>
          <w:color w:val="auto"/>
          <w:spacing w:val="-20"/>
          <w:sz w:val="28"/>
          <w:szCs w:val="21"/>
          <w:highlight w:val="none"/>
        </w:rPr>
        <w:t>合同编号：</w:t>
      </w:r>
      <w:r>
        <w:rPr>
          <w:rFonts w:hint="eastAsia" w:ascii="宋体" w:hAnsi="宋体" w:eastAsia="宋体" w:cs="宋体"/>
          <w:bCs/>
          <w:color w:val="auto"/>
          <w:spacing w:val="-20"/>
          <w:sz w:val="28"/>
          <w:szCs w:val="21"/>
          <w:highlight w:val="none"/>
        </w:rPr>
        <w:t>招采货物2024（7）号</w:t>
      </w:r>
    </w:p>
    <w:p w14:paraId="21BC58B7">
      <w:pPr>
        <w:spacing w:line="300" w:lineRule="auto"/>
        <w:jc w:val="both"/>
        <w:rPr>
          <w:rFonts w:hint="eastAsia" w:ascii="宋体" w:hAnsi="宋体" w:eastAsia="宋体" w:cs="宋体"/>
          <w:b/>
          <w:color w:val="auto"/>
          <w:spacing w:val="-20"/>
          <w:sz w:val="28"/>
          <w:szCs w:val="21"/>
          <w:highlight w:val="none"/>
        </w:rPr>
      </w:pPr>
    </w:p>
    <w:p w14:paraId="5DF85779">
      <w:pPr>
        <w:rPr>
          <w:rFonts w:hint="eastAsia" w:ascii="宋体" w:hAnsi="宋体" w:eastAsia="宋体" w:cs="宋体"/>
          <w:color w:val="auto"/>
          <w:sz w:val="28"/>
          <w:szCs w:val="21"/>
          <w:highlight w:val="none"/>
        </w:rPr>
      </w:pPr>
    </w:p>
    <w:p w14:paraId="113C90BE">
      <w:pPr>
        <w:pStyle w:val="5"/>
        <w:ind w:firstLine="560"/>
        <w:rPr>
          <w:rFonts w:hint="eastAsia" w:ascii="宋体" w:hAnsi="宋体" w:eastAsia="宋体" w:cs="宋体"/>
          <w:color w:val="auto"/>
          <w:sz w:val="28"/>
          <w:szCs w:val="21"/>
          <w:highlight w:val="none"/>
        </w:rPr>
      </w:pPr>
    </w:p>
    <w:p w14:paraId="09E0356E">
      <w:pPr>
        <w:spacing w:line="480" w:lineRule="auto"/>
        <w:jc w:val="center"/>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t>供 货 合 同</w:t>
      </w:r>
    </w:p>
    <w:p w14:paraId="0C21114C">
      <w:pPr>
        <w:widowControl/>
        <w:rPr>
          <w:rFonts w:hint="eastAsia" w:ascii="宋体" w:hAnsi="宋体" w:eastAsia="宋体" w:cs="宋体"/>
          <w:color w:val="auto"/>
          <w:sz w:val="28"/>
          <w:szCs w:val="21"/>
          <w:highlight w:val="none"/>
        </w:rPr>
      </w:pPr>
    </w:p>
    <w:p w14:paraId="3CD3FF9E">
      <w:pPr>
        <w:widowControl/>
        <w:jc w:val="center"/>
        <w:rPr>
          <w:rFonts w:hint="eastAsia" w:ascii="宋体" w:hAnsi="宋体" w:eastAsia="宋体" w:cs="宋体"/>
          <w:b/>
          <w:bCs/>
          <w:color w:val="auto"/>
          <w:sz w:val="28"/>
          <w:szCs w:val="21"/>
          <w:highlight w:val="none"/>
          <w:lang w:val="zh-CN"/>
        </w:rPr>
      </w:pPr>
      <w:r>
        <w:rPr>
          <w:rFonts w:hint="eastAsia" w:ascii="宋体" w:hAnsi="宋体" w:eastAsia="宋体" w:cs="宋体"/>
          <w:color w:val="auto"/>
          <w:sz w:val="28"/>
          <w:szCs w:val="21"/>
          <w:highlight w:val="none"/>
        </w:rPr>
        <w:t>（</w:t>
      </w:r>
      <w:r>
        <w:rPr>
          <w:rFonts w:hint="eastAsia" w:ascii="宋体" w:hAnsi="宋体" w:eastAsia="宋体" w:cs="宋体"/>
          <w:b/>
          <w:bCs/>
          <w:color w:val="auto"/>
          <w:sz w:val="28"/>
          <w:szCs w:val="21"/>
          <w:highlight w:val="none"/>
          <w:lang w:val="zh-CN"/>
        </w:rPr>
        <w:t>采购项目编号：</w:t>
      </w:r>
      <w:r>
        <w:rPr>
          <w:rFonts w:hint="eastAsia" w:ascii="宋体" w:hAnsi="宋体" w:eastAsia="宋体" w:cs="宋体"/>
          <w:b/>
          <w:bCs/>
          <w:color w:val="auto"/>
          <w:sz w:val="28"/>
          <w:szCs w:val="21"/>
          <w:highlight w:val="none"/>
          <w:lang w:val="en-US" w:eastAsia="zh-CN"/>
        </w:rPr>
        <w:t xml:space="preserve">              </w:t>
      </w:r>
      <w:r>
        <w:rPr>
          <w:rFonts w:hint="eastAsia" w:ascii="宋体" w:hAnsi="宋体" w:eastAsia="宋体" w:cs="宋体"/>
          <w:b/>
          <w:bCs/>
          <w:color w:val="auto"/>
          <w:sz w:val="28"/>
          <w:szCs w:val="21"/>
          <w:highlight w:val="none"/>
          <w:lang w:val="zh-CN"/>
        </w:rPr>
        <w:t>）</w:t>
      </w:r>
    </w:p>
    <w:p w14:paraId="6394DECD">
      <w:pPr>
        <w:widowControl/>
        <w:jc w:val="center"/>
        <w:rPr>
          <w:rFonts w:hint="eastAsia" w:ascii="宋体" w:hAnsi="宋体" w:eastAsia="宋体" w:cs="宋体"/>
          <w:color w:val="auto"/>
          <w:sz w:val="28"/>
          <w:szCs w:val="21"/>
          <w:highlight w:val="none"/>
        </w:rPr>
      </w:pPr>
      <w:r>
        <w:rPr>
          <w:rFonts w:hint="eastAsia" w:ascii="宋体" w:hAnsi="宋体" w:eastAsia="宋体" w:cs="宋体"/>
          <w:b/>
          <w:bCs/>
          <w:color w:val="auto"/>
          <w:sz w:val="28"/>
          <w:szCs w:val="21"/>
          <w:highlight w:val="none"/>
          <w:lang w:val="zh-CN"/>
        </w:rPr>
        <w:t>（设备名称：呼吸神经肌肉刺激仪</w:t>
      </w:r>
      <w:r>
        <w:rPr>
          <w:rFonts w:hint="eastAsia" w:ascii="宋体" w:hAnsi="宋体" w:eastAsia="宋体" w:cs="宋体"/>
          <w:b/>
          <w:bCs/>
          <w:color w:val="auto"/>
          <w:sz w:val="28"/>
          <w:szCs w:val="21"/>
          <w:highlight w:val="none"/>
        </w:rPr>
        <w:t>）</w:t>
      </w:r>
    </w:p>
    <w:p w14:paraId="65CE52A0">
      <w:pPr>
        <w:spacing w:line="480" w:lineRule="auto"/>
        <w:jc w:val="center"/>
        <w:rPr>
          <w:rFonts w:hint="eastAsia" w:ascii="宋体" w:hAnsi="宋体" w:eastAsia="宋体" w:cs="宋体"/>
          <w:b/>
          <w:color w:val="auto"/>
          <w:sz w:val="28"/>
          <w:szCs w:val="21"/>
          <w:highlight w:val="none"/>
        </w:rPr>
      </w:pPr>
    </w:p>
    <w:p w14:paraId="18087ECD">
      <w:pPr>
        <w:spacing w:line="510" w:lineRule="atLeast"/>
        <w:rPr>
          <w:rFonts w:hint="eastAsia" w:ascii="宋体" w:hAnsi="宋体" w:eastAsia="宋体" w:cs="宋体"/>
          <w:b/>
          <w:color w:val="auto"/>
          <w:sz w:val="28"/>
          <w:szCs w:val="21"/>
          <w:highlight w:val="none"/>
        </w:rPr>
      </w:pPr>
    </w:p>
    <w:p w14:paraId="333217F7">
      <w:pPr>
        <w:spacing w:line="510" w:lineRule="atLeast"/>
        <w:rPr>
          <w:rFonts w:hint="eastAsia" w:ascii="宋体" w:hAnsi="宋体" w:eastAsia="宋体" w:cs="宋体"/>
          <w:b/>
          <w:color w:val="auto"/>
          <w:sz w:val="28"/>
          <w:szCs w:val="21"/>
          <w:highlight w:val="none"/>
        </w:rPr>
      </w:pPr>
    </w:p>
    <w:p w14:paraId="02D9D429">
      <w:pPr>
        <w:spacing w:line="510" w:lineRule="atLeast"/>
        <w:rPr>
          <w:rFonts w:hint="eastAsia" w:ascii="宋体" w:hAnsi="宋体" w:eastAsia="宋体" w:cs="宋体"/>
          <w:b/>
          <w:color w:val="auto"/>
          <w:sz w:val="28"/>
          <w:szCs w:val="21"/>
          <w:highlight w:val="none"/>
        </w:rPr>
      </w:pPr>
    </w:p>
    <w:p w14:paraId="3307E3BA">
      <w:pPr>
        <w:snapToGrid w:val="0"/>
        <w:spacing w:line="360" w:lineRule="auto"/>
        <w:ind w:firstLine="1820" w:firstLineChars="650"/>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t>甲  方：西安市胸科医院</w:t>
      </w:r>
    </w:p>
    <w:p w14:paraId="55C2B1A8">
      <w:pPr>
        <w:tabs>
          <w:tab w:val="left" w:pos="480"/>
        </w:tabs>
        <w:snapToGrid w:val="0"/>
        <w:spacing w:line="360" w:lineRule="auto"/>
        <w:ind w:firstLine="560" w:firstLineChars="200"/>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t xml:space="preserve">         乙  方：</w:t>
      </w:r>
    </w:p>
    <w:p w14:paraId="2670A9D5">
      <w:pPr>
        <w:snapToGrid w:val="0"/>
        <w:spacing w:line="360" w:lineRule="auto"/>
        <w:ind w:firstLine="560" w:firstLineChars="200"/>
        <w:rPr>
          <w:rFonts w:hint="eastAsia" w:ascii="宋体" w:hAnsi="宋体" w:eastAsia="宋体" w:cs="宋体"/>
          <w:color w:val="auto"/>
          <w:sz w:val="28"/>
          <w:szCs w:val="21"/>
          <w:highlight w:val="none"/>
        </w:rPr>
      </w:pPr>
      <w:r>
        <w:rPr>
          <w:rFonts w:hint="eastAsia" w:ascii="宋体" w:hAnsi="宋体" w:eastAsia="宋体" w:cs="宋体"/>
          <w:b/>
          <w:color w:val="auto"/>
          <w:sz w:val="28"/>
          <w:szCs w:val="21"/>
          <w:highlight w:val="none"/>
        </w:rPr>
        <w:t xml:space="preserve">         鉴证方：</w:t>
      </w:r>
    </w:p>
    <w:p w14:paraId="7C548D0A">
      <w:pPr>
        <w:pStyle w:val="3"/>
        <w:tabs>
          <w:tab w:val="left" w:pos="567"/>
        </w:tabs>
        <w:ind w:left="63" w:right="63"/>
        <w:rPr>
          <w:rFonts w:hint="eastAsia" w:ascii="宋体" w:hAnsi="宋体" w:eastAsia="宋体" w:cs="宋体"/>
          <w:color w:val="auto"/>
          <w:highlight w:val="none"/>
        </w:rPr>
      </w:pPr>
    </w:p>
    <w:p w14:paraId="596F762C">
      <w:pPr>
        <w:spacing w:line="510" w:lineRule="atLeast"/>
        <w:jc w:val="center"/>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t>202</w:t>
      </w:r>
      <w:r>
        <w:rPr>
          <w:rFonts w:hint="eastAsia" w:ascii="宋体" w:hAnsi="宋体" w:eastAsia="宋体" w:cs="宋体"/>
          <w:b/>
          <w:color w:val="auto"/>
          <w:sz w:val="28"/>
          <w:szCs w:val="21"/>
          <w:highlight w:val="none"/>
          <w:lang w:val="en-US" w:eastAsia="zh-CN"/>
        </w:rPr>
        <w:t xml:space="preserve"> </w:t>
      </w:r>
      <w:r>
        <w:rPr>
          <w:rFonts w:hint="eastAsia" w:ascii="宋体" w:hAnsi="宋体" w:eastAsia="宋体" w:cs="宋体"/>
          <w:b/>
          <w:color w:val="auto"/>
          <w:sz w:val="28"/>
          <w:szCs w:val="21"/>
          <w:highlight w:val="none"/>
          <w:lang w:eastAsia="zh-Hans"/>
        </w:rPr>
        <w:t>年</w:t>
      </w:r>
      <w:r>
        <w:rPr>
          <w:rFonts w:hint="eastAsia" w:ascii="宋体" w:hAnsi="宋体" w:eastAsia="宋体" w:cs="宋体"/>
          <w:b/>
          <w:bCs/>
          <w:color w:val="auto"/>
          <w:sz w:val="28"/>
          <w:szCs w:val="21"/>
          <w:highlight w:val="none"/>
          <w:lang w:val="en-US" w:eastAsia="zh-CN"/>
        </w:rPr>
        <w:t xml:space="preserve">  </w:t>
      </w:r>
      <w:r>
        <w:rPr>
          <w:rFonts w:hint="eastAsia" w:ascii="宋体" w:hAnsi="宋体" w:eastAsia="宋体" w:cs="宋体"/>
          <w:b/>
          <w:color w:val="auto"/>
          <w:sz w:val="28"/>
          <w:szCs w:val="21"/>
          <w:highlight w:val="none"/>
        </w:rPr>
        <w:t>月</w:t>
      </w:r>
    </w:p>
    <w:p w14:paraId="7814F314">
      <w:pPr>
        <w:spacing w:line="510" w:lineRule="atLeast"/>
        <w:jc w:val="center"/>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t>中国  西安</w:t>
      </w:r>
    </w:p>
    <w:p w14:paraId="468DD16C">
      <w:pPr>
        <w:widowControl/>
        <w:jc w:val="center"/>
        <w:rPr>
          <w:rFonts w:hint="eastAsia" w:ascii="宋体" w:hAnsi="宋体" w:eastAsia="宋体" w:cs="宋体"/>
          <w:color w:val="auto"/>
          <w:sz w:val="28"/>
          <w:szCs w:val="21"/>
          <w:highlight w:val="none"/>
        </w:rPr>
        <w:sectPr>
          <w:pgSz w:w="11906" w:h="16838"/>
          <w:pgMar w:top="1418" w:right="1558" w:bottom="1140" w:left="1418" w:header="851" w:footer="992" w:gutter="0"/>
          <w:cols w:space="720" w:num="1"/>
          <w:docGrid w:type="linesAndChars" w:linePitch="312" w:charSpace="0"/>
        </w:sectPr>
      </w:pPr>
    </w:p>
    <w:p w14:paraId="60B488E0">
      <w:pPr>
        <w:snapToGrid w:val="0"/>
        <w:spacing w:line="360" w:lineRule="auto"/>
        <w:ind w:firstLine="723" w:firstLineChars="200"/>
        <w:jc w:val="center"/>
        <w:rPr>
          <w:rFonts w:hint="eastAsia" w:ascii="宋体" w:hAnsi="宋体" w:eastAsia="宋体" w:cs="宋体"/>
          <w:color w:val="auto"/>
          <w:sz w:val="36"/>
          <w:szCs w:val="36"/>
          <w:highlight w:val="none"/>
        </w:rPr>
      </w:pPr>
      <w:r>
        <w:rPr>
          <w:rFonts w:hint="eastAsia" w:ascii="宋体" w:hAnsi="宋体" w:eastAsia="宋体" w:cs="宋体"/>
          <w:b/>
          <w:bCs/>
          <w:color w:val="auto"/>
          <w:kern w:val="0"/>
          <w:sz w:val="36"/>
          <w:szCs w:val="36"/>
          <w:highlight w:val="none"/>
          <w:lang w:bidi="ar"/>
        </w:rPr>
        <w:t>供货合同</w:t>
      </w:r>
    </w:p>
    <w:p w14:paraId="1229B608">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甲方：西安市胸科医院</w:t>
      </w:r>
    </w:p>
    <w:p w14:paraId="15522AA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w:t>
      </w:r>
      <w:r>
        <w:rPr>
          <w:rFonts w:hint="eastAsia" w:ascii="宋体" w:hAnsi="宋体" w:eastAsia="宋体" w:cs="宋体"/>
          <w:b/>
          <w:bCs/>
          <w:color w:val="auto"/>
          <w:sz w:val="24"/>
          <w:highlight w:val="none"/>
          <w:lang w:val="en-US" w:eastAsia="zh-CN"/>
        </w:rPr>
        <w:t xml:space="preserve"> </w:t>
      </w:r>
    </w:p>
    <w:p w14:paraId="7D4E5CFF">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鉴证方：</w:t>
      </w:r>
    </w:p>
    <w:p w14:paraId="742D0545">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鉴证方就甲方所需货物，按照政府采购程序组织</w:t>
      </w:r>
      <w:r>
        <w:rPr>
          <w:rFonts w:hint="eastAsia" w:ascii="宋体" w:hAnsi="宋体" w:eastAsia="宋体" w:cs="宋体"/>
          <w:color w:val="auto"/>
          <w:sz w:val="24"/>
          <w:highlight w:val="none"/>
          <w:lang w:val="en-US" w:eastAsia="zh-CN"/>
        </w:rPr>
        <w:t>竞争性磋商</w:t>
      </w:r>
      <w:r>
        <w:rPr>
          <w:rFonts w:hint="eastAsia" w:ascii="宋体" w:hAnsi="宋体" w:eastAsia="宋体" w:cs="宋体"/>
          <w:color w:val="auto"/>
          <w:sz w:val="24"/>
          <w:highlight w:val="none"/>
        </w:rPr>
        <w:t>，确定乙方为</w:t>
      </w:r>
      <w:r>
        <w:rPr>
          <w:rFonts w:hint="eastAsia" w:ascii="宋体" w:hAnsi="宋体" w:eastAsia="宋体" w:cs="宋体"/>
          <w:color w:val="auto"/>
          <w:sz w:val="24"/>
          <w:highlight w:val="none"/>
          <w:lang w:val="en-US" w:eastAsia="zh-CN"/>
        </w:rPr>
        <w:t>成交供应商</w:t>
      </w:r>
      <w:r>
        <w:rPr>
          <w:rFonts w:hint="eastAsia" w:ascii="宋体" w:hAnsi="宋体" w:eastAsia="宋体" w:cs="宋体"/>
          <w:color w:val="auto"/>
          <w:sz w:val="24"/>
          <w:highlight w:val="none"/>
        </w:rPr>
        <w:t>。依据《中华人民共和国政府采购法》、《中华人民共和国民法典》以及</w:t>
      </w:r>
      <w:r>
        <w:rPr>
          <w:rFonts w:hint="eastAsia" w:ascii="宋体" w:hAnsi="宋体" w:eastAsia="宋体" w:cs="宋体"/>
          <w:color w:val="auto"/>
          <w:sz w:val="24"/>
          <w:highlight w:val="none"/>
          <w:lang w:eastAsia="zh-CN"/>
        </w:rPr>
        <w:t>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成交供应商竞争性磋商响应文件</w:t>
      </w:r>
      <w:r>
        <w:rPr>
          <w:rFonts w:hint="eastAsia" w:ascii="宋体" w:hAnsi="宋体" w:eastAsia="宋体" w:cs="宋体"/>
          <w:color w:val="auto"/>
          <w:sz w:val="24"/>
          <w:highlight w:val="none"/>
        </w:rPr>
        <w:t>正本</w:t>
      </w:r>
      <w:r>
        <w:rPr>
          <w:rFonts w:hint="eastAsia" w:ascii="宋体" w:hAnsi="宋体" w:eastAsia="宋体" w:cs="宋体"/>
          <w:color w:val="auto"/>
          <w:sz w:val="24"/>
          <w:highlight w:val="none"/>
          <w:lang w:eastAsia="zh-CN"/>
        </w:rPr>
        <w:t>、成交通知书</w:t>
      </w:r>
      <w:r>
        <w:rPr>
          <w:rFonts w:hint="eastAsia" w:ascii="宋体" w:hAnsi="宋体" w:eastAsia="宋体" w:cs="宋体"/>
          <w:color w:val="auto"/>
          <w:sz w:val="24"/>
          <w:highlight w:val="none"/>
        </w:rPr>
        <w:t>，经甲、乙双方协商，鉴证方确认，达成如下条款。</w:t>
      </w:r>
    </w:p>
    <w:p w14:paraId="290357C3">
      <w:pPr>
        <w:snapToGrid w:val="0"/>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一、合同货物内容及数量（以</w:t>
      </w:r>
      <w:r>
        <w:rPr>
          <w:rFonts w:hint="eastAsia" w:ascii="宋体" w:hAnsi="宋体" w:eastAsia="宋体" w:cs="宋体"/>
          <w:b/>
          <w:color w:val="auto"/>
          <w:sz w:val="24"/>
          <w:highlight w:val="none"/>
          <w:lang w:eastAsia="zh-CN"/>
        </w:rPr>
        <w:t>竞争性磋商响应文件</w:t>
      </w:r>
      <w:r>
        <w:rPr>
          <w:rFonts w:hint="eastAsia" w:ascii="宋体" w:hAnsi="宋体" w:eastAsia="宋体" w:cs="宋体"/>
          <w:b/>
          <w:color w:val="auto"/>
          <w:sz w:val="24"/>
          <w:highlight w:val="none"/>
        </w:rPr>
        <w:t>正本和澄清表函为准）</w:t>
      </w:r>
    </w:p>
    <w:tbl>
      <w:tblPr>
        <w:tblStyle w:val="6"/>
        <w:tblW w:w="0" w:type="auto"/>
        <w:tblInd w:w="0" w:type="dxa"/>
        <w:tblLayout w:type="fixed"/>
        <w:tblCellMar>
          <w:top w:w="0" w:type="dxa"/>
          <w:left w:w="28" w:type="dxa"/>
          <w:bottom w:w="0" w:type="dxa"/>
          <w:right w:w="28" w:type="dxa"/>
        </w:tblCellMar>
      </w:tblPr>
      <w:tblGrid>
        <w:gridCol w:w="499"/>
        <w:gridCol w:w="1678"/>
        <w:gridCol w:w="2503"/>
        <w:gridCol w:w="670"/>
        <w:gridCol w:w="1435"/>
        <w:gridCol w:w="957"/>
        <w:gridCol w:w="999"/>
        <w:gridCol w:w="697"/>
      </w:tblGrid>
      <w:tr w14:paraId="0CE66C23">
        <w:tblPrEx>
          <w:tblCellMar>
            <w:top w:w="0" w:type="dxa"/>
            <w:left w:w="28" w:type="dxa"/>
            <w:bottom w:w="0" w:type="dxa"/>
            <w:right w:w="28" w:type="dxa"/>
          </w:tblCellMar>
        </w:tblPrEx>
        <w:trPr>
          <w:trHeight w:val="725" w:hRule="atLeast"/>
        </w:trPr>
        <w:tc>
          <w:tcPr>
            <w:tcW w:w="499" w:type="dxa"/>
            <w:tcBorders>
              <w:top w:val="single" w:color="auto" w:sz="6" w:space="0"/>
              <w:left w:val="single" w:color="auto" w:sz="6" w:space="0"/>
              <w:bottom w:val="single" w:color="auto" w:sz="6" w:space="0"/>
            </w:tcBorders>
            <w:noWrap w:val="0"/>
            <w:vAlign w:val="center"/>
          </w:tcPr>
          <w:p w14:paraId="2F33DFB7">
            <w:pPr>
              <w:snapToGrid w:val="0"/>
              <w:spacing w:after="12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678" w:type="dxa"/>
            <w:tcBorders>
              <w:top w:val="single" w:color="auto" w:sz="6" w:space="0"/>
              <w:left w:val="single" w:color="auto" w:sz="6" w:space="0"/>
              <w:bottom w:val="single" w:color="auto" w:sz="6" w:space="0"/>
              <w:right w:val="single" w:color="auto" w:sz="6" w:space="0"/>
            </w:tcBorders>
            <w:noWrap w:val="0"/>
            <w:vAlign w:val="center"/>
          </w:tcPr>
          <w:p w14:paraId="6B542D2F">
            <w:pPr>
              <w:snapToGrid w:val="0"/>
              <w:spacing w:after="12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货物名称</w:t>
            </w:r>
          </w:p>
        </w:tc>
        <w:tc>
          <w:tcPr>
            <w:tcW w:w="2503" w:type="dxa"/>
            <w:tcBorders>
              <w:top w:val="single" w:color="auto" w:sz="6" w:space="0"/>
              <w:left w:val="single" w:color="auto" w:sz="6" w:space="0"/>
              <w:bottom w:val="single" w:color="auto" w:sz="6" w:space="0"/>
              <w:right w:val="single" w:color="auto" w:sz="6" w:space="0"/>
            </w:tcBorders>
            <w:noWrap w:val="0"/>
            <w:vAlign w:val="center"/>
          </w:tcPr>
          <w:p w14:paraId="12C78654">
            <w:pPr>
              <w:snapToGrid w:val="0"/>
              <w:spacing w:after="12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规格型号</w:t>
            </w:r>
          </w:p>
        </w:tc>
        <w:tc>
          <w:tcPr>
            <w:tcW w:w="670" w:type="dxa"/>
            <w:tcBorders>
              <w:top w:val="single" w:color="auto" w:sz="6" w:space="0"/>
              <w:left w:val="single" w:color="auto" w:sz="6" w:space="0"/>
              <w:bottom w:val="single" w:color="auto" w:sz="6" w:space="0"/>
              <w:right w:val="single" w:color="auto" w:sz="4" w:space="0"/>
            </w:tcBorders>
            <w:noWrap w:val="0"/>
            <w:vAlign w:val="center"/>
          </w:tcPr>
          <w:p w14:paraId="2268A1AE">
            <w:pPr>
              <w:snapToGrid w:val="0"/>
              <w:spacing w:after="12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数量</w:t>
            </w:r>
          </w:p>
        </w:tc>
        <w:tc>
          <w:tcPr>
            <w:tcW w:w="1435" w:type="dxa"/>
            <w:tcBorders>
              <w:top w:val="single" w:color="auto" w:sz="6" w:space="0"/>
              <w:left w:val="single" w:color="auto" w:sz="4" w:space="0"/>
              <w:bottom w:val="single" w:color="auto" w:sz="6" w:space="0"/>
              <w:right w:val="single" w:color="auto" w:sz="4" w:space="0"/>
            </w:tcBorders>
            <w:noWrap w:val="0"/>
            <w:vAlign w:val="center"/>
          </w:tcPr>
          <w:p w14:paraId="1D152248">
            <w:pPr>
              <w:snapToGrid w:val="0"/>
              <w:spacing w:after="12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品牌</w:t>
            </w:r>
          </w:p>
        </w:tc>
        <w:tc>
          <w:tcPr>
            <w:tcW w:w="957" w:type="dxa"/>
            <w:tcBorders>
              <w:top w:val="single" w:color="auto" w:sz="6" w:space="0"/>
              <w:left w:val="single" w:color="auto" w:sz="4" w:space="0"/>
              <w:bottom w:val="single" w:color="auto" w:sz="6" w:space="0"/>
              <w:right w:val="single" w:color="auto" w:sz="6" w:space="0"/>
            </w:tcBorders>
            <w:noWrap w:val="0"/>
            <w:vAlign w:val="center"/>
          </w:tcPr>
          <w:p w14:paraId="7D655E76">
            <w:pPr>
              <w:snapToGrid w:val="0"/>
              <w:spacing w:after="12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产地</w:t>
            </w:r>
          </w:p>
        </w:tc>
        <w:tc>
          <w:tcPr>
            <w:tcW w:w="999" w:type="dxa"/>
            <w:tcBorders>
              <w:top w:val="single" w:color="auto" w:sz="6" w:space="0"/>
              <w:left w:val="single" w:color="auto" w:sz="6" w:space="0"/>
              <w:bottom w:val="single" w:color="auto" w:sz="6" w:space="0"/>
              <w:right w:val="single" w:color="auto" w:sz="4" w:space="0"/>
            </w:tcBorders>
            <w:noWrap w:val="0"/>
            <w:vAlign w:val="center"/>
          </w:tcPr>
          <w:p w14:paraId="072A8B94">
            <w:pPr>
              <w:snapToGrid w:val="0"/>
              <w:spacing w:after="12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金额</w:t>
            </w:r>
          </w:p>
          <w:p w14:paraId="0D2BE6AE">
            <w:pPr>
              <w:snapToGrid w:val="0"/>
              <w:spacing w:after="12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（万元）</w:t>
            </w:r>
          </w:p>
        </w:tc>
        <w:tc>
          <w:tcPr>
            <w:tcW w:w="697" w:type="dxa"/>
            <w:tcBorders>
              <w:top w:val="single" w:color="auto" w:sz="6" w:space="0"/>
              <w:left w:val="single" w:color="auto" w:sz="4" w:space="0"/>
              <w:bottom w:val="single" w:color="auto" w:sz="6" w:space="0"/>
              <w:right w:val="single" w:color="auto" w:sz="6" w:space="0"/>
            </w:tcBorders>
            <w:noWrap w:val="0"/>
            <w:vAlign w:val="center"/>
          </w:tcPr>
          <w:p w14:paraId="6052DBA1">
            <w:pPr>
              <w:snapToGrid w:val="0"/>
              <w:spacing w:after="12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tc>
      </w:tr>
      <w:tr w14:paraId="1F64EC29">
        <w:tblPrEx>
          <w:tblCellMar>
            <w:top w:w="0" w:type="dxa"/>
            <w:left w:w="28" w:type="dxa"/>
            <w:bottom w:w="0" w:type="dxa"/>
            <w:right w:w="28" w:type="dxa"/>
          </w:tblCellMar>
        </w:tblPrEx>
        <w:trPr>
          <w:trHeight w:val="469" w:hRule="atLeast"/>
        </w:trPr>
        <w:tc>
          <w:tcPr>
            <w:tcW w:w="499" w:type="dxa"/>
            <w:tcBorders>
              <w:top w:val="single" w:color="auto" w:sz="6" w:space="0"/>
              <w:left w:val="single" w:color="auto" w:sz="6" w:space="0"/>
              <w:bottom w:val="single" w:color="auto" w:sz="4" w:space="0"/>
            </w:tcBorders>
            <w:noWrap w:val="0"/>
            <w:vAlign w:val="center"/>
          </w:tcPr>
          <w:p w14:paraId="60631D44">
            <w:pPr>
              <w:pStyle w:val="8"/>
              <w:spacing w:before="77" w:line="360" w:lineRule="auto"/>
              <w:ind w:left="14"/>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678" w:type="dxa"/>
            <w:tcBorders>
              <w:top w:val="single" w:color="auto" w:sz="6" w:space="0"/>
              <w:left w:val="single" w:color="auto" w:sz="6" w:space="0"/>
              <w:bottom w:val="single" w:color="auto" w:sz="4" w:space="0"/>
              <w:right w:val="single" w:color="auto" w:sz="6" w:space="0"/>
            </w:tcBorders>
            <w:noWrap w:val="0"/>
            <w:vAlign w:val="center"/>
          </w:tcPr>
          <w:p w14:paraId="22F9CB03">
            <w:pPr>
              <w:pStyle w:val="8"/>
              <w:spacing w:line="360" w:lineRule="auto"/>
              <w:jc w:val="center"/>
              <w:rPr>
                <w:rFonts w:hint="eastAsia" w:ascii="宋体" w:hAnsi="宋体" w:eastAsia="宋体" w:cs="宋体"/>
                <w:color w:val="auto"/>
                <w:sz w:val="24"/>
                <w:szCs w:val="24"/>
                <w:highlight w:val="none"/>
              </w:rPr>
            </w:pPr>
          </w:p>
        </w:tc>
        <w:tc>
          <w:tcPr>
            <w:tcW w:w="2503" w:type="dxa"/>
            <w:tcBorders>
              <w:top w:val="single" w:color="auto" w:sz="6" w:space="0"/>
              <w:left w:val="single" w:color="auto" w:sz="6" w:space="0"/>
              <w:bottom w:val="single" w:color="auto" w:sz="4" w:space="0"/>
              <w:right w:val="single" w:color="auto" w:sz="6" w:space="0"/>
            </w:tcBorders>
            <w:noWrap w:val="0"/>
            <w:vAlign w:val="center"/>
          </w:tcPr>
          <w:p w14:paraId="36AB75CF">
            <w:pPr>
              <w:pStyle w:val="8"/>
              <w:spacing w:line="360" w:lineRule="auto"/>
              <w:jc w:val="center"/>
              <w:rPr>
                <w:rFonts w:hint="eastAsia" w:ascii="宋体" w:hAnsi="宋体" w:eastAsia="宋体" w:cs="宋体"/>
                <w:color w:val="auto"/>
                <w:sz w:val="24"/>
                <w:szCs w:val="24"/>
                <w:highlight w:val="none"/>
              </w:rPr>
            </w:pPr>
          </w:p>
        </w:tc>
        <w:tc>
          <w:tcPr>
            <w:tcW w:w="670" w:type="dxa"/>
            <w:tcBorders>
              <w:top w:val="single" w:color="auto" w:sz="6" w:space="0"/>
              <w:left w:val="single" w:color="auto" w:sz="6" w:space="0"/>
              <w:bottom w:val="single" w:color="auto" w:sz="6" w:space="0"/>
              <w:right w:val="single" w:color="auto" w:sz="4" w:space="0"/>
            </w:tcBorders>
            <w:noWrap w:val="0"/>
            <w:vAlign w:val="center"/>
          </w:tcPr>
          <w:p w14:paraId="21BA7336">
            <w:pPr>
              <w:pStyle w:val="8"/>
              <w:spacing w:line="360" w:lineRule="auto"/>
              <w:jc w:val="center"/>
              <w:rPr>
                <w:rFonts w:hint="eastAsia" w:ascii="宋体" w:hAnsi="宋体" w:eastAsia="宋体" w:cs="宋体"/>
                <w:color w:val="auto"/>
                <w:sz w:val="24"/>
                <w:szCs w:val="24"/>
                <w:highlight w:val="none"/>
              </w:rPr>
            </w:pPr>
          </w:p>
        </w:tc>
        <w:tc>
          <w:tcPr>
            <w:tcW w:w="1435" w:type="dxa"/>
            <w:tcBorders>
              <w:top w:val="single" w:color="auto" w:sz="6" w:space="0"/>
              <w:left w:val="single" w:color="auto" w:sz="4" w:space="0"/>
              <w:bottom w:val="single" w:color="auto" w:sz="6" w:space="0"/>
              <w:right w:val="single" w:color="auto" w:sz="4" w:space="0"/>
            </w:tcBorders>
            <w:noWrap w:val="0"/>
            <w:vAlign w:val="center"/>
          </w:tcPr>
          <w:p w14:paraId="7A6E388B">
            <w:pPr>
              <w:pStyle w:val="8"/>
              <w:spacing w:line="360" w:lineRule="auto"/>
              <w:jc w:val="center"/>
              <w:rPr>
                <w:rFonts w:hint="eastAsia" w:ascii="宋体" w:hAnsi="宋体" w:eastAsia="宋体" w:cs="宋体"/>
                <w:color w:val="auto"/>
                <w:sz w:val="24"/>
                <w:szCs w:val="24"/>
                <w:highlight w:val="none"/>
              </w:rPr>
            </w:pPr>
          </w:p>
        </w:tc>
        <w:tc>
          <w:tcPr>
            <w:tcW w:w="957" w:type="dxa"/>
            <w:tcBorders>
              <w:top w:val="single" w:color="auto" w:sz="6" w:space="0"/>
              <w:left w:val="single" w:color="auto" w:sz="4" w:space="0"/>
              <w:bottom w:val="single" w:color="auto" w:sz="6" w:space="0"/>
              <w:right w:val="single" w:color="auto" w:sz="6" w:space="0"/>
            </w:tcBorders>
            <w:noWrap w:val="0"/>
            <w:vAlign w:val="center"/>
          </w:tcPr>
          <w:p w14:paraId="00B6D011">
            <w:pPr>
              <w:pStyle w:val="8"/>
              <w:spacing w:line="360" w:lineRule="auto"/>
              <w:jc w:val="center"/>
              <w:rPr>
                <w:rFonts w:hint="eastAsia" w:ascii="宋体" w:hAnsi="宋体" w:eastAsia="宋体" w:cs="宋体"/>
                <w:color w:val="auto"/>
                <w:sz w:val="24"/>
                <w:szCs w:val="24"/>
                <w:highlight w:val="none"/>
              </w:rPr>
            </w:pPr>
          </w:p>
        </w:tc>
        <w:tc>
          <w:tcPr>
            <w:tcW w:w="999" w:type="dxa"/>
            <w:tcBorders>
              <w:top w:val="single" w:color="auto" w:sz="6" w:space="0"/>
              <w:left w:val="single" w:color="auto" w:sz="6" w:space="0"/>
              <w:bottom w:val="single" w:color="auto" w:sz="4" w:space="0"/>
              <w:right w:val="single" w:color="auto" w:sz="4" w:space="0"/>
            </w:tcBorders>
            <w:noWrap w:val="0"/>
            <w:vAlign w:val="center"/>
          </w:tcPr>
          <w:p w14:paraId="38B4F0D1">
            <w:pPr>
              <w:pStyle w:val="8"/>
              <w:spacing w:line="360" w:lineRule="auto"/>
              <w:jc w:val="center"/>
              <w:rPr>
                <w:rFonts w:hint="eastAsia" w:ascii="宋体" w:hAnsi="宋体" w:eastAsia="宋体" w:cs="宋体"/>
                <w:color w:val="auto"/>
                <w:sz w:val="24"/>
                <w:szCs w:val="24"/>
                <w:highlight w:val="none"/>
              </w:rPr>
            </w:pPr>
          </w:p>
        </w:tc>
        <w:tc>
          <w:tcPr>
            <w:tcW w:w="697" w:type="dxa"/>
            <w:tcBorders>
              <w:top w:val="single" w:color="auto" w:sz="6" w:space="0"/>
              <w:left w:val="single" w:color="auto" w:sz="4" w:space="0"/>
              <w:bottom w:val="single" w:color="auto" w:sz="4" w:space="0"/>
              <w:right w:val="single" w:color="auto" w:sz="6" w:space="0"/>
            </w:tcBorders>
            <w:noWrap w:val="0"/>
            <w:vAlign w:val="center"/>
          </w:tcPr>
          <w:p w14:paraId="7575EBBF">
            <w:pPr>
              <w:pStyle w:val="8"/>
              <w:spacing w:line="360" w:lineRule="auto"/>
              <w:jc w:val="center"/>
              <w:rPr>
                <w:rFonts w:hint="eastAsia" w:ascii="宋体" w:hAnsi="宋体" w:eastAsia="宋体" w:cs="宋体"/>
                <w:color w:val="auto"/>
                <w:sz w:val="24"/>
                <w:szCs w:val="24"/>
                <w:highlight w:val="none"/>
              </w:rPr>
            </w:pPr>
          </w:p>
        </w:tc>
      </w:tr>
      <w:tr w14:paraId="2F1D65D4">
        <w:tblPrEx>
          <w:tblCellMar>
            <w:top w:w="0" w:type="dxa"/>
            <w:left w:w="28" w:type="dxa"/>
            <w:bottom w:w="0" w:type="dxa"/>
            <w:right w:w="28" w:type="dxa"/>
          </w:tblCellMar>
        </w:tblPrEx>
        <w:trPr>
          <w:trHeight w:val="478" w:hRule="atLeast"/>
        </w:trPr>
        <w:tc>
          <w:tcPr>
            <w:tcW w:w="2177" w:type="dxa"/>
            <w:gridSpan w:val="2"/>
            <w:tcBorders>
              <w:top w:val="single" w:color="auto" w:sz="4" w:space="0"/>
              <w:left w:val="single" w:color="auto" w:sz="6" w:space="0"/>
              <w:bottom w:val="single" w:color="auto" w:sz="4" w:space="0"/>
              <w:right w:val="single" w:color="auto" w:sz="6" w:space="0"/>
            </w:tcBorders>
            <w:noWrap w:val="0"/>
            <w:vAlign w:val="center"/>
          </w:tcPr>
          <w:p w14:paraId="3E2AB83C">
            <w:pPr>
              <w:snapToGrid w:val="0"/>
              <w:spacing w:before="156" w:before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w:t>
            </w:r>
          </w:p>
        </w:tc>
        <w:tc>
          <w:tcPr>
            <w:tcW w:w="7261" w:type="dxa"/>
            <w:gridSpan w:val="6"/>
            <w:tcBorders>
              <w:top w:val="single" w:color="auto" w:sz="4" w:space="0"/>
              <w:left w:val="single" w:color="auto" w:sz="6" w:space="0"/>
              <w:bottom w:val="single" w:color="auto" w:sz="4" w:space="0"/>
              <w:right w:val="single" w:color="auto" w:sz="4" w:space="0"/>
            </w:tcBorders>
            <w:noWrap w:val="0"/>
            <w:vAlign w:val="center"/>
          </w:tcPr>
          <w:p w14:paraId="46E3BBBB">
            <w:pPr>
              <w:snapToGrid w:val="0"/>
              <w:spacing w:before="156" w:beforeLines="50" w:line="360" w:lineRule="auto"/>
              <w:ind w:firstLine="964" w:firstLineChars="4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人民币：</w:t>
            </w:r>
            <w:r>
              <w:rPr>
                <w:rFonts w:hint="eastAsia" w:ascii="宋体" w:hAnsi="宋体" w:eastAsia="宋体" w:cs="宋体"/>
                <w:b/>
                <w:color w:val="auto"/>
                <w:sz w:val="24"/>
                <w:szCs w:val="24"/>
                <w:highlight w:val="none"/>
                <w:u w:val="single"/>
              </w:rPr>
              <w:t>（大写）             （小写）</w:t>
            </w:r>
            <w:r>
              <w:rPr>
                <w:rFonts w:hint="eastAsia" w:ascii="宋体" w:hAnsi="宋体" w:eastAsia="宋体" w:cs="宋体"/>
                <w:b/>
                <w:bCs/>
                <w:color w:val="auto"/>
                <w:kern w:val="0"/>
                <w:sz w:val="24"/>
                <w:szCs w:val="24"/>
                <w:highlight w:val="none"/>
                <w:u w:val="single"/>
                <w:lang w:bidi="ar"/>
              </w:rPr>
              <w:t xml:space="preserve">      </w:t>
            </w:r>
            <w:r>
              <w:rPr>
                <w:rFonts w:hint="eastAsia" w:ascii="宋体" w:hAnsi="宋体" w:eastAsia="宋体" w:cs="宋体"/>
                <w:b/>
                <w:color w:val="auto"/>
                <w:sz w:val="24"/>
                <w:szCs w:val="24"/>
                <w:highlight w:val="none"/>
                <w:u w:val="single"/>
              </w:rPr>
              <w:t>元</w:t>
            </w:r>
            <w:r>
              <w:rPr>
                <w:rFonts w:hint="eastAsia" w:ascii="宋体" w:hAnsi="宋体" w:eastAsia="宋体" w:cs="宋体"/>
                <w:b/>
                <w:color w:val="auto"/>
                <w:sz w:val="24"/>
                <w:szCs w:val="24"/>
                <w:highlight w:val="none"/>
              </w:rPr>
              <w:t xml:space="preserve">    </w:t>
            </w:r>
          </w:p>
        </w:tc>
      </w:tr>
      <w:tr w14:paraId="2E8FBD76">
        <w:tblPrEx>
          <w:tblCellMar>
            <w:top w:w="0" w:type="dxa"/>
            <w:left w:w="28" w:type="dxa"/>
            <w:bottom w:w="0" w:type="dxa"/>
            <w:right w:w="28" w:type="dxa"/>
          </w:tblCellMar>
        </w:tblPrEx>
        <w:trPr>
          <w:trHeight w:val="478" w:hRule="atLeast"/>
        </w:trPr>
        <w:tc>
          <w:tcPr>
            <w:tcW w:w="9438" w:type="dxa"/>
            <w:gridSpan w:val="8"/>
            <w:tcBorders>
              <w:top w:val="single" w:color="auto" w:sz="4" w:space="0"/>
              <w:left w:val="single" w:color="auto" w:sz="6" w:space="0"/>
              <w:bottom w:val="single" w:color="auto" w:sz="4" w:space="0"/>
              <w:right w:val="single" w:color="auto" w:sz="4" w:space="0"/>
            </w:tcBorders>
            <w:noWrap w:val="0"/>
            <w:vAlign w:val="center"/>
          </w:tcPr>
          <w:p w14:paraId="293DEB57">
            <w:pPr>
              <w:snapToGrid w:val="0"/>
              <w:spacing w:before="156" w:beforeLines="50"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注：设备配置清单详见《附</w:t>
            </w:r>
            <w:r>
              <w:rPr>
                <w:rFonts w:hint="eastAsia" w:ascii="宋体" w:hAnsi="宋体" w:eastAsia="宋体" w:cs="宋体"/>
                <w:color w:val="auto"/>
                <w:sz w:val="24"/>
                <w:szCs w:val="24"/>
                <w:highlight w:val="none"/>
                <w:lang w:eastAsia="zh-CN"/>
              </w:rPr>
              <w:t>件</w:t>
            </w:r>
            <w:r>
              <w:rPr>
                <w:rFonts w:hint="eastAsia" w:ascii="宋体" w:hAnsi="宋体" w:eastAsia="宋体" w:cs="宋体"/>
                <w:color w:val="auto"/>
                <w:sz w:val="24"/>
                <w:szCs w:val="24"/>
                <w:highlight w:val="none"/>
              </w:rPr>
              <w:t>一》</w:t>
            </w:r>
          </w:p>
        </w:tc>
      </w:tr>
    </w:tbl>
    <w:p w14:paraId="3943B5C0">
      <w:pPr>
        <w:tabs>
          <w:tab w:val="left" w:pos="480"/>
        </w:tabs>
        <w:snapToGrid w:val="0"/>
        <w:spacing w:line="360" w:lineRule="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二、合同价款</w:t>
      </w:r>
    </w:p>
    <w:p w14:paraId="0D8CACDE">
      <w:pPr>
        <w:numPr>
          <w:ilvl w:val="0"/>
          <w:numId w:val="1"/>
        </w:numPr>
        <w:tabs>
          <w:tab w:val="left" w:pos="4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合同总价款为人民币（大写）</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元整（￥     元）</w:t>
      </w:r>
      <w:r>
        <w:rPr>
          <w:rFonts w:hint="eastAsia" w:ascii="宋体" w:hAnsi="宋体" w:eastAsia="宋体" w:cs="宋体"/>
          <w:color w:val="auto"/>
          <w:sz w:val="24"/>
          <w:highlight w:val="none"/>
        </w:rPr>
        <w:t>。</w:t>
      </w:r>
    </w:p>
    <w:p w14:paraId="146B381A">
      <w:pPr>
        <w:numPr>
          <w:ilvl w:val="0"/>
          <w:numId w:val="1"/>
        </w:numPr>
        <w:tabs>
          <w:tab w:val="left" w:pos="4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合同总价包括：货物费、运输费（含保险费）、安装调试费、检测验收费、培训费及其它费用。</w:t>
      </w:r>
    </w:p>
    <w:p w14:paraId="2309D25C">
      <w:pPr>
        <w:numPr>
          <w:ilvl w:val="0"/>
          <w:numId w:val="1"/>
        </w:numPr>
        <w:tabs>
          <w:tab w:val="left" w:pos="4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合同总价一次性包死，不受市场价格变化因素的影响。</w:t>
      </w:r>
    </w:p>
    <w:p w14:paraId="57D0D933">
      <w:pPr>
        <w:numPr>
          <w:ilvl w:val="0"/>
          <w:numId w:val="1"/>
        </w:numPr>
        <w:tabs>
          <w:tab w:val="left" w:pos="4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甲方不再另付任何费用。</w:t>
      </w:r>
    </w:p>
    <w:p w14:paraId="60B25BB1">
      <w:pPr>
        <w:numPr>
          <w:ilvl w:val="-1"/>
          <w:numId w:val="0"/>
        </w:numPr>
        <w:tabs>
          <w:tab w:val="left" w:pos="480"/>
        </w:tabs>
        <w:snapToGrid w:val="0"/>
        <w:spacing w:line="360" w:lineRule="auto"/>
        <w:ind w:left="0" w:firstLine="0"/>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三、</w:t>
      </w:r>
      <w:r>
        <w:rPr>
          <w:rFonts w:hint="eastAsia" w:ascii="宋体" w:hAnsi="宋体" w:eastAsia="宋体" w:cs="宋体"/>
          <w:b/>
          <w:color w:val="auto"/>
          <w:sz w:val="24"/>
          <w:highlight w:val="none"/>
        </w:rPr>
        <w:t>款项结算</w:t>
      </w:r>
    </w:p>
    <w:p w14:paraId="4184FF83">
      <w:pPr>
        <w:tabs>
          <w:tab w:val="left" w:pos="480"/>
        </w:tabs>
        <w:snapToGrid w:val="0"/>
        <w:spacing w:line="360" w:lineRule="auto"/>
        <w:ind w:firstLine="470" w:firstLineChars="19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以中小企业声明函为准择其一：</w:t>
      </w:r>
    </w:p>
    <w:p w14:paraId="0721B9AF">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合同签订后，甲方在收到乙方支付的履约保证金后5个工作日内，支付合同总额40%的预付款；货到安装试用期满符合合同约定的质量标准要求，经产品最终验收合格后，60天内支付剩余部分。（用于授予中小企业政府采购合同，残疾人、福利单位视同小微企业）；</w:t>
      </w:r>
      <w:bookmarkStart w:id="0" w:name="_GoBack"/>
      <w:bookmarkEnd w:id="0"/>
    </w:p>
    <w:p w14:paraId="2F4D3622">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b.货到安装试用期满，符合合同约定的质量标准要求，经产品最终验收合格后，60天内支付合同总金额</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 (适用于非授予中小企业政府采购合同)。</w:t>
      </w:r>
    </w:p>
    <w:p w14:paraId="5940E63B">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（二）支付方式：银行转账。</w:t>
      </w:r>
    </w:p>
    <w:p w14:paraId="4A3660F6">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（三）结算方式：乙方持验收书，发票（按合同总价开采购人），</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、供货合同与甲方结算。</w:t>
      </w:r>
    </w:p>
    <w:p w14:paraId="6C82F09D">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（四）履约保证金</w:t>
      </w:r>
    </w:p>
    <w:p w14:paraId="7EA6739E">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1．履约保证金的交付和退还：</w:t>
      </w:r>
    </w:p>
    <w:p w14:paraId="7D41397B">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乙方应当在合同签订后5个工作日内，按照</w:t>
      </w:r>
      <w:r>
        <w:rPr>
          <w:rFonts w:hint="eastAsia" w:ascii="宋体" w:hAnsi="宋体" w:eastAsia="宋体" w:cs="宋体"/>
          <w:color w:val="auto"/>
          <w:sz w:val="24"/>
          <w:szCs w:val="24"/>
          <w:highlight w:val="none"/>
          <w:lang w:val="en-US" w:eastAsia="zh-CN"/>
        </w:rPr>
        <w:t>供货</w:t>
      </w:r>
      <w:r>
        <w:rPr>
          <w:rFonts w:hint="eastAsia" w:ascii="宋体" w:hAnsi="宋体" w:eastAsia="宋体" w:cs="宋体"/>
          <w:color w:val="auto"/>
          <w:sz w:val="24"/>
          <w:szCs w:val="24"/>
          <w:highlight w:val="none"/>
        </w:rPr>
        <w:t>合同总金额的5%作为履约保证金交付给甲方。</w:t>
      </w:r>
    </w:p>
    <w:p w14:paraId="5967FFDA">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2．保证期为</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到达乙方之日起至项目</w:t>
      </w:r>
      <w:r>
        <w:rPr>
          <w:rFonts w:hint="eastAsia" w:ascii="宋体" w:hAnsi="宋体" w:eastAsia="宋体" w:cs="宋体"/>
          <w:color w:val="auto"/>
          <w:sz w:val="24"/>
          <w:szCs w:val="24"/>
          <w:highlight w:val="none"/>
          <w:lang w:val="en-US" w:eastAsia="zh-CN"/>
        </w:rPr>
        <w:t>质保</w:t>
      </w:r>
      <w:r>
        <w:rPr>
          <w:rFonts w:hint="eastAsia" w:ascii="宋体" w:hAnsi="宋体" w:eastAsia="宋体" w:cs="宋体"/>
          <w:color w:val="auto"/>
          <w:sz w:val="24"/>
          <w:szCs w:val="24"/>
          <w:highlight w:val="none"/>
        </w:rPr>
        <w:t>期结束日。</w:t>
      </w:r>
    </w:p>
    <w:p w14:paraId="621F6417">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3．保证期满乙方如约履行合同的，甲方在</w:t>
      </w:r>
      <w:r>
        <w:rPr>
          <w:rFonts w:hint="eastAsia" w:ascii="宋体" w:hAnsi="宋体" w:eastAsia="宋体" w:cs="宋体"/>
          <w:color w:val="auto"/>
          <w:sz w:val="24"/>
          <w:szCs w:val="24"/>
          <w:highlight w:val="none"/>
          <w:lang w:val="en-US" w:eastAsia="zh-CN"/>
        </w:rPr>
        <w:t>项目质保</w:t>
      </w:r>
      <w:r>
        <w:rPr>
          <w:rFonts w:hint="eastAsia" w:ascii="宋体" w:hAnsi="宋体" w:eastAsia="宋体" w:cs="宋体"/>
          <w:color w:val="auto"/>
          <w:sz w:val="24"/>
          <w:szCs w:val="24"/>
          <w:highlight w:val="none"/>
        </w:rPr>
        <w:t>期结束之日起30日内退还履约保证金（无息）。</w:t>
      </w:r>
    </w:p>
    <w:p w14:paraId="003FE52A">
      <w:pPr>
        <w:tabs>
          <w:tab w:val="left" w:pos="480"/>
        </w:tabs>
        <w:snapToGrid w:val="0"/>
        <w:spacing w:line="360" w:lineRule="auto"/>
        <w:ind w:firstLine="472"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四、双方权利与义务</w:t>
      </w:r>
    </w:p>
    <w:p w14:paraId="7ABF898B">
      <w:pPr>
        <w:numPr>
          <w:ilvl w:val="0"/>
          <w:numId w:val="2"/>
        </w:numPr>
        <w:tabs>
          <w:tab w:val="left" w:pos="4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甲方的权利和义务：甲方有权利要求乙方保质保量按时将货物运送到甲方指定地点。</w:t>
      </w:r>
    </w:p>
    <w:p w14:paraId="20EDC82E">
      <w:pPr>
        <w:numPr>
          <w:ilvl w:val="0"/>
          <w:numId w:val="2"/>
        </w:numPr>
        <w:tabs>
          <w:tab w:val="left" w:pos="4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乙方的权利和义务：乙方有义务根据合同要求保质保量供货。</w:t>
      </w:r>
    </w:p>
    <w:p w14:paraId="65C42A85">
      <w:pPr>
        <w:tabs>
          <w:tab w:val="left" w:pos="480"/>
        </w:tabs>
        <w:snapToGrid w:val="0"/>
        <w:spacing w:line="360" w:lineRule="auto"/>
        <w:ind w:firstLine="472" w:firstLineChars="196"/>
        <w:rPr>
          <w:rFonts w:hint="eastAsia" w:ascii="宋体" w:hAnsi="宋体" w:eastAsia="宋体" w:cs="宋体"/>
          <w:color w:val="auto"/>
          <w:sz w:val="24"/>
          <w:highlight w:val="none"/>
        </w:rPr>
      </w:pPr>
      <w:r>
        <w:rPr>
          <w:rFonts w:hint="eastAsia" w:ascii="宋体" w:hAnsi="宋体" w:eastAsia="宋体" w:cs="宋体"/>
          <w:b/>
          <w:color w:val="auto"/>
          <w:sz w:val="24"/>
          <w:highlight w:val="none"/>
        </w:rPr>
        <w:t>五、交货条件：</w:t>
      </w:r>
    </w:p>
    <w:p w14:paraId="3C68C568">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（一）交货地点：西安市胸科医院指定地点。</w:t>
      </w:r>
    </w:p>
    <w:p w14:paraId="722C265C">
      <w:pPr>
        <w:tabs>
          <w:tab w:val="left" w:pos="480"/>
        </w:tabs>
        <w:snapToGrid w:val="0"/>
        <w:spacing w:line="360"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（二）交货期：自合同签订之日起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个日历日内完成安装调试。</w:t>
      </w:r>
    </w:p>
    <w:p w14:paraId="46FF0912">
      <w:pPr>
        <w:tabs>
          <w:tab w:val="left" w:pos="480"/>
        </w:tabs>
        <w:snapToGrid w:val="0"/>
        <w:spacing w:line="360" w:lineRule="auto"/>
        <w:ind w:firstLine="472" w:firstLineChars="196"/>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rPr>
        <w:t xml:space="preserve">六、 </w:t>
      </w:r>
      <w:r>
        <w:rPr>
          <w:rFonts w:hint="eastAsia" w:ascii="宋体" w:hAnsi="宋体" w:eastAsia="宋体" w:cs="宋体"/>
          <w:b/>
          <w:color w:val="auto"/>
          <w:sz w:val="24"/>
          <w:highlight w:val="none"/>
          <w:lang w:val="en-US" w:eastAsia="zh-CN"/>
        </w:rPr>
        <w:t>运输要求</w:t>
      </w:r>
    </w:p>
    <w:p w14:paraId="76FB4C4A">
      <w:pPr>
        <w:tabs>
          <w:tab w:val="left" w:pos="480"/>
        </w:tabs>
        <w:snapToGrid w:val="0"/>
        <w:spacing w:line="360" w:lineRule="auto"/>
        <w:ind w:firstLine="472"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运输</w:t>
      </w:r>
    </w:p>
    <w:p w14:paraId="1A33C993">
      <w:pPr>
        <w:tabs>
          <w:tab w:val="left" w:pos="480"/>
        </w:tabs>
        <w:snapToGrid w:val="0"/>
        <w:spacing w:line="360" w:lineRule="auto"/>
        <w:ind w:left="1020" w:leftChars="200" w:hanging="600" w:hanging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（一）运输由乙方负责，运杂费已包含在合同总价内，包括从货物供应地点所含的运输费、装卸费、仓储费、保险费等。</w:t>
      </w:r>
    </w:p>
    <w:p w14:paraId="3C1BE096">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（二）运输方式由乙方自行选择，但必须保证按期交货。</w:t>
      </w:r>
    </w:p>
    <w:p w14:paraId="08D9F5A4">
      <w:pPr>
        <w:tabs>
          <w:tab w:val="left" w:pos="480"/>
        </w:tabs>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包装要求</w:t>
      </w:r>
    </w:p>
    <w:p w14:paraId="4B6C7898">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（一）除合同另有规定外，乙方提供的全部货物，均应按标准保护措施进行包装。这类包装应适应于远距离运输、防潮、防震、防锈和防野蛮装卸，以确保货物安全无损运抵项目现场。</w:t>
      </w:r>
    </w:p>
    <w:p w14:paraId="0B11D2C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（二）每一个包装箱内应附一份详细装箱单和质量合格证。</w:t>
      </w:r>
    </w:p>
    <w:p w14:paraId="6387BDEB">
      <w:pPr>
        <w:snapToGrid w:val="0"/>
        <w:spacing w:line="360" w:lineRule="auto"/>
        <w:ind w:firstLine="482"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装运条件</w:t>
      </w:r>
    </w:p>
    <w:p w14:paraId="0F3BF59F">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（一）乙方负责安排货物到达交货地点的一切运输，并承担运输费用。</w:t>
      </w:r>
    </w:p>
    <w:p w14:paraId="7B147AE6">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（二）乙方装运的货物不应超过合同规定的数量或重量。否则，乙方应对因超数量或重量而产生的一切后果负责。</w:t>
      </w:r>
    </w:p>
    <w:p w14:paraId="2044562B">
      <w:pPr>
        <w:tabs>
          <w:tab w:val="left" w:pos="480"/>
        </w:tabs>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保险</w:t>
      </w:r>
    </w:p>
    <w:p w14:paraId="5DB20085">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保险范围应包括乙方装运的全部货物；由乙方办理货物在运抵目的港/项目现场途中的保险,保险应以人民币按照发票金额的110%办理“一切险”。</w:t>
      </w:r>
    </w:p>
    <w:p w14:paraId="332B3B16">
      <w:pPr>
        <w:tabs>
          <w:tab w:val="left" w:pos="480"/>
        </w:tabs>
        <w:snapToGrid w:val="0"/>
        <w:spacing w:line="360" w:lineRule="auto"/>
        <w:ind w:firstLine="472"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七、质量保证及索赔</w:t>
      </w:r>
    </w:p>
    <w:p w14:paraId="45A6DCDD">
      <w:pPr>
        <w:tabs>
          <w:tab w:val="left" w:pos="480"/>
        </w:tabs>
        <w:snapToGrid w:val="0"/>
        <w:spacing w:line="360" w:lineRule="auto"/>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乙方所供货物必须执行下列条款：</w:t>
      </w:r>
    </w:p>
    <w:p w14:paraId="058DD651">
      <w:pPr>
        <w:tabs>
          <w:tab w:val="left" w:pos="480"/>
        </w:tabs>
        <w:snapToGrid w:val="0"/>
        <w:spacing w:line="360" w:lineRule="auto"/>
        <w:ind w:left="420" w:left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（一）保证技术指标先进、质量性能可靠、进货渠道正常，配置合理，全面满足谈判要求。货物的质量技术标准按国家法律法规规定的标准，</w:t>
      </w:r>
      <w:r>
        <w:rPr>
          <w:rFonts w:hint="eastAsia" w:ascii="宋体" w:hAnsi="宋体" w:eastAsia="宋体" w:cs="宋体"/>
          <w:color w:val="auto"/>
          <w:sz w:val="24"/>
          <w:highlight w:val="none"/>
          <w:lang w:eastAsia="zh-CN"/>
        </w:rPr>
        <w:t>竞争性磋商文件</w:t>
      </w:r>
      <w:r>
        <w:rPr>
          <w:rFonts w:hint="eastAsia" w:ascii="宋体" w:hAnsi="宋体" w:eastAsia="宋体" w:cs="宋体"/>
          <w:color w:val="auto"/>
          <w:sz w:val="24"/>
          <w:highlight w:val="none"/>
        </w:rPr>
        <w:t>和乙方</w:t>
      </w:r>
      <w:r>
        <w:rPr>
          <w:rFonts w:hint="eastAsia" w:ascii="宋体" w:hAnsi="宋体" w:eastAsia="宋体" w:cs="宋体"/>
          <w:color w:val="auto"/>
          <w:sz w:val="24"/>
          <w:highlight w:val="none"/>
          <w:lang w:eastAsia="zh-CN"/>
        </w:rPr>
        <w:t>竞争性磋商响应文件</w:t>
      </w:r>
      <w:r>
        <w:rPr>
          <w:rFonts w:hint="eastAsia" w:ascii="宋体" w:hAnsi="宋体" w:eastAsia="宋体" w:cs="宋体"/>
          <w:color w:val="auto"/>
          <w:sz w:val="24"/>
          <w:highlight w:val="none"/>
        </w:rPr>
        <w:t>所需求的技术标准执行。进口产品保证是原产地生产的原装产品，否则按退货处理。</w:t>
      </w:r>
    </w:p>
    <w:p w14:paraId="2CE26B39">
      <w:pPr>
        <w:tabs>
          <w:tab w:val="left" w:pos="480"/>
        </w:tabs>
        <w:snapToGrid w:val="0"/>
        <w:spacing w:line="360" w:lineRule="auto"/>
        <w:ind w:left="416" w:leftChars="198"/>
        <w:rPr>
          <w:rFonts w:hint="eastAsia" w:ascii="宋体" w:hAnsi="宋体" w:eastAsia="宋体" w:cs="宋体"/>
          <w:color w:val="auto"/>
          <w:sz w:val="24"/>
          <w:highlight w:val="none"/>
        </w:rPr>
      </w:pPr>
      <w:r>
        <w:rPr>
          <w:rFonts w:hint="eastAsia" w:ascii="宋体" w:hAnsi="宋体" w:eastAsia="宋体" w:cs="宋体"/>
          <w:color w:val="auto"/>
          <w:sz w:val="24"/>
          <w:highlight w:val="none"/>
        </w:rPr>
        <w:t>（二）应提供设备的技术白皮书，投标响应及参数数据应和设备的技术白皮书一致，在验收时发现不一致，合同自动终止，并追究其相应的法律责任。</w:t>
      </w:r>
    </w:p>
    <w:p w14:paraId="207FBEC9">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（三）符合国家有关规范要求，确保达到最佳运行状态。</w:t>
      </w:r>
    </w:p>
    <w:p w14:paraId="567FDF52">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（四）具有良好的外观，适合安装场所的使用。</w:t>
      </w:r>
    </w:p>
    <w:p w14:paraId="45416EDE">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（五）自安装、调试正常运行并验收合格之日起：</w:t>
      </w:r>
    </w:p>
    <w:p w14:paraId="61721BB8">
      <w:pPr>
        <w:pStyle w:val="2"/>
        <w:rPr>
          <w:rFonts w:hint="eastAsia" w:eastAsia="宋体"/>
          <w:highlight w:val="none"/>
          <w:lang w:eastAsia="zh-CN"/>
        </w:rPr>
      </w:pPr>
      <w:r>
        <w:rPr>
          <w:rFonts w:hint="eastAsia" w:ascii="宋体" w:hAnsi="宋体" w:eastAsia="宋体" w:cs="宋体"/>
          <w:color w:val="auto"/>
          <w:sz w:val="24"/>
          <w:highlight w:val="none"/>
          <w:lang w:eastAsia="zh-CN"/>
        </w:rPr>
        <w:t>（以下内容由乙方填写，与响应文件保持一致）</w:t>
      </w:r>
    </w:p>
    <w:p w14:paraId="5D18BD5E">
      <w:pPr>
        <w:pStyle w:val="9"/>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整机质保</w:t>
      </w:r>
      <w:r>
        <w:rPr>
          <w:rFonts w:hint="eastAsia" w:ascii="宋体" w:hAnsi="宋体" w:eastAsia="宋体" w:cs="宋体"/>
          <w:b/>
          <w:bCs/>
          <w:color w:val="auto"/>
          <w:sz w:val="24"/>
          <w:szCs w:val="24"/>
          <w:highlight w:val="none"/>
          <w:lang w:val="zh-CN"/>
        </w:rPr>
        <w:t>XX</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rPr>
        <w:t>合同签订时，供应商需向采购人提供供应商与原厂签订的≥</w:t>
      </w:r>
      <w:r>
        <w:rPr>
          <w:rFonts w:hint="eastAsia" w:ascii="宋体" w:hAnsi="宋体" w:eastAsia="宋体" w:cs="宋体"/>
          <w:b/>
          <w:bCs/>
          <w:color w:val="auto"/>
          <w:sz w:val="24"/>
          <w:szCs w:val="24"/>
          <w:highlight w:val="none"/>
          <w:lang w:val="zh-CN"/>
        </w:rPr>
        <w:t>XX</w:t>
      </w:r>
      <w:r>
        <w:rPr>
          <w:rFonts w:hint="eastAsia" w:ascii="宋体" w:hAnsi="宋体" w:eastAsia="宋体" w:cs="宋体"/>
          <w:color w:val="auto"/>
          <w:sz w:val="24"/>
          <w:szCs w:val="24"/>
          <w:highlight w:val="none"/>
        </w:rPr>
        <w:t>年的质保合同，内容需明确已响应的质保内容和拟履约的内容，并明确质保期内出现质量问题，由原厂负责处理。质保期内7*24小时热线电话技术支持，出现故障，</w:t>
      </w:r>
      <w:r>
        <w:rPr>
          <w:rFonts w:hint="eastAsia" w:ascii="宋体" w:hAnsi="宋体" w:eastAsia="宋体" w:cs="宋体"/>
          <w:b/>
          <w:bCs/>
          <w:color w:val="auto"/>
          <w:sz w:val="24"/>
          <w:szCs w:val="24"/>
          <w:highlight w:val="none"/>
          <w:lang w:val="zh-CN"/>
        </w:rPr>
        <w:t>XX</w:t>
      </w:r>
      <w:r>
        <w:rPr>
          <w:rFonts w:hint="eastAsia" w:ascii="宋体" w:hAnsi="宋体" w:eastAsia="宋体" w:cs="宋体"/>
          <w:color w:val="auto"/>
          <w:sz w:val="24"/>
          <w:szCs w:val="24"/>
          <w:highlight w:val="none"/>
        </w:rPr>
        <w:t>小时内电话响应，</w:t>
      </w:r>
      <w:r>
        <w:rPr>
          <w:rFonts w:hint="eastAsia" w:ascii="宋体" w:hAnsi="宋体" w:eastAsia="宋体" w:cs="宋体"/>
          <w:b/>
          <w:bCs/>
          <w:color w:val="auto"/>
          <w:sz w:val="24"/>
          <w:szCs w:val="24"/>
          <w:highlight w:val="none"/>
          <w:lang w:val="zh-CN"/>
        </w:rPr>
        <w:t>XX</w:t>
      </w:r>
      <w:r>
        <w:rPr>
          <w:rFonts w:hint="eastAsia" w:ascii="宋体" w:hAnsi="宋体" w:eastAsia="宋体" w:cs="宋体"/>
          <w:color w:val="auto"/>
          <w:sz w:val="24"/>
          <w:szCs w:val="24"/>
          <w:highlight w:val="none"/>
        </w:rPr>
        <w:t>小时内现场响应。若问题故障在检修</w:t>
      </w:r>
      <w:r>
        <w:rPr>
          <w:rFonts w:hint="eastAsia" w:ascii="宋体" w:hAnsi="宋体" w:eastAsia="宋体" w:cs="宋体"/>
          <w:b/>
          <w:bCs/>
          <w:color w:val="auto"/>
          <w:sz w:val="24"/>
          <w:szCs w:val="24"/>
          <w:highlight w:val="none"/>
          <w:lang w:val="zh-CN"/>
        </w:rPr>
        <w:t>XX</w:t>
      </w:r>
      <w:r>
        <w:rPr>
          <w:rFonts w:hint="eastAsia" w:ascii="宋体" w:hAnsi="宋体" w:eastAsia="宋体" w:cs="宋体"/>
          <w:color w:val="auto"/>
          <w:sz w:val="24"/>
          <w:szCs w:val="24"/>
          <w:highlight w:val="none"/>
        </w:rPr>
        <w:t>小时后仍无法解决，供应商应在</w:t>
      </w:r>
      <w:r>
        <w:rPr>
          <w:rFonts w:hint="eastAsia" w:ascii="宋体" w:hAnsi="宋体" w:eastAsia="宋体" w:cs="宋体"/>
          <w:b/>
          <w:bCs/>
          <w:color w:val="auto"/>
          <w:sz w:val="24"/>
          <w:szCs w:val="24"/>
          <w:highlight w:val="none"/>
          <w:lang w:val="zh-CN"/>
        </w:rPr>
        <w:t>XX</w:t>
      </w:r>
      <w:r>
        <w:rPr>
          <w:rFonts w:hint="eastAsia" w:ascii="宋体" w:hAnsi="宋体" w:eastAsia="宋体" w:cs="宋体"/>
          <w:color w:val="auto"/>
          <w:sz w:val="24"/>
          <w:szCs w:val="24"/>
          <w:highlight w:val="none"/>
        </w:rPr>
        <w:t>小时内免费提供不低于现有规格型号的备用机供医院使用，直至问题故障处理完毕。质保期内如同一主要部件两次以上质量问题经过维修后仍无法正常使用的，必须更换同型号、同规格的产品。质保期外，终身维护，如出现故障，仅收取维修部件成本费（不收取人工费、差旅费等，备品备件应以低于市场价的优惠价格提供，备件质保期≥</w:t>
      </w:r>
      <w:r>
        <w:rPr>
          <w:rFonts w:hint="eastAsia" w:ascii="宋体" w:hAnsi="宋体" w:eastAsia="宋体" w:cs="宋体"/>
          <w:b/>
          <w:bCs/>
          <w:color w:val="auto"/>
          <w:sz w:val="24"/>
          <w:szCs w:val="24"/>
          <w:highlight w:val="none"/>
          <w:lang w:val="zh-CN"/>
        </w:rPr>
        <w:t>XX</w:t>
      </w:r>
      <w:r>
        <w:rPr>
          <w:rFonts w:hint="eastAsia" w:ascii="宋体" w:hAnsi="宋体" w:eastAsia="宋体" w:cs="宋体"/>
          <w:color w:val="auto"/>
          <w:sz w:val="24"/>
          <w:szCs w:val="24"/>
          <w:highlight w:val="none"/>
        </w:rPr>
        <w:t>个月）。</w:t>
      </w:r>
    </w:p>
    <w:p w14:paraId="760300AB">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2、不得对设备设置密码，</w:t>
      </w:r>
      <w:r>
        <w:rPr>
          <w:rFonts w:hint="eastAsia" w:ascii="宋体" w:hAnsi="宋体" w:eastAsia="宋体" w:cs="宋体"/>
          <w:color w:val="auto"/>
          <w:sz w:val="24"/>
          <w:highlight w:val="none"/>
          <w:lang w:eastAsia="zh-CN"/>
        </w:rPr>
        <w:t>否则</w:t>
      </w:r>
      <w:r>
        <w:rPr>
          <w:rFonts w:hint="eastAsia" w:ascii="宋体" w:hAnsi="宋体" w:eastAsia="宋体" w:cs="宋体"/>
          <w:color w:val="auto"/>
          <w:sz w:val="24"/>
          <w:highlight w:val="none"/>
        </w:rPr>
        <w:t>要求其承担</w:t>
      </w:r>
      <w:r>
        <w:rPr>
          <w:rFonts w:hint="eastAsia" w:ascii="宋体" w:hAnsi="宋体" w:eastAsia="宋体" w:cs="宋体"/>
          <w:color w:val="auto"/>
          <w:sz w:val="24"/>
          <w:highlight w:val="none"/>
          <w:lang w:eastAsia="zh-CN"/>
        </w:rPr>
        <w:t>合同总价款的</w:t>
      </w:r>
      <w:r>
        <w:rPr>
          <w:rFonts w:hint="eastAsia" w:ascii="宋体" w:hAnsi="宋体" w:eastAsia="宋体" w:cs="宋体"/>
          <w:color w:val="auto"/>
          <w:sz w:val="24"/>
          <w:highlight w:val="none"/>
        </w:rPr>
        <w:t>30%的违约金，否则承担发生的所有损失。</w:t>
      </w:r>
    </w:p>
    <w:p w14:paraId="3CA73B0A">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、附设备清单及质保期后保养维修报价清单。</w:t>
      </w:r>
    </w:p>
    <w:p w14:paraId="215F3694">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、保证设备连续正常运行五年，所需各种易损件、备品备件和专用维修工具等所产生费用由乙方自行承担，并免费安装、调试。</w:t>
      </w:r>
    </w:p>
    <w:p w14:paraId="75BAC2F9">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、免费提供软件升级和更新。</w:t>
      </w:r>
    </w:p>
    <w:p w14:paraId="027EC322">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六）乙方保证所供货物是全新的、出厂≤12个月，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并免费进行退、换、修等直至故障消除。乙方承诺不因质保期届满而拒绝处理。</w:t>
      </w:r>
    </w:p>
    <w:p w14:paraId="2254A9E6">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（七）在质保期内，如果货物的质量、规格、技术指标等与合同有任何一项不符，甲方应尽快以书面形式向乙方提出索赔，乙方应及时响应并解决。</w:t>
      </w:r>
    </w:p>
    <w:p w14:paraId="79E6A733">
      <w:pPr>
        <w:snapToGrid w:val="0"/>
        <w:spacing w:line="360" w:lineRule="auto"/>
        <w:ind w:firstLine="241" w:firstLineChars="1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八、售后服务</w:t>
      </w:r>
    </w:p>
    <w:p w14:paraId="0AFA89A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乙方所供货物提供以下售后服务：</w:t>
      </w:r>
    </w:p>
    <w:p w14:paraId="470E3BBB">
      <w:pPr>
        <w:numPr>
          <w:ilvl w:val="0"/>
          <w:numId w:val="3"/>
        </w:num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质保期内：</w:t>
      </w:r>
    </w:p>
    <w:p w14:paraId="16BED9E4">
      <w:pPr>
        <w:pStyle w:val="2"/>
        <w:rPr>
          <w:rFonts w:hint="eastAsia" w:eastAsia="宋体"/>
          <w:highlight w:val="none"/>
          <w:lang w:eastAsia="zh-CN"/>
        </w:rPr>
      </w:pPr>
      <w:r>
        <w:rPr>
          <w:rFonts w:hint="eastAsia" w:ascii="宋体" w:hAnsi="宋体" w:eastAsia="宋体" w:cs="宋体"/>
          <w:color w:val="auto"/>
          <w:sz w:val="24"/>
          <w:highlight w:val="none"/>
          <w:lang w:eastAsia="zh-CN"/>
        </w:rPr>
        <w:t>（以下内容由乙方填写，与响应文件保持一致）</w:t>
      </w:r>
    </w:p>
    <w:p w14:paraId="302FED71">
      <w:pPr>
        <w:pStyle w:val="2"/>
        <w:rPr>
          <w:rFonts w:hint="eastAsia"/>
          <w:highlight w:val="none"/>
        </w:rPr>
      </w:pPr>
    </w:p>
    <w:p w14:paraId="6A76EECB">
      <w:pPr>
        <w:snapToGrid w:val="0"/>
        <w:spacing w:line="360" w:lineRule="auto"/>
        <w:ind w:left="420"/>
        <w:rPr>
          <w:rFonts w:hint="eastAsia" w:ascii="宋体" w:hAnsi="宋体" w:eastAsia="宋体" w:cs="宋体"/>
          <w:color w:val="auto"/>
          <w:sz w:val="24"/>
          <w:highlight w:val="none"/>
        </w:rPr>
      </w:pPr>
      <w:r>
        <w:rPr>
          <w:rFonts w:hint="eastAsia" w:ascii="宋体" w:hAnsi="宋体" w:eastAsia="宋体" w:cs="宋体"/>
          <w:color w:val="auto"/>
          <w:sz w:val="24"/>
          <w:highlight w:val="none"/>
        </w:rPr>
        <w:t>1、质保期为</w:t>
      </w:r>
      <w:r>
        <w:rPr>
          <w:rFonts w:hint="eastAsia" w:ascii="宋体" w:hAnsi="宋体" w:eastAsia="宋体" w:cs="宋体"/>
          <w:sz w:val="24"/>
          <w:szCs w:val="24"/>
          <w:highlight w:val="none"/>
        </w:rPr>
        <w:t>设备安装验收合格后开始计算质保期，</w:t>
      </w:r>
      <w:r>
        <w:rPr>
          <w:rFonts w:hint="eastAsia" w:ascii="宋体" w:hAnsi="宋体" w:eastAsia="宋体" w:cs="宋体"/>
          <w:color w:val="auto"/>
          <w:sz w:val="24"/>
          <w:highlight w:val="none"/>
          <w:u w:val="single"/>
        </w:rPr>
        <w:t xml:space="preserve">   </w:t>
      </w:r>
      <w:r>
        <w:rPr>
          <w:rFonts w:hint="eastAsia" w:ascii="宋体" w:hAnsi="宋体" w:eastAsia="宋体" w:cs="宋体"/>
          <w:sz w:val="24"/>
          <w:szCs w:val="24"/>
          <w:highlight w:val="none"/>
        </w:rPr>
        <w:t>年，设备使用期内，提供7</w:t>
      </w:r>
      <w:r>
        <w:rPr>
          <w:rFonts w:ascii="宋体" w:hAnsi="宋体" w:eastAsia="宋体" w:cs="宋体"/>
          <w:sz w:val="24"/>
          <w:szCs w:val="24"/>
          <w:highlight w:val="none"/>
        </w:rPr>
        <w:t>*24</w:t>
      </w:r>
      <w:r>
        <w:rPr>
          <w:rFonts w:hint="eastAsia" w:ascii="宋体" w:hAnsi="宋体" w:eastAsia="宋体" w:cs="宋体"/>
          <w:sz w:val="24"/>
          <w:szCs w:val="24"/>
          <w:highlight w:val="none"/>
        </w:rPr>
        <w:t>小时服务，在接到用户维修要求后</w:t>
      </w:r>
      <w:r>
        <w:rPr>
          <w:rFonts w:hint="eastAsia" w:ascii="宋体" w:hAnsi="宋体" w:eastAsia="宋体" w:cs="宋体"/>
          <w:color w:val="auto"/>
          <w:sz w:val="24"/>
          <w:highlight w:val="none"/>
          <w:u w:val="single"/>
        </w:rPr>
        <w:t xml:space="preserve">   </w:t>
      </w:r>
      <w:r>
        <w:rPr>
          <w:rFonts w:hint="eastAsia" w:ascii="宋体" w:hAnsi="宋体" w:eastAsia="宋体" w:cs="宋体"/>
          <w:sz w:val="24"/>
          <w:szCs w:val="24"/>
          <w:highlight w:val="none"/>
        </w:rPr>
        <w:t>小时内电话响应，</w:t>
      </w:r>
      <w:r>
        <w:rPr>
          <w:rFonts w:hint="eastAsia" w:ascii="宋体" w:hAnsi="宋体" w:eastAsia="宋体" w:cs="宋体"/>
          <w:color w:val="auto"/>
          <w:sz w:val="24"/>
          <w:highlight w:val="none"/>
          <w:u w:val="single"/>
        </w:rPr>
        <w:t xml:space="preserve">   </w:t>
      </w:r>
      <w:r>
        <w:rPr>
          <w:rFonts w:hint="eastAsia" w:ascii="宋体" w:hAnsi="宋体" w:eastAsia="宋体" w:cs="宋体"/>
          <w:sz w:val="24"/>
          <w:szCs w:val="24"/>
          <w:highlight w:val="none"/>
        </w:rPr>
        <w:t>小时内到达现场处理，2</w:t>
      </w:r>
      <w:r>
        <w:rPr>
          <w:rFonts w:ascii="宋体" w:hAnsi="宋体" w:eastAsia="宋体" w:cs="宋体"/>
          <w:sz w:val="24"/>
          <w:szCs w:val="24"/>
          <w:highlight w:val="none"/>
        </w:rPr>
        <w:t>4</w:t>
      </w:r>
      <w:r>
        <w:rPr>
          <w:rFonts w:hint="eastAsia" w:ascii="宋体" w:hAnsi="宋体" w:eastAsia="宋体" w:cs="宋体"/>
          <w:sz w:val="24"/>
          <w:szCs w:val="24"/>
          <w:highlight w:val="none"/>
        </w:rPr>
        <w:t>小时内维修完成，如2</w:t>
      </w:r>
      <w:r>
        <w:rPr>
          <w:rFonts w:ascii="宋体" w:hAnsi="宋体" w:eastAsia="宋体" w:cs="宋体"/>
          <w:sz w:val="24"/>
          <w:szCs w:val="24"/>
          <w:highlight w:val="none"/>
        </w:rPr>
        <w:t>4</w:t>
      </w:r>
      <w:r>
        <w:rPr>
          <w:rFonts w:hint="eastAsia" w:ascii="宋体" w:hAnsi="宋体" w:eastAsia="宋体" w:cs="宋体"/>
          <w:sz w:val="24"/>
          <w:szCs w:val="24"/>
          <w:highlight w:val="none"/>
        </w:rPr>
        <w:t>小时内不能维修好，则在7</w:t>
      </w:r>
      <w:r>
        <w:rPr>
          <w:rFonts w:ascii="宋体" w:hAnsi="宋体" w:eastAsia="宋体" w:cs="宋体"/>
          <w:sz w:val="24"/>
          <w:szCs w:val="24"/>
          <w:highlight w:val="none"/>
        </w:rPr>
        <w:t>2</w:t>
      </w:r>
      <w:r>
        <w:rPr>
          <w:rFonts w:hint="eastAsia" w:ascii="宋体" w:hAnsi="宋体" w:eastAsia="宋体" w:cs="宋体"/>
          <w:sz w:val="24"/>
          <w:szCs w:val="24"/>
          <w:highlight w:val="none"/>
        </w:rPr>
        <w:t>小时内提供不低于该型号的备用机。设备终身维修，质保期外零部件供应仅收取配件费，不得收取人工费、差旅交通费等。如同一部件故障两次以上，且两次维修以后同样部位再次故障，需免费更换同型号新机。</w:t>
      </w:r>
    </w:p>
    <w:p w14:paraId="6A5D0A6F">
      <w:pPr>
        <w:snapToGrid w:val="0"/>
        <w:spacing w:line="360" w:lineRule="auto"/>
        <w:ind w:left="420"/>
        <w:rPr>
          <w:rFonts w:hint="eastAsia" w:ascii="宋体" w:hAnsi="宋体" w:eastAsia="宋体" w:cs="宋体"/>
          <w:color w:val="auto"/>
          <w:sz w:val="24"/>
          <w:highlight w:val="none"/>
        </w:rPr>
      </w:pPr>
      <w:r>
        <w:rPr>
          <w:rFonts w:hint="eastAsia" w:ascii="宋体" w:hAnsi="宋体" w:eastAsia="宋体" w:cs="宋体"/>
          <w:color w:val="auto"/>
          <w:sz w:val="24"/>
          <w:highlight w:val="none"/>
        </w:rPr>
        <w:t>2、发生质量（包括软件部分）问题，接到甲方通知后，应于当日派出专业的维修人员到现场进行检测维修。发生的全部费用由乙方承担，若需送回生产厂，乙方承担往返费用；</w:t>
      </w:r>
    </w:p>
    <w:p w14:paraId="057C1B64">
      <w:pPr>
        <w:snapToGrid w:val="0"/>
        <w:spacing w:line="360" w:lineRule="auto"/>
        <w:ind w:left="420"/>
        <w:rPr>
          <w:rFonts w:hint="eastAsia" w:ascii="宋体" w:hAnsi="宋体" w:eastAsia="宋体" w:cs="宋体"/>
          <w:color w:val="auto"/>
          <w:sz w:val="24"/>
          <w:highlight w:val="none"/>
        </w:rPr>
      </w:pPr>
      <w:r>
        <w:rPr>
          <w:rFonts w:hint="eastAsia" w:ascii="宋体" w:hAnsi="宋体" w:eastAsia="宋体" w:cs="宋体"/>
          <w:color w:val="auto"/>
          <w:sz w:val="24"/>
          <w:highlight w:val="none"/>
        </w:rPr>
        <w:t>3、每月派技术人员到现场走访，给予检查维护；</w:t>
      </w:r>
    </w:p>
    <w:p w14:paraId="00CA8EBF">
      <w:pPr>
        <w:snapToGrid w:val="0"/>
        <w:spacing w:line="360" w:lineRule="auto"/>
        <w:ind w:left="420"/>
        <w:rPr>
          <w:rFonts w:hint="eastAsia" w:ascii="宋体" w:hAnsi="宋体" w:eastAsia="宋体" w:cs="宋体"/>
          <w:color w:val="auto"/>
          <w:sz w:val="24"/>
          <w:highlight w:val="none"/>
        </w:rPr>
      </w:pPr>
      <w:r>
        <w:rPr>
          <w:rFonts w:hint="eastAsia" w:ascii="宋体" w:hAnsi="宋体" w:eastAsia="宋体" w:cs="宋体"/>
          <w:color w:val="auto"/>
          <w:sz w:val="24"/>
          <w:highlight w:val="none"/>
        </w:rPr>
        <w:t>4、排除故障的期限不得超过</w:t>
      </w:r>
      <w:r>
        <w:rPr>
          <w:rFonts w:hint="eastAsia" w:ascii="宋体" w:hAnsi="宋体" w:eastAsia="宋体" w:cs="宋体"/>
          <w:b/>
          <w:bCs/>
          <w:color w:val="auto"/>
          <w:sz w:val="24"/>
          <w:highlight w:val="none"/>
          <w:lang w:val="zh-CN"/>
        </w:rPr>
        <w:t>XX</w:t>
      </w:r>
      <w:r>
        <w:rPr>
          <w:rFonts w:hint="eastAsia" w:ascii="宋体" w:hAnsi="宋体" w:eastAsia="宋体" w:cs="宋体"/>
          <w:color w:val="auto"/>
          <w:sz w:val="24"/>
          <w:highlight w:val="none"/>
        </w:rPr>
        <w:t>小时。否则甲方有权指定第三方维修，维修费用由乙方承担。甲方可在货款和其他应付乙方款项中、乙方提供履约保函中扣除。</w:t>
      </w:r>
    </w:p>
    <w:p w14:paraId="696C5EAD">
      <w:pPr>
        <w:snapToGrid w:val="0"/>
        <w:spacing w:line="360" w:lineRule="auto"/>
        <w:ind w:left="420"/>
        <w:rPr>
          <w:rFonts w:hint="eastAsia" w:ascii="宋体" w:hAnsi="宋体" w:eastAsia="宋体" w:cs="宋体"/>
          <w:color w:val="auto"/>
          <w:sz w:val="24"/>
          <w:highlight w:val="none"/>
        </w:rPr>
      </w:pPr>
      <w:r>
        <w:rPr>
          <w:rFonts w:hint="eastAsia" w:ascii="宋体" w:hAnsi="宋体" w:eastAsia="宋体" w:cs="宋体"/>
          <w:color w:val="auto"/>
          <w:sz w:val="24"/>
          <w:highlight w:val="none"/>
        </w:rPr>
        <w:t>5、如因乙方物品质量问题，导致甲方损失，乙方应予以赔偿。</w:t>
      </w:r>
    </w:p>
    <w:p w14:paraId="46E3A10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（二）质保期结束前，进行系统测试，全面保养维护，确保正常运行。</w:t>
      </w:r>
    </w:p>
    <w:p w14:paraId="2B98AACE">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（三）质保期结束后，厂家对设备终身维护，维修只能按市场最低价收取配件费，人工服务费全免，并提供技术支持。</w:t>
      </w:r>
    </w:p>
    <w:p w14:paraId="419729FF">
      <w:pPr>
        <w:tabs>
          <w:tab w:val="left" w:pos="480"/>
        </w:tabs>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九、技术与服务</w:t>
      </w:r>
    </w:p>
    <w:p w14:paraId="516526C8">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（一）技术资料：</w:t>
      </w:r>
    </w:p>
    <w:p w14:paraId="4F8E0BD5">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1、货物使用说明书（中文对照）；</w:t>
      </w:r>
    </w:p>
    <w:p w14:paraId="0E3F28B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2、检验测试报告；</w:t>
      </w:r>
    </w:p>
    <w:p w14:paraId="1F027F6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3、其它资料。</w:t>
      </w:r>
    </w:p>
    <w:p w14:paraId="113976F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（二）服务承诺：以谈判响应文件、澄清表（函）、合同和随货物的相关文件为准。</w:t>
      </w:r>
    </w:p>
    <w:p w14:paraId="212A3B2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（三）伴随服务</w:t>
      </w:r>
    </w:p>
    <w:p w14:paraId="55CE018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1.乙方应随同每套货物提供相应的每一套设备和仪器的中文的技术文件。例如：产品目录、图纸、操作手册、使用说明、维护手册或服务指南等；</w:t>
      </w:r>
    </w:p>
    <w:p w14:paraId="4BBA45E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2.对于合同附件中有要求的货物，乙方还应提供下列服务：</w:t>
      </w:r>
    </w:p>
    <w:p w14:paraId="3F429C6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1）货物的现场安装、调试和启动监督；</w:t>
      </w:r>
    </w:p>
    <w:p w14:paraId="71FB96C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2）提供货物组装和维修所需的工具，提供货物调试所需的耗材等。</w:t>
      </w:r>
    </w:p>
    <w:p w14:paraId="434A585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3）在双方商定的一定期限内对所供货物实施运行监督、维修，但前提条件是该服务并不能免除乙方在质量保证期应承担的义务。</w:t>
      </w:r>
    </w:p>
    <w:p w14:paraId="5C42F678">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4）在厂家或在项目现场就货物的安装、启动、运营、维护对甲方人员进行培训。</w:t>
      </w:r>
    </w:p>
    <w:p w14:paraId="6D2D111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3.伴随服务的费用已含在合同价中，不单独进行支付。</w:t>
      </w:r>
    </w:p>
    <w:p w14:paraId="53140857">
      <w:pPr>
        <w:tabs>
          <w:tab w:val="left" w:pos="480"/>
        </w:tabs>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十、培训</w:t>
      </w:r>
    </w:p>
    <w:p w14:paraId="354C7D68">
      <w:pPr>
        <w:pStyle w:val="2"/>
        <w:rPr>
          <w:rFonts w:hint="eastAsia" w:eastAsia="宋体"/>
          <w:highlight w:val="none"/>
          <w:lang w:eastAsia="zh-CN"/>
        </w:rPr>
      </w:pPr>
      <w:r>
        <w:rPr>
          <w:rFonts w:hint="eastAsia" w:ascii="宋体" w:hAnsi="宋体" w:eastAsia="宋体" w:cs="宋体"/>
          <w:color w:val="auto"/>
          <w:sz w:val="24"/>
          <w:highlight w:val="none"/>
          <w:lang w:eastAsia="zh-CN"/>
        </w:rPr>
        <w:t>（以下内容由乙方填写，与响应文件保持一致）</w:t>
      </w:r>
    </w:p>
    <w:p w14:paraId="74E67F7A">
      <w:pPr>
        <w:pStyle w:val="2"/>
        <w:rPr>
          <w:rFonts w:hint="eastAsia"/>
          <w:highlight w:val="none"/>
        </w:rPr>
      </w:pPr>
    </w:p>
    <w:p w14:paraId="55D447D7">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全程由乙方提供专业临床医生现场培训操作，地点在当地或者省会中心城市，保证使用人员正常操作设备。包括设备操作、日常维护及保养、简单的故障排查与维修等内容，受培训人员不限，以受培训人员熟练掌握技术并能开展工作为原则，乙方应当随时响应甲方使用人员咨询；乙方提供培训</w:t>
      </w:r>
      <w:r>
        <w:rPr>
          <w:rFonts w:hint="eastAsia" w:ascii="宋体" w:hAnsi="宋体" w:eastAsia="宋体" w:cs="宋体"/>
          <w:b/>
          <w:bCs/>
          <w:color w:val="auto"/>
          <w:sz w:val="24"/>
          <w:highlight w:val="none"/>
          <w:lang w:val="zh-CN"/>
        </w:rPr>
        <w:t>XX</w:t>
      </w:r>
      <w:r>
        <w:rPr>
          <w:rFonts w:hint="eastAsia" w:ascii="宋体" w:hAnsi="宋体" w:eastAsia="宋体" w:cs="宋体"/>
          <w:color w:val="auto"/>
          <w:sz w:val="24"/>
          <w:highlight w:val="none"/>
        </w:rPr>
        <w:t>次，培训时间不小于</w:t>
      </w:r>
      <w:r>
        <w:rPr>
          <w:rFonts w:hint="eastAsia" w:ascii="宋体" w:hAnsi="宋体" w:eastAsia="宋体" w:cs="宋体"/>
          <w:b/>
          <w:bCs/>
          <w:color w:val="auto"/>
          <w:sz w:val="24"/>
          <w:highlight w:val="none"/>
          <w:lang w:val="zh-CN"/>
        </w:rPr>
        <w:t>XX</w:t>
      </w:r>
      <w:r>
        <w:rPr>
          <w:rFonts w:hint="eastAsia" w:ascii="宋体" w:hAnsi="宋体" w:eastAsia="宋体" w:cs="宋体"/>
          <w:color w:val="auto"/>
          <w:sz w:val="24"/>
          <w:highlight w:val="none"/>
        </w:rPr>
        <w:t>个月/人次，甲方要求乙方提供培训的，乙方应当优先安排，所有费用由乙方承担。</w:t>
      </w:r>
    </w:p>
    <w:p w14:paraId="6D985C71">
      <w:pPr>
        <w:tabs>
          <w:tab w:val="left" w:pos="480"/>
        </w:tabs>
        <w:snapToGrid w:val="0"/>
        <w:spacing w:line="360" w:lineRule="auto"/>
        <w:ind w:firstLine="479" w:firstLineChars="19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十一、验收</w:t>
      </w:r>
    </w:p>
    <w:p w14:paraId="724DD98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（一）货物到达甲方指定地点后，甲方根据合同要求，</w:t>
      </w:r>
      <w:r>
        <w:rPr>
          <w:rFonts w:hint="eastAsia" w:ascii="宋体" w:hAnsi="宋体" w:eastAsia="宋体" w:cs="宋体"/>
          <w:color w:val="auto"/>
          <w:sz w:val="24"/>
          <w:highlight w:val="none"/>
          <w:lang w:eastAsia="zh-CN"/>
        </w:rPr>
        <w:t>甲乙</w:t>
      </w:r>
      <w:r>
        <w:rPr>
          <w:rFonts w:hint="eastAsia" w:ascii="宋体" w:hAnsi="宋体" w:eastAsia="宋体" w:cs="宋体"/>
          <w:color w:val="auto"/>
          <w:sz w:val="24"/>
          <w:highlight w:val="none"/>
        </w:rPr>
        <w:t>双方共同进行外观验收，确认产地、规格、型号和数量。外观验收，不作为付款条件也不免除乙方在本协议项下应承担的义务和责任，甲方保留对设备提出异议的权利。</w:t>
      </w:r>
    </w:p>
    <w:p w14:paraId="4029BD97">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（二）货物安装、调试并正常运行后，由乙方进行自检，合格后，准备验收文件，并书面通知甲方。</w:t>
      </w:r>
    </w:p>
    <w:p w14:paraId="3C312A55">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（三）甲方确认乙方的自检内容后，组织乙方（必要时请有关专家）进行系统验收，验收合格后，填写设备验收单（一式四份）作为对货物的最终认可。</w:t>
      </w:r>
    </w:p>
    <w:p w14:paraId="3EB19CC8">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（四）乙方向甲方提交货物实施过程中的所有资料，以便甲方日后管理和维护。</w:t>
      </w:r>
    </w:p>
    <w:p w14:paraId="57E44E5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（五）验收依据：</w:t>
      </w:r>
    </w:p>
    <w:p w14:paraId="451E0445">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竞争性磋商响应文件</w:t>
      </w:r>
      <w:r>
        <w:rPr>
          <w:rFonts w:hint="eastAsia" w:ascii="宋体" w:hAnsi="宋体" w:eastAsia="宋体" w:cs="宋体"/>
          <w:color w:val="auto"/>
          <w:sz w:val="24"/>
          <w:highlight w:val="none"/>
        </w:rPr>
        <w:t>、投标响应文件；</w:t>
      </w:r>
    </w:p>
    <w:p w14:paraId="632B492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2、本合同及附件文本；</w:t>
      </w:r>
    </w:p>
    <w:p w14:paraId="4071FF7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3、国家、行业相应的标准、规范。</w:t>
      </w:r>
    </w:p>
    <w:p w14:paraId="62263F87">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（六）检验：</w:t>
      </w:r>
    </w:p>
    <w:p w14:paraId="0977B90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1、在交货前，制造商应对设备的质量、规格、数量等进行准确而全面的检验，并出具合格证、产品说明书等材料，随设备共同交甲方。</w:t>
      </w:r>
    </w:p>
    <w:p w14:paraId="778F96E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2、设备到货后，由</w:t>
      </w:r>
      <w:r>
        <w:rPr>
          <w:rFonts w:hint="eastAsia" w:ascii="宋体" w:hAnsi="宋体" w:eastAsia="宋体" w:cs="宋体"/>
          <w:color w:val="auto"/>
          <w:sz w:val="24"/>
          <w:highlight w:val="none"/>
          <w:lang w:eastAsia="zh-CN"/>
        </w:rPr>
        <w:t>甲方</w:t>
      </w:r>
      <w:r>
        <w:rPr>
          <w:rFonts w:hint="eastAsia" w:ascii="宋体" w:hAnsi="宋体" w:eastAsia="宋体" w:cs="宋体"/>
          <w:color w:val="auto"/>
          <w:sz w:val="24"/>
          <w:highlight w:val="none"/>
        </w:rPr>
        <w:t>根据合同要求进行本条约定的验收事宜。验收完成后，填写政府采购设备验收单，并由甲、乙、鉴证方加盖公章确认，以便办理结算手续。</w:t>
      </w:r>
    </w:p>
    <w:p w14:paraId="5D2996F2">
      <w:pPr>
        <w:tabs>
          <w:tab w:val="left" w:pos="480"/>
        </w:tabs>
        <w:snapToGrid w:val="0"/>
        <w:spacing w:line="360" w:lineRule="auto"/>
        <w:ind w:left="1202" w:leftChars="228" w:hanging="723" w:hangingChars="3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十二、乙方履约延误</w:t>
      </w:r>
    </w:p>
    <w:p w14:paraId="6715E5FF">
      <w:pPr>
        <w:numPr>
          <w:ilvl w:val="0"/>
          <w:numId w:val="4"/>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如乙方事先未征得甲方同意并得到甲方的谅解而单方面延迟交货，将按违约终止合同。</w:t>
      </w:r>
    </w:p>
    <w:p w14:paraId="4916FD3F">
      <w:pPr>
        <w:numPr>
          <w:ilvl w:val="0"/>
          <w:numId w:val="4"/>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金以逾期一日向甲方支付合同总价款5 ‰的违约金。</w:t>
      </w:r>
    </w:p>
    <w:p w14:paraId="1A41C6A0">
      <w:pPr>
        <w:tabs>
          <w:tab w:val="left" w:pos="480"/>
        </w:tabs>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十三、违约责任</w:t>
      </w:r>
    </w:p>
    <w:p w14:paraId="3FE50715">
      <w:pPr>
        <w:numPr>
          <w:ilvl w:val="0"/>
          <w:numId w:val="0"/>
        </w:numPr>
        <w:snapToGrid w:val="0"/>
        <w:spacing w:line="360" w:lineRule="auto"/>
        <w:ind w:left="420"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（一）</w:t>
      </w:r>
      <w:r>
        <w:rPr>
          <w:rFonts w:hint="eastAsia" w:ascii="宋体" w:hAnsi="宋体" w:eastAsia="宋体" w:cs="宋体"/>
          <w:color w:val="auto"/>
          <w:sz w:val="24"/>
          <w:highlight w:val="none"/>
        </w:rPr>
        <w:t>按《中华人民共和国政府采购法》、《中华人民共和国民法典》中的相关条款执行。</w:t>
      </w:r>
    </w:p>
    <w:p w14:paraId="588471EA">
      <w:pPr>
        <w:numPr>
          <w:ilvl w:val="0"/>
          <w:numId w:val="0"/>
        </w:numPr>
        <w:snapToGrid w:val="0"/>
        <w:spacing w:line="360" w:lineRule="auto"/>
        <w:ind w:left="420"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（二）乙方</w:t>
      </w:r>
      <w:r>
        <w:rPr>
          <w:rFonts w:hint="eastAsia" w:ascii="宋体" w:hAnsi="宋体" w:eastAsia="宋体" w:cs="宋体"/>
          <w:color w:val="auto"/>
          <w:sz w:val="24"/>
          <w:highlight w:val="none"/>
        </w:rPr>
        <w:t>的违约责任：</w:t>
      </w:r>
    </w:p>
    <w:p w14:paraId="48030D56">
      <w:pPr>
        <w:numPr>
          <w:ilvl w:val="0"/>
          <w:numId w:val="0"/>
        </w:numPr>
        <w:snapToGrid w:val="0"/>
        <w:spacing w:line="360" w:lineRule="auto"/>
        <w:ind w:left="420"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未按合同要求提供货物或质量不能满足谈判技术要求，乙方必须无条件</w:t>
      </w:r>
    </w:p>
    <w:p w14:paraId="4B56F496">
      <w:pPr>
        <w:numPr>
          <w:ilvl w:val="0"/>
          <w:numId w:val="0"/>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更换，提高技术，完善质量，否则，甲方有权终止合同，并要求其承担</w:t>
      </w:r>
      <w:r>
        <w:rPr>
          <w:rFonts w:hint="eastAsia" w:ascii="宋体" w:hAnsi="宋体" w:eastAsia="宋体" w:cs="宋体"/>
          <w:color w:val="auto"/>
          <w:sz w:val="24"/>
          <w:highlight w:val="none"/>
          <w:lang w:eastAsia="zh-CN"/>
        </w:rPr>
        <w:t>合同总价款的</w:t>
      </w:r>
      <w:r>
        <w:rPr>
          <w:rFonts w:hint="eastAsia" w:ascii="宋体" w:hAnsi="宋体" w:eastAsia="宋体" w:cs="宋体"/>
          <w:color w:val="auto"/>
          <w:sz w:val="24"/>
          <w:highlight w:val="none"/>
        </w:rPr>
        <w:t>30%的违约金及其他损失，并对乙方的违约行为报监管机构进行相应的处罚。</w:t>
      </w:r>
    </w:p>
    <w:p w14:paraId="69D7B90B">
      <w:pPr>
        <w:numPr>
          <w:ilvl w:val="0"/>
          <w:numId w:val="5"/>
        </w:num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逾期交货，逾期一日需向甲方支付合同总价款5 ‰的违约金；迟延交货15天以上的，甲方有权解除合同，拒收设备，同时，乙方应向甲方退还已经支付的全部款项，并支付合同总价款30%违约金，并赔偿由此造成甲方的全部损失。</w:t>
      </w:r>
    </w:p>
    <w:p w14:paraId="68E45501">
      <w:pPr>
        <w:numPr>
          <w:ilvl w:val="0"/>
          <w:numId w:val="5"/>
        </w:num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如乙方拒绝履行合同义务，怠于履行合同义务，或履行不合格的，经甲方催告仍未完成，乙方除应向甲方支付合同总额30%违约金外，甲方有权解除</w:t>
      </w:r>
      <w:r>
        <w:rPr>
          <w:rFonts w:hint="eastAsia" w:ascii="宋体" w:hAnsi="宋体" w:eastAsia="宋体" w:cs="宋体"/>
          <w:color w:val="auto"/>
          <w:sz w:val="24"/>
          <w:highlight w:val="none"/>
          <w:lang w:eastAsia="zh-CN"/>
        </w:rPr>
        <w:t>合同</w:t>
      </w:r>
      <w:r>
        <w:rPr>
          <w:rFonts w:hint="eastAsia" w:ascii="宋体" w:hAnsi="宋体" w:eastAsia="宋体" w:cs="宋体"/>
          <w:color w:val="auto"/>
          <w:sz w:val="24"/>
          <w:highlight w:val="none"/>
        </w:rPr>
        <w:t>。由此产生的相关费用（包括但不限于诉讼费、保全费、保全保险费、律师费等）及全部损失均由乙方承担。</w:t>
      </w:r>
    </w:p>
    <w:p w14:paraId="15C3523B">
      <w:pPr>
        <w:numPr>
          <w:ilvl w:val="0"/>
          <w:numId w:val="0"/>
        </w:num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乙方违反本协议约定的情形构成违约的情况下，甲方报告西安市政府采购管理处后，有权终止合同。同时甲方有权要求乙方除应支付合同总额30%违约金外，由此产生的相关费用（包括但不限于诉讼费、保全费、保全保险费、律师费等）及全部损失均由乙方承担。</w:t>
      </w:r>
    </w:p>
    <w:p w14:paraId="0812B4BE">
      <w:pPr>
        <w:tabs>
          <w:tab w:val="left" w:pos="480"/>
        </w:tabs>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十四、合同争议解决的方式</w:t>
      </w:r>
    </w:p>
    <w:p w14:paraId="787AB1B8">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本合同在履行过程中发生的争议，由甲、乙双方当事人协商解决，协商不成的按下列第二种方式解决：</w:t>
      </w:r>
    </w:p>
    <w:p w14:paraId="2408F567">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（一）提交</w:t>
      </w:r>
      <w:r>
        <w:rPr>
          <w:rFonts w:hint="eastAsia" w:ascii="宋体" w:hAnsi="宋体" w:eastAsia="宋体" w:cs="宋体"/>
          <w:color w:val="auto"/>
          <w:sz w:val="24"/>
          <w:highlight w:val="none"/>
        </w:rPr>
        <w:softHyphen/>
      </w:r>
      <w:r>
        <w:rPr>
          <w:rFonts w:hint="eastAsia" w:ascii="宋体" w:hAnsi="宋体" w:eastAsia="宋体" w:cs="宋体"/>
          <w:color w:val="auto"/>
          <w:sz w:val="24"/>
          <w:highlight w:val="none"/>
        </w:rPr>
        <w:softHyphen/>
      </w:r>
      <w:r>
        <w:rPr>
          <w:rFonts w:hint="eastAsia" w:ascii="宋体" w:hAnsi="宋体" w:eastAsia="宋体" w:cs="宋体"/>
          <w:color w:val="auto"/>
          <w:sz w:val="24"/>
          <w:highlight w:val="none"/>
        </w:rPr>
        <w:softHyphen/>
      </w:r>
      <w:r>
        <w:rPr>
          <w:rFonts w:hint="eastAsia" w:ascii="宋体" w:hAnsi="宋体" w:eastAsia="宋体" w:cs="宋体"/>
          <w:color w:val="auto"/>
          <w:sz w:val="24"/>
          <w:highlight w:val="none"/>
        </w:rPr>
        <w:t>西安仲裁委员会仲裁；</w:t>
      </w:r>
    </w:p>
    <w:p w14:paraId="3F2F27E4">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（二）依法向甲方所在地人民法院起诉。</w:t>
      </w:r>
    </w:p>
    <w:p w14:paraId="4E78E7E3">
      <w:pPr>
        <w:tabs>
          <w:tab w:val="left" w:pos="480"/>
        </w:tabs>
        <w:snapToGrid w:val="0"/>
        <w:spacing w:line="360" w:lineRule="auto"/>
        <w:ind w:firstLine="472"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十五、合同生效</w:t>
      </w:r>
    </w:p>
    <w:p w14:paraId="5D40BF3C">
      <w:pPr>
        <w:snapToGrid w:val="0"/>
        <w:spacing w:line="360" w:lineRule="auto"/>
        <w:ind w:firstLine="470" w:firstLineChars="196"/>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本合同一式</w:t>
      </w:r>
      <w:r>
        <w:rPr>
          <w:rFonts w:hint="eastAsia" w:ascii="宋体" w:hAnsi="宋体" w:eastAsia="宋体" w:cs="宋体"/>
          <w:bCs/>
          <w:color w:val="auto"/>
          <w:sz w:val="24"/>
          <w:highlight w:val="none"/>
          <w:lang w:eastAsia="zh-CN"/>
        </w:rPr>
        <w:t>柒</w:t>
      </w:r>
      <w:r>
        <w:rPr>
          <w:rFonts w:hint="eastAsia" w:ascii="宋体" w:hAnsi="宋体" w:eastAsia="宋体" w:cs="宋体"/>
          <w:bCs/>
          <w:color w:val="auto"/>
          <w:sz w:val="24"/>
          <w:highlight w:val="none"/>
        </w:rPr>
        <w:t>份，甲方</w:t>
      </w:r>
      <w:r>
        <w:rPr>
          <w:rFonts w:hint="eastAsia" w:ascii="宋体" w:hAnsi="宋体" w:eastAsia="宋体" w:cs="宋体"/>
          <w:bCs/>
          <w:color w:val="auto"/>
          <w:sz w:val="24"/>
          <w:highlight w:val="none"/>
          <w:lang w:eastAsia="zh-CN"/>
        </w:rPr>
        <w:t>肆</w:t>
      </w:r>
      <w:r>
        <w:rPr>
          <w:rFonts w:hint="eastAsia" w:ascii="宋体" w:hAnsi="宋体" w:eastAsia="宋体" w:cs="宋体"/>
          <w:bCs/>
          <w:color w:val="auto"/>
          <w:sz w:val="24"/>
          <w:highlight w:val="none"/>
        </w:rPr>
        <w:t>份、乙方壹份、鉴证方壹份，西安市财政局政府采购管理科备案壹份，本合同甲、乙、鉴定方各方签字盖章后生效，合同执行完毕后，自动失效（合同的服务承诺则长期有效）。</w:t>
      </w:r>
    </w:p>
    <w:p w14:paraId="6A2F7DD2">
      <w:pPr>
        <w:snapToGrid w:val="0"/>
        <w:spacing w:line="360" w:lineRule="auto"/>
        <w:ind w:firstLine="472"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十六、其他事项</w:t>
      </w:r>
    </w:p>
    <w:p w14:paraId="0234233F">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（一）鉴证方作为采购代理机构对合同进行确认。</w:t>
      </w:r>
    </w:p>
    <w:p w14:paraId="225AD8FA">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（二）西安市财政局政府采购管理处在合同的履行期间以及履行期后，可以随时检查项目的执行情况，对采购内容、标准进行调查核实，并对发现的问题进行处理。</w:t>
      </w:r>
    </w:p>
    <w:p w14:paraId="4F144AE2">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w:t>
      </w:r>
      <w:r>
        <w:rPr>
          <w:rFonts w:hint="eastAsia" w:ascii="宋体" w:hAnsi="宋体" w:eastAsia="宋体" w:cs="宋体"/>
          <w:color w:val="auto"/>
          <w:sz w:val="24"/>
          <w:highlight w:val="none"/>
          <w:lang w:eastAsia="zh-CN"/>
        </w:rPr>
        <w:t>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竞争性磋商</w:t>
      </w:r>
      <w:r>
        <w:rPr>
          <w:rFonts w:hint="eastAsia" w:ascii="宋体" w:hAnsi="宋体" w:eastAsia="宋体" w:cs="宋体"/>
          <w:color w:val="auto"/>
          <w:sz w:val="24"/>
          <w:highlight w:val="none"/>
        </w:rPr>
        <w:t>响应文件、</w:t>
      </w:r>
      <w:r>
        <w:rPr>
          <w:rFonts w:hint="eastAsia" w:ascii="宋体" w:hAnsi="宋体" w:eastAsia="宋体" w:cs="宋体"/>
          <w:color w:val="auto"/>
          <w:sz w:val="24"/>
          <w:highlight w:val="none"/>
          <w:lang w:eastAsia="zh-CN"/>
        </w:rPr>
        <w:t>成交通知书</w:t>
      </w:r>
      <w:r>
        <w:rPr>
          <w:rFonts w:hint="eastAsia" w:ascii="宋体" w:hAnsi="宋体" w:eastAsia="宋体" w:cs="宋体"/>
          <w:color w:val="auto"/>
          <w:sz w:val="24"/>
          <w:highlight w:val="none"/>
        </w:rPr>
        <w:t>、合同附件均成为合同不可分割的部分。</w:t>
      </w:r>
    </w:p>
    <w:p w14:paraId="1E412044">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（四）合同未尽事宜，由甲、乙双方协商，经鉴证方确认后，作为合同补充，与原合同具有同等法律效力。</w:t>
      </w:r>
    </w:p>
    <w:p w14:paraId="5400A753">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（五）合同一经签订，不得擅自变更、中止或终止合同。对确需变更、调整或中止、终止合同的，应按规定履行相应的手续。</w:t>
      </w:r>
    </w:p>
    <w:p w14:paraId="286BA539">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（六）本合同按照中华人民共和国的现行法律进行解释。</w:t>
      </w:r>
    </w:p>
    <w:p w14:paraId="751153EF">
      <w:pPr>
        <w:snapToGrid w:val="0"/>
        <w:spacing w:line="360" w:lineRule="auto"/>
        <w:ind w:firstLine="472"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十七、不可抗力</w:t>
      </w:r>
    </w:p>
    <w:p w14:paraId="625697DA">
      <w:pPr>
        <w:snapToGrid w:val="0"/>
        <w:spacing w:line="360" w:lineRule="auto"/>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14:paraId="5A4F6C2F">
      <w:pPr>
        <w:snapToGrid w:val="0"/>
        <w:spacing w:line="360" w:lineRule="auto"/>
        <w:ind w:firstLine="472"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十八、监督和管理</w:t>
      </w:r>
    </w:p>
    <w:p w14:paraId="455812E9">
      <w:pPr>
        <w:numPr>
          <w:ilvl w:val="0"/>
          <w:numId w:val="6"/>
        </w:numPr>
        <w:tabs>
          <w:tab w:val="left" w:pos="4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合同订立后，双方协商一致需变更合同实质性条款或订立补充合同的，应先征得政府采购监督部门同意并送其备案。</w:t>
      </w:r>
    </w:p>
    <w:p w14:paraId="4BE093E7">
      <w:pPr>
        <w:numPr>
          <w:ilvl w:val="0"/>
          <w:numId w:val="6"/>
        </w:numPr>
        <w:tabs>
          <w:tab w:val="left" w:pos="4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甲乙双方均应自觉配合有关监督管理部门对合同履行情况监督检查，如实反映情况，提供有关资料，否则将对有关单位、当事人按有关规定予以处罚。</w:t>
      </w:r>
    </w:p>
    <w:p w14:paraId="4AED2839">
      <w:pPr>
        <w:snapToGrid w:val="0"/>
        <w:spacing w:line="360" w:lineRule="auto"/>
        <w:ind w:firstLine="472"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十九、无效合同</w:t>
      </w:r>
    </w:p>
    <w:p w14:paraId="5C485479">
      <w:pPr>
        <w:snapToGrid w:val="0"/>
        <w:spacing w:line="360" w:lineRule="auto"/>
        <w:ind w:left="412" w:left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甲乙双方如因违反政府采购法相关法律法规的规定，被宣告合同无效的一切</w:t>
      </w:r>
    </w:p>
    <w:p w14:paraId="4F0146E5">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责任概由过错方自行承担。</w:t>
      </w:r>
    </w:p>
    <w:p w14:paraId="7484418A">
      <w:pPr>
        <w:tabs>
          <w:tab w:val="left" w:pos="480"/>
        </w:tabs>
        <w:snapToGrid w:val="0"/>
        <w:spacing w:line="360" w:lineRule="auto"/>
        <w:ind w:firstLine="840" w:firstLineChars="350"/>
        <w:rPr>
          <w:rFonts w:hint="eastAsia" w:ascii="宋体" w:hAnsi="宋体" w:eastAsia="宋体" w:cs="宋体"/>
          <w:color w:val="auto"/>
          <w:sz w:val="24"/>
          <w:highlight w:val="none"/>
        </w:rPr>
      </w:pPr>
    </w:p>
    <w:p w14:paraId="4FA27775">
      <w:pPr>
        <w:tabs>
          <w:tab w:val="left" w:pos="480"/>
        </w:tabs>
        <w:snapToGrid w:val="0"/>
        <w:spacing w:line="360" w:lineRule="auto"/>
        <w:ind w:firstLine="0" w:firstLine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以下无正文，为签署页</w:t>
      </w:r>
    </w:p>
    <w:p w14:paraId="0CA48F37">
      <w:pPr>
        <w:tabs>
          <w:tab w:val="left" w:pos="480"/>
        </w:tabs>
        <w:snapToGrid w:val="0"/>
        <w:spacing w:line="360" w:lineRule="auto"/>
        <w:ind w:firstLine="480" w:firstLineChars="200"/>
        <w:rPr>
          <w:rFonts w:hint="eastAsia" w:ascii="宋体" w:hAnsi="宋体" w:eastAsia="宋体" w:cs="宋体"/>
          <w:color w:val="auto"/>
          <w:sz w:val="24"/>
          <w:highlight w:val="none"/>
        </w:rPr>
      </w:pPr>
    </w:p>
    <w:p w14:paraId="51C6A745">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甲  方（法人公章）                     乙  方（法人公章）</w:t>
      </w:r>
    </w:p>
    <w:p w14:paraId="06FC24AB">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单位名称：西安市胸科医院               单位名称：</w:t>
      </w:r>
    </w:p>
    <w:p w14:paraId="412F8091">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地  址：西安市长安区航天大道东段       地  址： </w:t>
      </w:r>
    </w:p>
    <w:p w14:paraId="484E651E">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签字</w:t>
      </w:r>
      <w:r>
        <w:rPr>
          <w:rFonts w:hint="eastAsia" w:ascii="宋体" w:hAnsi="宋体" w:eastAsia="宋体" w:cs="宋体"/>
          <w:color w:val="auto"/>
          <w:sz w:val="24"/>
          <w:highlight w:val="none"/>
          <w:lang w:val="en-US" w:eastAsia="zh-CN"/>
        </w:rPr>
        <w:t>或盖章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法定代表人</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签字</w:t>
      </w:r>
      <w:r>
        <w:rPr>
          <w:rFonts w:hint="eastAsia" w:ascii="宋体" w:hAnsi="宋体" w:eastAsia="宋体" w:cs="宋体"/>
          <w:color w:val="auto"/>
          <w:sz w:val="24"/>
          <w:highlight w:val="none"/>
          <w:lang w:val="en-US" w:eastAsia="zh-CN"/>
        </w:rPr>
        <w:t>或盖章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w:t>
      </w:r>
    </w:p>
    <w:p w14:paraId="19D8CC14">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代理人签字：                           代理人签字：</w:t>
      </w:r>
    </w:p>
    <w:p w14:paraId="18D92C02">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项目主管部门负责人：                   联系电话：</w:t>
      </w:r>
    </w:p>
    <w:p w14:paraId="49232C7C">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招采办负责人：                         开户银行：</w:t>
      </w:r>
    </w:p>
    <w:p w14:paraId="64308775">
      <w:pPr>
        <w:tabs>
          <w:tab w:val="left" w:pos="480"/>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联系电话：029-6250115                  </w:t>
      </w:r>
      <w:r>
        <w:rPr>
          <w:rFonts w:hint="eastAsia" w:ascii="宋体" w:hAnsi="宋体" w:eastAsia="宋体" w:cs="宋体"/>
          <w:color w:val="auto"/>
          <w:sz w:val="24"/>
          <w:highlight w:val="none"/>
          <w:lang w:eastAsia="zh-CN"/>
        </w:rPr>
        <w:t>账</w:t>
      </w:r>
      <w:r>
        <w:rPr>
          <w:rFonts w:hint="eastAsia" w:ascii="宋体" w:hAnsi="宋体" w:eastAsia="宋体" w:cs="宋体"/>
          <w:color w:val="auto"/>
          <w:sz w:val="24"/>
          <w:highlight w:val="none"/>
        </w:rPr>
        <w:t xml:space="preserve">  号：                                                                                                   </w:t>
      </w:r>
    </w:p>
    <w:p w14:paraId="475A1E4E">
      <w:pPr>
        <w:ind w:firstLine="480" w:firstLineChars="200"/>
        <w:rPr>
          <w:highlight w:val="none"/>
        </w:rPr>
      </w:pPr>
      <w:r>
        <w:rPr>
          <w:rFonts w:hint="eastAsia" w:ascii="宋体" w:hAnsi="宋体" w:eastAsia="宋体" w:cs="宋体"/>
          <w:color w:val="auto"/>
          <w:sz w:val="24"/>
          <w:highlight w:val="none"/>
        </w:rPr>
        <w:t>签订日期：</w:t>
      </w:r>
      <w:r>
        <w:rPr>
          <w:rFonts w:hint="eastAsia" w:ascii="宋体" w:hAnsi="宋体" w:eastAsia="宋体" w:cs="宋体"/>
          <w:color w:val="auto"/>
          <w:sz w:val="24"/>
          <w:highlight w:val="none"/>
          <w:lang w:val="en-US" w:eastAsia="zh-CN"/>
        </w:rPr>
        <w:t xml:space="preserve">202 </w:t>
      </w:r>
      <w:r>
        <w:rPr>
          <w:rFonts w:hint="eastAsia" w:ascii="宋体" w:hAnsi="宋体" w:eastAsia="宋体" w:cs="宋体"/>
          <w:color w:val="auto"/>
          <w:sz w:val="24"/>
          <w:highlight w:val="none"/>
        </w:rPr>
        <w:t>年   月   日             签订日期：</w:t>
      </w:r>
      <w:r>
        <w:rPr>
          <w:rFonts w:hint="eastAsia" w:ascii="宋体" w:hAnsi="宋体" w:eastAsia="宋体" w:cs="宋体"/>
          <w:color w:val="auto"/>
          <w:sz w:val="24"/>
          <w:highlight w:val="none"/>
          <w:lang w:val="en-US" w:eastAsia="zh-CN"/>
        </w:rPr>
        <w:t xml:space="preserve">202 </w:t>
      </w:r>
      <w:r>
        <w:rPr>
          <w:rFonts w:hint="eastAsia" w:ascii="宋体" w:hAnsi="宋体" w:eastAsia="宋体" w:cs="宋体"/>
          <w:color w:val="auto"/>
          <w:sz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C7C0B5"/>
    <w:multiLevelType w:val="singleLevel"/>
    <w:tmpl w:val="82C7C0B5"/>
    <w:lvl w:ilvl="0" w:tentative="0">
      <w:start w:val="1"/>
      <w:numFmt w:val="chineseCounting"/>
      <w:suff w:val="nothing"/>
      <w:lvlText w:val="（%1）"/>
      <w:lvlJc w:val="left"/>
      <w:pPr>
        <w:ind w:left="0" w:firstLine="420"/>
      </w:pPr>
      <w:rPr>
        <w:rFonts w:hint="eastAsia"/>
      </w:rPr>
    </w:lvl>
  </w:abstractNum>
  <w:abstractNum w:abstractNumId="1">
    <w:nsid w:val="CC2797C5"/>
    <w:multiLevelType w:val="singleLevel"/>
    <w:tmpl w:val="CC2797C5"/>
    <w:lvl w:ilvl="0" w:tentative="0">
      <w:start w:val="1"/>
      <w:numFmt w:val="chineseCounting"/>
      <w:suff w:val="nothing"/>
      <w:lvlText w:val="（%1）"/>
      <w:lvlJc w:val="left"/>
      <w:rPr>
        <w:rFonts w:hint="eastAsia"/>
      </w:rPr>
    </w:lvl>
  </w:abstractNum>
  <w:abstractNum w:abstractNumId="2">
    <w:nsid w:val="FB3B3D19"/>
    <w:multiLevelType w:val="singleLevel"/>
    <w:tmpl w:val="FB3B3D19"/>
    <w:lvl w:ilvl="0" w:tentative="0">
      <w:start w:val="2"/>
      <w:numFmt w:val="decimal"/>
      <w:suff w:val="nothing"/>
      <w:lvlText w:val="%1、"/>
      <w:lvlJc w:val="left"/>
    </w:lvl>
  </w:abstractNum>
  <w:abstractNum w:abstractNumId="3">
    <w:nsid w:val="0BA9EB24"/>
    <w:multiLevelType w:val="singleLevel"/>
    <w:tmpl w:val="0BA9EB24"/>
    <w:lvl w:ilvl="0" w:tentative="0">
      <w:start w:val="1"/>
      <w:numFmt w:val="chineseCounting"/>
      <w:suff w:val="nothing"/>
      <w:lvlText w:val="（%1）"/>
      <w:lvlJc w:val="left"/>
      <w:pPr>
        <w:ind w:left="0" w:firstLine="420"/>
      </w:pPr>
      <w:rPr>
        <w:rFonts w:hint="eastAsia"/>
      </w:rPr>
    </w:lvl>
  </w:abstractNum>
  <w:abstractNum w:abstractNumId="4">
    <w:nsid w:val="0D975ACA"/>
    <w:multiLevelType w:val="singleLevel"/>
    <w:tmpl w:val="0D975ACA"/>
    <w:lvl w:ilvl="0" w:tentative="0">
      <w:start w:val="1"/>
      <w:numFmt w:val="chineseCounting"/>
      <w:suff w:val="nothing"/>
      <w:lvlText w:val="（%1）"/>
      <w:lvlJc w:val="left"/>
      <w:pPr>
        <w:ind w:left="0" w:firstLine="420"/>
      </w:pPr>
      <w:rPr>
        <w:rFonts w:hint="eastAsia"/>
      </w:rPr>
    </w:lvl>
  </w:abstractNum>
  <w:abstractNum w:abstractNumId="5">
    <w:nsid w:val="54E79DB2"/>
    <w:multiLevelType w:val="singleLevel"/>
    <w:tmpl w:val="54E79DB2"/>
    <w:lvl w:ilvl="0" w:tentative="0">
      <w:start w:val="1"/>
      <w:numFmt w:val="chineseCounting"/>
      <w:suff w:val="nothing"/>
      <w:lvlText w:val="（%1）"/>
      <w:lvlJc w:val="left"/>
      <w:pPr>
        <w:ind w:left="0" w:firstLine="420"/>
      </w:pPr>
      <w:rPr>
        <w:rFonts w:hint="eastAsia"/>
      </w:r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E03E52"/>
    <w:rsid w:val="249010A8"/>
    <w:rsid w:val="4EC15E45"/>
    <w:rsid w:val="53780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ody Text First Indent 2"/>
    <w:basedOn w:val="4"/>
    <w:unhideWhenUsed/>
    <w:qFormat/>
    <w:uiPriority w:val="99"/>
    <w:pPr>
      <w:widowControl/>
      <w:ind w:firstLine="420"/>
      <w:jc w:val="left"/>
    </w:pPr>
    <w:rPr>
      <w:rFonts w:ascii="宋体" w:hAnsi="宋体" w:cs="宋体"/>
      <w:sz w:val="21"/>
    </w:rPr>
  </w:style>
  <w:style w:type="paragraph" w:customStyle="1" w:styleId="8">
    <w:name w:val="Table Paragraph"/>
    <w:basedOn w:val="1"/>
    <w:qFormat/>
    <w:uiPriority w:val="1"/>
    <w:rPr>
      <w:rFonts w:ascii="宋体" w:hAnsi="宋体" w:eastAsia="宋体" w:cs="宋体"/>
      <w:lang w:val="zh-CN" w:eastAsia="zh-CN" w:bidi="zh-CN"/>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5371</Words>
  <Characters>5438</Characters>
  <Lines>0</Lines>
  <Paragraphs>0</Paragraphs>
  <TotalTime>2</TotalTime>
  <ScaleCrop>false</ScaleCrop>
  <LinksUpToDate>false</LinksUpToDate>
  <CharactersWithSpaces>5825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2024-12-24T08:41:00Z</dcterms:created>
  <dc:creator>Administrator</dc:creator>
  <cp:lastModifiedBy>Administrator</cp:lastModifiedBy>
  <dcterms:modified xsi:type="dcterms:W3CDTF">2024-12-25T01:36:42Z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9B5234B9FEA04EA0A4CC53B6F3D105BF_12</vt:lpwstr>
  </property>
</Properties>
</file>