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7F4E7">
      <w:pPr>
        <w:widowControl/>
        <w:jc w:val="left"/>
      </w:pPr>
      <w:r>
        <w:rPr>
          <w:rFonts w:hint="eastAsia" w:ascii="仿宋" w:hAnsi="仿宋" w:eastAsia="仿宋"/>
          <w:b/>
          <w:sz w:val="32"/>
          <w:szCs w:val="32"/>
        </w:rPr>
        <w:t>附件2：政府采购需求书范本（服务类）</w:t>
      </w:r>
    </w:p>
    <w:tbl>
      <w:tblPr>
        <w:tblStyle w:val="7"/>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70B3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24E1B57">
            <w:pPr>
              <w:snapToGrid w:val="0"/>
              <w:jc w:val="center"/>
              <w:rPr>
                <w:rFonts w:hint="eastAsia" w:ascii="仿宋" w:hAnsi="仿宋" w:eastAsia="仿宋" w:cs="仿宋"/>
                <w:b/>
                <w:sz w:val="28"/>
                <w:szCs w:val="24"/>
              </w:rPr>
            </w:pPr>
            <w:r>
              <w:rPr>
                <w:rFonts w:hint="eastAsia" w:ascii="仿宋" w:hAnsi="仿宋" w:eastAsia="仿宋" w:cs="仿宋"/>
                <w:b/>
                <w:sz w:val="32"/>
                <w:szCs w:val="32"/>
                <w:lang w:val="zh-CN"/>
              </w:rPr>
              <w:t>序号</w:t>
            </w:r>
          </w:p>
        </w:tc>
        <w:tc>
          <w:tcPr>
            <w:tcW w:w="1556" w:type="dxa"/>
            <w:vAlign w:val="center"/>
          </w:tcPr>
          <w:p w14:paraId="4934E6E2">
            <w:pPr>
              <w:pStyle w:val="30"/>
              <w:ind w:left="38"/>
              <w:jc w:val="center"/>
              <w:rPr>
                <w:rFonts w:hint="eastAsia" w:ascii="仿宋" w:hAnsi="仿宋" w:eastAsia="仿宋" w:cs="仿宋"/>
                <w:b/>
                <w:kern w:val="2"/>
                <w:sz w:val="28"/>
                <w:szCs w:val="28"/>
                <w:lang w:val="zh-CN"/>
              </w:rPr>
            </w:pPr>
            <w:r>
              <w:rPr>
                <w:rFonts w:hint="eastAsia" w:ascii="仿宋" w:hAnsi="仿宋" w:eastAsia="仿宋" w:cs="仿宋"/>
                <w:b/>
                <w:kern w:val="2"/>
                <w:sz w:val="32"/>
                <w:szCs w:val="32"/>
                <w:lang w:val="zh-CN"/>
              </w:rPr>
              <w:t>关键事项</w:t>
            </w:r>
          </w:p>
        </w:tc>
        <w:tc>
          <w:tcPr>
            <w:tcW w:w="7067" w:type="dxa"/>
            <w:vAlign w:val="center"/>
          </w:tcPr>
          <w:p w14:paraId="24F8AF6C">
            <w:pPr>
              <w:pStyle w:val="30"/>
              <w:jc w:val="center"/>
              <w:rPr>
                <w:rFonts w:hint="eastAsia" w:ascii="仿宋" w:hAnsi="仿宋" w:eastAsia="仿宋" w:cs="仿宋"/>
                <w:b/>
                <w:kern w:val="2"/>
                <w:sz w:val="28"/>
                <w:szCs w:val="28"/>
                <w:lang w:val="zh-CN"/>
              </w:rPr>
            </w:pPr>
            <w:r>
              <w:rPr>
                <w:rFonts w:hint="eastAsia" w:ascii="仿宋" w:hAnsi="仿宋" w:eastAsia="仿宋" w:cs="仿宋"/>
                <w:b/>
                <w:kern w:val="2"/>
                <w:sz w:val="32"/>
                <w:szCs w:val="32"/>
                <w:lang w:val="zh-CN"/>
              </w:rPr>
              <w:t>说明和要求</w:t>
            </w:r>
          </w:p>
        </w:tc>
      </w:tr>
      <w:tr w14:paraId="2285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AF9493C">
            <w:pPr>
              <w:snapToGrid w:val="0"/>
              <w:spacing w:after="200"/>
              <w:jc w:val="center"/>
              <w:rPr>
                <w:rFonts w:hint="eastAsia" w:ascii="仿宋" w:hAnsi="仿宋" w:eastAsia="仿宋" w:cs="仿宋"/>
                <w:sz w:val="32"/>
                <w:szCs w:val="32"/>
                <w:lang w:val="zh-CN"/>
              </w:rPr>
            </w:pPr>
            <w:r>
              <w:rPr>
                <w:rFonts w:hint="eastAsia" w:ascii="仿宋" w:hAnsi="仿宋" w:eastAsia="仿宋" w:cs="仿宋"/>
                <w:sz w:val="32"/>
                <w:szCs w:val="32"/>
                <w:lang w:val="zh-CN"/>
              </w:rPr>
              <w:t>1</w:t>
            </w:r>
          </w:p>
        </w:tc>
        <w:tc>
          <w:tcPr>
            <w:tcW w:w="1556" w:type="dxa"/>
            <w:vAlign w:val="center"/>
          </w:tcPr>
          <w:p w14:paraId="5E25C73A">
            <w:pPr>
              <w:pStyle w:val="30"/>
              <w:ind w:left="38"/>
              <w:jc w:val="center"/>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采购预算</w:t>
            </w:r>
          </w:p>
        </w:tc>
        <w:tc>
          <w:tcPr>
            <w:tcW w:w="7067" w:type="dxa"/>
            <w:vAlign w:val="center"/>
          </w:tcPr>
          <w:p w14:paraId="299CDCB6">
            <w:pPr>
              <w:pStyle w:val="30"/>
              <w:jc w:val="both"/>
              <w:rPr>
                <w:rFonts w:hint="eastAsia" w:ascii="仿宋" w:hAnsi="仿宋" w:eastAsia="仿宋" w:cs="仿宋"/>
                <w:b/>
                <w:kern w:val="2"/>
                <w:sz w:val="28"/>
                <w:szCs w:val="28"/>
                <w:lang w:val="zh-CN"/>
              </w:rPr>
            </w:pPr>
            <w:r>
              <w:rPr>
                <w:rFonts w:hint="eastAsia" w:ascii="仿宋" w:hAnsi="仿宋" w:eastAsia="仿宋" w:cs="仿宋"/>
                <w:b/>
                <w:kern w:val="2"/>
                <w:sz w:val="28"/>
                <w:szCs w:val="28"/>
                <w:lang w:val="zh-CN"/>
              </w:rPr>
              <w:t>人民币_</w:t>
            </w:r>
            <w:r>
              <w:rPr>
                <w:rFonts w:hint="eastAsia" w:ascii="仿宋" w:hAnsi="仿宋" w:eastAsia="仿宋" w:cs="仿宋"/>
                <w:b/>
                <w:kern w:val="2"/>
                <w:sz w:val="28"/>
                <w:szCs w:val="28"/>
                <w:u w:val="single"/>
                <w:lang w:val="zh-CN"/>
              </w:rPr>
              <w:t>600000_</w:t>
            </w:r>
            <w:r>
              <w:rPr>
                <w:rFonts w:hint="eastAsia" w:ascii="仿宋" w:hAnsi="仿宋" w:eastAsia="仿宋" w:cs="仿宋"/>
                <w:b/>
                <w:kern w:val="2"/>
                <w:sz w:val="28"/>
                <w:szCs w:val="28"/>
                <w:lang w:val="zh-CN"/>
              </w:rPr>
              <w:t>元</w:t>
            </w:r>
          </w:p>
          <w:p w14:paraId="6233BB13">
            <w:pPr>
              <w:pStyle w:val="30"/>
              <w:jc w:val="both"/>
              <w:rPr>
                <w:rFonts w:hint="eastAsia" w:ascii="仿宋" w:hAnsi="仿宋" w:eastAsia="仿宋" w:cs="仿宋"/>
                <w:b/>
                <w:kern w:val="2"/>
                <w:sz w:val="28"/>
                <w:szCs w:val="28"/>
                <w:lang w:val="zh-CN"/>
              </w:rPr>
            </w:pPr>
            <w:r>
              <w:rPr>
                <w:rFonts w:hint="eastAsia" w:ascii="仿宋" w:hAnsi="仿宋" w:eastAsia="仿宋" w:cs="仿宋"/>
                <w:kern w:val="2"/>
                <w:sz w:val="22"/>
                <w:szCs w:val="22"/>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52F1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EC45420">
            <w:pPr>
              <w:snapToGrid w:val="0"/>
              <w:spacing w:after="200"/>
              <w:jc w:val="center"/>
              <w:rPr>
                <w:rFonts w:hint="eastAsia" w:ascii="仿宋" w:hAnsi="仿宋" w:eastAsia="仿宋" w:cs="仿宋"/>
                <w:sz w:val="32"/>
                <w:szCs w:val="32"/>
                <w:lang w:val="zh-CN"/>
              </w:rPr>
            </w:pPr>
            <w:r>
              <w:rPr>
                <w:rFonts w:hint="eastAsia" w:ascii="仿宋" w:hAnsi="仿宋" w:eastAsia="仿宋" w:cs="仿宋"/>
                <w:sz w:val="32"/>
                <w:szCs w:val="32"/>
                <w:lang w:val="zh-CN"/>
              </w:rPr>
              <w:t>2</w:t>
            </w:r>
          </w:p>
        </w:tc>
        <w:tc>
          <w:tcPr>
            <w:tcW w:w="1556" w:type="dxa"/>
            <w:vAlign w:val="center"/>
          </w:tcPr>
          <w:p w14:paraId="1B8439EF">
            <w:pPr>
              <w:pStyle w:val="30"/>
              <w:ind w:left="38"/>
              <w:jc w:val="center"/>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最高限价</w:t>
            </w:r>
          </w:p>
        </w:tc>
        <w:tc>
          <w:tcPr>
            <w:tcW w:w="7067" w:type="dxa"/>
            <w:vAlign w:val="center"/>
          </w:tcPr>
          <w:p w14:paraId="12535391">
            <w:pPr>
              <w:pStyle w:val="30"/>
              <w:jc w:val="both"/>
              <w:rPr>
                <w:rFonts w:hint="eastAsia" w:ascii="仿宋" w:hAnsi="仿宋" w:eastAsia="仿宋" w:cs="仿宋"/>
                <w:b/>
                <w:kern w:val="2"/>
                <w:sz w:val="28"/>
                <w:szCs w:val="28"/>
                <w:lang w:val="zh-CN"/>
              </w:rPr>
            </w:pPr>
            <w:r>
              <w:rPr>
                <w:rFonts w:hint="eastAsia" w:ascii="仿宋" w:hAnsi="仿宋" w:eastAsia="仿宋" w:cs="仿宋"/>
                <w:b/>
                <w:kern w:val="2"/>
                <w:sz w:val="28"/>
                <w:szCs w:val="28"/>
                <w:lang w:val="zh-CN"/>
              </w:rPr>
              <w:t>人民币_</w:t>
            </w:r>
            <w:r>
              <w:rPr>
                <w:rFonts w:hint="eastAsia" w:ascii="仿宋" w:hAnsi="仿宋" w:eastAsia="仿宋" w:cs="仿宋"/>
                <w:b/>
                <w:kern w:val="2"/>
                <w:sz w:val="28"/>
                <w:szCs w:val="28"/>
                <w:u w:val="single"/>
                <w:lang w:val="zh-CN"/>
              </w:rPr>
              <w:t>280000</w:t>
            </w:r>
            <w:r>
              <w:rPr>
                <w:rFonts w:hint="eastAsia" w:ascii="仿宋" w:hAnsi="仿宋" w:eastAsia="仿宋" w:cs="仿宋"/>
                <w:b/>
                <w:kern w:val="2"/>
                <w:sz w:val="28"/>
                <w:szCs w:val="28"/>
                <w:lang w:val="zh-CN"/>
              </w:rPr>
              <w:t>_元</w:t>
            </w:r>
          </w:p>
          <w:p w14:paraId="273717A2">
            <w:pPr>
              <w:pStyle w:val="30"/>
              <w:ind w:left="38"/>
              <w:jc w:val="both"/>
              <w:rPr>
                <w:rFonts w:hint="eastAsia" w:ascii="仿宋" w:hAnsi="仿宋" w:eastAsia="仿宋" w:cs="仿宋"/>
                <w:b/>
                <w:kern w:val="2"/>
                <w:sz w:val="28"/>
                <w:szCs w:val="28"/>
                <w:lang w:val="zh-CN"/>
              </w:rPr>
            </w:pPr>
            <w:r>
              <w:rPr>
                <w:rFonts w:hint="eastAsia" w:ascii="仿宋" w:hAnsi="仿宋" w:eastAsia="仿宋" w:cs="仿宋"/>
                <w:kern w:val="2"/>
                <w:sz w:val="22"/>
                <w:szCs w:val="22"/>
                <w:lang w:val="zh-CN"/>
              </w:rPr>
              <w:t>供应商投标报价高于最高限价的则其投标文件将按无效投标文件处理。</w:t>
            </w:r>
          </w:p>
        </w:tc>
      </w:tr>
      <w:tr w14:paraId="70FD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14FC18FB">
            <w:pPr>
              <w:snapToGrid w:val="0"/>
              <w:spacing w:after="200"/>
              <w:jc w:val="center"/>
              <w:rPr>
                <w:rFonts w:hint="eastAsia" w:ascii="仿宋" w:hAnsi="仿宋" w:eastAsia="仿宋" w:cs="仿宋"/>
                <w:sz w:val="32"/>
                <w:szCs w:val="32"/>
                <w:lang w:val="zh-CN"/>
              </w:rPr>
            </w:pPr>
            <w:r>
              <w:rPr>
                <w:rFonts w:hint="eastAsia" w:ascii="仿宋" w:hAnsi="仿宋" w:eastAsia="仿宋" w:cs="仿宋"/>
                <w:sz w:val="32"/>
                <w:szCs w:val="32"/>
                <w:lang w:val="zh-CN"/>
              </w:rPr>
              <w:t>3</w:t>
            </w:r>
          </w:p>
        </w:tc>
        <w:tc>
          <w:tcPr>
            <w:tcW w:w="1556" w:type="dxa"/>
            <w:vMerge w:val="restart"/>
            <w:vAlign w:val="center"/>
          </w:tcPr>
          <w:p w14:paraId="1E0FACC7">
            <w:pPr>
              <w:pStyle w:val="30"/>
              <w:ind w:left="38"/>
              <w:jc w:val="center"/>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项目性质</w:t>
            </w:r>
          </w:p>
        </w:tc>
        <w:tc>
          <w:tcPr>
            <w:tcW w:w="7067" w:type="dxa"/>
            <w:vAlign w:val="center"/>
          </w:tcPr>
          <w:p w14:paraId="697D7651">
            <w:pPr>
              <w:pStyle w:val="30"/>
              <w:jc w:val="both"/>
              <w:rPr>
                <w:rFonts w:hint="eastAsia" w:ascii="仿宋" w:hAnsi="仿宋" w:eastAsia="仿宋" w:cs="仿宋"/>
                <w:b/>
                <w:kern w:val="2"/>
                <w:sz w:val="28"/>
                <w:szCs w:val="28"/>
                <w:lang w:val="zh-CN"/>
              </w:rPr>
            </w:pPr>
            <w:r>
              <w:rPr>
                <w:rFonts w:hint="eastAsia" w:ascii="仿宋" w:hAnsi="仿宋" w:eastAsia="仿宋" w:cs="仿宋"/>
                <w:b/>
                <w:kern w:val="2"/>
                <w:sz w:val="28"/>
                <w:szCs w:val="28"/>
                <w:lang w:val="zh-CN"/>
              </w:rPr>
              <w:t>○专门面向中小企业采购</w:t>
            </w:r>
          </w:p>
          <w:p w14:paraId="2F7A94C9">
            <w:pPr>
              <w:pStyle w:val="30"/>
              <w:ind w:left="38"/>
              <w:jc w:val="both"/>
              <w:rPr>
                <w:rFonts w:hint="eastAsia" w:ascii="仿宋" w:hAnsi="仿宋" w:eastAsia="仿宋" w:cs="仿宋"/>
                <w:b/>
                <w:kern w:val="2"/>
                <w:sz w:val="28"/>
                <w:szCs w:val="28"/>
                <w:lang w:val="zh-CN"/>
              </w:rPr>
            </w:pPr>
            <w:r>
              <w:rPr>
                <w:rFonts w:hint="eastAsia" w:ascii="仿宋" w:hAnsi="仿宋" w:eastAsia="仿宋" w:cs="仿宋"/>
                <w:kern w:val="2"/>
                <w:sz w:val="22"/>
                <w:szCs w:val="22"/>
                <w:lang w:val="zh-CN"/>
              </w:rPr>
              <w:t>仅允许中小企业或小型、微型企业参与投标。</w:t>
            </w:r>
          </w:p>
        </w:tc>
      </w:tr>
      <w:tr w14:paraId="180D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0B3C06D0">
            <w:pPr>
              <w:snapToGrid w:val="0"/>
              <w:spacing w:after="200"/>
              <w:ind w:left="142"/>
              <w:jc w:val="center"/>
              <w:rPr>
                <w:rFonts w:hint="eastAsia" w:ascii="仿宋" w:hAnsi="仿宋" w:eastAsia="仿宋" w:cs="仿宋"/>
                <w:b/>
                <w:sz w:val="32"/>
                <w:szCs w:val="32"/>
                <w:lang w:val="zh-CN"/>
              </w:rPr>
            </w:pPr>
          </w:p>
        </w:tc>
        <w:tc>
          <w:tcPr>
            <w:tcW w:w="1556" w:type="dxa"/>
            <w:vMerge w:val="continue"/>
            <w:vAlign w:val="center"/>
          </w:tcPr>
          <w:p w14:paraId="4032316B">
            <w:pPr>
              <w:pStyle w:val="30"/>
              <w:ind w:left="96"/>
              <w:jc w:val="center"/>
              <w:rPr>
                <w:rFonts w:hint="eastAsia" w:ascii="仿宋" w:hAnsi="仿宋" w:eastAsia="仿宋" w:cs="仿宋"/>
                <w:kern w:val="2"/>
                <w:sz w:val="28"/>
                <w:szCs w:val="28"/>
                <w:lang w:val="zh-CN"/>
              </w:rPr>
            </w:pPr>
          </w:p>
        </w:tc>
        <w:tc>
          <w:tcPr>
            <w:tcW w:w="7067" w:type="dxa"/>
            <w:vAlign w:val="center"/>
          </w:tcPr>
          <w:p w14:paraId="742750FC">
            <w:pPr>
              <w:rPr>
                <w:rFonts w:hint="eastAsia" w:ascii="仿宋" w:hAnsi="仿宋" w:eastAsia="仿宋" w:cs="仿宋"/>
                <w:b/>
                <w:sz w:val="28"/>
                <w:szCs w:val="28"/>
                <w:lang w:val="zh-CN"/>
              </w:rPr>
            </w:pPr>
            <w:r>
              <w:rPr>
                <w:rFonts w:hint="eastAsia" w:ascii="仿宋" w:hAnsi="仿宋" w:eastAsia="仿宋" w:cs="仿宋"/>
                <w:b/>
                <w:sz w:val="28"/>
                <w:szCs w:val="28"/>
                <w:lang w:val="zh-CN"/>
              </w:rPr>
              <w:t>○非专门面向中小企业采购</w:t>
            </w:r>
          </w:p>
          <w:p w14:paraId="7BDD3596">
            <w:pPr>
              <w:ind w:right="94" w:rightChars="45"/>
              <w:rPr>
                <w:rFonts w:hint="eastAsia" w:ascii="仿宋" w:hAnsi="仿宋" w:eastAsia="仿宋" w:cs="仿宋"/>
                <w:b/>
                <w:sz w:val="22"/>
                <w:szCs w:val="22"/>
              </w:rPr>
            </w:pPr>
            <w:r>
              <w:rPr>
                <w:rFonts w:hint="eastAsia" w:ascii="仿宋" w:hAnsi="仿宋" w:eastAsia="仿宋" w:cs="仿宋"/>
                <w:color w:val="000000" w:themeColor="text1"/>
                <w:kern w:val="0"/>
                <w:sz w:val="22"/>
                <w:szCs w:val="22"/>
                <w:lang w:val="zh-CN"/>
                <w14:textFill>
                  <w14:solidFill>
                    <w14:schemeClr w14:val="tx1"/>
                  </w14:solidFill>
                </w14:textFill>
              </w:rPr>
              <w:t>对符合《政府采购促进中小企业发展管理办法》（财库〔2020〕46号）规定的小微企业（监狱企业视同小型、微型企业）的报价</w:t>
            </w:r>
            <w:r>
              <w:rPr>
                <w:rFonts w:hint="eastAsia" w:ascii="仿宋" w:hAnsi="仿宋" w:eastAsia="仿宋" w:cs="仿宋"/>
                <w:b/>
                <w:color w:val="000000" w:themeColor="text1"/>
                <w:kern w:val="0"/>
                <w:sz w:val="22"/>
                <w:szCs w:val="22"/>
                <w:lang w:val="zh-CN"/>
                <w14:textFill>
                  <w14:solidFill>
                    <w14:schemeClr w14:val="tx1"/>
                  </w14:solidFill>
                </w14:textFill>
              </w:rPr>
              <w:t>给予_</w:t>
            </w:r>
            <w:r>
              <w:rPr>
                <w:rFonts w:hint="eastAsia" w:ascii="仿宋" w:hAnsi="仿宋" w:eastAsia="仿宋" w:cs="仿宋"/>
                <w:b/>
                <w:color w:val="000000" w:themeColor="text1"/>
                <w:kern w:val="0"/>
                <w:sz w:val="22"/>
                <w:szCs w:val="22"/>
                <w:u w:val="single"/>
                <w:lang w:val="zh-CN"/>
                <w14:textFill>
                  <w14:solidFill>
                    <w14:schemeClr w14:val="tx1"/>
                  </w14:solidFill>
                </w14:textFill>
              </w:rPr>
              <w:t>6</w:t>
            </w:r>
            <w:r>
              <w:rPr>
                <w:rFonts w:hint="eastAsia" w:ascii="仿宋" w:hAnsi="仿宋" w:eastAsia="仿宋" w:cs="仿宋"/>
                <w:b/>
                <w:color w:val="000000" w:themeColor="text1"/>
                <w:kern w:val="0"/>
                <w:sz w:val="22"/>
                <w:szCs w:val="22"/>
                <w:lang w:val="zh-CN"/>
                <w14:textFill>
                  <w14:solidFill>
                    <w14:schemeClr w14:val="tx1"/>
                  </w14:solidFill>
                </w14:textFill>
              </w:rPr>
              <w:t>_%（6%-10%）的扣除</w:t>
            </w:r>
            <w:r>
              <w:rPr>
                <w:rFonts w:hint="eastAsia" w:ascii="仿宋" w:hAnsi="仿宋" w:eastAsia="仿宋" w:cs="仿宋"/>
                <w:color w:val="000000" w:themeColor="text1"/>
                <w:kern w:val="0"/>
                <w:sz w:val="22"/>
                <w:szCs w:val="22"/>
                <w:lang w:val="zh-CN"/>
                <w14:textFill>
                  <w14:solidFill>
                    <w14:schemeClr w14:val="tx1"/>
                  </w14:solidFill>
                </w14:textFill>
              </w:rPr>
              <w:t>，用扣除后的价格参加评审。</w:t>
            </w:r>
          </w:p>
        </w:tc>
      </w:tr>
      <w:tr w14:paraId="1C12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038F425">
            <w:pPr>
              <w:snapToGrid w:val="0"/>
              <w:spacing w:after="200"/>
              <w:jc w:val="center"/>
              <w:rPr>
                <w:rFonts w:hint="eastAsia" w:ascii="仿宋" w:hAnsi="仿宋" w:eastAsia="仿宋" w:cs="仿宋"/>
                <w:sz w:val="28"/>
                <w:szCs w:val="24"/>
              </w:rPr>
            </w:pPr>
            <w:r>
              <w:rPr>
                <w:rFonts w:hint="eastAsia" w:ascii="仿宋" w:hAnsi="仿宋" w:eastAsia="仿宋" w:cs="仿宋"/>
                <w:sz w:val="28"/>
                <w:szCs w:val="24"/>
              </w:rPr>
              <w:t>4</w:t>
            </w:r>
          </w:p>
        </w:tc>
        <w:tc>
          <w:tcPr>
            <w:tcW w:w="1556" w:type="dxa"/>
            <w:vAlign w:val="center"/>
          </w:tcPr>
          <w:p w14:paraId="0E1380BD">
            <w:pPr>
              <w:pStyle w:val="30"/>
              <w:ind w:left="96"/>
              <w:jc w:val="center"/>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对供应商的</w:t>
            </w:r>
            <w:r>
              <w:rPr>
                <w:rFonts w:hint="eastAsia" w:ascii="仿宋" w:hAnsi="仿宋" w:eastAsia="仿宋" w:cs="仿宋"/>
                <w:kern w:val="2"/>
                <w:sz w:val="28"/>
                <w:szCs w:val="28"/>
                <w:lang w:val="zh-CN"/>
              </w:rPr>
              <w:br w:type="textWrapping"/>
            </w:r>
            <w:r>
              <w:rPr>
                <w:rFonts w:hint="eastAsia" w:ascii="仿宋" w:hAnsi="仿宋" w:eastAsia="仿宋" w:cs="仿宋"/>
                <w:kern w:val="2"/>
                <w:sz w:val="28"/>
                <w:szCs w:val="28"/>
                <w:lang w:val="zh-CN"/>
              </w:rPr>
              <w:t>资格要求</w:t>
            </w:r>
          </w:p>
        </w:tc>
        <w:tc>
          <w:tcPr>
            <w:tcW w:w="7067" w:type="dxa"/>
            <w:vAlign w:val="center"/>
          </w:tcPr>
          <w:p w14:paraId="6D221EAB">
            <w:pPr>
              <w:pStyle w:val="30"/>
              <w:rPr>
                <w:rFonts w:hint="eastAsia" w:ascii="仿宋" w:hAnsi="仿宋" w:eastAsia="仿宋" w:cs="仿宋"/>
                <w:b/>
                <w:sz w:val="28"/>
                <w:szCs w:val="28"/>
              </w:rPr>
            </w:pPr>
            <w:r>
              <w:rPr>
                <w:rFonts w:hint="eastAsia" w:ascii="仿宋" w:hAnsi="仿宋" w:eastAsia="仿宋" w:cs="仿宋"/>
                <w:b/>
                <w:kern w:val="2"/>
                <w:sz w:val="28"/>
                <w:szCs w:val="28"/>
                <w:lang w:val="zh-CN"/>
              </w:rPr>
              <w:t>1、</w:t>
            </w:r>
            <w:r>
              <w:rPr>
                <w:rFonts w:hint="eastAsia" w:ascii="仿宋" w:hAnsi="仿宋" w:eastAsia="仿宋" w:cs="仿宋"/>
                <w:sz w:val="22"/>
                <w:szCs w:val="22"/>
              </w:rPr>
              <w:t>营业执照等主体资格证明文件：具有独立承担民事责任能力的法人、其他组织或自然人，提供合法有效的统一社会信用代码营业执照（事业单位提供事业单位法人证书，其他组织经营的合法凭证，自然人提供身份证明）</w:t>
            </w:r>
          </w:p>
          <w:p w14:paraId="11537062">
            <w:pPr>
              <w:rPr>
                <w:rFonts w:hint="eastAsia" w:ascii="仿宋" w:hAnsi="仿宋" w:eastAsia="仿宋" w:cs="仿宋"/>
                <w:sz w:val="22"/>
                <w:szCs w:val="24"/>
              </w:rPr>
            </w:pPr>
            <w:r>
              <w:rPr>
                <w:rFonts w:hint="eastAsia" w:ascii="仿宋" w:hAnsi="仿宋" w:eastAsia="仿宋" w:cs="仿宋"/>
                <w:b/>
                <w:sz w:val="22"/>
                <w:szCs w:val="24"/>
                <w:lang w:val="zh-CN"/>
              </w:rPr>
              <w:t>2、</w:t>
            </w:r>
            <w:r>
              <w:rPr>
                <w:rFonts w:hint="eastAsia" w:ascii="仿宋" w:hAnsi="仿宋" w:eastAsia="仿宋" w:cs="仿宋"/>
                <w:sz w:val="22"/>
                <w:szCs w:val="24"/>
              </w:rPr>
              <w:t>财务状况报告、社保缴纳证明、税收缴纳证明</w:t>
            </w:r>
          </w:p>
          <w:p w14:paraId="55E22555">
            <w:pPr>
              <w:pStyle w:val="30"/>
              <w:jc w:val="both"/>
              <w:rPr>
                <w:rFonts w:hint="eastAsia" w:ascii="仿宋" w:hAnsi="仿宋" w:eastAsia="仿宋" w:cs="仿宋"/>
                <w:kern w:val="2"/>
                <w:sz w:val="28"/>
                <w:szCs w:val="28"/>
                <w:lang w:val="zh-CN"/>
              </w:rPr>
            </w:pPr>
            <w:r>
              <w:rPr>
                <w:rFonts w:hint="eastAsia" w:ascii="仿宋" w:hAnsi="仿宋" w:eastAsia="仿宋" w:cs="仿宋"/>
                <w:kern w:val="2"/>
                <w:sz w:val="22"/>
                <w:szCs w:val="22"/>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2126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3C3D50BA">
            <w:pPr>
              <w:snapToGrid w:val="0"/>
              <w:spacing w:after="200"/>
              <w:jc w:val="center"/>
              <w:rPr>
                <w:rFonts w:hint="eastAsia" w:ascii="仿宋" w:hAnsi="仿宋" w:eastAsia="仿宋" w:cs="仿宋"/>
                <w:sz w:val="28"/>
                <w:szCs w:val="24"/>
              </w:rPr>
            </w:pPr>
            <w:r>
              <w:rPr>
                <w:rFonts w:hint="eastAsia" w:ascii="仿宋" w:hAnsi="仿宋" w:eastAsia="仿宋" w:cs="仿宋"/>
                <w:sz w:val="28"/>
                <w:szCs w:val="24"/>
              </w:rPr>
              <w:t>5</w:t>
            </w:r>
          </w:p>
        </w:tc>
        <w:tc>
          <w:tcPr>
            <w:tcW w:w="1556" w:type="dxa"/>
            <w:vMerge w:val="restart"/>
            <w:vAlign w:val="center"/>
          </w:tcPr>
          <w:p w14:paraId="09F723E3">
            <w:pPr>
              <w:pStyle w:val="30"/>
              <w:ind w:left="96"/>
              <w:jc w:val="center"/>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是否接受</w:t>
            </w:r>
            <w:r>
              <w:rPr>
                <w:rFonts w:hint="eastAsia" w:ascii="仿宋" w:hAnsi="仿宋" w:eastAsia="仿宋" w:cs="仿宋"/>
                <w:kern w:val="2"/>
                <w:sz w:val="28"/>
                <w:szCs w:val="28"/>
                <w:lang w:val="zh-CN"/>
              </w:rPr>
              <w:br w:type="textWrapping"/>
            </w:r>
            <w:r>
              <w:rPr>
                <w:rFonts w:hint="eastAsia" w:ascii="仿宋" w:hAnsi="仿宋" w:eastAsia="仿宋" w:cs="仿宋"/>
                <w:kern w:val="2"/>
                <w:sz w:val="28"/>
                <w:szCs w:val="28"/>
                <w:lang w:val="zh-CN"/>
              </w:rPr>
              <w:t>联合体投标</w:t>
            </w:r>
          </w:p>
        </w:tc>
        <w:tc>
          <w:tcPr>
            <w:tcW w:w="7067" w:type="dxa"/>
            <w:vAlign w:val="center"/>
          </w:tcPr>
          <w:p w14:paraId="5CA6DB22">
            <w:pPr>
              <w:pStyle w:val="30"/>
              <w:jc w:val="both"/>
              <w:rPr>
                <w:rFonts w:hint="eastAsia" w:ascii="仿宋" w:hAnsi="仿宋" w:eastAsia="仿宋" w:cs="仿宋"/>
                <w:b/>
                <w:kern w:val="2"/>
                <w:sz w:val="28"/>
                <w:szCs w:val="28"/>
                <w:lang w:val="zh-CN"/>
              </w:rPr>
            </w:pPr>
            <w:r>
              <w:rPr>
                <w:rFonts w:hint="eastAsia" w:ascii="仿宋" w:hAnsi="仿宋" w:eastAsia="仿宋" w:cs="仿宋"/>
                <w:b/>
                <w:kern w:val="2"/>
                <w:sz w:val="28"/>
                <w:szCs w:val="28"/>
                <w:lang w:val="zh-CN"/>
              </w:rPr>
              <w:t>○接受</w:t>
            </w:r>
          </w:p>
          <w:p w14:paraId="1A14167D">
            <w:pPr>
              <w:pStyle w:val="30"/>
              <w:jc w:val="both"/>
              <w:rPr>
                <w:rFonts w:hint="eastAsia" w:ascii="仿宋" w:hAnsi="仿宋" w:eastAsia="仿宋" w:cs="仿宋"/>
                <w:b/>
                <w:kern w:val="2"/>
                <w:sz w:val="28"/>
                <w:szCs w:val="28"/>
                <w:lang w:val="zh-CN"/>
              </w:rPr>
            </w:pPr>
            <w:r>
              <w:rPr>
                <w:rFonts w:hint="eastAsia" w:ascii="仿宋" w:hAnsi="仿宋" w:eastAsia="仿宋" w:cs="仿宋"/>
                <w:kern w:val="2"/>
                <w:sz w:val="22"/>
                <w:szCs w:val="22"/>
                <w:lang w:val="zh-CN"/>
              </w:rPr>
              <w:t>对于联合体协议或者分包意向协议约定小微企业的合同份额占到合同总金额30%以上的，对联合体或者大中型企业的报价</w:t>
            </w:r>
            <w:r>
              <w:rPr>
                <w:rFonts w:hint="eastAsia" w:ascii="仿宋" w:hAnsi="仿宋" w:eastAsia="仿宋" w:cs="仿宋"/>
                <w:b/>
                <w:kern w:val="2"/>
                <w:sz w:val="22"/>
                <w:szCs w:val="22"/>
                <w:lang w:val="zh-CN"/>
              </w:rPr>
              <w:t>给予_</w:t>
            </w:r>
            <w:r>
              <w:rPr>
                <w:rFonts w:hint="eastAsia" w:ascii="仿宋" w:hAnsi="仿宋" w:eastAsia="仿宋" w:cs="仿宋"/>
                <w:b/>
                <w:kern w:val="2"/>
                <w:sz w:val="22"/>
                <w:szCs w:val="22"/>
                <w:u w:val="single"/>
                <w:lang w:val="zh-CN"/>
              </w:rPr>
              <w:t>2_</w:t>
            </w:r>
            <w:r>
              <w:rPr>
                <w:rFonts w:hint="eastAsia" w:ascii="仿宋" w:hAnsi="仿宋" w:eastAsia="仿宋" w:cs="仿宋"/>
                <w:b/>
                <w:kern w:val="2"/>
                <w:sz w:val="22"/>
                <w:szCs w:val="22"/>
                <w:lang w:val="zh-CN"/>
              </w:rPr>
              <w:t>%（2%-3%）的扣除</w:t>
            </w:r>
            <w:r>
              <w:rPr>
                <w:rFonts w:hint="eastAsia" w:ascii="仿宋" w:hAnsi="仿宋" w:eastAsia="仿宋" w:cs="仿宋"/>
                <w:kern w:val="2"/>
                <w:sz w:val="22"/>
                <w:szCs w:val="22"/>
                <w:lang w:val="zh-CN"/>
              </w:rPr>
              <w:t>，用扣除后的报价参加评审。</w:t>
            </w:r>
          </w:p>
        </w:tc>
      </w:tr>
      <w:tr w14:paraId="1D37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0679A9EA">
            <w:pPr>
              <w:snapToGrid w:val="0"/>
              <w:spacing w:after="200"/>
              <w:ind w:left="142"/>
              <w:jc w:val="center"/>
              <w:rPr>
                <w:rFonts w:hint="eastAsia" w:ascii="仿宋" w:hAnsi="仿宋" w:eastAsia="仿宋" w:cs="仿宋"/>
                <w:sz w:val="28"/>
                <w:szCs w:val="24"/>
              </w:rPr>
            </w:pPr>
          </w:p>
        </w:tc>
        <w:tc>
          <w:tcPr>
            <w:tcW w:w="1556" w:type="dxa"/>
            <w:vMerge w:val="continue"/>
            <w:vAlign w:val="center"/>
          </w:tcPr>
          <w:p w14:paraId="38DFA452">
            <w:pPr>
              <w:pStyle w:val="30"/>
              <w:ind w:left="96"/>
              <w:jc w:val="center"/>
              <w:rPr>
                <w:rFonts w:hint="eastAsia" w:ascii="仿宋" w:hAnsi="仿宋" w:eastAsia="仿宋" w:cs="仿宋"/>
                <w:kern w:val="2"/>
                <w:sz w:val="28"/>
                <w:szCs w:val="28"/>
                <w:lang w:val="zh-CN"/>
              </w:rPr>
            </w:pPr>
          </w:p>
        </w:tc>
        <w:tc>
          <w:tcPr>
            <w:tcW w:w="7067" w:type="dxa"/>
            <w:vAlign w:val="center"/>
          </w:tcPr>
          <w:p w14:paraId="44F9A611">
            <w:pPr>
              <w:pStyle w:val="30"/>
              <w:jc w:val="both"/>
              <w:rPr>
                <w:rFonts w:hint="eastAsia" w:ascii="仿宋" w:hAnsi="仿宋" w:eastAsia="仿宋" w:cs="仿宋"/>
                <w:b/>
                <w:kern w:val="2"/>
                <w:sz w:val="28"/>
                <w:szCs w:val="28"/>
                <w:lang w:val="zh-CN"/>
              </w:rPr>
            </w:pPr>
            <w:r>
              <w:rPr>
                <w:rFonts w:hint="eastAsia" w:ascii="仿宋" w:hAnsi="仿宋" w:eastAsia="仿宋" w:cs="仿宋"/>
                <w:b/>
                <w:kern w:val="2"/>
                <w:sz w:val="28"/>
                <w:szCs w:val="28"/>
                <w:lang w:val="zh-CN"/>
              </w:rPr>
              <w:sym w:font="Wingdings" w:char="F0FE"/>
            </w:r>
            <w:r>
              <w:rPr>
                <w:rFonts w:hint="eastAsia" w:ascii="仿宋" w:hAnsi="仿宋" w:eastAsia="仿宋" w:cs="仿宋"/>
                <w:b/>
                <w:kern w:val="2"/>
                <w:sz w:val="28"/>
                <w:szCs w:val="28"/>
                <w:lang w:val="zh-CN"/>
              </w:rPr>
              <w:t>不接受</w:t>
            </w:r>
          </w:p>
        </w:tc>
      </w:tr>
      <w:tr w14:paraId="4589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70D2F226">
            <w:pPr>
              <w:snapToGrid w:val="0"/>
              <w:spacing w:after="200"/>
              <w:jc w:val="center"/>
              <w:rPr>
                <w:rFonts w:hint="eastAsia" w:ascii="仿宋" w:hAnsi="仿宋" w:eastAsia="仿宋" w:cs="仿宋"/>
                <w:sz w:val="28"/>
                <w:szCs w:val="24"/>
              </w:rPr>
            </w:pPr>
            <w:r>
              <w:rPr>
                <w:rFonts w:hint="eastAsia" w:ascii="仿宋" w:hAnsi="仿宋" w:eastAsia="仿宋" w:cs="仿宋"/>
                <w:sz w:val="28"/>
                <w:szCs w:val="24"/>
              </w:rPr>
              <w:t>6</w:t>
            </w:r>
          </w:p>
        </w:tc>
        <w:tc>
          <w:tcPr>
            <w:tcW w:w="1556" w:type="dxa"/>
            <w:vMerge w:val="restart"/>
            <w:vAlign w:val="center"/>
          </w:tcPr>
          <w:p w14:paraId="0A7A3552">
            <w:pPr>
              <w:pStyle w:val="30"/>
              <w:ind w:left="96"/>
              <w:jc w:val="center"/>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履约保证金</w:t>
            </w:r>
          </w:p>
        </w:tc>
        <w:tc>
          <w:tcPr>
            <w:tcW w:w="7067" w:type="dxa"/>
            <w:vAlign w:val="center"/>
          </w:tcPr>
          <w:p w14:paraId="7AF36F18">
            <w:pPr>
              <w:ind w:right="94" w:rightChars="45"/>
              <w:rPr>
                <w:rFonts w:hint="eastAsia" w:ascii="仿宋" w:hAnsi="仿宋" w:eastAsia="仿宋" w:cs="仿宋"/>
                <w:b/>
                <w:sz w:val="28"/>
                <w:szCs w:val="24"/>
              </w:rPr>
            </w:pPr>
            <w:r>
              <w:rPr>
                <w:rFonts w:hint="eastAsia" w:ascii="仿宋" w:hAnsi="仿宋" w:eastAsia="仿宋" w:cs="仿宋"/>
                <w:b/>
                <w:sz w:val="28"/>
                <w:szCs w:val="24"/>
              </w:rPr>
              <w:t>占政府采购合同金额的___%</w:t>
            </w:r>
          </w:p>
          <w:p w14:paraId="48174210">
            <w:pPr>
              <w:ind w:right="94" w:rightChars="45"/>
              <w:rPr>
                <w:rFonts w:hint="eastAsia" w:ascii="仿宋" w:hAnsi="仿宋" w:eastAsia="仿宋" w:cs="仿宋"/>
                <w:sz w:val="22"/>
                <w:szCs w:val="22"/>
              </w:rPr>
            </w:pPr>
            <w:r>
              <w:rPr>
                <w:rFonts w:hint="eastAsia" w:ascii="仿宋" w:hAnsi="仿宋" w:eastAsia="仿宋" w:cs="仿宋"/>
                <w:sz w:val="22"/>
                <w:szCs w:val="22"/>
              </w:rPr>
              <w:t>履约保证金的数额不得超过政府采购合同金额的10%；对于单价合同，其数额不得超过采购预算的10%</w:t>
            </w:r>
          </w:p>
        </w:tc>
      </w:tr>
      <w:tr w14:paraId="551D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682F0DE5">
            <w:pPr>
              <w:snapToGrid w:val="0"/>
              <w:spacing w:after="200"/>
              <w:ind w:left="142"/>
              <w:jc w:val="center"/>
              <w:rPr>
                <w:rFonts w:hint="eastAsia" w:ascii="仿宋" w:hAnsi="仿宋" w:eastAsia="仿宋" w:cs="仿宋"/>
                <w:sz w:val="28"/>
                <w:szCs w:val="24"/>
              </w:rPr>
            </w:pPr>
          </w:p>
        </w:tc>
        <w:tc>
          <w:tcPr>
            <w:tcW w:w="1556" w:type="dxa"/>
            <w:vMerge w:val="continue"/>
            <w:vAlign w:val="center"/>
          </w:tcPr>
          <w:p w14:paraId="58D96203">
            <w:pPr>
              <w:pStyle w:val="30"/>
              <w:ind w:left="96"/>
              <w:jc w:val="center"/>
              <w:rPr>
                <w:rFonts w:hint="eastAsia" w:ascii="仿宋" w:hAnsi="仿宋" w:eastAsia="仿宋" w:cs="仿宋"/>
                <w:kern w:val="2"/>
                <w:sz w:val="28"/>
                <w:szCs w:val="28"/>
                <w:lang w:val="zh-CN"/>
              </w:rPr>
            </w:pPr>
          </w:p>
        </w:tc>
        <w:tc>
          <w:tcPr>
            <w:tcW w:w="7067" w:type="dxa"/>
            <w:vAlign w:val="center"/>
          </w:tcPr>
          <w:p w14:paraId="359F4A2B">
            <w:pPr>
              <w:ind w:right="94" w:rightChars="45"/>
              <w:rPr>
                <w:rFonts w:hint="eastAsia" w:ascii="仿宋" w:hAnsi="仿宋" w:eastAsia="仿宋" w:cs="仿宋"/>
                <w:b/>
                <w:sz w:val="28"/>
                <w:szCs w:val="24"/>
              </w:rPr>
            </w:pPr>
            <w:r>
              <w:rPr>
                <w:rFonts w:hint="eastAsia" w:ascii="仿宋" w:hAnsi="仿宋" w:eastAsia="仿宋" w:cs="仿宋"/>
                <w:b/>
                <w:sz w:val="28"/>
                <w:szCs w:val="24"/>
              </w:rPr>
              <w:t>○由采购单位自行收退</w:t>
            </w:r>
          </w:p>
          <w:p w14:paraId="7963EBD4">
            <w:pPr>
              <w:ind w:right="94" w:rightChars="45"/>
              <w:rPr>
                <w:rFonts w:hint="eastAsia" w:ascii="仿宋" w:hAnsi="仿宋" w:eastAsia="仿宋" w:cs="仿宋"/>
                <w:b/>
                <w:sz w:val="28"/>
                <w:szCs w:val="24"/>
              </w:rPr>
            </w:pPr>
            <w:r>
              <w:rPr>
                <w:rFonts w:hint="eastAsia" w:ascii="仿宋" w:hAnsi="仿宋" w:eastAsia="仿宋" w:cs="仿宋"/>
                <w:b/>
                <w:sz w:val="28"/>
                <w:szCs w:val="24"/>
              </w:rPr>
              <w:t>○由代理机构负责收退</w:t>
            </w:r>
          </w:p>
        </w:tc>
      </w:tr>
      <w:tr w14:paraId="0409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0A23206">
            <w:pPr>
              <w:snapToGrid w:val="0"/>
              <w:spacing w:after="200"/>
              <w:jc w:val="center"/>
              <w:rPr>
                <w:rFonts w:hint="eastAsia" w:ascii="仿宋" w:hAnsi="仿宋" w:eastAsia="仿宋" w:cs="仿宋"/>
                <w:sz w:val="28"/>
                <w:szCs w:val="24"/>
              </w:rPr>
            </w:pPr>
            <w:r>
              <w:rPr>
                <w:rFonts w:hint="eastAsia" w:ascii="仿宋" w:hAnsi="仿宋" w:eastAsia="仿宋" w:cs="仿宋"/>
                <w:sz w:val="28"/>
                <w:szCs w:val="24"/>
              </w:rPr>
              <w:t>7</w:t>
            </w:r>
          </w:p>
        </w:tc>
        <w:tc>
          <w:tcPr>
            <w:tcW w:w="1556" w:type="dxa"/>
            <w:vAlign w:val="center"/>
          </w:tcPr>
          <w:p w14:paraId="1D28B1F6">
            <w:pPr>
              <w:pStyle w:val="30"/>
              <w:ind w:left="96"/>
              <w:jc w:val="center"/>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集中答疑</w:t>
            </w:r>
          </w:p>
        </w:tc>
        <w:tc>
          <w:tcPr>
            <w:tcW w:w="7067" w:type="dxa"/>
            <w:vAlign w:val="center"/>
          </w:tcPr>
          <w:p w14:paraId="2163B812">
            <w:pPr>
              <w:ind w:right="94" w:rightChars="45"/>
              <w:rPr>
                <w:rFonts w:hint="eastAsia" w:ascii="仿宋" w:hAnsi="仿宋" w:eastAsia="仿宋" w:cs="仿宋"/>
                <w:b/>
                <w:sz w:val="28"/>
                <w:szCs w:val="24"/>
              </w:rPr>
            </w:pPr>
            <w:r>
              <w:rPr>
                <w:rFonts w:hint="eastAsia" w:ascii="仿宋" w:hAnsi="仿宋" w:eastAsia="仿宋" w:cs="仿宋"/>
                <w:b/>
                <w:sz w:val="28"/>
                <w:szCs w:val="24"/>
              </w:rPr>
              <w:t>○组织，答疑地点为：_______________________</w:t>
            </w:r>
          </w:p>
          <w:p w14:paraId="7ED27DE1">
            <w:pPr>
              <w:ind w:right="94" w:rightChars="45"/>
              <w:rPr>
                <w:rFonts w:hint="eastAsia" w:ascii="仿宋" w:hAnsi="仿宋" w:eastAsia="仿宋" w:cs="仿宋"/>
                <w:b/>
                <w:sz w:val="28"/>
                <w:szCs w:val="24"/>
              </w:rPr>
            </w:pPr>
            <w:r>
              <w:rPr>
                <w:rFonts w:hint="eastAsia" w:ascii="仿宋" w:hAnsi="仿宋" w:eastAsia="仿宋" w:cs="仿宋"/>
                <w:b/>
                <w:sz w:val="28"/>
                <w:szCs w:val="24"/>
              </w:rPr>
              <w:sym w:font="Wingdings" w:char="F0FE"/>
            </w:r>
            <w:r>
              <w:rPr>
                <w:rFonts w:hint="eastAsia" w:ascii="仿宋" w:hAnsi="仿宋" w:eastAsia="仿宋" w:cs="仿宋"/>
                <w:b/>
                <w:sz w:val="28"/>
                <w:szCs w:val="24"/>
              </w:rPr>
              <w:t>不组织</w:t>
            </w:r>
          </w:p>
        </w:tc>
      </w:tr>
      <w:tr w14:paraId="0328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36D37F0">
            <w:pPr>
              <w:snapToGrid w:val="0"/>
              <w:spacing w:after="200"/>
              <w:jc w:val="center"/>
              <w:rPr>
                <w:rFonts w:hint="eastAsia" w:ascii="仿宋" w:hAnsi="仿宋" w:eastAsia="仿宋" w:cs="仿宋"/>
                <w:sz w:val="28"/>
                <w:szCs w:val="24"/>
              </w:rPr>
            </w:pPr>
            <w:r>
              <w:rPr>
                <w:rFonts w:hint="eastAsia" w:ascii="仿宋" w:hAnsi="仿宋" w:eastAsia="仿宋" w:cs="仿宋"/>
                <w:sz w:val="28"/>
                <w:szCs w:val="24"/>
              </w:rPr>
              <w:t>8</w:t>
            </w:r>
          </w:p>
        </w:tc>
        <w:tc>
          <w:tcPr>
            <w:tcW w:w="1556" w:type="dxa"/>
            <w:vAlign w:val="center"/>
          </w:tcPr>
          <w:p w14:paraId="7E995C62">
            <w:pPr>
              <w:pStyle w:val="30"/>
              <w:ind w:left="96"/>
              <w:jc w:val="center"/>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价格分比重</w:t>
            </w:r>
          </w:p>
        </w:tc>
        <w:tc>
          <w:tcPr>
            <w:tcW w:w="7067" w:type="dxa"/>
            <w:vAlign w:val="center"/>
          </w:tcPr>
          <w:p w14:paraId="384908D9">
            <w:pPr>
              <w:widowControl/>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占总分值的_</w:t>
            </w:r>
            <w:r>
              <w:rPr>
                <w:rFonts w:hint="eastAsia" w:ascii="仿宋" w:hAnsi="仿宋" w:eastAsia="仿宋" w:cs="仿宋"/>
                <w:b/>
                <w:kern w:val="0"/>
                <w:sz w:val="28"/>
                <w:szCs w:val="28"/>
                <w:u w:val="single"/>
                <w:lang w:val="zh-CN"/>
              </w:rPr>
              <w:t>30</w:t>
            </w:r>
            <w:r>
              <w:rPr>
                <w:rFonts w:hint="eastAsia" w:ascii="仿宋" w:hAnsi="仿宋" w:eastAsia="仿宋" w:cs="仿宋"/>
                <w:b/>
                <w:kern w:val="0"/>
                <w:sz w:val="28"/>
                <w:szCs w:val="28"/>
                <w:lang w:val="zh-CN"/>
              </w:rPr>
              <w:t>_%</w:t>
            </w:r>
          </w:p>
          <w:p w14:paraId="4F0337E1">
            <w:pPr>
              <w:widowControl/>
              <w:rPr>
                <w:rFonts w:hint="eastAsia" w:ascii="仿宋" w:hAnsi="仿宋" w:eastAsia="仿宋" w:cs="仿宋"/>
                <w:kern w:val="0"/>
                <w:sz w:val="22"/>
                <w:szCs w:val="22"/>
                <w:lang w:val="zh-CN"/>
              </w:rPr>
            </w:pPr>
            <w:r>
              <w:rPr>
                <w:rFonts w:hint="eastAsia" w:ascii="仿宋" w:hAnsi="仿宋" w:eastAsia="仿宋" w:cs="仿宋"/>
                <w:kern w:val="0"/>
                <w:sz w:val="22"/>
                <w:szCs w:val="22"/>
                <w:lang w:val="zh-CN"/>
              </w:rPr>
              <w:t>[招标]根据《政府采购货物和服务招标投标管理办法》（财政部87号令）的规定，综合评分法服务项目的价格分值占总分值的比重不得低于10%。执行国家统一定价标准和采用固定价格采购的项目，其价格不列为评审因素。</w:t>
            </w:r>
          </w:p>
          <w:p w14:paraId="59AEB12C">
            <w:pPr>
              <w:widowControl/>
              <w:rPr>
                <w:rFonts w:hint="eastAsia" w:ascii="仿宋" w:hAnsi="仿宋" w:eastAsia="仿宋" w:cs="仿宋"/>
                <w:kern w:val="0"/>
                <w:sz w:val="22"/>
                <w:szCs w:val="22"/>
                <w:lang w:val="zh-CN"/>
              </w:rPr>
            </w:pPr>
            <w:r>
              <w:rPr>
                <w:rFonts w:hint="eastAsia" w:ascii="仿宋" w:hAnsi="仿宋" w:eastAsia="仿宋" w:cs="仿宋"/>
                <w:kern w:val="0"/>
                <w:sz w:val="22"/>
                <w:szCs w:val="22"/>
                <w:lang w:val="zh-CN"/>
              </w:rPr>
              <w:t>[磋商]根据《政府采购竞争性磋商采购方式管理暂行办法》（财库〔2014〕214号）的规定，服务项目的价格分值占总分值的比重(即权值)为10%-30%。</w:t>
            </w:r>
          </w:p>
          <w:p w14:paraId="5BADCBE6">
            <w:pPr>
              <w:widowControl/>
              <w:rPr>
                <w:rFonts w:hint="eastAsia" w:ascii="仿宋" w:hAnsi="仿宋" w:eastAsia="仿宋" w:cs="仿宋"/>
                <w:kern w:val="0"/>
                <w:sz w:val="22"/>
                <w:szCs w:val="22"/>
                <w:lang w:val="zh-CN"/>
              </w:rPr>
            </w:pPr>
            <w:r>
              <w:rPr>
                <w:rFonts w:hint="eastAsia" w:ascii="仿宋" w:hAnsi="仿宋" w:eastAsia="仿宋" w:cs="仿宋"/>
                <w:kern w:val="0"/>
                <w:sz w:val="22"/>
                <w:szCs w:val="22"/>
                <w:lang w:val="zh-CN"/>
              </w:rPr>
              <w:t>[其他采购方式]无须设置。</w:t>
            </w:r>
          </w:p>
        </w:tc>
      </w:tr>
      <w:tr w14:paraId="7080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59544E9">
            <w:pPr>
              <w:snapToGrid w:val="0"/>
              <w:spacing w:after="200"/>
              <w:jc w:val="center"/>
              <w:rPr>
                <w:rFonts w:hint="eastAsia" w:ascii="仿宋" w:hAnsi="仿宋" w:eastAsia="仿宋" w:cs="仿宋"/>
                <w:sz w:val="28"/>
                <w:szCs w:val="24"/>
              </w:rPr>
            </w:pPr>
            <w:r>
              <w:rPr>
                <w:rFonts w:hint="eastAsia" w:ascii="仿宋" w:hAnsi="仿宋" w:eastAsia="仿宋" w:cs="仿宋"/>
                <w:sz w:val="28"/>
                <w:szCs w:val="24"/>
              </w:rPr>
              <w:t>9</w:t>
            </w:r>
          </w:p>
        </w:tc>
        <w:tc>
          <w:tcPr>
            <w:tcW w:w="1556" w:type="dxa"/>
            <w:vAlign w:val="center"/>
          </w:tcPr>
          <w:p w14:paraId="0784161B">
            <w:pPr>
              <w:pStyle w:val="30"/>
              <w:ind w:left="96"/>
              <w:jc w:val="center"/>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合同类型</w:t>
            </w:r>
          </w:p>
        </w:tc>
        <w:tc>
          <w:tcPr>
            <w:tcW w:w="7067" w:type="dxa"/>
            <w:vAlign w:val="center"/>
          </w:tcPr>
          <w:p w14:paraId="5306EB77">
            <w:pPr>
              <w:rPr>
                <w:rFonts w:hint="eastAsia" w:ascii="仿宋" w:hAnsi="仿宋" w:eastAsia="仿宋" w:cs="仿宋"/>
                <w:b/>
                <w:sz w:val="28"/>
                <w:szCs w:val="24"/>
                <w:lang w:val="zh-CN"/>
              </w:rPr>
            </w:pPr>
            <w:r>
              <w:rPr>
                <w:rFonts w:hint="eastAsia" w:ascii="仿宋" w:hAnsi="仿宋" w:eastAsia="仿宋" w:cs="仿宋"/>
                <w:b/>
                <w:sz w:val="28"/>
                <w:szCs w:val="24"/>
                <w:lang w:val="zh-CN"/>
              </w:rPr>
              <w:t>○固定总价</w:t>
            </w:r>
          </w:p>
          <w:p w14:paraId="57432A06">
            <w:pPr>
              <w:rPr>
                <w:rFonts w:hint="eastAsia" w:ascii="仿宋" w:hAnsi="仿宋" w:eastAsia="仿宋" w:cs="仿宋"/>
                <w:b/>
                <w:sz w:val="28"/>
                <w:szCs w:val="24"/>
                <w:lang w:val="zh-CN"/>
              </w:rPr>
            </w:pPr>
            <w:r>
              <w:rPr>
                <w:rFonts w:hint="eastAsia" w:ascii="仿宋" w:hAnsi="仿宋" w:eastAsia="仿宋" w:cs="仿宋"/>
                <w:b/>
                <w:sz w:val="28"/>
                <w:szCs w:val="24"/>
                <w:lang w:val="zh-CN"/>
              </w:rPr>
              <w:sym w:font="Wingdings" w:char="F0FE"/>
            </w:r>
            <w:r>
              <w:rPr>
                <w:rFonts w:hint="eastAsia" w:ascii="仿宋" w:hAnsi="仿宋" w:eastAsia="仿宋" w:cs="仿宋"/>
                <w:b/>
                <w:sz w:val="28"/>
                <w:szCs w:val="24"/>
                <w:lang w:val="zh-CN"/>
              </w:rPr>
              <w:t>固定单价（适用于采购数量不定的情形）</w:t>
            </w:r>
          </w:p>
          <w:p w14:paraId="5CAE2FA9">
            <w:pPr>
              <w:rPr>
                <w:rFonts w:hint="eastAsia" w:ascii="仿宋" w:hAnsi="仿宋" w:eastAsia="仿宋" w:cs="仿宋"/>
                <w:sz w:val="28"/>
                <w:szCs w:val="24"/>
                <w:lang w:val="zh-CN"/>
              </w:rPr>
            </w:pPr>
            <w:r>
              <w:rPr>
                <w:rFonts w:hint="eastAsia" w:ascii="仿宋" w:hAnsi="仿宋" w:eastAsia="仿宋" w:cs="仿宋"/>
                <w:b/>
                <w:sz w:val="28"/>
                <w:szCs w:val="24"/>
                <w:lang w:val="zh-CN"/>
              </w:rPr>
              <w:t>○其他：_____________________________</w:t>
            </w:r>
          </w:p>
        </w:tc>
      </w:tr>
      <w:tr w14:paraId="1EAB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54AB978">
            <w:pPr>
              <w:snapToGrid w:val="0"/>
              <w:spacing w:after="200"/>
              <w:jc w:val="center"/>
              <w:rPr>
                <w:rFonts w:hint="eastAsia" w:ascii="仿宋" w:hAnsi="仿宋" w:eastAsia="仿宋" w:cs="仿宋"/>
                <w:sz w:val="28"/>
                <w:szCs w:val="24"/>
              </w:rPr>
            </w:pPr>
            <w:r>
              <w:rPr>
                <w:rFonts w:hint="eastAsia" w:ascii="仿宋" w:hAnsi="仿宋" w:eastAsia="仿宋" w:cs="仿宋"/>
                <w:sz w:val="28"/>
                <w:szCs w:val="24"/>
              </w:rPr>
              <w:t>10</w:t>
            </w:r>
          </w:p>
        </w:tc>
        <w:tc>
          <w:tcPr>
            <w:tcW w:w="1556" w:type="dxa"/>
            <w:vAlign w:val="center"/>
          </w:tcPr>
          <w:p w14:paraId="52861E07">
            <w:pPr>
              <w:tabs>
                <w:tab w:val="left" w:pos="7665"/>
              </w:tabs>
              <w:snapToGrid w:val="0"/>
              <w:jc w:val="center"/>
              <w:rPr>
                <w:rFonts w:hint="eastAsia" w:ascii="仿宋" w:hAnsi="仿宋" w:eastAsia="仿宋" w:cs="仿宋"/>
                <w:sz w:val="28"/>
                <w:szCs w:val="24"/>
              </w:rPr>
            </w:pPr>
            <w:r>
              <w:rPr>
                <w:rFonts w:hint="eastAsia" w:ascii="仿宋" w:hAnsi="仿宋" w:eastAsia="仿宋" w:cs="仿宋"/>
                <w:sz w:val="28"/>
                <w:szCs w:val="24"/>
              </w:rPr>
              <w:t>争议解决途径</w:t>
            </w:r>
          </w:p>
        </w:tc>
        <w:tc>
          <w:tcPr>
            <w:tcW w:w="7067" w:type="dxa"/>
            <w:vAlign w:val="center"/>
          </w:tcPr>
          <w:p w14:paraId="65E0BEC9">
            <w:pPr>
              <w:tabs>
                <w:tab w:val="left" w:pos="7665"/>
              </w:tabs>
              <w:snapToGrid w:val="0"/>
              <w:rPr>
                <w:rFonts w:hint="eastAsia" w:ascii="仿宋" w:hAnsi="仿宋" w:eastAsia="仿宋" w:cs="仿宋"/>
                <w:b/>
                <w:sz w:val="28"/>
                <w:szCs w:val="24"/>
              </w:rPr>
            </w:pPr>
            <w:r>
              <w:rPr>
                <w:rFonts w:hint="eastAsia" w:ascii="仿宋" w:hAnsi="仿宋" w:eastAsia="仿宋" w:cs="仿宋"/>
                <w:b/>
                <w:sz w:val="28"/>
                <w:szCs w:val="24"/>
              </w:rPr>
              <w:sym w:font="Wingdings" w:char="F0FE"/>
            </w:r>
            <w:r>
              <w:rPr>
                <w:rFonts w:hint="eastAsia" w:ascii="仿宋" w:hAnsi="仿宋" w:eastAsia="仿宋" w:cs="仿宋"/>
                <w:b/>
                <w:sz w:val="28"/>
                <w:szCs w:val="24"/>
              </w:rPr>
              <w:t>向有管辖权的人民法院提起诉讼</w:t>
            </w:r>
          </w:p>
          <w:p w14:paraId="244B1DFA">
            <w:pPr>
              <w:tabs>
                <w:tab w:val="left" w:pos="7665"/>
              </w:tabs>
              <w:snapToGrid w:val="0"/>
              <w:rPr>
                <w:rFonts w:hint="eastAsia" w:ascii="仿宋" w:hAnsi="仿宋" w:eastAsia="仿宋" w:cs="仿宋"/>
                <w:b/>
                <w:sz w:val="28"/>
                <w:szCs w:val="24"/>
              </w:rPr>
            </w:pPr>
            <w:r>
              <w:rPr>
                <w:rFonts w:hint="eastAsia" w:ascii="仿宋" w:hAnsi="仿宋" w:eastAsia="仿宋" w:cs="仿宋"/>
                <w:b/>
                <w:sz w:val="28"/>
                <w:szCs w:val="24"/>
              </w:rPr>
              <w:t>○向西安仲裁委员会提请仲裁</w:t>
            </w:r>
          </w:p>
          <w:p w14:paraId="2DEA3DB6">
            <w:pPr>
              <w:tabs>
                <w:tab w:val="left" w:pos="7665"/>
              </w:tabs>
              <w:snapToGrid w:val="0"/>
              <w:rPr>
                <w:rFonts w:hint="eastAsia" w:ascii="仿宋" w:hAnsi="仿宋" w:eastAsia="仿宋" w:cs="仿宋"/>
                <w:sz w:val="28"/>
                <w:szCs w:val="24"/>
              </w:rPr>
            </w:pPr>
            <w:r>
              <w:rPr>
                <w:rFonts w:hint="eastAsia" w:ascii="仿宋" w:hAnsi="仿宋" w:eastAsia="仿宋" w:cs="仿宋"/>
                <w:b/>
                <w:sz w:val="28"/>
                <w:szCs w:val="24"/>
              </w:rPr>
              <w:t>○由供应商做出选择</w:t>
            </w:r>
          </w:p>
        </w:tc>
      </w:tr>
      <w:tr w14:paraId="7671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B4735DA">
            <w:pPr>
              <w:snapToGrid w:val="0"/>
              <w:spacing w:after="200"/>
              <w:jc w:val="center"/>
              <w:rPr>
                <w:rFonts w:hint="eastAsia" w:ascii="仿宋" w:hAnsi="仿宋" w:eastAsia="仿宋" w:cs="仿宋"/>
                <w:sz w:val="28"/>
                <w:szCs w:val="24"/>
              </w:rPr>
            </w:pPr>
            <w:r>
              <w:rPr>
                <w:rFonts w:hint="eastAsia" w:ascii="仿宋" w:hAnsi="仿宋" w:eastAsia="仿宋" w:cs="仿宋"/>
                <w:sz w:val="28"/>
                <w:szCs w:val="24"/>
              </w:rPr>
              <w:t>11</w:t>
            </w:r>
          </w:p>
        </w:tc>
        <w:tc>
          <w:tcPr>
            <w:tcW w:w="1556" w:type="dxa"/>
            <w:vAlign w:val="center"/>
          </w:tcPr>
          <w:p w14:paraId="28987316">
            <w:pPr>
              <w:snapToGrid w:val="0"/>
              <w:jc w:val="center"/>
              <w:rPr>
                <w:rFonts w:hint="eastAsia" w:ascii="仿宋" w:hAnsi="仿宋" w:eastAsia="仿宋" w:cs="仿宋"/>
                <w:sz w:val="28"/>
                <w:szCs w:val="24"/>
              </w:rPr>
            </w:pPr>
            <w:r>
              <w:rPr>
                <w:rFonts w:hint="eastAsia" w:ascii="仿宋" w:hAnsi="仿宋" w:eastAsia="仿宋" w:cs="仿宋"/>
                <w:sz w:val="28"/>
                <w:szCs w:val="24"/>
              </w:rPr>
              <w:t>联系方式</w:t>
            </w:r>
          </w:p>
        </w:tc>
        <w:tc>
          <w:tcPr>
            <w:tcW w:w="7067" w:type="dxa"/>
            <w:vAlign w:val="center"/>
          </w:tcPr>
          <w:p w14:paraId="664C6B05">
            <w:pPr>
              <w:tabs>
                <w:tab w:val="left" w:pos="7665"/>
              </w:tabs>
              <w:snapToGrid w:val="0"/>
              <w:rPr>
                <w:rFonts w:hint="eastAsia" w:ascii="仿宋" w:hAnsi="仿宋" w:eastAsia="仿宋" w:cs="仿宋"/>
                <w:b/>
                <w:bCs/>
                <w:sz w:val="28"/>
                <w:szCs w:val="24"/>
              </w:rPr>
            </w:pPr>
            <w:r>
              <w:rPr>
                <w:rFonts w:hint="eastAsia" w:ascii="仿宋" w:hAnsi="仿宋" w:eastAsia="仿宋" w:cs="仿宋"/>
                <w:b/>
                <w:bCs/>
                <w:sz w:val="28"/>
                <w:szCs w:val="24"/>
              </w:rPr>
              <w:t>项目对接人：张航</w:t>
            </w:r>
          </w:p>
          <w:p w14:paraId="0F0043BD">
            <w:pPr>
              <w:tabs>
                <w:tab w:val="left" w:pos="7665"/>
              </w:tabs>
              <w:snapToGrid w:val="0"/>
              <w:rPr>
                <w:rFonts w:hint="eastAsia" w:ascii="仿宋" w:hAnsi="仿宋" w:eastAsia="仿宋" w:cs="仿宋"/>
                <w:b/>
                <w:bCs/>
                <w:sz w:val="28"/>
                <w:szCs w:val="24"/>
              </w:rPr>
            </w:pPr>
            <w:r>
              <w:rPr>
                <w:rFonts w:hint="eastAsia" w:ascii="仿宋" w:hAnsi="仿宋" w:eastAsia="仿宋" w:cs="仿宋"/>
                <w:b/>
                <w:bCs/>
                <w:sz w:val="28"/>
                <w:szCs w:val="24"/>
              </w:rPr>
              <w:t>联系电话：18829085678</w:t>
            </w:r>
          </w:p>
          <w:p w14:paraId="091C894D">
            <w:pPr>
              <w:tabs>
                <w:tab w:val="left" w:pos="7665"/>
              </w:tabs>
              <w:snapToGrid w:val="0"/>
              <w:rPr>
                <w:rFonts w:hint="eastAsia" w:ascii="仿宋" w:hAnsi="仿宋" w:eastAsia="仿宋" w:cs="仿宋"/>
                <w:sz w:val="28"/>
                <w:szCs w:val="24"/>
              </w:rPr>
            </w:pPr>
            <w:r>
              <w:rPr>
                <w:rFonts w:hint="eastAsia" w:ascii="仿宋" w:hAnsi="仿宋" w:eastAsia="仿宋" w:cs="仿宋"/>
                <w:b/>
                <w:bCs/>
                <w:sz w:val="28"/>
                <w:szCs w:val="24"/>
              </w:rPr>
              <w:t>电子邮箱：358282014@qq.com</w:t>
            </w:r>
          </w:p>
        </w:tc>
      </w:tr>
    </w:tbl>
    <w:p w14:paraId="14C1A679">
      <w:pPr>
        <w:widowControl/>
        <w:jc w:val="center"/>
        <w:rPr>
          <w:rFonts w:ascii="仿宋" w:hAnsi="仿宋" w:eastAsia="仿宋"/>
          <w:b/>
          <w:sz w:val="32"/>
          <w:szCs w:val="32"/>
        </w:rPr>
      </w:pPr>
    </w:p>
    <w:p w14:paraId="37287597">
      <w:pPr>
        <w:widowControl/>
        <w:jc w:val="center"/>
        <w:rPr>
          <w:rFonts w:ascii="仿宋" w:hAnsi="仿宋" w:eastAsia="仿宋"/>
          <w:b/>
          <w:sz w:val="32"/>
          <w:szCs w:val="32"/>
        </w:rPr>
      </w:pPr>
    </w:p>
    <w:p w14:paraId="14C2AFBB">
      <w:pPr>
        <w:widowControl/>
        <w:jc w:val="center"/>
        <w:rPr>
          <w:rFonts w:ascii="仿宋" w:hAnsi="仿宋" w:eastAsia="仿宋"/>
          <w:b/>
          <w:sz w:val="32"/>
          <w:szCs w:val="32"/>
        </w:rPr>
      </w:pPr>
    </w:p>
    <w:p w14:paraId="1A6C4A38">
      <w:pPr>
        <w:widowControl/>
        <w:jc w:val="center"/>
        <w:rPr>
          <w:rFonts w:ascii="仿宋" w:hAnsi="仿宋" w:eastAsia="仿宋"/>
          <w:b/>
          <w:sz w:val="32"/>
          <w:szCs w:val="32"/>
        </w:rPr>
      </w:pPr>
    </w:p>
    <w:p w14:paraId="319DAE38">
      <w:pPr>
        <w:widowControl/>
        <w:jc w:val="center"/>
        <w:rPr>
          <w:rFonts w:ascii="仿宋" w:hAnsi="仿宋" w:eastAsia="仿宋"/>
          <w:b/>
          <w:sz w:val="32"/>
          <w:szCs w:val="32"/>
        </w:rPr>
      </w:pPr>
    </w:p>
    <w:p w14:paraId="015ABF85">
      <w:pPr>
        <w:widowControl/>
        <w:jc w:val="center"/>
        <w:rPr>
          <w:rFonts w:ascii="仿宋" w:hAnsi="仿宋" w:eastAsia="仿宋"/>
          <w:b/>
          <w:sz w:val="32"/>
          <w:szCs w:val="32"/>
        </w:rPr>
      </w:pPr>
    </w:p>
    <w:p w14:paraId="12B41976">
      <w:pPr>
        <w:widowControl/>
        <w:jc w:val="center"/>
        <w:rPr>
          <w:rFonts w:hint="eastAsia" w:ascii="仿宋" w:hAnsi="仿宋" w:eastAsia="仿宋" w:cs="仿宋"/>
          <w:b/>
          <w:sz w:val="32"/>
          <w:szCs w:val="32"/>
        </w:rPr>
      </w:pPr>
      <w:bookmarkStart w:id="0" w:name="_GoBack"/>
      <w:r>
        <w:rPr>
          <w:rFonts w:hint="eastAsia" w:ascii="仿宋" w:hAnsi="仿宋" w:eastAsia="仿宋" w:cs="仿宋"/>
          <w:b/>
          <w:sz w:val="32"/>
          <w:szCs w:val="32"/>
        </w:rPr>
        <w:t>需求框架（服务类）</w:t>
      </w:r>
    </w:p>
    <w:p w14:paraId="3EA60C53">
      <w:pPr>
        <w:pBdr>
          <w:bottom w:val="single" w:color="auto" w:sz="4" w:space="1"/>
        </w:pBdr>
        <w:spacing w:beforeLines="100"/>
        <w:ind w:left="420" w:hanging="420"/>
        <w:rPr>
          <w:rFonts w:hint="eastAsia" w:ascii="仿宋" w:hAnsi="仿宋" w:eastAsia="仿宋" w:cs="仿宋"/>
          <w:b/>
          <w:sz w:val="28"/>
          <w:szCs w:val="28"/>
        </w:rPr>
      </w:pPr>
      <w:r>
        <w:rPr>
          <w:rFonts w:hint="eastAsia" w:ascii="仿宋" w:hAnsi="仿宋" w:eastAsia="仿宋" w:cs="仿宋"/>
          <w:b/>
          <w:sz w:val="28"/>
          <w:szCs w:val="28"/>
        </w:rPr>
        <w:t>一、项目概况</w:t>
      </w:r>
    </w:p>
    <w:p w14:paraId="1F4C1015">
      <w:pPr>
        <w:ind w:firstLine="560" w:firstLineChars="200"/>
        <w:rPr>
          <w:rFonts w:hint="eastAsia" w:ascii="仿宋" w:hAnsi="仿宋" w:eastAsia="仿宋" w:cs="仿宋"/>
          <w:sz w:val="28"/>
          <w:szCs w:val="28"/>
        </w:rPr>
      </w:pPr>
      <w:r>
        <w:rPr>
          <w:rFonts w:hint="eastAsia" w:ascii="仿宋" w:hAnsi="仿宋" w:eastAsia="仿宋" w:cs="仿宋"/>
          <w:sz w:val="28"/>
          <w:szCs w:val="28"/>
        </w:rPr>
        <w:t>用简要扼要的描述，清晰表达采购意图，目的是让服务商对项目需求有整体上的了解，引起服务商参与的积极性。与本次项目无关的文字请尽量精简。</w:t>
      </w:r>
    </w:p>
    <w:p w14:paraId="2FBD387F">
      <w:pPr>
        <w:pStyle w:val="37"/>
        <w:ind w:firstLine="480"/>
        <w:rPr>
          <w:rFonts w:hint="eastAsia" w:ascii="仿宋" w:hAnsi="仿宋" w:eastAsia="仿宋" w:cs="仿宋"/>
          <w:sz w:val="24"/>
          <w:szCs w:val="24"/>
        </w:rPr>
      </w:pPr>
      <w:r>
        <w:rPr>
          <w:rFonts w:hint="eastAsia" w:ascii="仿宋" w:hAnsi="仿宋" w:eastAsia="仿宋" w:cs="仿宋"/>
          <w:sz w:val="24"/>
          <w:szCs w:val="24"/>
        </w:rPr>
        <w:t>医院每天产生生活垃圾量约96桶，240L/桶，每天由保洁人员转运至垃圾暂存间，由服务商清运到政府相关部门规定的垃圾焚烧场。</w:t>
      </w:r>
    </w:p>
    <w:p w14:paraId="0619835C">
      <w:pPr>
        <w:pStyle w:val="37"/>
        <w:ind w:firstLine="480"/>
        <w:rPr>
          <w:rFonts w:hint="eastAsia" w:ascii="仿宋" w:hAnsi="仿宋" w:eastAsia="仿宋" w:cs="仿宋"/>
          <w:sz w:val="24"/>
          <w:szCs w:val="24"/>
        </w:rPr>
      </w:pPr>
      <w:r>
        <w:rPr>
          <w:rFonts w:hint="eastAsia" w:ascii="仿宋" w:hAnsi="仿宋" w:eastAsia="仿宋" w:cs="仿宋"/>
          <w:sz w:val="24"/>
          <w:szCs w:val="24"/>
        </w:rPr>
        <w:t>预算金额（元）: 280,000.00</w:t>
      </w:r>
    </w:p>
    <w:p w14:paraId="3D0D58EE">
      <w:pPr>
        <w:pStyle w:val="37"/>
        <w:ind w:firstLine="480"/>
        <w:rPr>
          <w:rFonts w:hint="eastAsia" w:ascii="仿宋" w:hAnsi="仿宋" w:eastAsia="仿宋" w:cs="仿宋"/>
          <w:sz w:val="24"/>
        </w:rPr>
      </w:pPr>
      <w:r>
        <w:rPr>
          <w:rFonts w:hint="eastAsia" w:ascii="仿宋" w:hAnsi="仿宋" w:eastAsia="仿宋" w:cs="仿宋"/>
          <w:sz w:val="24"/>
        </w:rPr>
        <w:t>最高限价（元）: 280,000.00，供应商报价不允许超过标的金额。</w:t>
      </w:r>
    </w:p>
    <w:p w14:paraId="38B08B9D">
      <w:pPr>
        <w:pStyle w:val="37"/>
        <w:ind w:firstLine="480"/>
        <w:rPr>
          <w:rFonts w:hint="eastAsia" w:ascii="仿宋" w:hAnsi="仿宋" w:eastAsia="仿宋" w:cs="仿宋"/>
          <w:sz w:val="24"/>
        </w:rPr>
      </w:pPr>
      <w:r>
        <w:rPr>
          <w:rFonts w:hint="eastAsia" w:ascii="仿宋" w:hAnsi="仿宋" w:eastAsia="仿宋" w:cs="仿宋"/>
          <w:sz w:val="24"/>
        </w:rPr>
        <w:t>（招单价的）供应商报价不允许超过标的单价</w:t>
      </w:r>
    </w:p>
    <w:p w14:paraId="44620986">
      <w:pPr>
        <w:pBdr>
          <w:bottom w:val="single" w:color="auto" w:sz="4" w:space="1"/>
        </w:pBdr>
        <w:spacing w:beforeLines="100"/>
        <w:ind w:left="420" w:hanging="420"/>
        <w:rPr>
          <w:rFonts w:hint="eastAsia" w:ascii="仿宋" w:hAnsi="仿宋" w:eastAsia="仿宋" w:cs="仿宋"/>
          <w:b/>
          <w:sz w:val="28"/>
          <w:szCs w:val="28"/>
        </w:rPr>
      </w:pPr>
      <w:r>
        <w:rPr>
          <w:rFonts w:hint="eastAsia" w:ascii="仿宋" w:hAnsi="仿宋" w:eastAsia="仿宋" w:cs="仿宋"/>
          <w:b/>
          <w:sz w:val="28"/>
          <w:szCs w:val="28"/>
        </w:rPr>
        <w:t>二、服务内容（包括工作区域、工作内容等）</w:t>
      </w:r>
    </w:p>
    <w:p w14:paraId="5DD9FA21">
      <w:pPr>
        <w:rPr>
          <w:rFonts w:hint="eastAsia" w:ascii="仿宋" w:hAnsi="仿宋" w:eastAsia="仿宋" w:cs="仿宋"/>
          <w:sz w:val="28"/>
          <w:szCs w:val="28"/>
        </w:rPr>
      </w:pPr>
      <w:r>
        <w:rPr>
          <w:rFonts w:hint="eastAsia" w:ascii="仿宋" w:hAnsi="仿宋" w:eastAsia="仿宋" w:cs="仿宋"/>
          <w:sz w:val="28"/>
          <w:szCs w:val="28"/>
        </w:rPr>
        <w:t>采购品目较多时，应结合《政府采购品类分类目录》和市场主体的承接能力，合理划分标段。</w:t>
      </w:r>
    </w:p>
    <w:p w14:paraId="26566226">
      <w:pPr>
        <w:pStyle w:val="37"/>
        <w:ind w:firstLine="480" w:firstLineChars="200"/>
        <w:outlineLvl w:val="3"/>
        <w:rPr>
          <w:rFonts w:hint="eastAsia" w:ascii="仿宋" w:hAnsi="仿宋" w:eastAsia="仿宋" w:cs="仿宋"/>
          <w:sz w:val="24"/>
        </w:rPr>
      </w:pPr>
      <w:r>
        <w:rPr>
          <w:rFonts w:hint="eastAsia" w:ascii="仿宋" w:hAnsi="仿宋" w:eastAsia="仿宋" w:cs="仿宋"/>
          <w:sz w:val="24"/>
        </w:rPr>
        <w:t>负责按时从生活垃圾暂存点清运全院产生的生活垃圾。</w:t>
      </w:r>
    </w:p>
    <w:tbl>
      <w:tblPr>
        <w:tblStyle w:val="7"/>
        <w:tblW w:w="0" w:type="auto"/>
        <w:tblInd w:w="0" w:type="dxa"/>
        <w:tblLayout w:type="autofit"/>
        <w:tblCellMar>
          <w:top w:w="0" w:type="dxa"/>
          <w:left w:w="108" w:type="dxa"/>
          <w:bottom w:w="0" w:type="dxa"/>
          <w:right w:w="108" w:type="dxa"/>
        </w:tblCellMar>
      </w:tblPr>
      <w:tblGrid>
        <w:gridCol w:w="788"/>
        <w:gridCol w:w="789"/>
        <w:gridCol w:w="801"/>
        <w:gridCol w:w="1416"/>
        <w:gridCol w:w="788"/>
        <w:gridCol w:w="788"/>
        <w:gridCol w:w="788"/>
        <w:gridCol w:w="788"/>
        <w:gridCol w:w="788"/>
        <w:gridCol w:w="788"/>
      </w:tblGrid>
      <w:tr w14:paraId="0423EC7C">
        <w:tblPrEx>
          <w:tblCellMar>
            <w:top w:w="0" w:type="dxa"/>
            <w:left w:w="108" w:type="dxa"/>
            <w:bottom w:w="0" w:type="dxa"/>
            <w:right w:w="108" w:type="dxa"/>
          </w:tblCellMar>
        </w:tblPrEx>
        <w:tc>
          <w:tcPr>
            <w:tcW w:w="822" w:type="dxa"/>
          </w:tcPr>
          <w:p w14:paraId="21CDDB10">
            <w:pPr>
              <w:pStyle w:val="37"/>
              <w:rPr>
                <w:rFonts w:hint="eastAsia" w:ascii="仿宋" w:hAnsi="仿宋" w:eastAsia="仿宋" w:cs="仿宋"/>
                <w:sz w:val="24"/>
                <w:szCs w:val="24"/>
              </w:rPr>
            </w:pPr>
            <w:r>
              <w:rPr>
                <w:rFonts w:hint="eastAsia" w:ascii="仿宋" w:hAnsi="仿宋" w:eastAsia="仿宋" w:cs="仿宋"/>
                <w:sz w:val="24"/>
                <w:szCs w:val="24"/>
              </w:rPr>
              <w:t>序号</w:t>
            </w:r>
          </w:p>
        </w:tc>
        <w:tc>
          <w:tcPr>
            <w:tcW w:w="822" w:type="dxa"/>
          </w:tcPr>
          <w:p w14:paraId="7BB7E54F">
            <w:pPr>
              <w:pStyle w:val="37"/>
              <w:rPr>
                <w:rFonts w:hint="eastAsia" w:ascii="仿宋" w:hAnsi="仿宋" w:eastAsia="仿宋" w:cs="仿宋"/>
                <w:sz w:val="24"/>
                <w:szCs w:val="24"/>
              </w:rPr>
            </w:pPr>
            <w:r>
              <w:rPr>
                <w:rFonts w:hint="eastAsia" w:ascii="仿宋" w:hAnsi="仿宋" w:eastAsia="仿宋" w:cs="仿宋"/>
                <w:sz w:val="24"/>
                <w:szCs w:val="24"/>
              </w:rPr>
              <w:t>标的名称</w:t>
            </w:r>
          </w:p>
        </w:tc>
        <w:tc>
          <w:tcPr>
            <w:tcW w:w="824" w:type="dxa"/>
          </w:tcPr>
          <w:p w14:paraId="5F38F091">
            <w:pPr>
              <w:pStyle w:val="37"/>
              <w:rPr>
                <w:rFonts w:hint="eastAsia" w:ascii="仿宋" w:hAnsi="仿宋" w:eastAsia="仿宋" w:cs="仿宋"/>
                <w:sz w:val="24"/>
                <w:szCs w:val="24"/>
              </w:rPr>
            </w:pPr>
            <w:r>
              <w:rPr>
                <w:rFonts w:hint="eastAsia" w:ascii="仿宋" w:hAnsi="仿宋" w:eastAsia="仿宋" w:cs="仿宋"/>
                <w:sz w:val="24"/>
                <w:szCs w:val="24"/>
              </w:rPr>
              <w:t>数量</w:t>
            </w:r>
          </w:p>
        </w:tc>
        <w:tc>
          <w:tcPr>
            <w:tcW w:w="1128" w:type="dxa"/>
          </w:tcPr>
          <w:p w14:paraId="6E74E0D7">
            <w:pPr>
              <w:pStyle w:val="37"/>
              <w:rPr>
                <w:rFonts w:hint="eastAsia" w:ascii="仿宋" w:hAnsi="仿宋" w:eastAsia="仿宋" w:cs="仿宋"/>
                <w:sz w:val="24"/>
                <w:szCs w:val="24"/>
              </w:rPr>
            </w:pPr>
            <w:r>
              <w:rPr>
                <w:rFonts w:hint="eastAsia" w:ascii="仿宋" w:hAnsi="仿宋" w:eastAsia="仿宋" w:cs="仿宋"/>
                <w:sz w:val="24"/>
                <w:szCs w:val="24"/>
              </w:rPr>
              <w:t>标的金额 （元）</w:t>
            </w:r>
          </w:p>
        </w:tc>
        <w:tc>
          <w:tcPr>
            <w:tcW w:w="821" w:type="dxa"/>
          </w:tcPr>
          <w:p w14:paraId="5FE9150C">
            <w:pPr>
              <w:pStyle w:val="37"/>
              <w:rPr>
                <w:rFonts w:hint="eastAsia" w:ascii="仿宋" w:hAnsi="仿宋" w:eastAsia="仿宋" w:cs="仿宋"/>
                <w:sz w:val="24"/>
                <w:szCs w:val="24"/>
              </w:rPr>
            </w:pPr>
            <w:r>
              <w:rPr>
                <w:rFonts w:hint="eastAsia" w:ascii="仿宋" w:hAnsi="仿宋" w:eastAsia="仿宋" w:cs="仿宋"/>
                <w:sz w:val="24"/>
                <w:szCs w:val="24"/>
              </w:rPr>
              <w:t>计量单位</w:t>
            </w:r>
          </w:p>
        </w:tc>
        <w:tc>
          <w:tcPr>
            <w:tcW w:w="821" w:type="dxa"/>
          </w:tcPr>
          <w:p w14:paraId="1883276F">
            <w:pPr>
              <w:pStyle w:val="37"/>
              <w:rPr>
                <w:rFonts w:hint="eastAsia" w:ascii="仿宋" w:hAnsi="仿宋" w:eastAsia="仿宋" w:cs="仿宋"/>
                <w:sz w:val="24"/>
                <w:szCs w:val="24"/>
              </w:rPr>
            </w:pPr>
            <w:r>
              <w:rPr>
                <w:rFonts w:hint="eastAsia" w:ascii="仿宋" w:hAnsi="仿宋" w:eastAsia="仿宋" w:cs="仿宋"/>
                <w:sz w:val="24"/>
                <w:szCs w:val="24"/>
              </w:rPr>
              <w:t>所属行业</w:t>
            </w:r>
          </w:p>
        </w:tc>
        <w:tc>
          <w:tcPr>
            <w:tcW w:w="821" w:type="dxa"/>
          </w:tcPr>
          <w:p w14:paraId="76654E96">
            <w:pPr>
              <w:pStyle w:val="37"/>
              <w:rPr>
                <w:rFonts w:hint="eastAsia" w:ascii="仿宋" w:hAnsi="仿宋" w:eastAsia="仿宋" w:cs="仿宋"/>
                <w:sz w:val="24"/>
                <w:szCs w:val="24"/>
              </w:rPr>
            </w:pPr>
            <w:r>
              <w:rPr>
                <w:rFonts w:hint="eastAsia" w:ascii="仿宋" w:hAnsi="仿宋" w:eastAsia="仿宋" w:cs="仿宋"/>
                <w:sz w:val="24"/>
                <w:szCs w:val="24"/>
              </w:rPr>
              <w:t>是否核心产品</w:t>
            </w:r>
          </w:p>
        </w:tc>
        <w:tc>
          <w:tcPr>
            <w:tcW w:w="821" w:type="dxa"/>
          </w:tcPr>
          <w:p w14:paraId="09D53B95">
            <w:pPr>
              <w:pStyle w:val="37"/>
              <w:rPr>
                <w:rFonts w:hint="eastAsia" w:ascii="仿宋" w:hAnsi="仿宋" w:eastAsia="仿宋" w:cs="仿宋"/>
                <w:sz w:val="24"/>
                <w:szCs w:val="24"/>
              </w:rPr>
            </w:pPr>
            <w:r>
              <w:rPr>
                <w:rFonts w:hint="eastAsia" w:ascii="仿宋" w:hAnsi="仿宋" w:eastAsia="仿宋" w:cs="仿宋"/>
                <w:sz w:val="24"/>
                <w:szCs w:val="24"/>
              </w:rPr>
              <w:t>是否允许进口产品</w:t>
            </w:r>
          </w:p>
        </w:tc>
        <w:tc>
          <w:tcPr>
            <w:tcW w:w="821" w:type="dxa"/>
          </w:tcPr>
          <w:p w14:paraId="2BECA143">
            <w:pPr>
              <w:pStyle w:val="37"/>
              <w:rPr>
                <w:rFonts w:hint="eastAsia" w:ascii="仿宋" w:hAnsi="仿宋" w:eastAsia="仿宋" w:cs="仿宋"/>
                <w:sz w:val="24"/>
                <w:szCs w:val="24"/>
              </w:rPr>
            </w:pPr>
            <w:r>
              <w:rPr>
                <w:rFonts w:hint="eastAsia" w:ascii="仿宋" w:hAnsi="仿宋" w:eastAsia="仿宋" w:cs="仿宋"/>
                <w:sz w:val="24"/>
                <w:szCs w:val="24"/>
              </w:rPr>
              <w:t>是否属于节能产品</w:t>
            </w:r>
          </w:p>
        </w:tc>
        <w:tc>
          <w:tcPr>
            <w:tcW w:w="821" w:type="dxa"/>
          </w:tcPr>
          <w:p w14:paraId="6004F8EF">
            <w:pPr>
              <w:pStyle w:val="37"/>
              <w:rPr>
                <w:rFonts w:hint="eastAsia" w:ascii="仿宋" w:hAnsi="仿宋" w:eastAsia="仿宋" w:cs="仿宋"/>
                <w:sz w:val="24"/>
                <w:szCs w:val="24"/>
              </w:rPr>
            </w:pPr>
            <w:r>
              <w:rPr>
                <w:rFonts w:hint="eastAsia" w:ascii="仿宋" w:hAnsi="仿宋" w:eastAsia="仿宋" w:cs="仿宋"/>
                <w:sz w:val="24"/>
                <w:szCs w:val="24"/>
              </w:rPr>
              <w:t>是否属于环境标志产品</w:t>
            </w:r>
          </w:p>
        </w:tc>
      </w:tr>
      <w:tr w14:paraId="5278FB56">
        <w:tblPrEx>
          <w:tblCellMar>
            <w:top w:w="0" w:type="dxa"/>
            <w:left w:w="108" w:type="dxa"/>
            <w:bottom w:w="0" w:type="dxa"/>
            <w:right w:w="108" w:type="dxa"/>
          </w:tblCellMar>
        </w:tblPrEx>
        <w:tc>
          <w:tcPr>
            <w:tcW w:w="822" w:type="dxa"/>
          </w:tcPr>
          <w:p w14:paraId="0871A9BC">
            <w:pPr>
              <w:pStyle w:val="37"/>
              <w:rPr>
                <w:rFonts w:hint="eastAsia" w:ascii="仿宋" w:hAnsi="仿宋" w:eastAsia="仿宋" w:cs="仿宋"/>
                <w:sz w:val="24"/>
                <w:szCs w:val="24"/>
              </w:rPr>
            </w:pPr>
            <w:r>
              <w:rPr>
                <w:rFonts w:hint="eastAsia" w:ascii="仿宋" w:hAnsi="仿宋" w:eastAsia="仿宋" w:cs="仿宋"/>
                <w:sz w:val="24"/>
                <w:szCs w:val="24"/>
              </w:rPr>
              <w:t>1</w:t>
            </w:r>
          </w:p>
        </w:tc>
        <w:tc>
          <w:tcPr>
            <w:tcW w:w="822" w:type="dxa"/>
          </w:tcPr>
          <w:p w14:paraId="22F950CA">
            <w:pPr>
              <w:pStyle w:val="37"/>
              <w:rPr>
                <w:rFonts w:hint="eastAsia" w:ascii="仿宋" w:hAnsi="仿宋" w:eastAsia="仿宋" w:cs="仿宋"/>
                <w:sz w:val="24"/>
                <w:szCs w:val="24"/>
              </w:rPr>
            </w:pPr>
            <w:r>
              <w:rPr>
                <w:rFonts w:hint="eastAsia" w:ascii="仿宋" w:hAnsi="仿宋" w:eastAsia="仿宋" w:cs="仿宋"/>
                <w:sz w:val="24"/>
                <w:szCs w:val="24"/>
              </w:rPr>
              <w:t>医院生活垃圾清运服务</w:t>
            </w:r>
          </w:p>
        </w:tc>
        <w:tc>
          <w:tcPr>
            <w:tcW w:w="824" w:type="dxa"/>
          </w:tcPr>
          <w:p w14:paraId="5412EE3D">
            <w:pPr>
              <w:pStyle w:val="37"/>
              <w:jc w:val="right"/>
              <w:rPr>
                <w:rFonts w:hint="eastAsia" w:ascii="仿宋" w:hAnsi="仿宋" w:eastAsia="仿宋" w:cs="仿宋"/>
                <w:sz w:val="24"/>
                <w:szCs w:val="24"/>
              </w:rPr>
            </w:pPr>
            <w:r>
              <w:rPr>
                <w:rFonts w:hint="eastAsia" w:ascii="仿宋" w:hAnsi="仿宋" w:eastAsia="仿宋" w:cs="仿宋"/>
                <w:sz w:val="24"/>
                <w:szCs w:val="24"/>
              </w:rPr>
              <w:t>1.0</w:t>
            </w:r>
          </w:p>
        </w:tc>
        <w:tc>
          <w:tcPr>
            <w:tcW w:w="1128" w:type="dxa"/>
          </w:tcPr>
          <w:p w14:paraId="124DAF29">
            <w:pPr>
              <w:pStyle w:val="37"/>
              <w:jc w:val="right"/>
              <w:rPr>
                <w:rFonts w:hint="eastAsia" w:ascii="仿宋" w:hAnsi="仿宋" w:eastAsia="仿宋" w:cs="仿宋"/>
                <w:sz w:val="24"/>
                <w:szCs w:val="24"/>
              </w:rPr>
            </w:pPr>
            <w:r>
              <w:rPr>
                <w:rFonts w:hint="eastAsia" w:ascii="仿宋" w:hAnsi="仿宋" w:eastAsia="仿宋" w:cs="仿宋"/>
                <w:sz w:val="24"/>
                <w:szCs w:val="24"/>
              </w:rPr>
              <w:t>280,000.00</w:t>
            </w:r>
          </w:p>
        </w:tc>
        <w:tc>
          <w:tcPr>
            <w:tcW w:w="821" w:type="dxa"/>
          </w:tcPr>
          <w:p w14:paraId="6ADBFA15">
            <w:pPr>
              <w:pStyle w:val="37"/>
              <w:rPr>
                <w:rFonts w:hint="eastAsia" w:ascii="仿宋" w:hAnsi="仿宋" w:eastAsia="仿宋" w:cs="仿宋"/>
                <w:sz w:val="24"/>
                <w:szCs w:val="24"/>
              </w:rPr>
            </w:pPr>
            <w:r>
              <w:rPr>
                <w:rFonts w:hint="eastAsia" w:ascii="仿宋" w:hAnsi="仿宋" w:eastAsia="仿宋" w:cs="仿宋"/>
                <w:sz w:val="24"/>
                <w:szCs w:val="24"/>
              </w:rPr>
              <w:t>年</w:t>
            </w:r>
          </w:p>
        </w:tc>
        <w:tc>
          <w:tcPr>
            <w:tcW w:w="821" w:type="dxa"/>
          </w:tcPr>
          <w:p w14:paraId="7009A7A5">
            <w:pPr>
              <w:pStyle w:val="37"/>
              <w:rPr>
                <w:rFonts w:hint="eastAsia" w:ascii="仿宋" w:hAnsi="仿宋" w:eastAsia="仿宋" w:cs="仿宋"/>
                <w:sz w:val="24"/>
                <w:szCs w:val="24"/>
              </w:rPr>
            </w:pPr>
            <w:r>
              <w:rPr>
                <w:rFonts w:hint="eastAsia" w:ascii="仿宋" w:hAnsi="仿宋" w:eastAsia="仿宋" w:cs="仿宋"/>
                <w:sz w:val="24"/>
                <w:szCs w:val="24"/>
              </w:rPr>
              <w:t>其他未列明行业</w:t>
            </w:r>
          </w:p>
        </w:tc>
        <w:tc>
          <w:tcPr>
            <w:tcW w:w="821" w:type="dxa"/>
          </w:tcPr>
          <w:p w14:paraId="2C3D4642">
            <w:pPr>
              <w:pStyle w:val="37"/>
              <w:rPr>
                <w:rFonts w:hint="eastAsia" w:ascii="仿宋" w:hAnsi="仿宋" w:eastAsia="仿宋" w:cs="仿宋"/>
                <w:sz w:val="24"/>
                <w:szCs w:val="24"/>
              </w:rPr>
            </w:pPr>
            <w:r>
              <w:rPr>
                <w:rFonts w:hint="eastAsia" w:ascii="仿宋" w:hAnsi="仿宋" w:eastAsia="仿宋" w:cs="仿宋"/>
                <w:sz w:val="24"/>
                <w:szCs w:val="24"/>
              </w:rPr>
              <w:t>否</w:t>
            </w:r>
          </w:p>
        </w:tc>
        <w:tc>
          <w:tcPr>
            <w:tcW w:w="821" w:type="dxa"/>
          </w:tcPr>
          <w:p w14:paraId="34B59C90">
            <w:pPr>
              <w:pStyle w:val="37"/>
              <w:rPr>
                <w:rFonts w:hint="eastAsia" w:ascii="仿宋" w:hAnsi="仿宋" w:eastAsia="仿宋" w:cs="仿宋"/>
                <w:sz w:val="24"/>
                <w:szCs w:val="24"/>
              </w:rPr>
            </w:pPr>
            <w:r>
              <w:rPr>
                <w:rFonts w:hint="eastAsia" w:ascii="仿宋" w:hAnsi="仿宋" w:eastAsia="仿宋" w:cs="仿宋"/>
                <w:sz w:val="24"/>
                <w:szCs w:val="24"/>
              </w:rPr>
              <w:t>否</w:t>
            </w:r>
          </w:p>
        </w:tc>
        <w:tc>
          <w:tcPr>
            <w:tcW w:w="821" w:type="dxa"/>
          </w:tcPr>
          <w:p w14:paraId="6EFCFFF9">
            <w:pPr>
              <w:pStyle w:val="37"/>
              <w:rPr>
                <w:rFonts w:hint="eastAsia" w:ascii="仿宋" w:hAnsi="仿宋" w:eastAsia="仿宋" w:cs="仿宋"/>
                <w:sz w:val="24"/>
                <w:szCs w:val="24"/>
              </w:rPr>
            </w:pPr>
            <w:r>
              <w:rPr>
                <w:rFonts w:hint="eastAsia" w:ascii="仿宋" w:hAnsi="仿宋" w:eastAsia="仿宋" w:cs="仿宋"/>
                <w:sz w:val="24"/>
                <w:szCs w:val="24"/>
              </w:rPr>
              <w:t>否</w:t>
            </w:r>
          </w:p>
        </w:tc>
        <w:tc>
          <w:tcPr>
            <w:tcW w:w="821" w:type="dxa"/>
          </w:tcPr>
          <w:p w14:paraId="6DF0040B">
            <w:pPr>
              <w:pStyle w:val="37"/>
              <w:rPr>
                <w:rFonts w:hint="eastAsia" w:ascii="仿宋" w:hAnsi="仿宋" w:eastAsia="仿宋" w:cs="仿宋"/>
                <w:sz w:val="24"/>
                <w:szCs w:val="24"/>
              </w:rPr>
            </w:pPr>
            <w:r>
              <w:rPr>
                <w:rFonts w:hint="eastAsia" w:ascii="仿宋" w:hAnsi="仿宋" w:eastAsia="仿宋" w:cs="仿宋"/>
                <w:sz w:val="24"/>
                <w:szCs w:val="24"/>
              </w:rPr>
              <w:t>否</w:t>
            </w:r>
          </w:p>
        </w:tc>
      </w:tr>
    </w:tbl>
    <w:p w14:paraId="66CD9DF5">
      <w:pPr>
        <w:pBdr>
          <w:bottom w:val="single" w:color="auto" w:sz="4" w:space="1"/>
        </w:pBdr>
        <w:spacing w:beforeLines="100"/>
        <w:ind w:left="420" w:hanging="420"/>
        <w:rPr>
          <w:rFonts w:hint="eastAsia" w:ascii="仿宋" w:hAnsi="仿宋" w:eastAsia="仿宋" w:cs="仿宋"/>
          <w:b/>
          <w:sz w:val="28"/>
          <w:szCs w:val="28"/>
        </w:rPr>
      </w:pPr>
      <w:r>
        <w:rPr>
          <w:rFonts w:hint="eastAsia" w:ascii="仿宋" w:hAnsi="仿宋" w:eastAsia="仿宋" w:cs="仿宋"/>
          <w:b/>
          <w:sz w:val="28"/>
          <w:szCs w:val="28"/>
        </w:rPr>
        <w:t>三、技术要求（如有，一般适合于技术服务项目）</w:t>
      </w:r>
    </w:p>
    <w:p w14:paraId="1473A50E">
      <w:pPr>
        <w:rPr>
          <w:rFonts w:hint="eastAsia" w:ascii="仿宋" w:hAnsi="仿宋" w:eastAsia="仿宋" w:cs="仿宋"/>
          <w:color w:val="FF0000"/>
          <w:sz w:val="28"/>
          <w:szCs w:val="28"/>
        </w:rPr>
      </w:pPr>
      <w:r>
        <w:rPr>
          <w:rFonts w:hint="eastAsia" w:ascii="仿宋" w:hAnsi="仿宋" w:eastAsia="仿宋" w:cs="仿宋"/>
          <w:color w:val="FF0000"/>
          <w:sz w:val="28"/>
          <w:szCs w:val="28"/>
        </w:rPr>
        <w:t>【示例】</w:t>
      </w:r>
    </w:p>
    <w:p w14:paraId="3931B935">
      <w:pPr>
        <w:ind w:firstLine="480" w:firstLineChars="200"/>
        <w:rPr>
          <w:rFonts w:hint="eastAsia" w:ascii="仿宋" w:hAnsi="仿宋" w:eastAsia="仿宋" w:cs="仿宋"/>
          <w:color w:val="FF0000"/>
          <w:sz w:val="24"/>
          <w:szCs w:val="28"/>
        </w:rPr>
      </w:pPr>
      <w:r>
        <w:rPr>
          <w:rFonts w:hint="eastAsia" w:ascii="仿宋" w:hAnsi="仿宋" w:eastAsia="仿宋" w:cs="仿宋"/>
          <w:color w:val="FF0000"/>
          <w:sz w:val="24"/>
          <w:szCs w:val="28"/>
        </w:rPr>
        <w:t>对系统硬件故障进行诊断，解决××存在的问题，若故障等级小于Ⅲ类，则按照……进行处理；若故障等级等于或高于Ⅲ级，则按照……进行处理。</w:t>
      </w:r>
    </w:p>
    <w:p w14:paraId="08D3FEF2">
      <w:pPr>
        <w:pBdr>
          <w:bottom w:val="single" w:color="auto" w:sz="4" w:space="1"/>
        </w:pBdr>
        <w:spacing w:beforeLines="100"/>
        <w:ind w:left="420" w:hanging="420"/>
        <w:rPr>
          <w:rFonts w:hint="eastAsia" w:ascii="仿宋" w:hAnsi="仿宋" w:eastAsia="仿宋" w:cs="仿宋"/>
          <w:b/>
          <w:sz w:val="28"/>
          <w:szCs w:val="28"/>
        </w:rPr>
      </w:pPr>
      <w:r>
        <w:rPr>
          <w:rFonts w:hint="eastAsia" w:ascii="仿宋" w:hAnsi="仿宋" w:eastAsia="仿宋" w:cs="仿宋"/>
          <w:b/>
          <w:sz w:val="28"/>
          <w:szCs w:val="28"/>
        </w:rPr>
        <w:t>四、服务要求（如对人员配置、专业设备、服务标准等）</w:t>
      </w:r>
    </w:p>
    <w:p w14:paraId="4E99354B">
      <w:pPr>
        <w:jc w:val="left"/>
        <w:rPr>
          <w:rFonts w:hint="eastAsia" w:ascii="仿宋" w:hAnsi="仿宋" w:eastAsia="仿宋" w:cs="仿宋"/>
          <w:sz w:val="28"/>
          <w:szCs w:val="28"/>
        </w:rPr>
      </w:pPr>
      <w:r>
        <w:rPr>
          <w:rFonts w:hint="eastAsia" w:ascii="仿宋" w:hAnsi="仿宋" w:eastAsia="仿宋" w:cs="仿宋"/>
          <w:sz w:val="28"/>
          <w:szCs w:val="28"/>
        </w:rPr>
        <w:t>在合同执行过程中需要服务商应执行的相关服务标准和应当履行的相关义务。</w:t>
      </w:r>
    </w:p>
    <w:p w14:paraId="068BD8BC">
      <w:pPr>
        <w:pStyle w:val="37"/>
        <w:rPr>
          <w:rFonts w:hint="eastAsia" w:ascii="仿宋" w:hAnsi="仿宋" w:eastAsia="仿宋" w:cs="仿宋"/>
          <w:sz w:val="24"/>
          <w:szCs w:val="24"/>
        </w:rPr>
      </w:pPr>
      <w:r>
        <w:rPr>
          <w:rFonts w:hint="eastAsia" w:ascii="仿宋" w:hAnsi="仿宋" w:eastAsia="仿宋" w:cs="仿宋"/>
          <w:sz w:val="24"/>
          <w:szCs w:val="24"/>
        </w:rPr>
        <w:t>供应商报价不允许超过标的金额</w:t>
      </w:r>
    </w:p>
    <w:p w14:paraId="2FE93CE5">
      <w:pPr>
        <w:pStyle w:val="37"/>
        <w:rPr>
          <w:rFonts w:hint="eastAsia" w:ascii="仿宋" w:hAnsi="仿宋" w:eastAsia="仿宋" w:cs="仿宋"/>
          <w:sz w:val="24"/>
          <w:szCs w:val="24"/>
        </w:rPr>
      </w:pPr>
      <w:r>
        <w:rPr>
          <w:rFonts w:hint="eastAsia" w:ascii="仿宋" w:hAnsi="仿宋" w:eastAsia="仿宋" w:cs="仿宋"/>
          <w:sz w:val="24"/>
          <w:szCs w:val="24"/>
        </w:rPr>
        <w:t>（招单价的）供应商报价不允许超过标的单价</w:t>
      </w:r>
    </w:p>
    <w:p w14:paraId="066261E7">
      <w:pPr>
        <w:pStyle w:val="37"/>
        <w:rPr>
          <w:rFonts w:hint="eastAsia" w:ascii="仿宋" w:hAnsi="仿宋" w:eastAsia="仿宋" w:cs="仿宋"/>
          <w:sz w:val="24"/>
          <w:szCs w:val="24"/>
        </w:rPr>
      </w:pPr>
      <w:r>
        <w:rPr>
          <w:rFonts w:hint="eastAsia" w:ascii="仿宋" w:hAnsi="仿宋" w:eastAsia="仿宋" w:cs="仿宋"/>
          <w:sz w:val="24"/>
          <w:szCs w:val="24"/>
        </w:rPr>
        <w:t>标的名称：西安市第三医院垃圾清运服务</w:t>
      </w:r>
    </w:p>
    <w:p w14:paraId="3856DF93">
      <w:pPr>
        <w:rPr>
          <w:rFonts w:hint="eastAsia" w:ascii="仿宋" w:hAnsi="仿宋" w:eastAsia="仿宋" w:cs="仿宋"/>
          <w:sz w:val="24"/>
        </w:rPr>
      </w:pPr>
      <w:r>
        <w:rPr>
          <w:rFonts w:hint="eastAsia" w:ascii="仿宋" w:hAnsi="仿宋" w:eastAsia="仿宋" w:cs="仿宋"/>
          <w:sz w:val="24"/>
        </w:rPr>
        <w:t>技术参数与性能指标：</w:t>
      </w:r>
    </w:p>
    <w:p w14:paraId="245FF335">
      <w:pPr>
        <w:rPr>
          <w:rFonts w:hint="eastAsia" w:ascii="仿宋" w:hAnsi="仿宋" w:eastAsia="仿宋" w:cs="仿宋"/>
          <w:sz w:val="24"/>
        </w:rPr>
      </w:pPr>
      <w:r>
        <w:rPr>
          <w:rFonts w:hint="eastAsia" w:ascii="仿宋" w:hAnsi="仿宋" w:eastAsia="仿宋" w:cs="仿宋"/>
          <w:sz w:val="24"/>
        </w:rPr>
        <w:t>一、技术要求：</w:t>
      </w:r>
    </w:p>
    <w:p w14:paraId="34D15EE3">
      <w:pPr>
        <w:rPr>
          <w:rFonts w:hint="eastAsia" w:ascii="仿宋" w:hAnsi="仿宋" w:eastAsia="仿宋" w:cs="仿宋"/>
          <w:sz w:val="24"/>
        </w:rPr>
      </w:pPr>
      <w:r>
        <w:rPr>
          <w:rFonts w:hint="eastAsia" w:ascii="仿宋" w:hAnsi="仿宋" w:eastAsia="仿宋" w:cs="仿宋"/>
          <w:sz w:val="24"/>
        </w:rPr>
        <w:t>1.供应商必须安排车辆驾驶人员、运输车辆及工具专门为医院提供生活垃圾清运服务。</w:t>
      </w:r>
    </w:p>
    <w:p w14:paraId="7ABF10B4">
      <w:pPr>
        <w:rPr>
          <w:rFonts w:hint="eastAsia" w:ascii="仿宋" w:hAnsi="仿宋" w:eastAsia="仿宋" w:cs="仿宋"/>
          <w:sz w:val="24"/>
        </w:rPr>
      </w:pPr>
      <w:r>
        <w:rPr>
          <w:rFonts w:hint="eastAsia" w:ascii="仿宋" w:hAnsi="仿宋" w:eastAsia="仿宋" w:cs="仿宋"/>
          <w:sz w:val="24"/>
        </w:rPr>
        <w:t>2.不能因车辆故障、交通拥堵、司机缺位或电话无法接通等而影响医院的生活垃圾正常清运。</w:t>
      </w:r>
    </w:p>
    <w:p w14:paraId="698645C8">
      <w:pPr>
        <w:rPr>
          <w:rFonts w:hint="eastAsia" w:ascii="仿宋" w:hAnsi="仿宋" w:eastAsia="仿宋" w:cs="仿宋"/>
          <w:sz w:val="24"/>
        </w:rPr>
      </w:pPr>
      <w:r>
        <w:rPr>
          <w:rFonts w:hint="eastAsia" w:ascii="仿宋" w:hAnsi="仿宋" w:eastAsia="仿宋" w:cs="仿宋"/>
          <w:sz w:val="24"/>
        </w:rPr>
        <w:t>3.凡逢节假日或卫生大检查医院需突击清运时供应商应配合院方及时进行清运。</w:t>
      </w:r>
    </w:p>
    <w:p w14:paraId="5A79BC56">
      <w:pPr>
        <w:rPr>
          <w:rFonts w:hint="eastAsia" w:ascii="仿宋" w:hAnsi="仿宋" w:eastAsia="仿宋" w:cs="仿宋"/>
          <w:sz w:val="24"/>
        </w:rPr>
      </w:pPr>
      <w:r>
        <w:rPr>
          <w:rFonts w:hint="eastAsia" w:ascii="仿宋" w:hAnsi="仿宋" w:eastAsia="仿宋" w:cs="仿宋"/>
          <w:sz w:val="24"/>
        </w:rPr>
        <w:t>4.为保证垃圾清运的正常运行及突发情况的处理，供应商应制定出相应的应急预案。并采取措施加班加点清运生活垃圾。</w:t>
      </w:r>
    </w:p>
    <w:p w14:paraId="519F13EC">
      <w:pPr>
        <w:rPr>
          <w:rFonts w:hint="eastAsia" w:ascii="仿宋" w:hAnsi="仿宋" w:eastAsia="仿宋" w:cs="仿宋"/>
          <w:sz w:val="24"/>
        </w:rPr>
      </w:pPr>
      <w:r>
        <w:rPr>
          <w:rFonts w:hint="eastAsia" w:ascii="仿宋" w:hAnsi="仿宋" w:eastAsia="仿宋" w:cs="仿宋"/>
          <w:sz w:val="24"/>
        </w:rPr>
        <w:t>5、投标单位及所用垃圾清运车辆需在所属地区城管局备案，清运车辆和备案公司信息一致。</w:t>
      </w:r>
    </w:p>
    <w:p w14:paraId="1AEB24D1">
      <w:pPr>
        <w:rPr>
          <w:rFonts w:hint="eastAsia" w:ascii="仿宋" w:hAnsi="仿宋" w:eastAsia="仿宋" w:cs="仿宋"/>
          <w:sz w:val="24"/>
        </w:rPr>
      </w:pPr>
      <w:r>
        <w:rPr>
          <w:rFonts w:hint="eastAsia" w:ascii="仿宋" w:hAnsi="仿宋" w:eastAsia="仿宋" w:cs="仿宋"/>
          <w:sz w:val="24"/>
        </w:rPr>
        <w:t>二、服务要求：</w:t>
      </w:r>
    </w:p>
    <w:p w14:paraId="71847C66">
      <w:pPr>
        <w:rPr>
          <w:rFonts w:hint="eastAsia" w:ascii="仿宋" w:hAnsi="仿宋" w:eastAsia="仿宋" w:cs="仿宋"/>
          <w:sz w:val="24"/>
        </w:rPr>
      </w:pPr>
      <w:r>
        <w:rPr>
          <w:rFonts w:hint="eastAsia" w:ascii="仿宋" w:hAnsi="仿宋" w:eastAsia="仿宋" w:cs="仿宋"/>
          <w:sz w:val="24"/>
        </w:rPr>
        <w:t>1.总体服务要求：</w:t>
      </w:r>
    </w:p>
    <w:p w14:paraId="4C36F8A3">
      <w:pPr>
        <w:rPr>
          <w:rFonts w:hint="eastAsia" w:ascii="仿宋" w:hAnsi="仿宋" w:eastAsia="仿宋" w:cs="仿宋"/>
          <w:sz w:val="24"/>
        </w:rPr>
      </w:pPr>
      <w:r>
        <w:rPr>
          <w:rFonts w:hint="eastAsia" w:ascii="仿宋" w:hAnsi="仿宋" w:eastAsia="仿宋" w:cs="仿宋"/>
          <w:sz w:val="24"/>
        </w:rPr>
        <w:t>1-1供应商对医院每天所产生的生活垃圾做到日产日清，清运及时、车走场净，无漏收、堆积、垃圾外溢现象。</w:t>
      </w:r>
    </w:p>
    <w:p w14:paraId="5813DED6">
      <w:pPr>
        <w:rPr>
          <w:rFonts w:hint="eastAsia" w:ascii="仿宋" w:hAnsi="仿宋" w:eastAsia="仿宋" w:cs="仿宋"/>
          <w:sz w:val="24"/>
        </w:rPr>
      </w:pPr>
      <w:r>
        <w:rPr>
          <w:rFonts w:hint="eastAsia" w:ascii="仿宋" w:hAnsi="仿宋" w:eastAsia="仿宋" w:cs="仿宋"/>
          <w:sz w:val="24"/>
        </w:rPr>
        <w:t>1-2服务人员无刑事犯罪记录，需统一着装、佩戴工卡，自觉遵守医院制定的各项管理制度，服从医院对出入院内车辆、物品的查验，并且对工作人员在医院的一切行为负责。</w:t>
      </w:r>
    </w:p>
    <w:p w14:paraId="505DFA33">
      <w:pPr>
        <w:rPr>
          <w:rFonts w:hint="eastAsia" w:ascii="仿宋" w:hAnsi="仿宋" w:eastAsia="仿宋" w:cs="仿宋"/>
          <w:sz w:val="24"/>
        </w:rPr>
      </w:pPr>
      <w:r>
        <w:rPr>
          <w:rFonts w:hint="eastAsia" w:ascii="仿宋" w:hAnsi="仿宋" w:eastAsia="仿宋" w:cs="仿宋"/>
          <w:sz w:val="24"/>
        </w:rPr>
        <w:t>1-3进入医院的清运车辆由医院免费办理通行证，车辆必须外观整洁，车况良好，并符合政府部门的有关规定，机动车尾气、噪音等各项指标均达到规定的检测标准；做好防污染措施，车辆在行驶过程中不得沿途散落、遗漏垃圾。</w:t>
      </w:r>
    </w:p>
    <w:p w14:paraId="6837CA89">
      <w:pPr>
        <w:rPr>
          <w:rFonts w:hint="eastAsia" w:ascii="仿宋" w:hAnsi="仿宋" w:eastAsia="仿宋" w:cs="仿宋"/>
          <w:sz w:val="24"/>
        </w:rPr>
      </w:pPr>
      <w:r>
        <w:rPr>
          <w:rFonts w:hint="eastAsia" w:ascii="仿宋" w:hAnsi="仿宋" w:eastAsia="仿宋" w:cs="仿宋"/>
          <w:sz w:val="24"/>
        </w:rPr>
        <w:t>2.人员及设备最低配置要求</w:t>
      </w:r>
    </w:p>
    <w:p w14:paraId="0D52F0E5">
      <w:pPr>
        <w:rPr>
          <w:rFonts w:hint="eastAsia" w:ascii="仿宋" w:hAnsi="仿宋" w:eastAsia="仿宋" w:cs="仿宋"/>
          <w:sz w:val="24"/>
        </w:rPr>
      </w:pPr>
      <w:r>
        <w:rPr>
          <w:rFonts w:hint="eastAsia" w:ascii="仿宋" w:hAnsi="仿宋" w:eastAsia="仿宋" w:cs="仿宋"/>
          <w:sz w:val="24"/>
        </w:rPr>
        <w:t>2-1人员要求 司机1人(按实际需要安排)由中标方自行分配，跟车工1-2人(按实际需要安排)；</w:t>
      </w:r>
    </w:p>
    <w:p w14:paraId="1AB4FD70">
      <w:pPr>
        <w:rPr>
          <w:rFonts w:hint="eastAsia" w:ascii="仿宋" w:hAnsi="仿宋" w:eastAsia="仿宋" w:cs="仿宋"/>
          <w:sz w:val="24"/>
        </w:rPr>
      </w:pPr>
      <w:r>
        <w:rPr>
          <w:rFonts w:hint="eastAsia" w:ascii="仿宋" w:hAnsi="仿宋" w:eastAsia="仿宋" w:cs="仿宋"/>
          <w:sz w:val="24"/>
        </w:rPr>
        <w:t>2-2设备投入要求压缩式垃圾车1辆(按实际需要安排)必须为中标方自有设备，由中标方自行配置，并在入场前一日全部到位。中标方负责全部车辆的保险、燃油费、维修费、过路费、停车费、年票等费用以及司机、跟车工等工作人员的劳动报酬。</w:t>
      </w:r>
    </w:p>
    <w:p w14:paraId="5F725497">
      <w:pPr>
        <w:rPr>
          <w:rFonts w:hint="eastAsia" w:ascii="仿宋" w:hAnsi="仿宋" w:eastAsia="仿宋" w:cs="仿宋"/>
          <w:sz w:val="24"/>
        </w:rPr>
      </w:pPr>
      <w:r>
        <w:rPr>
          <w:rFonts w:hint="eastAsia" w:ascii="仿宋" w:hAnsi="仿宋" w:eastAsia="仿宋" w:cs="仿宋"/>
          <w:sz w:val="24"/>
        </w:rPr>
        <w:t>3.各垃圾收集点的垃圾清运和垃圾转运站站内垃圾的运输标准</w:t>
      </w:r>
    </w:p>
    <w:p w14:paraId="25345609">
      <w:pPr>
        <w:rPr>
          <w:rFonts w:hint="eastAsia" w:ascii="仿宋" w:hAnsi="仿宋" w:eastAsia="仿宋" w:cs="仿宋"/>
          <w:sz w:val="24"/>
        </w:rPr>
      </w:pPr>
      <w:r>
        <w:rPr>
          <w:rFonts w:hint="eastAsia" w:ascii="仿宋" w:hAnsi="仿宋" w:eastAsia="仿宋" w:cs="仿宋"/>
          <w:sz w:val="24"/>
        </w:rPr>
        <w:t>3-1生活垃圾清理范围:垃圾收集点及周围2~3m内应整洁，无散落、无存留垃圾和污水，垃圾回收后保持垃圾桶外清洁。</w:t>
      </w:r>
    </w:p>
    <w:p w14:paraId="54518A66">
      <w:pPr>
        <w:rPr>
          <w:rFonts w:hint="eastAsia" w:ascii="仿宋" w:hAnsi="仿宋" w:eastAsia="仿宋" w:cs="仿宋"/>
          <w:sz w:val="24"/>
        </w:rPr>
      </w:pPr>
      <w:r>
        <w:rPr>
          <w:rFonts w:hint="eastAsia" w:ascii="仿宋" w:hAnsi="仿宋" w:eastAsia="仿宋" w:cs="仿宋"/>
          <w:sz w:val="24"/>
        </w:rPr>
        <w:t>3-2运营标准为在垃圾运输过程中无垃圾扬、撒、拖挂和污水滴漏，垃圾车不得超高超载、挂包运输垃圾。垃圾不落地，收集作业完成后，应及时清理场地，车走地净。应与服务办保洁部互相协调，统筹安排好生活垃圾的运输对接安排。</w:t>
      </w:r>
    </w:p>
    <w:p w14:paraId="686CFAF6">
      <w:pPr>
        <w:rPr>
          <w:rFonts w:hint="eastAsia" w:ascii="仿宋" w:hAnsi="仿宋" w:eastAsia="仿宋" w:cs="仿宋"/>
          <w:sz w:val="24"/>
        </w:rPr>
      </w:pPr>
      <w:r>
        <w:rPr>
          <w:rFonts w:hint="eastAsia" w:ascii="仿宋" w:hAnsi="仿宋" w:eastAsia="仿宋" w:cs="仿宋"/>
          <w:sz w:val="24"/>
        </w:rPr>
        <w:t>3-3节日需加密清理频率，确保垃圾不堆积、不满溢。</w:t>
      </w:r>
    </w:p>
    <w:p w14:paraId="3BA94F41">
      <w:pPr>
        <w:rPr>
          <w:rFonts w:hint="eastAsia" w:ascii="仿宋" w:hAnsi="仿宋" w:eastAsia="仿宋" w:cs="仿宋"/>
          <w:sz w:val="24"/>
        </w:rPr>
      </w:pPr>
      <w:r>
        <w:rPr>
          <w:rFonts w:hint="eastAsia" w:ascii="仿宋" w:hAnsi="仿宋" w:eastAsia="仿宋" w:cs="仿宋"/>
          <w:sz w:val="24"/>
        </w:rPr>
        <w:t>3-4中标方在转运装车过程中垃圾桶如有损坏，中标方要及时给予更换赔偿。</w:t>
      </w:r>
    </w:p>
    <w:p w14:paraId="5426BE80">
      <w:pPr>
        <w:rPr>
          <w:rFonts w:hint="eastAsia" w:ascii="仿宋" w:hAnsi="仿宋" w:eastAsia="仿宋" w:cs="仿宋"/>
          <w:sz w:val="24"/>
        </w:rPr>
      </w:pPr>
      <w:r>
        <w:rPr>
          <w:rFonts w:hint="eastAsia" w:ascii="仿宋" w:hAnsi="仿宋" w:eastAsia="仿宋" w:cs="仿宋"/>
          <w:sz w:val="24"/>
        </w:rPr>
        <w:t>4.运输车辆的要求</w:t>
      </w:r>
    </w:p>
    <w:p w14:paraId="3180B0D2">
      <w:pPr>
        <w:rPr>
          <w:rFonts w:hint="eastAsia" w:ascii="仿宋" w:hAnsi="仿宋" w:eastAsia="仿宋" w:cs="仿宋"/>
          <w:sz w:val="24"/>
        </w:rPr>
      </w:pPr>
      <w:r>
        <w:rPr>
          <w:rFonts w:hint="eastAsia" w:ascii="仿宋" w:hAnsi="仿宋" w:eastAsia="仿宋" w:cs="仿宋"/>
          <w:sz w:val="24"/>
        </w:rPr>
        <w:t>4-1运输垃圾应按规定的时间、路线行驶，尽量避开上下班高峰期,避免影响医院的正常营业。</w:t>
      </w:r>
    </w:p>
    <w:p w14:paraId="653BB66B">
      <w:pPr>
        <w:rPr>
          <w:rFonts w:hint="eastAsia" w:ascii="仿宋" w:hAnsi="仿宋" w:eastAsia="仿宋" w:cs="仿宋"/>
          <w:sz w:val="24"/>
        </w:rPr>
      </w:pPr>
      <w:r>
        <w:rPr>
          <w:rFonts w:hint="eastAsia" w:ascii="仿宋" w:hAnsi="仿宋" w:eastAsia="仿宋" w:cs="仿宋"/>
          <w:sz w:val="24"/>
        </w:rPr>
        <w:t>4-2运输车辆须放置到指定的地方，不得乱停乱放，影响行人及交通安全，每次运送完垃圾的车辆都须消毒清洁，保持卫生。</w:t>
      </w:r>
    </w:p>
    <w:p w14:paraId="68FF943D">
      <w:pPr>
        <w:rPr>
          <w:rFonts w:hint="eastAsia" w:ascii="仿宋" w:hAnsi="仿宋" w:eastAsia="仿宋" w:cs="仿宋"/>
          <w:sz w:val="24"/>
        </w:rPr>
      </w:pPr>
      <w:r>
        <w:rPr>
          <w:rFonts w:hint="eastAsia" w:ascii="仿宋" w:hAnsi="仿宋" w:eastAsia="仿宋" w:cs="仿宋"/>
          <w:sz w:val="24"/>
        </w:rPr>
        <w:t>4-3因车辆维修原因造成服务中止时，中标方应及时免费提供同类型车辆按时完成采购方的生活垃圾服务任务。</w:t>
      </w:r>
    </w:p>
    <w:p w14:paraId="09B3EE86">
      <w:pPr>
        <w:rPr>
          <w:rFonts w:hint="eastAsia" w:ascii="仿宋" w:hAnsi="仿宋" w:eastAsia="仿宋" w:cs="仿宋"/>
          <w:sz w:val="24"/>
        </w:rPr>
      </w:pPr>
      <w:r>
        <w:rPr>
          <w:rFonts w:hint="eastAsia" w:ascii="仿宋" w:hAnsi="仿宋" w:eastAsia="仿宋" w:cs="仿宋"/>
          <w:sz w:val="24"/>
        </w:rPr>
        <w:t>4-4中标方提供的专职司机应熟悉西安市第三医院生活垃圾转运服务路线的路况。</w:t>
      </w:r>
    </w:p>
    <w:p w14:paraId="426677AD">
      <w:pPr>
        <w:rPr>
          <w:rFonts w:hint="eastAsia" w:ascii="仿宋" w:hAnsi="仿宋" w:eastAsia="仿宋" w:cs="仿宋"/>
          <w:sz w:val="24"/>
        </w:rPr>
      </w:pPr>
      <w:r>
        <w:rPr>
          <w:rFonts w:hint="eastAsia" w:ascii="仿宋" w:hAnsi="仿宋" w:eastAsia="仿宋" w:cs="仿宋"/>
          <w:sz w:val="24"/>
        </w:rPr>
        <w:t>4-5采购方可根据医院的实际需要要求投标方调整生活垃圾运输服务运行线路，中标方应积极配合且不得以任何理由要求增加服务费用。</w:t>
      </w:r>
    </w:p>
    <w:p w14:paraId="6B5CA207">
      <w:pPr>
        <w:rPr>
          <w:rFonts w:hint="eastAsia" w:ascii="仿宋" w:hAnsi="仿宋" w:eastAsia="仿宋" w:cs="仿宋"/>
          <w:sz w:val="24"/>
        </w:rPr>
      </w:pPr>
      <w:r>
        <w:rPr>
          <w:rFonts w:hint="eastAsia" w:ascii="仿宋" w:hAnsi="仿宋" w:eastAsia="仿宋" w:cs="仿宋"/>
          <w:sz w:val="24"/>
        </w:rPr>
        <w:t>4-6生活垃圾运输服务期间发生的交通事故或其它纠纷的责任均由中标方承担，中标方应妥善处理交通事故或其它纠纷。中标方不妥善处理交通事故或其它纠纷造成采购方正常工作受影响的，中标方应承担相关责任;造成采购方经济利益受损害的，中标方应赔偿采购方经济损失。</w:t>
      </w:r>
    </w:p>
    <w:p w14:paraId="091B4171">
      <w:pPr>
        <w:rPr>
          <w:rFonts w:hint="eastAsia" w:ascii="仿宋" w:hAnsi="仿宋" w:eastAsia="仿宋" w:cs="仿宋"/>
          <w:sz w:val="24"/>
        </w:rPr>
      </w:pPr>
      <w:r>
        <w:rPr>
          <w:rFonts w:hint="eastAsia" w:ascii="仿宋" w:hAnsi="仿宋" w:eastAsia="仿宋" w:cs="仿宋"/>
          <w:sz w:val="24"/>
        </w:rPr>
        <w:t>4-7中标方提供的车辆合法，手续完备，证件及备件齐全，车况好，无事故记录，无法律纠纷。</w:t>
      </w:r>
    </w:p>
    <w:p w14:paraId="7731ADEA">
      <w:pPr>
        <w:rPr>
          <w:rFonts w:hint="eastAsia" w:ascii="仿宋" w:hAnsi="仿宋" w:eastAsia="仿宋" w:cs="仿宋"/>
          <w:sz w:val="24"/>
        </w:rPr>
      </w:pPr>
      <w:r>
        <w:rPr>
          <w:rFonts w:hint="eastAsia" w:ascii="仿宋" w:hAnsi="仿宋" w:eastAsia="仿宋" w:cs="仿宋"/>
          <w:sz w:val="24"/>
        </w:rPr>
        <w:t>4-8为保证垃圾清运的正常运行及突发情况的处理，供应商应制定出相应的应急预案。并采取措施加班加点清运生活垃圾。</w:t>
      </w:r>
    </w:p>
    <w:p w14:paraId="27190659">
      <w:pPr>
        <w:rPr>
          <w:rFonts w:hint="eastAsia" w:ascii="仿宋" w:hAnsi="仿宋" w:eastAsia="仿宋" w:cs="仿宋"/>
          <w:sz w:val="24"/>
        </w:rPr>
      </w:pPr>
      <w:r>
        <w:rPr>
          <w:rFonts w:hint="eastAsia" w:ascii="仿宋" w:hAnsi="仿宋" w:eastAsia="仿宋" w:cs="仿宋"/>
          <w:sz w:val="24"/>
        </w:rPr>
        <w:t>5、不得将本项目清运服务进行分包或转包。</w:t>
      </w:r>
    </w:p>
    <w:p w14:paraId="085D3FAC">
      <w:pPr>
        <w:pBdr>
          <w:bottom w:val="single" w:color="auto" w:sz="4" w:space="1"/>
        </w:pBdr>
        <w:spacing w:beforeLines="100"/>
        <w:ind w:left="420" w:hanging="420"/>
        <w:rPr>
          <w:rFonts w:hint="eastAsia" w:ascii="仿宋" w:hAnsi="仿宋" w:eastAsia="仿宋" w:cs="仿宋"/>
          <w:b/>
          <w:sz w:val="28"/>
          <w:szCs w:val="28"/>
        </w:rPr>
      </w:pPr>
      <w:r>
        <w:rPr>
          <w:rFonts w:hint="eastAsia" w:ascii="仿宋" w:hAnsi="仿宋" w:eastAsia="仿宋" w:cs="仿宋"/>
          <w:b/>
          <w:sz w:val="28"/>
          <w:szCs w:val="28"/>
        </w:rPr>
        <w:t>五、商务要求（如服务期限、款项结算等）</w:t>
      </w:r>
    </w:p>
    <w:p w14:paraId="074ECA02">
      <w:pPr>
        <w:spacing w:line="400" w:lineRule="exact"/>
        <w:rPr>
          <w:rFonts w:hint="eastAsia" w:ascii="仿宋" w:hAnsi="仿宋" w:eastAsia="仿宋" w:cs="仿宋"/>
          <w:sz w:val="28"/>
          <w:szCs w:val="28"/>
        </w:rPr>
      </w:pPr>
      <w:r>
        <w:rPr>
          <w:rFonts w:hint="eastAsia" w:ascii="仿宋" w:hAnsi="仿宋" w:eastAsia="仿宋" w:cs="仿宋"/>
          <w:sz w:val="28"/>
          <w:szCs w:val="28"/>
        </w:rPr>
        <w:t>（一）服务期限</w:t>
      </w:r>
    </w:p>
    <w:p w14:paraId="61D63D2B">
      <w:pPr>
        <w:spacing w:line="400" w:lineRule="exact"/>
        <w:rPr>
          <w:rFonts w:hint="eastAsia" w:ascii="仿宋" w:hAnsi="仿宋" w:eastAsia="仿宋" w:cs="仿宋"/>
          <w:sz w:val="28"/>
          <w:szCs w:val="28"/>
        </w:rPr>
      </w:pPr>
      <w:r>
        <w:rPr>
          <w:rFonts w:hint="eastAsia" w:ascii="仿宋" w:hAnsi="仿宋" w:eastAsia="仿宋" w:cs="仿宋"/>
          <w:sz w:val="28"/>
          <w:szCs w:val="28"/>
        </w:rPr>
        <w:t>应指明起止时间，或指明服务时长，或指明开始/结束条件。注意：设定服务期时应充分考虑政府采购的周期，避免出现“项目还未开标，时间节点已过”的情况。对于持续性服务，一般指明“服务期”；对于间断性服务，一般指明“合同有效期”。</w:t>
      </w:r>
    </w:p>
    <w:p w14:paraId="7F3AECBD">
      <w:pPr>
        <w:rPr>
          <w:rFonts w:hint="eastAsia" w:ascii="仿宋" w:hAnsi="仿宋" w:eastAsia="仿宋" w:cs="仿宋"/>
          <w:sz w:val="24"/>
        </w:rPr>
      </w:pPr>
      <w:r>
        <w:rPr>
          <w:rFonts w:hint="eastAsia" w:ascii="仿宋" w:hAnsi="仿宋" w:eastAsia="仿宋" w:cs="仿宋"/>
          <w:sz w:val="24"/>
        </w:rPr>
        <w:t>商务要求：</w:t>
      </w:r>
    </w:p>
    <w:p w14:paraId="7FCCA60F">
      <w:pPr>
        <w:rPr>
          <w:rFonts w:hint="eastAsia" w:ascii="仿宋" w:hAnsi="仿宋" w:eastAsia="仿宋" w:cs="仿宋"/>
          <w:sz w:val="24"/>
        </w:rPr>
      </w:pPr>
      <w:r>
        <w:rPr>
          <w:rFonts w:hint="eastAsia" w:ascii="仿宋" w:hAnsi="仿宋" w:eastAsia="仿宋" w:cs="仿宋"/>
          <w:sz w:val="24"/>
        </w:rPr>
        <w:t>（一）服务期限</w:t>
      </w:r>
    </w:p>
    <w:p w14:paraId="4BAFD921">
      <w:pPr>
        <w:rPr>
          <w:rFonts w:hint="eastAsia" w:ascii="仿宋" w:hAnsi="仿宋" w:eastAsia="仿宋" w:cs="仿宋"/>
          <w:sz w:val="24"/>
        </w:rPr>
      </w:pPr>
      <w:r>
        <w:rPr>
          <w:rFonts w:hint="eastAsia" w:ascii="仿宋" w:hAnsi="仿宋" w:eastAsia="仿宋" w:cs="仿宋"/>
          <w:sz w:val="24"/>
        </w:rPr>
        <w:t>1年，合同执行期间服务价格不受市场变化的影响。</w:t>
      </w:r>
    </w:p>
    <w:p w14:paraId="56466EDB">
      <w:pPr>
        <w:rPr>
          <w:rFonts w:hint="eastAsia" w:ascii="仿宋" w:hAnsi="仿宋" w:eastAsia="仿宋" w:cs="仿宋"/>
          <w:color w:val="FF0000"/>
          <w:sz w:val="28"/>
          <w:szCs w:val="28"/>
        </w:rPr>
      </w:pPr>
    </w:p>
    <w:p w14:paraId="506C3AEC">
      <w:pPr>
        <w:rPr>
          <w:rFonts w:hint="eastAsia" w:ascii="仿宋" w:hAnsi="仿宋" w:eastAsia="仿宋" w:cs="仿宋"/>
          <w:sz w:val="28"/>
          <w:szCs w:val="28"/>
        </w:rPr>
      </w:pPr>
      <w:r>
        <w:rPr>
          <w:rFonts w:hint="eastAsia" w:ascii="仿宋" w:hAnsi="仿宋" w:eastAsia="仿宋" w:cs="仿宋"/>
          <w:sz w:val="28"/>
          <w:szCs w:val="28"/>
        </w:rPr>
        <w:t>（二）款项结算</w:t>
      </w:r>
    </w:p>
    <w:p w14:paraId="2B77DEED">
      <w:pPr>
        <w:rPr>
          <w:rFonts w:hint="eastAsia" w:ascii="仿宋" w:hAnsi="仿宋" w:eastAsia="仿宋" w:cs="仿宋"/>
          <w:color w:val="FF0000"/>
          <w:sz w:val="28"/>
          <w:szCs w:val="28"/>
        </w:rPr>
      </w:pPr>
      <w:r>
        <w:rPr>
          <w:rFonts w:hint="eastAsia" w:ascii="仿宋" w:hAnsi="仿宋" w:eastAsia="仿宋" w:cs="仿宋"/>
          <w:sz w:val="28"/>
          <w:szCs w:val="28"/>
        </w:rPr>
        <w:t>指明是分批支付，还是一次性付清。服务期短的项目原则上一次付清，服务期长的项目可按月、季、半年分批支付，对单项任务提供服务的，可以按任务完成进度安排。如分批支付，列明各个批次的界限和付款比例。</w:t>
      </w:r>
    </w:p>
    <w:p w14:paraId="513B3CA0">
      <w:pPr>
        <w:rPr>
          <w:rFonts w:hint="eastAsia" w:ascii="仿宋" w:hAnsi="仿宋" w:eastAsia="仿宋" w:cs="仿宋"/>
          <w:sz w:val="24"/>
        </w:rPr>
      </w:pPr>
      <w:r>
        <w:rPr>
          <w:rFonts w:hint="eastAsia" w:ascii="仿宋" w:hAnsi="仿宋" w:eastAsia="仿宋" w:cs="仿宋"/>
          <w:sz w:val="24"/>
        </w:rPr>
        <w:t>款项结算:</w:t>
      </w:r>
    </w:p>
    <w:p w14:paraId="543D12A2">
      <w:pPr>
        <w:rPr>
          <w:rFonts w:hint="eastAsia" w:ascii="仿宋" w:hAnsi="仿宋" w:eastAsia="仿宋" w:cs="仿宋"/>
          <w:sz w:val="24"/>
        </w:rPr>
      </w:pPr>
      <w:r>
        <w:rPr>
          <w:rFonts w:hint="eastAsia" w:ascii="仿宋" w:hAnsi="仿宋" w:eastAsia="仿宋" w:cs="仿宋"/>
          <w:sz w:val="24"/>
        </w:rPr>
        <w:t>1、付款方式：每年按季度结算生活垃圾转运费用，转账支付，如有其他费用由中标方承担。</w:t>
      </w:r>
    </w:p>
    <w:p w14:paraId="60382A21">
      <w:pPr>
        <w:rPr>
          <w:rFonts w:hint="eastAsia" w:ascii="仿宋" w:hAnsi="仿宋" w:eastAsia="仿宋" w:cs="仿宋"/>
          <w:sz w:val="24"/>
        </w:rPr>
      </w:pPr>
      <w:r>
        <w:rPr>
          <w:rFonts w:hint="eastAsia" w:ascii="仿宋" w:hAnsi="仿宋" w:eastAsia="仿宋" w:cs="仿宋"/>
          <w:sz w:val="24"/>
        </w:rPr>
        <w:t>2、医院生活垃圾清运费用预算28万/年，中标价格为全年固定价格（文件中所给出的垃圾量为估算值，垃圾量以实际为准，每年费用包含实际垃圾量的费用）。具有城市生活垃圾经营性清扫、收集、运输服务许可证。</w:t>
      </w:r>
    </w:p>
    <w:p w14:paraId="39DDCECD">
      <w:pPr>
        <w:pBdr>
          <w:bottom w:val="single" w:color="auto" w:sz="4" w:space="1"/>
        </w:pBdr>
        <w:spacing w:beforeLines="100"/>
        <w:rPr>
          <w:rFonts w:hint="eastAsia" w:ascii="仿宋" w:hAnsi="仿宋" w:eastAsia="仿宋" w:cs="仿宋"/>
          <w:b/>
          <w:sz w:val="28"/>
          <w:szCs w:val="28"/>
        </w:rPr>
      </w:pPr>
      <w:r>
        <w:rPr>
          <w:rFonts w:hint="eastAsia" w:ascii="仿宋" w:hAnsi="仿宋" w:eastAsia="仿宋" w:cs="仿宋"/>
          <w:b/>
          <w:sz w:val="28"/>
          <w:szCs w:val="28"/>
        </w:rPr>
        <w:t>六、其他（如有要求，请写明）</w:t>
      </w:r>
    </w:p>
    <w:p w14:paraId="17C8EE30">
      <w:pPr>
        <w:rPr>
          <w:rFonts w:hint="eastAsia" w:ascii="仿宋" w:hAnsi="仿宋" w:eastAsia="仿宋" w:cs="仿宋"/>
          <w:sz w:val="28"/>
          <w:szCs w:val="28"/>
        </w:rPr>
      </w:pPr>
      <w:r>
        <w:rPr>
          <w:rFonts w:hint="eastAsia" w:ascii="仿宋" w:hAnsi="仿宋" w:eastAsia="仿宋" w:cs="仿宋"/>
          <w:sz w:val="28"/>
          <w:szCs w:val="28"/>
        </w:rPr>
        <w:t>（一）对服务商的业绩要求</w:t>
      </w:r>
    </w:p>
    <w:p w14:paraId="74A4C945">
      <w:pPr>
        <w:rPr>
          <w:rFonts w:hint="eastAsia" w:ascii="仿宋" w:hAnsi="仿宋" w:eastAsia="仿宋" w:cs="仿宋"/>
          <w:sz w:val="28"/>
          <w:szCs w:val="28"/>
        </w:rPr>
      </w:pPr>
      <w:r>
        <w:rPr>
          <w:rFonts w:hint="eastAsia" w:ascii="仿宋" w:hAnsi="仿宋" w:eastAsia="仿宋" w:cs="仿宋"/>
          <w:sz w:val="28"/>
          <w:szCs w:val="28"/>
        </w:rPr>
        <w:t>采购人可以要求参加政府采购的供应商提供有关业绩情况，但不得以特定行政区域或者特定行业的业绩、奖项作为加分条件或者中标、成交条件，也不得限定业务规模。</w:t>
      </w:r>
    </w:p>
    <w:p w14:paraId="5BACFE43">
      <w:pPr>
        <w:rPr>
          <w:rFonts w:hint="eastAsia" w:ascii="仿宋" w:hAnsi="仿宋" w:eastAsia="仿宋" w:cs="仿宋"/>
          <w:sz w:val="28"/>
          <w:szCs w:val="28"/>
        </w:rPr>
      </w:pPr>
      <w:r>
        <w:rPr>
          <w:rFonts w:hint="eastAsia" w:ascii="仿宋" w:hAnsi="仿宋" w:eastAsia="仿宋" w:cs="仿宋"/>
          <w:sz w:val="28"/>
          <w:szCs w:val="28"/>
        </w:rPr>
        <w:t>（四）质量验收标准或规范</w:t>
      </w:r>
    </w:p>
    <w:p w14:paraId="6448A44F">
      <w:pPr>
        <w:rPr>
          <w:rFonts w:hint="eastAsia" w:ascii="仿宋" w:hAnsi="仿宋" w:eastAsia="仿宋" w:cs="仿宋"/>
          <w:sz w:val="28"/>
          <w:szCs w:val="28"/>
        </w:rPr>
      </w:pPr>
      <w:r>
        <w:rPr>
          <w:rFonts w:hint="eastAsia" w:ascii="仿宋" w:hAnsi="仿宋" w:eastAsia="仿宋" w:cs="仿宋"/>
          <w:sz w:val="28"/>
          <w:szCs w:val="28"/>
        </w:rPr>
        <w:t>现行的国家标准或国家行政部门颁布的法律法规、规章制度等，是项目验收的另一个重要依据。没有国家标准的，可以参考行业标准。</w:t>
      </w:r>
    </w:p>
    <w:p w14:paraId="6B460DF1">
      <w:pPr>
        <w:rPr>
          <w:rFonts w:hint="eastAsia" w:ascii="仿宋" w:hAnsi="仿宋" w:eastAsia="仿宋" w:cs="仿宋"/>
          <w:sz w:val="24"/>
        </w:rPr>
      </w:pPr>
      <w:r>
        <w:rPr>
          <w:rFonts w:hint="eastAsia" w:ascii="仿宋" w:hAnsi="仿宋" w:eastAsia="仿宋" w:cs="仿宋"/>
          <w:sz w:val="24"/>
        </w:rPr>
        <w:t>1、按时清运甲方集中至收集点的生活垃圾，并按相关部门规定的地点倾倒，做到车走场清。</w:t>
      </w:r>
    </w:p>
    <w:p w14:paraId="6F5586A8">
      <w:pPr>
        <w:rPr>
          <w:rFonts w:hint="eastAsia" w:ascii="仿宋" w:hAnsi="仿宋" w:eastAsia="仿宋" w:cs="仿宋"/>
          <w:sz w:val="24"/>
        </w:rPr>
      </w:pPr>
      <w:r>
        <w:rPr>
          <w:rFonts w:hint="eastAsia" w:ascii="仿宋" w:hAnsi="仿宋" w:eastAsia="仿宋" w:cs="仿宋"/>
          <w:sz w:val="24"/>
        </w:rPr>
        <w:t>2、清运车辆、工具、人员由乙方自行安排，清运过程中产生的车辆维护费用、税费、人工费等由乙方承担。</w:t>
      </w:r>
    </w:p>
    <w:p w14:paraId="43B887D9">
      <w:pPr>
        <w:rPr>
          <w:rFonts w:hint="eastAsia" w:ascii="仿宋" w:hAnsi="仿宋" w:eastAsia="仿宋" w:cs="仿宋"/>
          <w:sz w:val="24"/>
        </w:rPr>
      </w:pPr>
      <w:r>
        <w:rPr>
          <w:rFonts w:hint="eastAsia" w:ascii="仿宋" w:hAnsi="仿宋" w:eastAsia="仿宋" w:cs="仿宋"/>
          <w:sz w:val="24"/>
        </w:rPr>
        <w:t>3、每车装载标准为满载，因清运范围内垃圾量少而不足以达到满载标准的，视为满载。</w:t>
      </w:r>
    </w:p>
    <w:p w14:paraId="0467EA6A">
      <w:pPr>
        <w:rPr>
          <w:rFonts w:hint="eastAsia" w:ascii="仿宋" w:hAnsi="仿宋" w:eastAsia="仿宋" w:cs="仿宋"/>
          <w:sz w:val="24"/>
        </w:rPr>
      </w:pPr>
      <w:r>
        <w:rPr>
          <w:rFonts w:hint="eastAsia" w:ascii="仿宋" w:hAnsi="仿宋" w:eastAsia="仿宋" w:cs="仿宋"/>
          <w:sz w:val="24"/>
        </w:rPr>
        <w:t>乙方在清运过程中应采取有效安全措施防止车上垃圾在院区抛、冒、滴、漏，如有发生，须及时将现场清理干净。</w:t>
      </w:r>
    </w:p>
    <w:p w14:paraId="4CAEF4F9">
      <w:pPr>
        <w:rPr>
          <w:rFonts w:hint="eastAsia" w:ascii="仿宋" w:hAnsi="仿宋" w:eastAsia="仿宋" w:cs="仿宋"/>
          <w:sz w:val="24"/>
        </w:rPr>
      </w:pPr>
      <w:r>
        <w:rPr>
          <w:rFonts w:hint="eastAsia" w:ascii="仿宋" w:hAnsi="仿宋" w:eastAsia="仿宋" w:cs="仿宋"/>
          <w:sz w:val="24"/>
        </w:rPr>
        <w:t>5、对超出本合同第一条范围之外的垃圾，乙方在力能所及的情况下，应积极配合甲方进行清运，具体费用由双方另行商议。</w:t>
      </w:r>
    </w:p>
    <w:p w14:paraId="6766A612">
      <w:pPr>
        <w:rPr>
          <w:rFonts w:hint="eastAsia" w:ascii="仿宋" w:hAnsi="仿宋" w:eastAsia="仿宋" w:cs="仿宋"/>
          <w:sz w:val="24"/>
        </w:rPr>
      </w:pPr>
      <w:r>
        <w:rPr>
          <w:rFonts w:hint="eastAsia" w:ascii="仿宋" w:hAnsi="仿宋" w:eastAsia="仿宋" w:cs="仿宋"/>
          <w:sz w:val="24"/>
        </w:rPr>
        <w:t>6、乙方在清运垃圾过程发生的设备或人员损害，或因违章、交通事故发生的损害以及对第三方造成的损害由乙方承担。</w:t>
      </w:r>
    </w:p>
    <w:p w14:paraId="3831B6F9">
      <w:pPr>
        <w:rPr>
          <w:rFonts w:hint="eastAsia" w:ascii="仿宋" w:hAnsi="仿宋" w:eastAsia="仿宋" w:cs="仿宋"/>
          <w:sz w:val="24"/>
        </w:rPr>
      </w:pPr>
      <w:r>
        <w:rPr>
          <w:rFonts w:hint="eastAsia" w:ascii="仿宋" w:hAnsi="仿宋" w:eastAsia="仿宋" w:cs="仿宋"/>
          <w:sz w:val="24"/>
        </w:rPr>
        <w:t>7、遵守甲方管理区域内的管理规定、公约等。</w:t>
      </w:r>
    </w:p>
    <w:p w14:paraId="1513F5DD">
      <w:pPr>
        <w:rPr>
          <w:rFonts w:hint="eastAsia" w:ascii="仿宋" w:hAnsi="仿宋" w:eastAsia="仿宋" w:cs="仿宋"/>
          <w:sz w:val="28"/>
          <w:szCs w:val="28"/>
        </w:rPr>
      </w:pPr>
      <w:r>
        <w:rPr>
          <w:rFonts w:hint="eastAsia" w:ascii="仿宋" w:hAnsi="仿宋" w:eastAsia="仿宋" w:cs="仿宋"/>
          <w:sz w:val="28"/>
          <w:szCs w:val="28"/>
        </w:rPr>
        <w:t>（四）违约责任</w:t>
      </w:r>
    </w:p>
    <w:p w14:paraId="707E33E8">
      <w:pPr>
        <w:rPr>
          <w:rFonts w:hint="eastAsia" w:ascii="仿宋" w:hAnsi="仿宋" w:eastAsia="仿宋" w:cs="仿宋"/>
          <w:sz w:val="28"/>
          <w:szCs w:val="28"/>
        </w:rPr>
      </w:pPr>
      <w:r>
        <w:rPr>
          <w:rFonts w:hint="eastAsia" w:ascii="仿宋" w:hAnsi="仿宋" w:eastAsia="仿宋" w:cs="仿宋"/>
          <w:sz w:val="28"/>
          <w:szCs w:val="28"/>
        </w:rPr>
        <w:t>一般与合同款项的支付相关，注意不要超出《民法典》中对于违约的责任上限。</w:t>
      </w:r>
    </w:p>
    <w:p w14:paraId="50995A5C">
      <w:pPr>
        <w:rPr>
          <w:rFonts w:hint="eastAsia" w:ascii="仿宋" w:hAnsi="仿宋" w:eastAsia="仿宋" w:cs="仿宋"/>
          <w:sz w:val="24"/>
        </w:rPr>
      </w:pPr>
      <w:r>
        <w:rPr>
          <w:rFonts w:hint="eastAsia" w:ascii="仿宋" w:hAnsi="仿宋" w:eastAsia="仿宋" w:cs="仿宋"/>
          <w:sz w:val="24"/>
        </w:rPr>
        <w:t>1、一方不履行合同义务或者履行合同义务不符合约定的，应当承担继续履行、采取补救措施等违约责任；因一方的违约行为导致本合同无法继续履行的，违约方需赔偿守约方违约金人民币</w:t>
      </w:r>
      <w:r>
        <w:rPr>
          <w:rFonts w:hint="eastAsia" w:ascii="仿宋" w:hAnsi="仿宋" w:eastAsia="仿宋" w:cs="仿宋"/>
          <w:sz w:val="24"/>
          <w:u w:val="single"/>
        </w:rPr>
        <w:t>5000</w:t>
      </w:r>
      <w:r>
        <w:rPr>
          <w:rFonts w:hint="eastAsia" w:ascii="仿宋" w:hAnsi="仿宋" w:eastAsia="仿宋" w:cs="仿宋"/>
          <w:sz w:val="24"/>
        </w:rPr>
        <w:t>元，该违约金不足以弥补守约方实际损失的，违约方应赔偿守约方所有实际损失。</w:t>
      </w:r>
    </w:p>
    <w:p w14:paraId="686162F8">
      <w:pPr>
        <w:rPr>
          <w:rFonts w:hint="eastAsia" w:ascii="仿宋" w:hAnsi="仿宋" w:eastAsia="仿宋" w:cs="仿宋"/>
          <w:sz w:val="24"/>
        </w:rPr>
      </w:pPr>
      <w:r>
        <w:rPr>
          <w:rFonts w:hint="eastAsia" w:ascii="仿宋" w:hAnsi="仿宋" w:eastAsia="仿宋" w:cs="仿宋"/>
          <w:sz w:val="24"/>
        </w:rPr>
        <w:t>2、甲方在合同期限内如不能按照合同第四条（二）约定的时间向乙方支付清运费，从该时间到达后的第二天起算，每月向乙方额外支付10%的滞纳金，连续三个月不支付 清运费的，乙方有权单方解除合同，且因此造成乙方损失的，甲方应赔偿责任。</w:t>
      </w:r>
    </w:p>
    <w:p w14:paraId="23CF9CB5">
      <w:pPr>
        <w:rPr>
          <w:rFonts w:hint="eastAsia" w:ascii="仿宋" w:hAnsi="仿宋" w:eastAsia="仿宋" w:cs="仿宋"/>
          <w:sz w:val="24"/>
        </w:rPr>
      </w:pPr>
      <w:r>
        <w:rPr>
          <w:rFonts w:hint="eastAsia" w:ascii="仿宋" w:hAnsi="仿宋" w:eastAsia="仿宋" w:cs="仿宋"/>
          <w:sz w:val="24"/>
        </w:rPr>
        <w:t>3、乙方无特殊原因且不及时通知甲方而未按时完成垃圾清运工作，甲方可扣除该时间段内垃圾清运费并督促乙方整改。</w:t>
      </w:r>
    </w:p>
    <w:p w14:paraId="0E2AB373">
      <w:pPr>
        <w:rPr>
          <w:rFonts w:hint="eastAsia" w:ascii="仿宋" w:hAnsi="仿宋" w:eastAsia="仿宋" w:cs="仿宋"/>
          <w:sz w:val="24"/>
        </w:rPr>
      </w:pPr>
      <w:r>
        <w:rPr>
          <w:rFonts w:hint="eastAsia" w:ascii="仿宋" w:hAnsi="仿宋" w:eastAsia="仿宋" w:cs="仿宋"/>
          <w:sz w:val="24"/>
        </w:rPr>
        <w:t>4、由于国家政策调整或客观原因的重大变化致使一方无法履行合同的，应当提前通知对方解除合同或双方协商变更合同，并有义务协助对方防止损失的扩大。</w:t>
      </w:r>
    </w:p>
    <w:p w14:paraId="2169B4FA">
      <w:pPr>
        <w:rPr>
          <w:rFonts w:hint="eastAsia" w:ascii="仿宋" w:hAnsi="仿宋" w:eastAsia="仿宋" w:cs="仿宋"/>
          <w:sz w:val="24"/>
        </w:rPr>
      </w:pPr>
      <w:r>
        <w:rPr>
          <w:rFonts w:hint="eastAsia" w:ascii="仿宋" w:hAnsi="仿宋" w:eastAsia="仿宋" w:cs="仿宋"/>
          <w:sz w:val="24"/>
        </w:rPr>
        <w:t>5、不可抗力事件发生后，遇有不可抗力的一方应立即通知对方，并在合理期限内提供该不可抗力发生及其持续时间的适当证据。遇有不可抗力的一方应在所能及的条件下迅速采取措施，尽力减少损失。如因一方未采取减轻损害的行动而导致对方的损失增加，应赔偿对方增加的损失。</w:t>
      </w:r>
    </w:p>
    <w:p w14:paraId="43FC9343">
      <w:pPr>
        <w:rPr>
          <w:rFonts w:hint="eastAsia" w:ascii="仿宋" w:hAnsi="仿宋" w:eastAsia="仿宋" w:cs="仿宋"/>
        </w:rPr>
      </w:pPr>
    </w:p>
    <w:bookmarkEnd w:id="0"/>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汉仪书宋二KW">
    <w:altName w:val="宋体"/>
    <w:panose1 w:val="00020600040101010101"/>
    <w:charset w:val="86"/>
    <w:family w:val="auto"/>
    <w:pitch w:val="default"/>
    <w:sig w:usb0="00000000" w:usb1="00000000" w:usb2="00000016"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16772"/>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2597C"/>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A62"/>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3D5C1616"/>
    <w:rsid w:val="604333C8"/>
    <w:rsid w:val="7DFF46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4"/>
    <w:semiHidden/>
    <w:unhideWhenUsed/>
    <w:uiPriority w:val="99"/>
    <w:pPr>
      <w:jc w:val="left"/>
    </w:pPr>
  </w:style>
  <w:style w:type="paragraph" w:styleId="3">
    <w:name w:val="Balloon Text"/>
    <w:basedOn w:val="1"/>
    <w:link w:val="36"/>
    <w:semiHidden/>
    <w:unhideWhenUsed/>
    <w:uiPriority w:val="99"/>
    <w:rPr>
      <w:sz w:val="18"/>
      <w:szCs w:val="18"/>
    </w:rPr>
  </w:style>
  <w:style w:type="paragraph" w:styleId="4">
    <w:name w:val="footer"/>
    <w:basedOn w:val="1"/>
    <w:link w:val="33"/>
    <w:unhideWhenUsed/>
    <w:uiPriority w:val="99"/>
    <w:pPr>
      <w:tabs>
        <w:tab w:val="center" w:pos="4153"/>
        <w:tab w:val="right" w:pos="8306"/>
      </w:tabs>
      <w:snapToGrid w:val="0"/>
      <w:jc w:val="left"/>
    </w:pPr>
    <w:rPr>
      <w:sz w:val="18"/>
      <w:szCs w:val="18"/>
    </w:rPr>
  </w:style>
  <w:style w:type="paragraph" w:styleId="5">
    <w:name w:val="header"/>
    <w:basedOn w:val="1"/>
    <w:link w:val="32"/>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35"/>
    <w:semiHidden/>
    <w:unhideWhenUsed/>
    <w:uiPriority w:val="99"/>
    <w:rPr>
      <w:b/>
      <w:bCs/>
    </w:rPr>
  </w:style>
  <w:style w:type="character" w:styleId="9">
    <w:name w:val="annotation reference"/>
    <w:basedOn w:val="8"/>
    <w:semiHidden/>
    <w:unhideWhenUsed/>
    <w:uiPriority w:val="99"/>
    <w:rPr>
      <w:sz w:val="21"/>
      <w:szCs w:val="21"/>
    </w:rPr>
  </w:style>
  <w:style w:type="paragraph" w:customStyle="1" w:styleId="10">
    <w:name w:val="※封面大标题"/>
    <w:basedOn w:val="1"/>
    <w:next w:val="1"/>
    <w:qFormat/>
    <w:uiPriority w:val="0"/>
    <w:pPr>
      <w:widowControl/>
      <w:jc w:val="center"/>
    </w:pPr>
    <w:rPr>
      <w:rFonts w:ascii="华文中宋" w:hAnsi="华文中宋" w:eastAsia="华文中宋"/>
      <w:sz w:val="96"/>
      <w:szCs w:val="96"/>
    </w:rPr>
  </w:style>
  <w:style w:type="paragraph" w:customStyle="1" w:styleId="11">
    <w:name w:val="※封面题颌"/>
    <w:basedOn w:val="1"/>
    <w:next w:val="1"/>
    <w:qFormat/>
    <w:uiPriority w:val="0"/>
    <w:pPr>
      <w:widowControl/>
      <w:jc w:val="center"/>
    </w:pPr>
    <w:rPr>
      <w:rFonts w:ascii="Calibri Light" w:hAnsi="Calibri Light" w:eastAsia="华文仿宋"/>
      <w:sz w:val="36"/>
      <w:szCs w:val="36"/>
    </w:rPr>
  </w:style>
  <w:style w:type="paragraph" w:customStyle="1" w:styleId="12">
    <w:name w:val="※封面题眉"/>
    <w:basedOn w:val="1"/>
    <w:next w:val="10"/>
    <w:qFormat/>
    <w:uiPriority w:val="0"/>
    <w:pPr>
      <w:widowControl/>
      <w:jc w:val="center"/>
    </w:pPr>
    <w:rPr>
      <w:rFonts w:ascii="华文仿宋" w:hAnsi="华文仿宋" w:eastAsia="华文仿宋"/>
      <w:sz w:val="52"/>
      <w:szCs w:val="28"/>
    </w:rPr>
  </w:style>
  <w:style w:type="paragraph" w:customStyle="1" w:styleId="13">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4">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5">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6">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8">
    <w:name w:val="※小标题 一"/>
    <w:basedOn w:val="17"/>
    <w:next w:val="17"/>
    <w:qFormat/>
    <w:uiPriority w:val="0"/>
    <w:pPr>
      <w:spacing w:before="120" w:line="240" w:lineRule="auto"/>
      <w:outlineLvl w:val="2"/>
    </w:pPr>
    <w:rPr>
      <w:b/>
      <w:color w:val="203864" w:themeColor="accent5" w:themeShade="80"/>
      <w:sz w:val="32"/>
    </w:rPr>
  </w:style>
  <w:style w:type="paragraph" w:customStyle="1" w:styleId="19">
    <w:name w:val="※小标题（1）"/>
    <w:basedOn w:val="1"/>
    <w:next w:val="17"/>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0">
    <w:name w:val="※小标题（一）"/>
    <w:basedOn w:val="1"/>
    <w:next w:val="17"/>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1">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2">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3">
    <w:name w:val="※页眉"/>
    <w:basedOn w:val="17"/>
    <w:qFormat/>
    <w:uiPriority w:val="0"/>
    <w:pPr>
      <w:pBdr>
        <w:bottom w:val="single" w:color="auto" w:sz="4" w:space="1"/>
      </w:pBdr>
      <w:spacing w:line="240" w:lineRule="atLeast"/>
      <w:jc w:val="right"/>
    </w:pPr>
    <w:rPr>
      <w:rFonts w:ascii="宋体" w:hAnsi="宋体" w:eastAsia="宋体"/>
      <w:sz w:val="18"/>
    </w:rPr>
  </w:style>
  <w:style w:type="paragraph" w:customStyle="1" w:styleId="24">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5">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6">
    <w:name w:val="※章节标题（第Z部分分项）"/>
    <w:basedOn w:val="25"/>
    <w:qFormat/>
    <w:uiPriority w:val="0"/>
    <w:pPr>
      <w:outlineLvl w:val="2"/>
    </w:pPr>
  </w:style>
  <w:style w:type="paragraph" w:customStyle="1" w:styleId="27">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8">
    <w:name w:val="※正文（缩进2）"/>
    <w:basedOn w:val="17"/>
    <w:qFormat/>
    <w:uiPriority w:val="0"/>
    <w:pPr>
      <w:ind w:firstLine="200" w:firstLineChars="200"/>
    </w:pPr>
  </w:style>
  <w:style w:type="paragraph" w:customStyle="1" w:styleId="29">
    <w:name w:val="※正文（缩进4）"/>
    <w:basedOn w:val="17"/>
    <w:qFormat/>
    <w:uiPriority w:val="0"/>
    <w:pPr>
      <w:ind w:firstLine="400" w:firstLineChars="400"/>
    </w:pPr>
  </w:style>
  <w:style w:type="paragraph" w:customStyle="1" w:styleId="30">
    <w:name w:val="样式"/>
    <w:link w:val="31"/>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1">
    <w:name w:val="样式 Char Char"/>
    <w:link w:val="30"/>
    <w:qFormat/>
    <w:locked/>
    <w:uiPriority w:val="0"/>
    <w:rPr>
      <w:rFonts w:ascii="宋体" w:hAnsi="宋体" w:eastAsia="宋体" w:cs="宋体"/>
      <w:kern w:val="0"/>
      <w:sz w:val="24"/>
      <w:szCs w:val="24"/>
    </w:rPr>
  </w:style>
  <w:style w:type="character" w:customStyle="1" w:styleId="32">
    <w:name w:val="页眉 Char"/>
    <w:basedOn w:val="8"/>
    <w:link w:val="5"/>
    <w:qFormat/>
    <w:uiPriority w:val="99"/>
    <w:rPr>
      <w:rFonts w:ascii="Calibri" w:hAnsi="Calibri" w:eastAsia="宋体" w:cs="Times New Roman"/>
      <w:sz w:val="18"/>
      <w:szCs w:val="18"/>
    </w:rPr>
  </w:style>
  <w:style w:type="character" w:customStyle="1" w:styleId="33">
    <w:name w:val="页脚 Char"/>
    <w:basedOn w:val="8"/>
    <w:link w:val="4"/>
    <w:qFormat/>
    <w:uiPriority w:val="99"/>
    <w:rPr>
      <w:rFonts w:ascii="Calibri" w:hAnsi="Calibri" w:eastAsia="宋体" w:cs="Times New Roman"/>
      <w:sz w:val="18"/>
      <w:szCs w:val="18"/>
    </w:rPr>
  </w:style>
  <w:style w:type="character" w:customStyle="1" w:styleId="34">
    <w:name w:val="批注文字 Char"/>
    <w:basedOn w:val="8"/>
    <w:link w:val="2"/>
    <w:semiHidden/>
    <w:qFormat/>
    <w:uiPriority w:val="99"/>
    <w:rPr>
      <w:rFonts w:ascii="Calibri" w:hAnsi="Calibri" w:eastAsia="宋体" w:cs="Times New Roman"/>
    </w:rPr>
  </w:style>
  <w:style w:type="character" w:customStyle="1" w:styleId="35">
    <w:name w:val="批注主题 Char"/>
    <w:basedOn w:val="34"/>
    <w:link w:val="6"/>
    <w:semiHidden/>
    <w:qFormat/>
    <w:uiPriority w:val="99"/>
    <w:rPr>
      <w:rFonts w:ascii="Calibri" w:hAnsi="Calibri" w:eastAsia="宋体" w:cs="Times New Roman"/>
      <w:b/>
      <w:bCs/>
    </w:rPr>
  </w:style>
  <w:style w:type="character" w:customStyle="1" w:styleId="36">
    <w:name w:val="批注框文本 Char"/>
    <w:basedOn w:val="8"/>
    <w:link w:val="3"/>
    <w:semiHidden/>
    <w:qFormat/>
    <w:uiPriority w:val="99"/>
    <w:rPr>
      <w:rFonts w:ascii="Calibri" w:hAnsi="Calibri" w:eastAsia="宋体" w:cs="Times New Roman"/>
      <w:sz w:val="18"/>
      <w:szCs w:val="18"/>
    </w:rPr>
  </w:style>
  <w:style w:type="paragraph" w:customStyle="1" w:styleId="37">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4351</Words>
  <Characters>4579</Characters>
  <Lines>33</Lines>
  <Paragraphs>9</Paragraphs>
  <TotalTime>10</TotalTime>
  <ScaleCrop>false</ScaleCrop>
  <LinksUpToDate>false</LinksUpToDate>
  <CharactersWithSpaces>4584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2021-03-19T12:39:00Z</dcterms:created>
  <dc:creator>lenovo</dc:creator>
  <cp:lastModifiedBy>A-Sa</cp:lastModifiedBy>
  <dcterms:modified xsi:type="dcterms:W3CDTF">2024-12-11T06:37:13Z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F71C0ED4208FE8D0622E596747661175_42</vt:lpwstr>
  </property>
</Properties>
</file>