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HIS系统维保</w:t>
      </w:r>
    </w:p>
    <w:p>
      <w:pPr>
        <w:pStyle w:val="null3"/>
        <w:jc w:val="center"/>
        <w:outlineLvl w:val="2"/>
      </w:pPr>
      <w:r>
        <w:rPr>
          <w:sz w:val="28"/>
          <w:b/>
        </w:rPr>
        <w:t>采购项目编号：</w:t>
      </w:r>
      <w:r>
        <w:rPr>
          <w:sz w:val="28"/>
          <w:b/>
        </w:rPr>
        <w:t>JXRC-241214</w:t>
      </w:r>
      <w:r>
        <w:br/>
      </w:r>
      <w:r>
        <w:br/>
      </w:r>
      <w:r>
        <w:br/>
      </w:r>
    </w:p>
    <w:p>
      <w:pPr>
        <w:pStyle w:val="null3"/>
        <w:jc w:val="center"/>
        <w:outlineLvl w:val="2"/>
      </w:pPr>
      <w:r>
        <w:rPr>
          <w:sz w:val="28"/>
          <w:b/>
        </w:rPr>
        <w:t>西安市中心医院</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2025年01月10日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陕西嘉信瑞诚招标有限公司</w:t>
      </w:r>
      <w:r>
        <w:rPr/>
        <w:t>（以下简称“代理机构”）受</w:t>
      </w:r>
      <w:r>
        <w:rPr/>
        <w:t>西安市中心医院</w:t>
      </w:r>
      <w:r>
        <w:rPr/>
        <w:t>委托，拟对</w:t>
      </w:r>
      <w:r>
        <w:rPr/>
        <w:t>HIS系统维保</w:t>
      </w:r>
      <w:r>
        <w:rPr/>
        <w:t>采用竞争性磋商采购方式进行采购，兹邀请供应商参加本项目的竞争性磋商。</w:t>
      </w:r>
    </w:p>
    <w:p>
      <w:pPr>
        <w:pStyle w:val="null3"/>
        <w:outlineLvl w:val="2"/>
      </w:pPr>
      <w:r>
        <w:rPr>
          <w:sz w:val="28"/>
          <w:b/>
        </w:rPr>
        <w:t>一、项目编号：</w:t>
      </w:r>
      <w:r>
        <w:rPr>
          <w:sz w:val="28"/>
          <w:b/>
        </w:rPr>
        <w:t>JXRC-241214</w:t>
      </w:r>
    </w:p>
    <w:p>
      <w:pPr>
        <w:pStyle w:val="null3"/>
        <w:outlineLvl w:val="2"/>
      </w:pPr>
      <w:r>
        <w:rPr>
          <w:sz w:val="28"/>
          <w:b/>
        </w:rPr>
        <w:t>二、项目名称：</w:t>
      </w:r>
      <w:r>
        <w:rPr>
          <w:sz w:val="28"/>
          <w:b/>
        </w:rPr>
        <w:t>HIS系统维保</w:t>
      </w:r>
    </w:p>
    <w:p>
      <w:pPr>
        <w:pStyle w:val="null3"/>
        <w:outlineLvl w:val="2"/>
      </w:pPr>
      <w:r>
        <w:rPr>
          <w:sz w:val="28"/>
          <w:b/>
        </w:rPr>
        <w:t>三、磋商项目简介</w:t>
      </w:r>
    </w:p>
    <w:p>
      <w:pPr>
        <w:pStyle w:val="null3"/>
        <w:ind w:firstLine="480"/>
      </w:pPr>
      <w:r>
        <w:rPr/>
        <w:t>西安市中心医院信息化建设经过多年发展，已经形成了以HIS为基础的多维信息化体系。特别是HIS系统在医院运行了多年，积累了大大小小300多个功能模块，这些功能覆盖了医院的门急诊、住院、药品、财务等医院运营核心业务的方方面面，HIS系统的稳定运行是医院正常运营的基础保障，是医院信息化日常运维工作的重中之重。而后续 HIS系统又增建了临床路径系统，同时基于HIS的业务数据完成了与医保、LIS、EMR、PACS、院感、合理用药、集成平台等十几个系统的数据对接，这无疑使得原本维护工作量就巨大的维护工作更加复杂困难，甚至有时牵一发而动全身。再则，近年伴随着国家医疗卫生领域的改革与监管的强化，医院承担了越来越多的数据上报工作，这些数据复杂多样，大多数据源就来源于HIS系统，这又需要有专业的工程师进行数据分析、提取、加工、校验。因此，借鉴往年的供应商提供的服务力量已经远远达不到医院的正常系统运行要求，综合分析后，医院有必要继续采购HIS系统、临床路径系统、各类已有接口的维保服务，并加大维保服务投入，本次采购维保服务期为一年。</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采购包1（HIS系统维保）：属于专门面向中小企业采购。</w:t>
      </w:r>
    </w:p>
    <w:p>
      <w:pPr>
        <w:pStyle w:val="null3"/>
        <w:ind w:firstLine="480"/>
      </w:pPr>
      <w:r>
        <w:rPr/>
        <w:t>（三）本项目的特定资格要求：</w:t>
      </w:r>
    </w:p>
    <w:p>
      <w:pPr>
        <w:pStyle w:val="null3"/>
      </w:pPr>
      <w:r>
        <w:rPr/>
        <w:t>采购包1：</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供应商应有良好的财务状况：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t>3、供应商应有依法缴纳税收的良好记录：法人提供2024年1月至今已缴纳的至少三个月的纳税证明或完税证明，纳税证明或完税证明上应有代收机构或税务机关的公章或业务专用章；其他组织和自然人提供自2024年1月至今已缴纳的至少三个月缴纳税收的凭据；依法免税的供应商应提供相关文件证明；并进行电子签章。</w:t>
      </w:r>
    </w:p>
    <w:p>
      <w:pPr>
        <w:pStyle w:val="null3"/>
      </w:pPr>
      <w:r>
        <w:rPr/>
        <w:t>4、供应商应有依法缴纳社会保障资金的良好记录：提供2024年1月至今已缴存的至少三个月的社会保障资金缴存单据或社保机构开具的社会保险参保缴费情况证明，单据或证明上应有社保机构或代收机构的公章；依法不需要缴纳社会保障资金的供应商应提供相关文件证明；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6、参加本次政府采购活动前三年内，在经营活动中没有重大违法记录：供应商需提供《无重大违法记录声明》完成承诺；并进行电子签章。</w:t>
      </w:r>
    </w:p>
    <w:p>
      <w:pPr>
        <w:pStyle w:val="null3"/>
      </w:pPr>
      <w:r>
        <w:rPr/>
        <w:t>7、供应商应具有履行合同所必需的设备和专业技术能力：供应商需提供《具有履行合同所必需的设备和专业技术能力的承诺书》完成承诺；并进行电子签章。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西安市中心医院</w:t>
      </w:r>
    </w:p>
    <w:p>
      <w:pPr>
        <w:pStyle w:val="null3"/>
      </w:pPr>
      <w:r>
        <w:rPr/>
        <w:t xml:space="preserve"> 地址： </w:t>
      </w:r>
      <w:r>
        <w:rPr/>
        <w:t>西安市新城区西五路161号</w:t>
      </w:r>
    </w:p>
    <w:p>
      <w:pPr>
        <w:pStyle w:val="null3"/>
      </w:pPr>
      <w:r>
        <w:rPr/>
        <w:t xml:space="preserve"> 邮编： </w:t>
      </w:r>
      <w:r>
        <w:rPr/>
        <w:t>710000</w:t>
      </w:r>
    </w:p>
    <w:p>
      <w:pPr>
        <w:pStyle w:val="null3"/>
      </w:pPr>
      <w:r>
        <w:rPr/>
        <w:t xml:space="preserve"> 联系人： </w:t>
      </w:r>
      <w:r>
        <w:rPr/>
        <w:t>西安市中心医院经办</w:t>
      </w:r>
    </w:p>
    <w:p>
      <w:pPr>
        <w:pStyle w:val="null3"/>
      </w:pPr>
      <w:r>
        <w:rPr/>
        <w:t xml:space="preserve"> 联系电话： </w:t>
      </w:r>
      <w:r>
        <w:rPr/>
        <w:t>029-61312515</w:t>
      </w:r>
    </w:p>
    <w:p>
      <w:pPr>
        <w:pStyle w:val="null3"/>
        <w:outlineLvl w:val="3"/>
      </w:pPr>
      <w:r>
        <w:rPr>
          <w:sz w:val="24"/>
          <w:b/>
        </w:rPr>
        <w:t>代理机构：</w:t>
      </w:r>
      <w:r>
        <w:rPr>
          <w:sz w:val="24"/>
          <w:b/>
        </w:rPr>
        <w:t>陕西嘉信瑞诚招标有限公司</w:t>
      </w:r>
    </w:p>
    <w:p>
      <w:pPr>
        <w:pStyle w:val="null3"/>
      </w:pPr>
      <w:r>
        <w:rPr/>
        <w:t xml:space="preserve"> 地址： </w:t>
      </w:r>
      <w:r>
        <w:rPr/>
        <w:t>西安市南稍门十字东南角大话南门壹中心1806室</w:t>
      </w:r>
    </w:p>
    <w:p>
      <w:pPr>
        <w:pStyle w:val="null3"/>
      </w:pPr>
      <w:r>
        <w:rPr/>
        <w:t xml:space="preserve"> 邮编： </w:t>
      </w:r>
      <w:r>
        <w:rPr/>
        <w:t>710061</w:t>
      </w:r>
    </w:p>
    <w:p>
      <w:pPr>
        <w:pStyle w:val="null3"/>
      </w:pPr>
      <w:r>
        <w:rPr/>
        <w:t xml:space="preserve"> 联系人： </w:t>
      </w:r>
      <w:r>
        <w:rPr/>
        <w:t>曲慧、田颖琦</w:t>
      </w:r>
    </w:p>
    <w:p>
      <w:pPr>
        <w:pStyle w:val="null3"/>
      </w:pPr>
      <w:r>
        <w:rPr/>
        <w:t xml:space="preserve"> 联系电话： </w:t>
      </w:r>
      <w:r>
        <w:rPr/>
        <w:t>029-81541692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代理服务费收费标准：参照原中华人民共和国国家计划委员会计价格[2002]1980号文下浮30%计算收取，具体收费额以采购代理机构出具的发票为准。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西安市中心医院</w:t>
      </w:r>
      <w:r>
        <w:rPr/>
        <w:t>和</w:t>
      </w:r>
      <w:r>
        <w:rPr/>
        <w:t>陕西嘉信瑞诚招标有限公司</w:t>
      </w:r>
      <w:r>
        <w:rPr/>
        <w:t>享有。对磋商文件中供应商参加本次政府采购活动应当具备的条件，磋商项目技术、服务、商务及其他要求，评审细则及标准由</w:t>
      </w:r>
      <w:r>
        <w:rPr/>
        <w:t>西安市中心医院</w:t>
      </w:r>
      <w:r>
        <w:rPr/>
        <w:t>负责解释。除上述磋商文件内容，其他内容由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西安市中心医院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联系人：曲慧、田颖琦</w:t>
      </w:r>
    </w:p>
    <w:p>
      <w:pPr>
        <w:pStyle w:val="null3"/>
      </w:pPr>
      <w:r>
        <w:rPr/>
        <w:t>联系电话：029-81541692</w:t>
      </w:r>
    </w:p>
    <w:p>
      <w:pPr>
        <w:pStyle w:val="null3"/>
      </w:pPr>
      <w:r>
        <w:rPr/>
        <w:t>地址：西安市南稍门十字东南角大话南门壹中心1806室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中心医院信息化建设经过多年发展，已经形成了以HIS为基础的多维信息化体系。特别是HIS系统在医院运行了多年，积累了大大小小300多个功能模块，这些功能覆盖了医院的门急诊、住院、药品、财务等医院运营核心业务的方方面面，HIS系统的稳定运行是医院正常运营的基础保障，是医院信息化日常运维工作的重中之重。而后续 HIS系统又增建了临床路径系统，同时基于HIS的业务数据完成了与医保、LIS、EMR、PACS、院感、合理用药、集成平台等十几个系统的数据对接，这无疑使得原本维护工作量就巨大的维护工作更加复杂困难，甚至有时牵一发而动全身。再则，近年伴随着国家医疗卫生领域的改革与监管的强化，医院承担了越来越多的数据上报工作，这些数据复杂多样，大多数据源就来源于HIS系统，这又需要有专业的工程师进行数据分析、提取、加工、校验。因此，借鉴往年的服务商提供的服务力量已经远远达不到医院的正常系统运行要求，综合分析后，医院有必要继续采购HIS系统、临床路径系统、各类已有接口的维保服务，并加大维保服务投入，本次采购维保服务期为一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540,000.00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HIS系统维保</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标的名称：HIS系统维保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一、服务内容</w:t>
            </w:r>
          </w:p>
          <w:p>
            <w:pPr>
              <w:pStyle w:val="null3"/>
              <w:ind w:firstLine="480"/>
              <w:jc w:val="both"/>
            </w:pPr>
            <w:r>
              <w:rPr>
                <w:rFonts w:ascii="宋体" w:hAnsi="宋体" w:cs="宋体" w:eastAsia="宋体"/>
                <w:sz w:val="24"/>
              </w:rPr>
              <w:t>本招标范围仅限</w:t>
            </w:r>
            <w:r>
              <w:rPr>
                <w:rFonts w:ascii="宋体" w:hAnsi="宋体" w:cs="宋体" w:eastAsia="宋体"/>
                <w:sz w:val="24"/>
              </w:rPr>
              <w:t>HIS</w:t>
            </w:r>
            <w:r>
              <w:rPr>
                <w:rFonts w:ascii="宋体" w:hAnsi="宋体" w:cs="宋体" w:eastAsia="宋体"/>
                <w:sz w:val="24"/>
              </w:rPr>
              <w:t>系统、临床路径系统、电子病历系统软件部分及已有</w:t>
            </w:r>
            <w:r>
              <w:rPr>
                <w:rFonts w:ascii="宋体" w:hAnsi="宋体" w:cs="宋体" w:eastAsia="宋体"/>
                <w:sz w:val="24"/>
              </w:rPr>
              <w:t>HIS</w:t>
            </w:r>
            <w:r>
              <w:rPr>
                <w:rFonts w:ascii="宋体" w:hAnsi="宋体" w:cs="宋体" w:eastAsia="宋体"/>
                <w:sz w:val="24"/>
              </w:rPr>
              <w:t>系统接口，详见附件《现有系统运行模块清单》。</w:t>
            </w:r>
          </w:p>
          <w:p>
            <w:pPr>
              <w:pStyle w:val="null3"/>
              <w:jc w:val="both"/>
            </w:pPr>
            <w:r>
              <w:rPr>
                <w:rFonts w:ascii="宋体" w:hAnsi="宋体" w:cs="宋体" w:eastAsia="宋体"/>
                <w:sz w:val="28"/>
              </w:rPr>
              <w:t>附：现有系统模块清单</w:t>
            </w:r>
          </w:p>
          <w:tbl>
            <w:tblPr>
              <w:tblInd w:type="dxa" w:w="255"/>
              <w:tblBorders>
                <w:top w:val="none" w:color="000000" w:sz="4"/>
                <w:left w:val="none" w:color="000000" w:sz="4"/>
                <w:bottom w:val="none" w:color="000000" w:sz="4"/>
                <w:right w:val="none" w:color="000000" w:sz="4"/>
                <w:insideH w:val="none"/>
                <w:insideV w:val="none"/>
              </w:tblBorders>
            </w:tblPr>
            <w:tblGrid>
              <w:gridCol w:w="952"/>
              <w:gridCol w:w="1215"/>
              <w:gridCol w:w="386"/>
            </w:tblGrid>
            <w:tr>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分系统名称</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6"/>
                    <w:jc w:val="center"/>
                  </w:pPr>
                  <w:r>
                    <w:rPr>
                      <w:rFonts w:ascii="宋体" w:hAnsi="宋体" w:cs="宋体" w:eastAsia="宋体"/>
                      <w:sz w:val="21"/>
                      <w:color w:val="000000"/>
                    </w:rPr>
                    <w:t>系统功能</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数量（套）</w:t>
                  </w: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一卡通管理系统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门诊持卡就医</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卡管理</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门急诊系统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门诊医生工作站</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分诊挂号</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身份登记</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门诊收费划价</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病案系统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病案编目</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病案流通</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病案质控</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病案统计</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药品系统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药库管理</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门诊药房管理</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门诊处方管理系统</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住院药房管理</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住院处方管理系统</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摆药机接口</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医嘱摆药</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卫生经济系统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住院收费管理</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收费管理</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科室查询系统</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医技计价录入及报表</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院长查询系统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临床医疗信息查询</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医疗收入查询</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药品管理查询</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医保信息查询、综合查询</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手术预约划价系统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手术预约登记</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手术麻醉划价</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住院系统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住院医生工作站</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住院预约登记</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住院护士工作站、护理病历、护理工作量、住院医生站</w:t>
                  </w:r>
                </w:p>
                <w:p>
                  <w:pPr>
                    <w:pStyle w:val="null3"/>
                    <w:jc w:val="center"/>
                  </w:pPr>
                  <w:r>
                    <w:rPr>
                      <w:rFonts w:ascii="宋体" w:hAnsi="宋体" w:cs="宋体" w:eastAsia="宋体"/>
                      <w:sz w:val="21"/>
                    </w:rPr>
                    <w:t>工作量统计</w:t>
                  </w:r>
                </w:p>
              </w:tc>
              <w:tc>
                <w:tcPr>
                  <w:tcW w:type="dxa" w:w="386"/>
                  <w:vMerge/>
                  <w:tcBorders>
                    <w:top w:val="none" w:color="000000" w:sz="4"/>
                    <w:left w:val="none" w:color="000000" w:sz="4"/>
                    <w:bottom w:val="single" w:color="000000" w:sz="4"/>
                    <w:right w:val="single" w:color="000000" w:sz="4"/>
                  </w:tcBorders>
                </w:tcP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电子病历系统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门诊、住院电子病历</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医保系统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各医保接口</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临床路径系统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临床路径工作站</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HQMS</w:t>
                  </w:r>
                  <w:r>
                    <w:rPr>
                      <w:rFonts w:ascii="宋体" w:hAnsi="宋体" w:cs="宋体" w:eastAsia="宋体"/>
                      <w:sz w:val="21"/>
                    </w:rPr>
                    <w:t>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HQMS</w:t>
                  </w:r>
                  <w:r>
                    <w:rPr>
                      <w:rFonts w:ascii="宋体" w:hAnsi="宋体" w:cs="宋体" w:eastAsia="宋体"/>
                      <w:sz w:val="21"/>
                    </w:rPr>
                    <w:t>工作站</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检查预约划价、检验系统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检查预约、</w:t>
                  </w:r>
                  <w:r>
                    <w:rPr>
                      <w:rFonts w:ascii="宋体" w:hAnsi="宋体" w:cs="宋体" w:eastAsia="宋体"/>
                      <w:sz w:val="21"/>
                    </w:rPr>
                    <w:t>LIS</w:t>
                  </w:r>
                  <w:r>
                    <w:rPr>
                      <w:rFonts w:ascii="宋体" w:hAnsi="宋体" w:cs="宋体" w:eastAsia="宋体"/>
                      <w:sz w:val="21"/>
                    </w:rPr>
                    <w:t>系统</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检查划价</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检查报告</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后台管理系统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后台划价、自动结账、门诊日结</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调价盈亏后台服务、电子病历</w:t>
                  </w:r>
                </w:p>
              </w:tc>
              <w:tc>
                <w:tcPr>
                  <w:tcW w:type="dxa" w:w="386"/>
                  <w:vMerge/>
                  <w:tcBorders>
                    <w:top w:val="none" w:color="000000" w:sz="4"/>
                    <w:left w:val="none" w:color="000000" w:sz="4"/>
                    <w:bottom w:val="single" w:color="000000" w:sz="4"/>
                    <w:right w:val="single" w:color="000000" w:sz="4"/>
                  </w:tcBorders>
                </w:tcPr>
                <w:p/>
              </w:tc>
            </w:tr>
            <w:tr>
              <w:tc>
                <w:tcPr>
                  <w:tcW w:type="dxa" w:w="9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支持维护系统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用户管理、消耗品管理</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价表管理、固定资产管理</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字典管理</w:t>
                  </w:r>
                </w:p>
              </w:tc>
              <w:tc>
                <w:tcPr>
                  <w:tcW w:type="dxa" w:w="386"/>
                  <w:vMerge/>
                  <w:tcBorders>
                    <w:top w:val="none" w:color="000000" w:sz="4"/>
                    <w:left w:val="none" w:color="000000" w:sz="4"/>
                    <w:bottom w:val="single" w:color="000000" w:sz="4"/>
                    <w:right w:val="single" w:color="000000" w:sz="4"/>
                  </w:tcBorders>
                </w:tcPr>
                <w:p/>
              </w:tc>
            </w:tr>
            <w:tr>
              <w:tc>
                <w:tcPr>
                  <w:tcW w:type="dxa" w:w="952"/>
                  <w:vMerge/>
                  <w:tcBorders>
                    <w:top w:val="none" w:color="000000" w:sz="4"/>
                    <w:left w:val="singl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后台数据安装</w:t>
                  </w:r>
                </w:p>
              </w:tc>
              <w:tc>
                <w:tcPr>
                  <w:tcW w:type="dxa" w:w="386"/>
                  <w:vMerge/>
                  <w:tcBorders>
                    <w:top w:val="none" w:color="000000" w:sz="4"/>
                    <w:left w:val="none" w:color="000000" w:sz="4"/>
                    <w:bottom w:val="single" w:color="000000" w:sz="4"/>
                    <w:right w:val="single" w:color="000000" w:sz="4"/>
                  </w:tcBorders>
                </w:tcPr>
                <w:p/>
              </w:tc>
            </w:tr>
            <w:tr>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35"/>
                    <w:jc w:val="center"/>
                  </w:pPr>
                  <w:r>
                    <w:rPr>
                      <w:rFonts w:ascii="宋体" w:hAnsi="宋体" w:cs="宋体" w:eastAsia="宋体"/>
                      <w:sz w:val="21"/>
                    </w:rPr>
                    <w:t>集成平台</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与集成平台接口等</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bl>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二、服务要求</w:t>
            </w:r>
          </w:p>
          <w:p>
            <w:pPr>
              <w:pStyle w:val="null3"/>
            </w:pPr>
            <w:r>
              <w:rPr>
                <w:rFonts w:ascii="宋体" w:hAnsi="宋体" w:cs="宋体" w:eastAsia="宋体"/>
                <w:sz w:val="24"/>
              </w:rPr>
              <w:t>1</w:t>
            </w:r>
            <w:r>
              <w:rPr>
                <w:rFonts w:ascii="宋体" w:hAnsi="宋体" w:cs="宋体" w:eastAsia="宋体"/>
                <w:sz w:val="24"/>
              </w:rPr>
              <w:t>、维保服务目标</w:t>
            </w:r>
          </w:p>
          <w:p>
            <w:pPr>
              <w:pStyle w:val="null3"/>
              <w:ind w:firstLine="480"/>
              <w:jc w:val="both"/>
            </w:pPr>
            <w:r>
              <w:rPr>
                <w:rFonts w:ascii="宋体" w:hAnsi="宋体" w:cs="宋体" w:eastAsia="宋体"/>
                <w:sz w:val="24"/>
              </w:rPr>
              <w:t>提供优质服务确保维保的软件系统安全稳定运行，并快速响应采购人以下对维保服务内容的要求。</w:t>
            </w:r>
          </w:p>
          <w:p>
            <w:pPr>
              <w:pStyle w:val="null3"/>
            </w:pPr>
            <w:r>
              <w:rPr>
                <w:rFonts w:ascii="宋体" w:hAnsi="宋体" w:cs="宋体" w:eastAsia="宋体"/>
                <w:sz w:val="24"/>
              </w:rPr>
              <w:t>2</w:t>
            </w:r>
            <w:r>
              <w:rPr>
                <w:rFonts w:ascii="宋体" w:hAnsi="宋体" w:cs="宋体" w:eastAsia="宋体"/>
                <w:sz w:val="24"/>
              </w:rPr>
              <w:t>、维保服务范围</w:t>
            </w:r>
          </w:p>
          <w:p>
            <w:pPr>
              <w:pStyle w:val="null3"/>
            </w:pPr>
            <w:r>
              <w:rPr>
                <w:rFonts w:ascii="宋体" w:hAnsi="宋体" w:cs="宋体" w:eastAsia="宋体"/>
                <w:sz w:val="24"/>
              </w:rPr>
              <w:t>本招标范围仅限HIS系统、临床路径系统、电子病历系统软件部分及已有HIS系统接口，详见附件《现有系统运行模块清单》。</w:t>
            </w:r>
          </w:p>
        </w:tc>
      </w:tr>
      <w:tr>
        <w:tc>
          <w:tcPr>
            <w:tcW w:type="dxa" w:w="2769"/>
          </w:tcPr>
          <w:p/>
        </w:tc>
        <w:tc>
          <w:tcPr>
            <w:tcW w:type="dxa" w:w="2769"/>
          </w:tcPr>
          <w:p>
            <w:pPr>
              <w:pStyle w:val="null3"/>
            </w:pPr>
            <w:r>
              <w:rPr/>
              <w:t>3</w:t>
            </w:r>
          </w:p>
        </w:tc>
        <w:tc>
          <w:tcPr>
            <w:tcW w:type="dxa" w:w="2769"/>
          </w:tcPr>
          <w:p>
            <w:pPr>
              <w:pStyle w:val="null3"/>
            </w:pPr>
            <w:r>
              <w:rPr>
                <w:rFonts w:ascii="calibri, sans-serif" w:hAnsi="calibri, sans-serif" w:cs="calibri, sans-serif" w:eastAsia="calibri, sans-serif"/>
                <w:sz w:val="20"/>
              </w:rPr>
              <w:t>3</w:t>
            </w:r>
            <w:r>
              <w:rPr>
                <w:rFonts w:ascii="宋体" w:hAnsi="宋体" w:cs="宋体" w:eastAsia="宋体"/>
                <w:sz w:val="20"/>
              </w:rPr>
              <w:t>、</w:t>
            </w:r>
            <w:r>
              <w:rPr>
                <w:rFonts w:ascii="宋体" w:hAnsi="宋体" w:cs="宋体" w:eastAsia="宋体"/>
                <w:sz w:val="24"/>
              </w:rPr>
              <w:t>维保服务内容</w:t>
            </w:r>
          </w:p>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w:t>
            </w:r>
            <w:r>
              <w:rPr>
                <w:rFonts w:ascii="宋体" w:hAnsi="宋体" w:cs="宋体" w:eastAsia="宋体"/>
                <w:sz w:val="21"/>
              </w:rPr>
              <w:t>）</w:t>
            </w:r>
            <w:r>
              <w:rPr>
                <w:rFonts w:ascii="宋体" w:hAnsi="宋体" w:cs="宋体" w:eastAsia="宋体"/>
                <w:sz w:val="24"/>
              </w:rPr>
              <w:t>需提供软件的技术支持维护，包括：数据维护、数据修复、数据统计、系统纠错、漏洞排查、日常客户化等。</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2</w:t>
            </w:r>
            <w:r>
              <w:rPr>
                <w:rFonts w:ascii="宋体" w:hAnsi="宋体" w:cs="宋体" w:eastAsia="宋体"/>
                <w:sz w:val="21"/>
              </w:rPr>
              <w:t>）</w:t>
            </w:r>
            <w:r>
              <w:rPr>
                <w:rFonts w:ascii="宋体" w:hAnsi="宋体" w:cs="宋体" w:eastAsia="宋体"/>
                <w:sz w:val="24"/>
              </w:rPr>
              <w:t>需提供软件的安装、调试和对采购人新进操作员进行培训，保证采购人指定操作员能独立上岗工作。</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3</w:t>
            </w:r>
            <w:r>
              <w:rPr>
                <w:rFonts w:ascii="宋体" w:hAnsi="宋体" w:cs="宋体" w:eastAsia="宋体"/>
                <w:sz w:val="21"/>
              </w:rPr>
              <w:t>）</w:t>
            </w:r>
            <w:r>
              <w:rPr>
                <w:rFonts w:ascii="宋体" w:hAnsi="宋体" w:cs="宋体" w:eastAsia="宋体"/>
                <w:sz w:val="24"/>
                <w:color w:val="000000"/>
              </w:rPr>
              <w:t>需提供常驻维保工程师3名，常驻人员资质要求：大学学历、PB开发经验5年以上、从事医疗行业3年以上，熟悉HIS系统和临床路径系统。</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4</w:t>
            </w:r>
            <w:r>
              <w:rPr>
                <w:rFonts w:ascii="宋体" w:hAnsi="宋体" w:cs="宋体" w:eastAsia="宋体"/>
                <w:sz w:val="21"/>
              </w:rPr>
              <w:t>）</w:t>
            </w:r>
            <w:r>
              <w:rPr>
                <w:rFonts w:ascii="宋体" w:hAnsi="宋体" w:cs="宋体" w:eastAsia="宋体"/>
                <w:sz w:val="24"/>
              </w:rPr>
              <w:t>需提供国家信息技术服务标准评估师的证书。</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5</w:t>
            </w:r>
            <w:r>
              <w:rPr>
                <w:rFonts w:ascii="宋体" w:hAnsi="宋体" w:cs="宋体" w:eastAsia="宋体"/>
                <w:sz w:val="21"/>
              </w:rPr>
              <w:t>）</w:t>
            </w:r>
            <w:r>
              <w:rPr>
                <w:rFonts w:ascii="宋体" w:hAnsi="宋体" w:cs="宋体" w:eastAsia="宋体"/>
                <w:sz w:val="24"/>
              </w:rPr>
              <w:t>需提供维保服务过程的服务记录，若因供应商原因操作不当，对采购人造成损失的，采购人有权追究责任，并要求赔偿。</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6</w:t>
            </w:r>
            <w:r>
              <w:rPr>
                <w:rFonts w:ascii="宋体" w:hAnsi="宋体" w:cs="宋体" w:eastAsia="宋体"/>
                <w:sz w:val="21"/>
              </w:rPr>
              <w:t>）</w:t>
            </w:r>
            <w:r>
              <w:rPr>
                <w:rFonts w:ascii="宋体" w:hAnsi="宋体" w:cs="宋体" w:eastAsia="宋体"/>
                <w:sz w:val="24"/>
              </w:rPr>
              <w:t>需提供因为软件本身问题（如BUG引起的问题、客户化后的程序测试不到位、数据异常）的维护服务。</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7</w:t>
            </w:r>
            <w:r>
              <w:rPr>
                <w:rFonts w:ascii="宋体" w:hAnsi="宋体" w:cs="宋体" w:eastAsia="宋体"/>
                <w:sz w:val="21"/>
              </w:rPr>
              <w:t>）</w:t>
            </w:r>
            <w:r>
              <w:rPr>
                <w:rFonts w:ascii="宋体" w:hAnsi="宋体" w:cs="宋体" w:eastAsia="宋体"/>
                <w:sz w:val="24"/>
              </w:rPr>
              <w:t>需提供如采购人人员操作错误引起系统故障问题或数据出错的数据维护、数据修复。</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8</w:t>
            </w:r>
            <w:r>
              <w:rPr>
                <w:rFonts w:ascii="宋体" w:hAnsi="宋体" w:cs="宋体" w:eastAsia="宋体"/>
                <w:sz w:val="21"/>
              </w:rPr>
              <w:t>）</w:t>
            </w:r>
            <w:r>
              <w:rPr>
                <w:rFonts w:ascii="宋体" w:hAnsi="宋体" w:cs="宋体" w:eastAsia="宋体"/>
                <w:sz w:val="24"/>
              </w:rPr>
              <w:t>需提供软件安全解决方案，帮助采购人尽量降低或避免因为外部因素造成的任何不利影响。</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9</w:t>
            </w:r>
            <w:r>
              <w:rPr>
                <w:rFonts w:ascii="宋体" w:hAnsi="宋体" w:cs="宋体" w:eastAsia="宋体"/>
                <w:sz w:val="21"/>
              </w:rPr>
              <w:t>）</w:t>
            </w:r>
            <w:r>
              <w:rPr>
                <w:rFonts w:ascii="宋体" w:hAnsi="宋体" w:cs="宋体" w:eastAsia="宋体"/>
                <w:sz w:val="24"/>
              </w:rPr>
              <w:t>需要提供对电脑的操作系统不稳定、系统中毒、不按规定流程操作等问题的建议性方案、安全解决方案等，应积极配合问题的解决不得已推诿问题的方式解决所出现的问题。</w:t>
            </w:r>
          </w:p>
        </w:tc>
      </w:tr>
      <w:tr>
        <w:tc>
          <w:tcPr>
            <w:tcW w:type="dxa" w:w="2769"/>
          </w:tcPr>
          <w:p/>
        </w:tc>
        <w:tc>
          <w:tcPr>
            <w:tcW w:type="dxa" w:w="2769"/>
          </w:tcPr>
          <w:p>
            <w:pPr>
              <w:pStyle w:val="null3"/>
            </w:pPr>
            <w:r>
              <w:rPr/>
              <w:t>12</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10</w:t>
            </w:r>
            <w:r>
              <w:rPr>
                <w:rFonts w:ascii="宋体" w:hAnsi="宋体" w:cs="宋体" w:eastAsia="宋体"/>
                <w:sz w:val="21"/>
              </w:rPr>
              <w:t>）</w:t>
            </w:r>
            <w:r>
              <w:rPr>
                <w:rFonts w:ascii="宋体" w:hAnsi="宋体" w:cs="宋体" w:eastAsia="宋体"/>
                <w:sz w:val="24"/>
              </w:rPr>
              <w:t>需提供个性化修改服务，按实际情况确定工作量及工期，服务商、维保工程师不得对一般性、常规性个性化修改服务收费。</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11</w:t>
            </w:r>
            <w:r>
              <w:rPr>
                <w:rFonts w:ascii="宋体" w:hAnsi="宋体" w:cs="宋体" w:eastAsia="宋体"/>
                <w:sz w:val="21"/>
              </w:rPr>
              <w:t>）</w:t>
            </w:r>
            <w:r>
              <w:rPr>
                <w:rFonts w:ascii="宋体" w:hAnsi="宋体" w:cs="宋体" w:eastAsia="宋体"/>
                <w:sz w:val="24"/>
              </w:rPr>
              <w:t>协助采购人进行临时性的数据检索工作，对于采购人有可能影响、涉及到HIS、临床路径的工作或项目应给于相关保障性配合（如临时停机、数据迁移等）。</w:t>
            </w:r>
          </w:p>
        </w:tc>
      </w:tr>
      <w:tr>
        <w:tc>
          <w:tcPr>
            <w:tcW w:type="dxa" w:w="2769"/>
          </w:tcPr>
          <w:p/>
        </w:tc>
        <w:tc>
          <w:tcPr>
            <w:tcW w:type="dxa" w:w="2769"/>
          </w:tcPr>
          <w:p>
            <w:pPr>
              <w:pStyle w:val="null3"/>
            </w:pPr>
            <w:r>
              <w:rPr/>
              <w:t>14</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12</w:t>
            </w:r>
            <w:r>
              <w:rPr>
                <w:rFonts w:ascii="宋体" w:hAnsi="宋体" w:cs="宋体" w:eastAsia="宋体"/>
                <w:sz w:val="21"/>
              </w:rPr>
              <w:t>）</w:t>
            </w:r>
            <w:r>
              <w:rPr>
                <w:rFonts w:ascii="宋体" w:hAnsi="宋体" w:cs="宋体" w:eastAsia="宋体"/>
                <w:sz w:val="24"/>
              </w:rPr>
              <w:t>对程序功能类操作修改和报表类修改需在三个工作日内完成，对程序新增功能和新添加报表需在五个工作日内完成，特殊问题需向采购人请示同意后方可特殊安排。</w:t>
            </w:r>
          </w:p>
        </w:tc>
      </w:tr>
      <w:tr>
        <w:tc>
          <w:tcPr>
            <w:tcW w:type="dxa" w:w="2769"/>
          </w:tcPr>
          <w:p/>
        </w:tc>
        <w:tc>
          <w:tcPr>
            <w:tcW w:type="dxa" w:w="2769"/>
          </w:tcPr>
          <w:p>
            <w:pPr>
              <w:pStyle w:val="null3"/>
            </w:pPr>
            <w:r>
              <w:rPr/>
              <w:t>15</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13</w:t>
            </w:r>
            <w:r>
              <w:rPr>
                <w:rFonts w:ascii="宋体" w:hAnsi="宋体" w:cs="宋体" w:eastAsia="宋体"/>
                <w:sz w:val="21"/>
              </w:rPr>
              <w:t>）</w:t>
            </w:r>
            <w:r>
              <w:rPr>
                <w:rFonts w:ascii="宋体" w:hAnsi="宋体" w:cs="宋体" w:eastAsia="宋体"/>
                <w:sz w:val="24"/>
              </w:rPr>
              <w:t>对当前软件相关的已有各类接口变更及升级，供应商需免费完成，并且供应商免费向采购人开放所有数据结构。</w:t>
            </w:r>
          </w:p>
        </w:tc>
      </w:tr>
      <w:tr>
        <w:tc>
          <w:tcPr>
            <w:tcW w:type="dxa" w:w="2769"/>
          </w:tcPr>
          <w:p/>
        </w:tc>
        <w:tc>
          <w:tcPr>
            <w:tcW w:type="dxa" w:w="2769"/>
          </w:tcPr>
          <w:p>
            <w:pPr>
              <w:pStyle w:val="null3"/>
            </w:pPr>
            <w:r>
              <w:rPr/>
              <w:t>16</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14</w:t>
            </w:r>
            <w:r>
              <w:rPr>
                <w:rFonts w:ascii="宋体" w:hAnsi="宋体" w:cs="宋体" w:eastAsia="宋体"/>
                <w:sz w:val="21"/>
              </w:rPr>
              <w:t>）</w:t>
            </w:r>
            <w:r>
              <w:rPr>
                <w:rFonts w:ascii="宋体" w:hAnsi="宋体" w:cs="宋体" w:eastAsia="宋体"/>
                <w:sz w:val="24"/>
              </w:rPr>
              <w:t>维护期内若有新增系统子模块及数据接口需求，供应商不得以费用原由拒绝响应，需予以技术支持并安排相关开发工作，若供应商所投入工作量交大且获得采购人认可时，双方可另行协商增补费用事宜，但费用不得超出同类平均水平。完成的新增子系统和数据接口自动进入本维保范围。对国家政策强制性接口必须第一时间响应，不得无故拖延甚至影响医院的对应政策业务的开展，否则采购人有权追责。</w:t>
            </w:r>
          </w:p>
        </w:tc>
      </w:tr>
      <w:tr>
        <w:tc>
          <w:tcPr>
            <w:tcW w:type="dxa" w:w="2769"/>
          </w:tcPr>
          <w:p/>
        </w:tc>
        <w:tc>
          <w:tcPr>
            <w:tcW w:type="dxa" w:w="2769"/>
          </w:tcPr>
          <w:p>
            <w:pPr>
              <w:pStyle w:val="null3"/>
            </w:pPr>
            <w:r>
              <w:rPr/>
              <w:t>17</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15</w:t>
            </w:r>
            <w:r>
              <w:rPr>
                <w:rFonts w:ascii="宋体" w:hAnsi="宋体" w:cs="宋体" w:eastAsia="宋体"/>
                <w:sz w:val="21"/>
              </w:rPr>
              <w:t>）</w:t>
            </w:r>
            <w:r>
              <w:rPr>
                <w:rFonts w:ascii="宋体" w:hAnsi="宋体" w:cs="宋体" w:eastAsia="宋体"/>
                <w:sz w:val="24"/>
              </w:rPr>
              <w:t>维保期内，供应商必须确保项目经理定期巡检，每次巡检不少于10个业务科室。</w:t>
            </w:r>
          </w:p>
        </w:tc>
      </w:tr>
      <w:tr>
        <w:tc>
          <w:tcPr>
            <w:tcW w:type="dxa" w:w="2769"/>
          </w:tcPr>
          <w:p/>
        </w:tc>
        <w:tc>
          <w:tcPr>
            <w:tcW w:type="dxa" w:w="2769"/>
          </w:tcPr>
          <w:p>
            <w:pPr>
              <w:pStyle w:val="null3"/>
            </w:pPr>
            <w:r>
              <w:rPr/>
              <w:t>18</w:t>
            </w:r>
          </w:p>
        </w:tc>
        <w:tc>
          <w:tcPr>
            <w:tcW w:type="dxa" w:w="2769"/>
          </w:tcPr>
          <w:p>
            <w:pPr>
              <w:pStyle w:val="null3"/>
            </w:pPr>
            <w:r>
              <w:rPr>
                <w:rFonts w:ascii="宋体" w:hAnsi="宋体" w:cs="宋体" w:eastAsia="宋体"/>
                <w:sz w:val="21"/>
              </w:rPr>
              <w:t>（</w:t>
            </w:r>
            <w:r>
              <w:rPr>
                <w:rFonts w:ascii="&quot;calibri&quot;, sans-serif" w:hAnsi="&quot;calibri&quot;, sans-serif" w:cs="&quot;calibri&quot;, sans-serif" w:eastAsia="&quot;calibri&quot;, sans-serif"/>
                <w:sz w:val="21"/>
              </w:rPr>
              <w:t>16</w:t>
            </w:r>
            <w:r>
              <w:rPr>
                <w:rFonts w:ascii="宋体" w:hAnsi="宋体" w:cs="宋体" w:eastAsia="宋体"/>
                <w:sz w:val="21"/>
              </w:rPr>
              <w:t>）</w:t>
            </w:r>
            <w:r>
              <w:rPr>
                <w:rFonts w:ascii="宋体" w:hAnsi="宋体" w:cs="宋体" w:eastAsia="宋体"/>
                <w:sz w:val="24"/>
              </w:rPr>
              <w:t>维保期结束，供应商需要向医院提交已有系统软件运维年度总结报告。</w:t>
            </w:r>
          </w:p>
        </w:tc>
      </w:tr>
      <w:tr>
        <w:tc>
          <w:tcPr>
            <w:tcW w:type="dxa" w:w="2769"/>
          </w:tcPr>
          <w:p/>
        </w:tc>
        <w:tc>
          <w:tcPr>
            <w:tcW w:type="dxa" w:w="2769"/>
          </w:tcPr>
          <w:p>
            <w:pPr>
              <w:pStyle w:val="null3"/>
            </w:pPr>
            <w:r>
              <w:rPr/>
              <w:t>19</w:t>
            </w:r>
          </w:p>
        </w:tc>
        <w:tc>
          <w:tcPr>
            <w:tcW w:type="dxa" w:w="2769"/>
          </w:tcPr>
          <w:p>
            <w:pPr>
              <w:pStyle w:val="null3"/>
            </w:pPr>
            <w:r>
              <w:rPr>
                <w:rFonts w:ascii="calibri, sans-serif" w:hAnsi="calibri, sans-serif" w:cs="calibri, sans-serif" w:eastAsia="calibri, sans-serif"/>
                <w:sz w:val="20"/>
              </w:rPr>
              <w:t>4</w:t>
            </w:r>
            <w:r>
              <w:rPr>
                <w:rFonts w:ascii="宋体" w:hAnsi="宋体" w:cs="宋体" w:eastAsia="宋体"/>
                <w:sz w:val="20"/>
              </w:rPr>
              <w:t>、</w:t>
            </w:r>
            <w:r>
              <w:rPr>
                <w:rFonts w:ascii="宋体" w:hAnsi="宋体" w:cs="宋体" w:eastAsia="宋体"/>
                <w:sz w:val="24"/>
              </w:rPr>
              <w:t>维保服务方式</w:t>
            </w:r>
          </w:p>
          <w:p>
            <w:pPr>
              <w:pStyle w:val="null3"/>
            </w:pPr>
            <w:r>
              <w:rPr>
                <w:rFonts w:ascii="宋体" w:hAnsi="宋体" w:cs="宋体" w:eastAsia="宋体"/>
                <w:sz w:val="24"/>
              </w:rPr>
              <w:t>本采购服务方式采用驻场为主，电话和巡检服务为辅的方式。</w:t>
            </w:r>
          </w:p>
        </w:tc>
      </w:tr>
      <w:tr>
        <w:tc>
          <w:tcPr>
            <w:tcW w:type="dxa" w:w="2769"/>
          </w:tcPr>
          <w:p/>
        </w:tc>
        <w:tc>
          <w:tcPr>
            <w:tcW w:type="dxa" w:w="2769"/>
          </w:tcPr>
          <w:p>
            <w:pPr>
              <w:pStyle w:val="null3"/>
            </w:pPr>
            <w:r>
              <w:rPr/>
              <w:t>20</w:t>
            </w:r>
          </w:p>
        </w:tc>
        <w:tc>
          <w:tcPr>
            <w:tcW w:type="dxa" w:w="2769"/>
          </w:tcPr>
          <w:p>
            <w:pPr>
              <w:pStyle w:val="null3"/>
            </w:pPr>
            <w:r>
              <w:rPr>
                <w:rFonts w:ascii="宋体" w:hAnsi="宋体" w:cs="宋体" w:eastAsia="宋体"/>
                <w:sz w:val="20"/>
              </w:rPr>
              <w:t>（</w:t>
            </w:r>
            <w:r>
              <w:rPr>
                <w:rFonts w:ascii="calibri, sans-serif" w:hAnsi="calibri, sans-serif" w:cs="calibri, sans-serif" w:eastAsia="calibri, sans-serif"/>
                <w:sz w:val="20"/>
              </w:rPr>
              <w:t>1</w:t>
            </w:r>
            <w:r>
              <w:rPr>
                <w:rFonts w:ascii="宋体" w:hAnsi="宋体" w:cs="宋体" w:eastAsia="宋体"/>
                <w:sz w:val="20"/>
              </w:rPr>
              <w:t>）</w:t>
            </w:r>
            <w:r>
              <w:rPr>
                <w:rFonts w:ascii="宋体" w:hAnsi="宋体" w:cs="宋体" w:eastAsia="宋体"/>
                <w:sz w:val="24"/>
              </w:rPr>
              <w:t>驻场服务</w:t>
            </w:r>
          </w:p>
          <w:p>
            <w:pPr>
              <w:pStyle w:val="null3"/>
              <w:ind w:firstLine="480"/>
              <w:jc w:val="both"/>
            </w:pPr>
            <w:r>
              <w:rPr>
                <w:rFonts w:ascii="宋体" w:hAnsi="宋体" w:cs="宋体" w:eastAsia="宋体"/>
                <w:sz w:val="24"/>
              </w:rPr>
              <w:t>供应商提供具有足够能力的维保工程师</w:t>
            </w:r>
            <w:r>
              <w:rPr>
                <w:rFonts w:ascii="宋体" w:hAnsi="宋体" w:cs="宋体" w:eastAsia="宋体"/>
                <w:sz w:val="24"/>
              </w:rPr>
              <w:t>3</w:t>
            </w:r>
            <w:r>
              <w:rPr>
                <w:rFonts w:ascii="宋体" w:hAnsi="宋体" w:cs="宋体" w:eastAsia="宋体"/>
                <w:sz w:val="24"/>
              </w:rPr>
              <w:t>人进行驻场服务，如供应商需更换人员，需提前告知采购人并取得同意。若驻场人员无法满足采购人工作要求，采购人有权要求供应商更换人员。</w:t>
            </w:r>
          </w:p>
          <w:p>
            <w:pPr>
              <w:pStyle w:val="null3"/>
              <w:ind w:firstLine="480"/>
              <w:jc w:val="both"/>
            </w:pPr>
            <w:r>
              <w:rPr>
                <w:rFonts w:ascii="宋体" w:hAnsi="宋体" w:cs="宋体" w:eastAsia="宋体"/>
                <w:sz w:val="24"/>
              </w:rPr>
              <w:t>驻场服务人员由采购人信息中心统一管理，管理内容包括：日常上下班时间、驻场期间工作纪律。驻场服务人员不得无故旷工，有特殊事项需向信息中心请假报备，否则视为无故旷工。</w:t>
            </w:r>
          </w:p>
          <w:p>
            <w:pPr>
              <w:pStyle w:val="null3"/>
            </w:pPr>
            <w:r>
              <w:rPr>
                <w:rFonts w:ascii="宋体" w:hAnsi="宋体" w:cs="宋体" w:eastAsia="宋体"/>
                <w:sz w:val="24"/>
              </w:rPr>
              <w:t>若遇到驻场人员无法解决的疑难问题，供应商需提供更高级别的人员到场予以处理。</w:t>
            </w:r>
          </w:p>
        </w:tc>
      </w:tr>
      <w:tr>
        <w:tc>
          <w:tcPr>
            <w:tcW w:type="dxa" w:w="2769"/>
          </w:tcPr>
          <w:p/>
        </w:tc>
        <w:tc>
          <w:tcPr>
            <w:tcW w:type="dxa" w:w="2769"/>
          </w:tcPr>
          <w:p>
            <w:pPr>
              <w:pStyle w:val="null3"/>
            </w:pPr>
            <w:r>
              <w:rPr/>
              <w:t>21</w:t>
            </w:r>
          </w:p>
        </w:tc>
        <w:tc>
          <w:tcPr>
            <w:tcW w:type="dxa" w:w="2769"/>
          </w:tcPr>
          <w:p>
            <w:pPr>
              <w:pStyle w:val="null3"/>
            </w:pPr>
            <w:r>
              <w:rPr>
                <w:rFonts w:ascii="宋体" w:hAnsi="宋体" w:cs="宋体" w:eastAsia="宋体"/>
                <w:sz w:val="20"/>
              </w:rPr>
              <w:t>（</w:t>
            </w:r>
            <w:r>
              <w:rPr>
                <w:rFonts w:ascii="calibri, sans-serif" w:hAnsi="calibri, sans-serif" w:cs="calibri, sans-serif" w:eastAsia="calibri, sans-serif"/>
                <w:sz w:val="20"/>
              </w:rPr>
              <w:t>2</w:t>
            </w:r>
            <w:r>
              <w:rPr>
                <w:rFonts w:ascii="宋体" w:hAnsi="宋体" w:cs="宋体" w:eastAsia="宋体"/>
                <w:sz w:val="20"/>
              </w:rPr>
              <w:t>）</w:t>
            </w:r>
            <w:r>
              <w:rPr>
                <w:rFonts w:ascii="宋体" w:hAnsi="宋体" w:cs="宋体" w:eastAsia="宋体"/>
                <w:sz w:val="24"/>
              </w:rPr>
              <w:t>电话服务</w:t>
            </w:r>
          </w:p>
          <w:p>
            <w:pPr>
              <w:pStyle w:val="null3"/>
              <w:ind w:firstLine="480"/>
              <w:jc w:val="both"/>
            </w:pPr>
            <w:r>
              <w:rPr>
                <w:rFonts w:ascii="宋体" w:hAnsi="宋体" w:cs="宋体" w:eastAsia="宋体"/>
                <w:sz w:val="24"/>
              </w:rPr>
              <w:t>供应商需提供技术服务电话及技术负责人电话，便于采购人信息部门工作人员通过服务电话与技术人员进行技术咨询。</w:t>
            </w:r>
          </w:p>
          <w:p>
            <w:pPr>
              <w:pStyle w:val="null3"/>
            </w:pPr>
            <w:r>
              <w:rPr>
                <w:rFonts w:ascii="宋体" w:hAnsi="宋体" w:cs="宋体" w:eastAsia="宋体"/>
                <w:sz w:val="24"/>
              </w:rPr>
              <w:t>电话响应时间：日常问题需客户化接到用户电话后，专人负责接听，做好记录，一般性问题1小时内反馈意见，2小时内解决问题，如遇复杂问题一个工作日内给出解决方案并及时解决。</w:t>
            </w:r>
          </w:p>
        </w:tc>
      </w:tr>
      <w:tr>
        <w:tc>
          <w:tcPr>
            <w:tcW w:type="dxa" w:w="2769"/>
          </w:tcPr>
          <w:p/>
        </w:tc>
        <w:tc>
          <w:tcPr>
            <w:tcW w:type="dxa" w:w="2769"/>
          </w:tcPr>
          <w:p>
            <w:pPr>
              <w:pStyle w:val="null3"/>
            </w:pPr>
            <w:r>
              <w:rPr/>
              <w:t>22</w:t>
            </w:r>
          </w:p>
        </w:tc>
        <w:tc>
          <w:tcPr>
            <w:tcW w:type="dxa" w:w="2769"/>
          </w:tcPr>
          <w:p>
            <w:pPr>
              <w:pStyle w:val="null3"/>
            </w:pPr>
            <w:r>
              <w:rPr>
                <w:rFonts w:ascii="宋体" w:hAnsi="宋体" w:cs="宋体" w:eastAsia="宋体"/>
                <w:sz w:val="20"/>
              </w:rPr>
              <w:t>（</w:t>
            </w:r>
            <w:r>
              <w:rPr>
                <w:rFonts w:ascii="calibri, sans-serif" w:hAnsi="calibri, sans-serif" w:cs="calibri, sans-serif" w:eastAsia="calibri, sans-serif"/>
                <w:sz w:val="20"/>
              </w:rPr>
              <w:t>3</w:t>
            </w:r>
            <w:r>
              <w:rPr>
                <w:rFonts w:ascii="宋体" w:hAnsi="宋体" w:cs="宋体" w:eastAsia="宋体"/>
                <w:sz w:val="20"/>
              </w:rPr>
              <w:t>）</w:t>
            </w:r>
            <w:r>
              <w:rPr>
                <w:rFonts w:ascii="宋体" w:hAnsi="宋体" w:cs="宋体" w:eastAsia="宋体"/>
                <w:sz w:val="24"/>
              </w:rPr>
              <w:t>定期巡检服务</w:t>
            </w:r>
          </w:p>
          <w:p>
            <w:pPr>
              <w:pStyle w:val="null3"/>
            </w:pPr>
            <w:r>
              <w:rPr>
                <w:rFonts w:ascii="宋体" w:hAnsi="宋体" w:cs="宋体" w:eastAsia="宋体"/>
                <w:sz w:val="24"/>
              </w:rPr>
              <w:t>供应商需定期与采购人沟通，了解软件、硬件和环境的运行状况，使系统处于最佳运行状态，需分电话巡检和上门巡检两种。上门巡检应保证最少每季度一次，随时监测采购人系统的运行状况，一方面预防故障的发生，另一方面对发生的各种问题及时做出响应。</w:t>
            </w:r>
          </w:p>
        </w:tc>
      </w:tr>
    </w:tbl>
    <w:p>
      <w:pPr>
        <w:pStyle w:val="null3"/>
        <w:outlineLvl w:val="2"/>
      </w:pPr>
      <w:r>
        <w:rPr>
          <w:sz w:val="28"/>
          <w:b/>
        </w:rPr>
        <w:t>3.2.3人员配置要求</w:t>
      </w:r>
    </w:p>
    <w:p>
      <w:pPr>
        <w:pStyle w:val="null3"/>
      </w:pPr>
      <w:r>
        <w:rPr/>
        <w:t>采购包1：</w:t>
      </w:r>
    </w:p>
    <w:p>
      <w:pPr>
        <w:pStyle w:val="null3"/>
      </w:pPr>
      <w:r>
        <w:rPr/>
        <w:t>满足本项目需求。</w:t>
      </w:r>
    </w:p>
    <w:p>
      <w:pPr>
        <w:pStyle w:val="null3"/>
        <w:outlineLvl w:val="2"/>
      </w:pPr>
      <w:r>
        <w:rPr>
          <w:sz w:val="28"/>
          <w:b/>
        </w:rPr>
        <w:t>3.2.4设施设备要求</w:t>
      </w:r>
    </w:p>
    <w:p>
      <w:pPr>
        <w:pStyle w:val="null3"/>
      </w:pPr>
      <w:r>
        <w:rPr/>
        <w:t>采购包1：</w:t>
      </w:r>
    </w:p>
    <w:p>
      <w:pPr>
        <w:pStyle w:val="null3"/>
      </w:pPr>
      <w:r>
        <w:rPr/>
        <w:t>满足本项目需求。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西安市中心医院指定地点</w:t>
      </w:r>
    </w:p>
    <w:p>
      <w:pPr>
        <w:pStyle w:val="null3"/>
        <w:outlineLvl w:val="3"/>
      </w:pPr>
      <w:r>
        <w:rPr>
          <w:sz w:val="24"/>
          <w:b/>
        </w:rPr>
        <w:t>3.3.3考核（验收）标准和方法</w:t>
      </w:r>
    </w:p>
    <w:p>
      <w:pPr>
        <w:pStyle w:val="null3"/>
      </w:pPr>
      <w:r>
        <w:rPr/>
        <w:t>采购包1：</w:t>
      </w:r>
    </w:p>
    <w:p>
      <w:pPr>
        <w:pStyle w:val="null3"/>
      </w:pPr>
      <w:r>
        <w:rPr/>
        <w:t>详见采购文件及合同约定执行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合同签订后，所维护系统软件正常使用运行6个月后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所维护系统软件正常使用运行12 个月后</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详见采购文件及合同约定执行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供应商资格证明材料</w:t>
            </w:r>
          </w:p>
        </w:tc>
      </w:tr>
      <w:tr>
        <w:tc>
          <w:tcPr>
            <w:tcW w:type="dxa" w:w="831"/>
          </w:tcPr>
          <w:p>
            <w:pPr>
              <w:pStyle w:val="null3"/>
            </w:pPr>
            <w:r>
              <w:rPr/>
              <w:t>2</w:t>
            </w:r>
          </w:p>
        </w:tc>
        <w:tc>
          <w:tcPr>
            <w:tcW w:type="dxa" w:w="2492"/>
          </w:tcPr>
          <w:p>
            <w:pPr>
              <w:pStyle w:val="null3"/>
            </w:pPr>
            <w:r>
              <w:rPr/>
              <w:t>供应商应有良好的财务状况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供应商资格证明材料</w:t>
            </w:r>
          </w:p>
        </w:tc>
      </w:tr>
      <w:tr>
        <w:tc>
          <w:tcPr>
            <w:tcW w:type="dxa" w:w="831"/>
          </w:tcPr>
          <w:p>
            <w:pPr>
              <w:pStyle w:val="null3"/>
            </w:pPr>
            <w:r>
              <w:rPr/>
              <w:t>3</w:t>
            </w:r>
          </w:p>
        </w:tc>
        <w:tc>
          <w:tcPr>
            <w:tcW w:type="dxa" w:w="2492"/>
          </w:tcPr>
          <w:p>
            <w:pPr>
              <w:pStyle w:val="null3"/>
            </w:pPr>
            <w:r>
              <w:rPr/>
              <w:t>供应商应有依法缴纳税收的良好记录</w:t>
            </w:r>
          </w:p>
        </w:tc>
        <w:tc>
          <w:tcPr>
            <w:tcW w:type="dxa" w:w="3322"/>
          </w:tcPr>
          <w:p>
            <w:pPr>
              <w:pStyle w:val="null3"/>
            </w:pPr>
            <w:r>
              <w:rPr/>
              <w:t>法人提供2024年1月至今已缴纳的至少三个月的纳税证明或完税证明，纳税证明或完税证明上应有代收机构或税务机关的公章或业务专用章；其他组织和自然人提供自2024年1月至今已缴纳的至少三个月缴纳税收的凭据；依法免税的供应商应提供相关文件证明；并进行电子签章。</w:t>
            </w:r>
          </w:p>
        </w:tc>
        <w:tc>
          <w:tcPr>
            <w:tcW w:type="dxa" w:w="1661"/>
          </w:tcPr>
          <w:p>
            <w:pPr>
              <w:pStyle w:val="null3"/>
            </w:pPr>
            <w:r>
              <w:rPr/>
              <w:t>供应商资格证明材料</w:t>
            </w:r>
          </w:p>
        </w:tc>
      </w:tr>
      <w:tr>
        <w:tc>
          <w:tcPr>
            <w:tcW w:type="dxa" w:w="831"/>
          </w:tcPr>
          <w:p>
            <w:pPr>
              <w:pStyle w:val="null3"/>
            </w:pPr>
            <w:r>
              <w:rPr/>
              <w:t>4</w:t>
            </w:r>
          </w:p>
        </w:tc>
        <w:tc>
          <w:tcPr>
            <w:tcW w:type="dxa" w:w="2492"/>
          </w:tcPr>
          <w:p>
            <w:pPr>
              <w:pStyle w:val="null3"/>
            </w:pPr>
            <w:r>
              <w:rPr/>
              <w:t>供应商应有依法缴纳社会保障资金的良好记录</w:t>
            </w:r>
          </w:p>
        </w:tc>
        <w:tc>
          <w:tcPr>
            <w:tcW w:type="dxa" w:w="3322"/>
          </w:tcPr>
          <w:p>
            <w:pPr>
              <w:pStyle w:val="null3"/>
            </w:pPr>
            <w:r>
              <w:rPr/>
              <w:t>提供2024年1月至今已缴存的至少三个月的社会保障资金缴存单据或社保机构开具的社会保险参保缴费情况证明，单据或证明上应有社保机构或代收机构的公章；依法不需要缴纳社会保障资金的供应商应提供相关文件证明；并进行电子签章。</w:t>
            </w:r>
          </w:p>
        </w:tc>
        <w:tc>
          <w:tcPr>
            <w:tcW w:type="dxa" w:w="1661"/>
          </w:tcPr>
          <w:p>
            <w:pPr>
              <w:pStyle w:val="null3"/>
            </w:pPr>
            <w:r>
              <w:rPr/>
              <w:t>供应商资格证明材料</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供应商资格证明材料</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供应商资格证明材料</w:t>
            </w:r>
          </w:p>
        </w:tc>
      </w:tr>
      <w:tr>
        <w:tc>
          <w:tcPr>
            <w:tcW w:type="dxa" w:w="831"/>
          </w:tcPr>
          <w:p>
            <w:pPr>
              <w:pStyle w:val="null3"/>
            </w:pPr>
            <w:r>
              <w:rPr/>
              <w:t>7</w:t>
            </w:r>
          </w:p>
        </w:tc>
        <w:tc>
          <w:tcPr>
            <w:tcW w:type="dxa" w:w="2492"/>
          </w:tcPr>
          <w:p>
            <w:pPr>
              <w:pStyle w:val="null3"/>
            </w:pPr>
            <w:r>
              <w:rPr/>
              <w:t>供应商应具有履行合同所必需的设备和专业技术能力</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签章符合采购文件要求</w:t>
            </w:r>
          </w:p>
        </w:tc>
        <w:tc>
          <w:tcPr>
            <w:tcW w:type="dxa" w:w="3322"/>
          </w:tcPr>
          <w:p>
            <w:pPr>
              <w:pStyle w:val="null3"/>
            </w:pPr>
            <w:r>
              <w:rPr/>
              <w:t>供应商应当加盖供应商（法定名称）电子印章。</w:t>
            </w:r>
          </w:p>
        </w:tc>
        <w:tc>
          <w:tcPr>
            <w:tcW w:type="dxa" w:w="1661"/>
          </w:tcPr>
          <w:p>
            <w:pPr>
              <w:pStyle w:val="null3"/>
            </w:pPr>
            <w:r>
              <w:rPr/>
              <w:t>商务响应偏离表 服务响应偏离表 供应商资格证明材料 中小企业声明函 报价表 供应商业绩 响应文件封面 其他材料 残疾人福利性单位声明函 供应商基本信息 供应商企业关联关系声明函 服务方案 标的清单 供应商承诺书 响应函 监狱企业的证明文件</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供应商必须满足采购文件的商务要求。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供应商承诺书</w:t>
            </w:r>
          </w:p>
        </w:tc>
        <w:tc>
          <w:tcPr>
            <w:tcW w:type="dxa" w:w="3322"/>
          </w:tcPr>
          <w:p>
            <w:pPr>
              <w:pStyle w:val="null3"/>
            </w:pPr>
            <w:r>
              <w:rPr/>
              <w:t>供应商须提供承诺书（格式见投标文件格式附件）</w:t>
            </w:r>
          </w:p>
        </w:tc>
        <w:tc>
          <w:tcPr>
            <w:tcW w:type="dxa" w:w="1661"/>
          </w:tcPr>
          <w:p>
            <w:pPr>
              <w:pStyle w:val="null3"/>
            </w:pPr>
            <w:r>
              <w:rPr/>
              <w:t>供应商承诺书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一、评审内容 供应商针对本项目提供服务方案，内容包含：①安装与配置方案；②运行监控、补丁收集及维护方案；③故障解决、健康检查、系统调优等方案。 二、评审标准 1、完整性：方案必须全面，对评审内容中的各项要求有详细描述； 2、可实施性：切合本项目实际情况，提出步骤清晰、合理的方案； 3、针对性：方案能够紧扣项目实际情况，内容科学合理。 三、赋分标准（满分13.5分） ①安装与配置方案：每完全满足一个评审标准得1.5分，满分4.5分；②运行监控、补丁收集及维护方案：每完全满足一个评审标准得1.5分，满分4.5分；③故障解决、健康检查、系统调优等方案：每完全满足一个评审标准得1.5分，满分4.5分。</w:t>
            </w:r>
          </w:p>
        </w:tc>
        <w:tc>
          <w:tcPr>
            <w:tcW w:type="dxa" w:w="831"/>
          </w:tcPr>
          <w:p>
            <w:pPr>
              <w:pStyle w:val="null3"/>
              <w:jc w:val="right"/>
            </w:pPr>
            <w:r>
              <w:rPr/>
              <w:t>13.5000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一、评审内容 供应商针对本项目提供应急预案，内容包含：①应急突发状况处置措施；②设备故障时反应机制。 二、评审标准 1、完整性：方案必须全面，对评审内容中的各项要求有详细描述； 2、可实施性：切合本项目实际情况，提出步骤清晰、合理的方案； 3、针对性：方案能够紧扣项目实际情况，内容科学合理。 三、赋分标准（满分9分） ①应急突发状况处置措施：每完全满足一个评审标准得1.5分，满分4.5分；②设备故障时反应机制：每完全满足一个评审标准得1.5分，满分4.5分。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进度计划保障措施</w:t>
            </w:r>
          </w:p>
        </w:tc>
        <w:tc>
          <w:tcPr>
            <w:tcW w:type="dxa" w:w="2492"/>
          </w:tcPr>
          <w:p>
            <w:pPr>
              <w:pStyle w:val="null3"/>
            </w:pPr>
            <w:r>
              <w:rPr/>
              <w:t>一、评审内容 供应商针对本项目提供进度计划保障措施，内容包含：①部署、上线、测试方案；②工作时间进度安排方案；③日常管理和协调方法、关键步骤的思路和要点方案。二、评审标准 1、完整性：方案必须全面，对评审内容中的各项要求有详细描述； 2、可实施性：切合本项目实际情况，提出步骤清晰、合理的方案； 3、针对性：方案能够紧扣项目实际情况，内容科学合理。 三、赋分标准（满分9分） ①部署、上线、测试方案：每完全满足一个评审标准得1分，满分3分；②工作时间进度安排方案：每完全满足一个评审标准得1分，满分3分；③日常管理和协调方法、关键步骤的思路和要点方案，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人员配置计划</w:t>
            </w:r>
          </w:p>
        </w:tc>
        <w:tc>
          <w:tcPr>
            <w:tcW w:type="dxa" w:w="2492"/>
          </w:tcPr>
          <w:p>
            <w:pPr>
              <w:pStyle w:val="null3"/>
            </w:pPr>
            <w:r>
              <w:rPr/>
              <w:t>一、评审内容 供应商针对本项目提供人员配置计划，内容包含：①日常运维人员的配备计划；②岗位分工、职责；③承项目负责人工作经验及专业水平的证明资料（包括但不限于项目负责人学历证、身份证、相关证书等）。 二、评审标准 1、完整性：方案必须全面，对评审内容中的各项要求有详细描述； 2、可实施性：切合本项目实际情况，提出步骤清晰、合理的方案； 3、针对性：方案能够紧扣项目实际情况，内容科学合理。 三、赋分标准（满分13.5分） ①日常运维人员的配备计划：每完全满足一个评审标准得1.5分，满分4.5分；②岗位分工、职责：每完全满足一个评审标准得1.5分，满分4.5分；③项目负责人工作经验及专业水平的证明资料（包括但不限于项目负责人学历证、身份证、相关证书等），每完全满足一个评审标准得1.5分，满分4.5分。</w:t>
            </w:r>
          </w:p>
        </w:tc>
        <w:tc>
          <w:tcPr>
            <w:tcW w:type="dxa" w:w="831"/>
          </w:tcPr>
          <w:p>
            <w:pPr>
              <w:pStyle w:val="null3"/>
              <w:jc w:val="right"/>
            </w:pPr>
            <w:r>
              <w:rPr/>
              <w:t>13.5000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一、评审内容 供应商针对本项目提供培训方案，内容包含：①培训人员的配备计划；②培训方案。 二、评审标准 1、完整性：方案必须全面，对评审内容中的各项要求有详细描述； 2、可实施性：切合本项目实际情况，提出步骤清晰、合理的方案； 3、针对性：方案能够紧扣项目实际情况，内容科学合理。 三、赋分标准（满分6分） ①培训人员的配备计划：每完全满足一个评审标准得1分，满分3分；②培训方案：每完全满足一个评审标准得1分，满分3分。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提供近三年（2021年12月至今）同类业绩证明材料（加盖公章），业绩证明材料以盖章版合同或中标通知书为准。每提供一个项目的合同计2分，满分10分，提供不全或不提供不得分。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供应商业绩</w:t>
            </w:r>
          </w:p>
        </w:tc>
      </w:tr>
      <w:tr>
        <w:tc>
          <w:tcPr>
            <w:tcW w:type="dxa" w:w="831"/>
            <w:vMerge/>
          </w:tcPr>
          <w:p/>
        </w:tc>
        <w:tc>
          <w:tcPr>
            <w:tcW w:type="dxa" w:w="1661"/>
          </w:tcPr>
          <w:p>
            <w:pPr>
              <w:pStyle w:val="null3"/>
            </w:pPr>
            <w:r>
              <w:rPr/>
              <w:t>企业实力</w:t>
            </w:r>
          </w:p>
        </w:tc>
        <w:tc>
          <w:tcPr>
            <w:tcW w:type="dxa" w:w="2492"/>
          </w:tcPr>
          <w:p>
            <w:pPr>
              <w:pStyle w:val="null3"/>
            </w:pPr>
            <w:r>
              <w:rPr/>
              <w:t>供应商具备ISO19001、ISO27001、ISO14001、ISO45001、ISO20000管理体系认证证书；每提供一个证书得0.6分，最高3分；未提供不得分。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一、评审内容 供应商针对本项目提供增值服务，内容包含：①服务方案的优化与提升；②人员配置的优化与提升。 二、评审标准 1、完整性：方案必须全面，对评审内容中的各项要求有详细描述； 2、可实施性：切合本项目实际情况，提出步骤清晰、合理的方案； 3、针对性：方案能够紧扣项目实际情况，内容科学合理。 三、赋分标准（满分6分） ①服务方案的优化与提升：每完全满足一个评审标准得1分，满分3分；②人员配置的优化与提升：每完全满足一个评审标准得1分，满分3分。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满足采购文件要求且投标价格最低的投标报价为评标基准价，其价格分为满分。其他供应商的价格分统一按照下列公式计算：投标报价得分=(评标基准价／投标报价)×30。计算分数时四舍五入取小数点后两位。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详见附件：商务响应偏离表</w:t>
      </w:r>
    </w:p>
    <w:p>
      <w:pPr>
        <w:pStyle w:val="null3"/>
        <w:ind w:firstLine="960"/>
      </w:pPr>
      <w:r>
        <w:rPr/>
        <w:t>详见附件：供应商承诺书</w:t>
      </w:r>
    </w:p>
    <w:p>
      <w:pPr>
        <w:pStyle w:val="null3"/>
        <w:ind w:firstLine="960"/>
      </w:pPr>
      <w:r>
        <w:rPr/>
        <w:t>详见附件：供应商基本信息</w:t>
      </w:r>
    </w:p>
    <w:p>
      <w:pPr>
        <w:pStyle w:val="null3"/>
        <w:ind w:firstLine="960"/>
      </w:pPr>
      <w:r>
        <w:rPr/>
        <w:t>详见附件：供应商企业关联关系声明函</w:t>
      </w:r>
    </w:p>
    <w:p>
      <w:pPr>
        <w:pStyle w:val="null3"/>
        <w:ind w:firstLine="960"/>
      </w:pPr>
      <w:r>
        <w:rPr/>
        <w:t>详见附件：供应商业绩</w:t>
      </w:r>
    </w:p>
    <w:p>
      <w:pPr>
        <w:pStyle w:val="null3"/>
        <w:ind w:firstLine="960"/>
      </w:pPr>
      <w:r>
        <w:rPr/>
        <w:t>详见附件：供应商资格证明材料</w:t>
      </w:r>
    </w:p>
    <w:p>
      <w:pPr>
        <w:pStyle w:val="null3"/>
        <w:ind w:firstLine="960"/>
      </w:pPr>
      <w:r>
        <w:rPr/>
        <w:t>详见附件：其他材料</w:t>
      </w:r>
    </w:p>
    <w:p>
      <w:pPr>
        <w:pStyle w:val="null3"/>
        <w:ind w:firstLine="960"/>
      </w:pPr>
      <w:r>
        <w:rPr/>
        <w:t>详见附件：服务响应偏离表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