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北大街院区及糖坊街院区两处污水站运维外包（大包）项目</w:t>
      </w:r>
    </w:p>
    <w:p>
      <w:pPr>
        <w:pStyle w:val="null3"/>
        <w:jc w:val="center"/>
        <w:outlineLvl w:val="2"/>
      </w:pPr>
      <w:r>
        <w:rPr>
          <w:sz w:val="28"/>
          <w:b/>
        </w:rPr>
        <w:t>采购项目编号：</w:t>
      </w:r>
      <w:r>
        <w:rPr>
          <w:sz w:val="28"/>
          <w:b/>
        </w:rPr>
        <w:t>GD-2024-006.</w:t>
      </w:r>
      <w:r>
        <w:br/>
      </w:r>
      <w:r>
        <w:br/>
      </w:r>
      <w:r>
        <w:br/>
      </w:r>
    </w:p>
    <w:p>
      <w:pPr>
        <w:pStyle w:val="null3"/>
        <w:jc w:val="center"/>
        <w:outlineLvl w:val="2"/>
      </w:pPr>
      <w:r>
        <w:rPr>
          <w:sz w:val="28"/>
          <w:b/>
        </w:rPr>
        <w:t>西安市中心医院</w:t>
      </w:r>
    </w:p>
    <w:p>
      <w:pPr>
        <w:pStyle w:val="null3"/>
        <w:jc w:val="center"/>
        <w:outlineLvl w:val="2"/>
      </w:pPr>
      <w:r>
        <w:rPr>
          <w:sz w:val="28"/>
          <w:b/>
        </w:rPr>
        <w:t>广达咨询有限公司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广达咨询有限公司</w:t>
      </w:r>
      <w:r>
        <w:rPr/>
        <w:t>（以下简称“代理机构”）受</w:t>
      </w:r>
      <w:r>
        <w:rPr/>
        <w:t>西安市中心医院</w:t>
      </w:r>
      <w:r>
        <w:rPr/>
        <w:t>委托，拟对</w:t>
      </w:r>
      <w:r>
        <w:rPr/>
        <w:t>北大街院区及糖坊街院区两处污水站运维外包（大包）项目</w:t>
      </w:r>
      <w:r>
        <w:rPr/>
        <w:t>采用竞争性磋商采购方式进行采购，兹邀请供应商参加本项目的竞争性磋商。</w:t>
      </w:r>
    </w:p>
    <w:p>
      <w:pPr>
        <w:pStyle w:val="null3"/>
        <w:outlineLvl w:val="2"/>
      </w:pPr>
      <w:r>
        <w:rPr>
          <w:sz w:val="28"/>
          <w:b/>
        </w:rPr>
        <w:t>一、项目编号：</w:t>
      </w:r>
      <w:r>
        <w:rPr>
          <w:sz w:val="28"/>
          <w:b/>
        </w:rPr>
        <w:t>GD-2024-006.</w:t>
      </w:r>
    </w:p>
    <w:p>
      <w:pPr>
        <w:pStyle w:val="null3"/>
        <w:outlineLvl w:val="2"/>
      </w:pPr>
      <w:r>
        <w:rPr>
          <w:sz w:val="28"/>
          <w:b/>
        </w:rPr>
        <w:t>二、项目名称：</w:t>
      </w:r>
      <w:r>
        <w:rPr>
          <w:sz w:val="28"/>
          <w:b/>
        </w:rPr>
        <w:t>北大街院区及糖坊街院区两处污水站运维外包（大包）项目</w:t>
      </w:r>
    </w:p>
    <w:p>
      <w:pPr>
        <w:pStyle w:val="null3"/>
        <w:outlineLvl w:val="2"/>
      </w:pPr>
      <w:r>
        <w:rPr>
          <w:sz w:val="28"/>
          <w:b/>
        </w:rPr>
        <w:t>三、磋商项目简介</w:t>
      </w:r>
    </w:p>
    <w:p>
      <w:pPr>
        <w:pStyle w:val="null3"/>
        <w:ind w:firstLine="480"/>
      </w:pPr>
      <w:r>
        <w:rPr/>
        <w:t>根据2024年预算计划安排及业务发展需要，为贯彻《中华人民共和国水污染防治法》和《中华人民共和国传染病防治法》，防止医院排放污水对环境的污染，为了不影响污水处理工作正常运行，现申请对北大街院区及糖坊街院区两处污水站运维外包（大包）项目实施招标。</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采购包1（北大街院区及糖坊街院区两处污水站运维外包（大包）项目）：属于专门面向中小企业采购。</w:t>
      </w:r>
    </w:p>
    <w:p>
      <w:pPr>
        <w:pStyle w:val="null3"/>
        <w:ind w:firstLine="480"/>
      </w:pPr>
      <w:r>
        <w:rPr/>
        <w:t>（三）本项目的特定资格要求：</w:t>
      </w:r>
    </w:p>
    <w:p>
      <w:pPr>
        <w:pStyle w:val="null3"/>
      </w:pPr>
      <w:r>
        <w:rPr/>
        <w:t>采购包1：</w:t>
      </w:r>
    </w:p>
    <w:p>
      <w:pPr>
        <w:pStyle w:val="null3"/>
      </w:pPr>
      <w:r>
        <w:rPr/>
        <w:t>1、营业执照：供应商应具有在中华人民共和国境内注册，并有效存续的营业执照/事业单位法人证书/非企业专业服务机构执业许可证/民办非企业单位登记证书、税务登记证、组织机构代码证，或“三证合一”后的注册登记证。（营业执照内营业范围需含与环保及污水处理相关的营业范围）。</w:t>
      </w:r>
    </w:p>
    <w:p>
      <w:pPr>
        <w:pStyle w:val="null3"/>
      </w:pPr>
      <w:r>
        <w:rPr/>
        <w:t>2、财务状况报告：①2023年度经审计的财务会计报告（至少包括审计报告、资产负债表和利润表，成立时间至提交响应文件截止时间不足一年的可提供成立后任意时段的资产负债表）；②提交响应文件截止时间三个月内企业基本账户开户银行出具的资信证明（附基本存款账户信息）；满足上述两项任意一项即可；</w:t>
      </w:r>
    </w:p>
    <w:p>
      <w:pPr>
        <w:pStyle w:val="null3"/>
      </w:pPr>
      <w:r>
        <w:rPr/>
        <w:t>3、税收缴纳证明：提供投标截止日当年内已缴纳的至少一个月的纳税证明或完税证明（任意税种），依法免税的单位应提供相关证明材料；</w:t>
      </w:r>
    </w:p>
    <w:p>
      <w:pPr>
        <w:pStyle w:val="null3"/>
      </w:pPr>
      <w:r>
        <w:rPr/>
        <w:t>4、社会保障资金缴纳证明：提供投标截止日当年内已缴存的至少一个月的社会保障资金缴存单据或社保机构开具的社会保险参保缴费情况证明，依法不需要缴纳社会保障资金的单位应提供相关证明材料；</w:t>
      </w:r>
    </w:p>
    <w:p>
      <w:pPr>
        <w:pStyle w:val="null3"/>
      </w:pPr>
      <w:r>
        <w:rPr/>
        <w:t>5、法定代表人授权：提供法定代表人授权委托书及委托代理人有效身份证原件，法定代表人直接参加磋商会议，需提供法定代表人身份证明及其有效的身份证原件；</w:t>
      </w:r>
    </w:p>
    <w:p>
      <w:pPr>
        <w:pStyle w:val="null3"/>
      </w:pPr>
      <w:r>
        <w:rPr/>
        <w:t>6、信用声明：出具参加本次政府采购活动前三年内在经营活动中没有重大违法记录的书面声明</w:t>
      </w:r>
    </w:p>
    <w:p>
      <w:pPr>
        <w:pStyle w:val="null3"/>
      </w:pPr>
      <w:r>
        <w:rPr/>
        <w:t>7、信用截图：供应商不得为“信用中国”网站（https://www.creditchina.gov.cn/）中列入失信被执行人和重大税收违法案件当事人名单的供应商，不得为中国政府采购（http://www.ccgp.gov.cn/）政府采购严重违法失信行为记录名单中被财政部门禁止参加政府采购活动的供应商；</w:t>
      </w:r>
    </w:p>
    <w:p>
      <w:pPr>
        <w:pStyle w:val="null3"/>
      </w:pPr>
      <w:r>
        <w:rPr/>
        <w:t>8、具备履行合同所必需的设备和专业技术能力：具备履行合同所必需的设备和专业技术能力的证明材料</w:t>
      </w:r>
    </w:p>
    <w:p>
      <w:pPr>
        <w:pStyle w:val="null3"/>
      </w:pPr>
      <w:r>
        <w:rPr/>
        <w:t>9、关联关系：单位负责人为同一人或者存在直接控股、管理关系的不同供应商，不得参加同一合同项下的政府采购活动；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西安市中心医院</w:t>
      </w:r>
    </w:p>
    <w:p>
      <w:pPr>
        <w:pStyle w:val="null3"/>
      </w:pPr>
      <w:r>
        <w:rPr/>
        <w:t xml:space="preserve"> 地址： </w:t>
      </w:r>
      <w:r>
        <w:rPr/>
        <w:t>西安市后宰门185号</w:t>
      </w:r>
    </w:p>
    <w:p>
      <w:pPr>
        <w:pStyle w:val="null3"/>
      </w:pPr>
      <w:r>
        <w:rPr/>
        <w:t xml:space="preserve"> 邮编： </w:t>
      </w:r>
      <w:r>
        <w:rPr/>
        <w:t>710003</w:t>
      </w:r>
    </w:p>
    <w:p>
      <w:pPr>
        <w:pStyle w:val="null3"/>
      </w:pPr>
      <w:r>
        <w:rPr/>
        <w:t xml:space="preserve"> 联系人： </w:t>
      </w:r>
      <w:r>
        <w:rPr/>
        <w:t>西安市中心医院</w:t>
      </w:r>
    </w:p>
    <w:p>
      <w:pPr>
        <w:pStyle w:val="null3"/>
      </w:pPr>
      <w:r>
        <w:rPr/>
        <w:t xml:space="preserve"> 联系电话： </w:t>
      </w:r>
      <w:r>
        <w:rPr/>
        <w:t>029-61312515</w:t>
      </w:r>
    </w:p>
    <w:p>
      <w:pPr>
        <w:pStyle w:val="null3"/>
        <w:outlineLvl w:val="3"/>
      </w:pPr>
      <w:r>
        <w:rPr>
          <w:sz w:val="24"/>
          <w:b/>
        </w:rPr>
        <w:t>代理机构：</w:t>
      </w:r>
      <w:r>
        <w:rPr>
          <w:sz w:val="24"/>
          <w:b/>
        </w:rPr>
        <w:t>广达咨询有限公司</w:t>
      </w:r>
    </w:p>
    <w:p>
      <w:pPr>
        <w:pStyle w:val="null3"/>
      </w:pPr>
      <w:r>
        <w:rPr/>
        <w:t xml:space="preserve"> 地址： </w:t>
      </w:r>
      <w:r>
        <w:rPr/>
        <w:t>陕西省西安市曲江新区旺座曲江K座1801室</w:t>
      </w:r>
    </w:p>
    <w:p>
      <w:pPr>
        <w:pStyle w:val="null3"/>
      </w:pPr>
      <w:r>
        <w:rPr/>
        <w:t xml:space="preserve"> 邮编： </w:t>
      </w:r>
      <w:r>
        <w:rPr/>
        <w:t>710000</w:t>
      </w:r>
    </w:p>
    <w:p>
      <w:pPr>
        <w:pStyle w:val="null3"/>
      </w:pPr>
      <w:r>
        <w:rPr/>
        <w:t xml:space="preserve"> 联系人： </w:t>
      </w:r>
      <w:r>
        <w:rPr/>
        <w:t>刘亮芳</w:t>
      </w:r>
    </w:p>
    <w:p>
      <w:pPr>
        <w:pStyle w:val="null3"/>
      </w:pPr>
      <w:r>
        <w:rPr/>
        <w:t xml:space="preserve"> 联系电话： </w:t>
      </w:r>
      <w:r>
        <w:rPr/>
        <w:t>029-89866364</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确定成交供应商后，由成交供应商按国家计委颁发的《招标代理服务收费管理暂行办法》（计价格[2002]1980号）和国家发展改革委员会办公厅颁发的《关于招标代理服务收费有关问题的通知》（发改办价格[2003] 857号）的有关规定标准，按成交金额为基数计取代理费用，获取成交通知书前向采购代理机构一次付清代理服务费。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西安市中心医院</w:t>
      </w:r>
      <w:r>
        <w:rPr/>
        <w:t>和</w:t>
      </w:r>
      <w:r>
        <w:rPr/>
        <w:t>广达咨询有限公司</w:t>
      </w:r>
      <w:r>
        <w:rPr/>
        <w:t>享有。对磋商文件中供应商参加本次政府采购活动应当具备的条件，磋商项目技术、服务、商务及其他要求，评审细则及标准由</w:t>
      </w:r>
      <w:r>
        <w:rPr/>
        <w:t>西安市中心医院</w:t>
      </w:r>
      <w:r>
        <w:rPr/>
        <w:t>负责解释。除上述磋商文件内容，其他内容由</w:t>
      </w:r>
      <w:r>
        <w:rPr/>
        <w:t>广达咨询有限公司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西安市中心医院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广达咨询有限公司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按照国家标准和合同要求执行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广达咨询有限公司</w:t>
      </w:r>
      <w:r>
        <w:rPr/>
        <w:t xml:space="preserve"> 负责答复；供应商对除采购需求外的采购文件的询问、质疑由</w:t>
      </w:r>
      <w:r>
        <w:rPr/>
        <w:t>广达咨询有限公司</w:t>
      </w:r>
      <w:r>
        <w:rPr/>
        <w:t xml:space="preserve"> 负责答复；供应商对采购过程、采购结果的询问、质疑由 </w:t>
      </w:r>
      <w:r>
        <w:rPr/>
        <w:t>广达咨询有限公司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联系人：广达咨询有限公司</w:t>
      </w:r>
    </w:p>
    <w:p>
      <w:pPr>
        <w:pStyle w:val="null3"/>
      </w:pPr>
      <w:r>
        <w:rPr/>
        <w:t>联系电话：029-89866364</w:t>
      </w:r>
    </w:p>
    <w:p>
      <w:pPr>
        <w:pStyle w:val="null3"/>
      </w:pPr>
      <w:r>
        <w:rPr/>
        <w:t>地址：陕西省西安市曲江新区旺座曲江K座1801室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根据2024年预算计划安排及业务发展需要，为贯彻《中华人民共和国水污染防治法》和《中华人民共和国传染病防治法》，防止医院排放污水对环境的污染，为了不影响污水处理工作正常运行，现申请对北大街及糖坊街环保工作及污水处理站运维（大包）项目实施招标。</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860,000.00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北大街院区及糖坊街院区两处污水站运维外包（大包）项目</w:t>
            </w:r>
          </w:p>
        </w:tc>
        <w:tc>
          <w:tcPr>
            <w:tcW w:type="dxa" w:w="831"/>
          </w:tcPr>
          <w:p>
            <w:pPr>
              <w:pStyle w:val="null3"/>
              <w:jc w:val="right"/>
            </w:pPr>
            <w:r>
              <w:rPr/>
              <w:t>1.00</w:t>
            </w:r>
          </w:p>
        </w:tc>
        <w:tc>
          <w:tcPr>
            <w:tcW w:type="dxa" w:w="831"/>
          </w:tcPr>
          <w:p>
            <w:pPr>
              <w:pStyle w:val="null3"/>
              <w:jc w:val="right"/>
            </w:pPr>
            <w:r>
              <w:rPr/>
              <w:t>860,000.00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标的名称：北大街院区及糖坊街院区两处污水站运维外包（大包）项目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quot;times new roman&quot;" w:hAnsi="&quot;times new roman&quot;" w:cs="&quot;times new roman&quot;" w:eastAsia="&quot;times new roman&quot;"/>
                <w:sz w:val="30"/>
              </w:rPr>
              <w:t>服务需求</w:t>
            </w:r>
          </w:p>
          <w:p>
            <w:pPr>
              <w:pStyle w:val="null3"/>
              <w:ind w:left="420"/>
              <w:jc w:val="both"/>
            </w:pPr>
            <w:r>
              <w:rPr>
                <w:rFonts w:ascii="&quot;times new roman&quot;" w:hAnsi="&quot;times new roman&quot;" w:cs="&quot;times new roman&quot;" w:eastAsia="&quot;times new roman&quot;"/>
                <w:sz w:val="21"/>
              </w:rPr>
              <w:t xml:space="preserve">  </w:t>
            </w:r>
            <w:r>
              <w:rPr>
                <w:rFonts w:ascii="&quot;times new roman&quot;" w:hAnsi="&quot;times new roman&quot;" w:cs="&quot;times new roman&quot;" w:eastAsia="&quot;times new roman&quot;"/>
                <w:sz w:val="21"/>
                <w:b/>
              </w:rPr>
              <w:t>一、项目概况</w:t>
            </w:r>
          </w:p>
          <w:p>
            <w:pPr>
              <w:pStyle w:val="null3"/>
              <w:ind w:firstLine="560"/>
              <w:jc w:val="left"/>
            </w:pPr>
            <w:r>
              <w:rPr>
                <w:rFonts w:ascii="&quot;times new roman&quot;" w:hAnsi="&quot;times new roman&quot;" w:cs="&quot;times new roman&quot;" w:eastAsia="&quot;times new roman&quot;"/>
                <w:sz w:val="21"/>
              </w:rPr>
              <w:t>根据2024年预算计划安排及业务发展需要，为贯彻《中华人民共和国水污染防治法》和《中华人民共和国传染病防治法》，防止医院排放污水对环境的污染，北大街院区污水处理站运行外包合同于2024年7月5日到期，为了不影响污水处理工作正常运行，现申请对北大街院区及糖坊街环保工作及污水处理站运维（大包）项目实施招标。</w:t>
            </w:r>
          </w:p>
          <w:p>
            <w:pPr>
              <w:pStyle w:val="null3"/>
              <w:ind w:left="420"/>
              <w:jc w:val="both"/>
            </w:pPr>
            <w:r>
              <w:rPr>
                <w:rFonts w:ascii="&quot;times new roman&quot;" w:hAnsi="&quot;times new roman&quot;" w:cs="&quot;times new roman&quot;" w:eastAsia="&quot;times new roman&quot;"/>
                <w:sz w:val="21"/>
                <w:b/>
              </w:rPr>
              <w:t>二、服务内容</w:t>
            </w:r>
          </w:p>
          <w:tbl>
            <w:tblPr>
              <w:tblInd w:type="dxa" w:w="135"/>
              <w:tblBorders>
                <w:top w:val="none" w:color="000000" w:sz="4"/>
                <w:left w:val="none" w:color="000000" w:sz="4"/>
                <w:bottom w:val="none" w:color="000000" w:sz="4"/>
                <w:right w:val="none" w:color="000000" w:sz="4"/>
                <w:insideH w:val="none"/>
                <w:insideV w:val="none"/>
              </w:tblBorders>
            </w:tblPr>
            <w:tblGrid>
              <w:gridCol w:w="207"/>
              <w:gridCol w:w="403"/>
              <w:gridCol w:w="739"/>
              <w:gridCol w:w="305"/>
              <w:gridCol w:w="348"/>
              <w:gridCol w:w="543"/>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服务名称</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服务内容</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计量单位</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服务时间</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备注</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西安市中心医院北大街院区污水站运维外包（大包）项目</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4人</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污水站日常运营</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03"/>
                  <w:vMerge/>
                  <w:tcBorders>
                    <w:top w:val="none" w:color="000000" w:sz="4"/>
                    <w:left w:val="none" w:color="000000" w:sz="4"/>
                    <w:bottom w:val="single" w:color="000000" w:sz="4"/>
                    <w:right w:val="single" w:color="000000" w:sz="4"/>
                  </w:tcBorders>
                </w:tcP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设备维护保养</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03"/>
                  <w:vMerge/>
                  <w:tcBorders>
                    <w:top w:val="none" w:color="000000" w:sz="4"/>
                    <w:left w:val="none" w:color="000000" w:sz="4"/>
                    <w:bottom w:val="single" w:color="000000" w:sz="4"/>
                    <w:right w:val="single" w:color="000000" w:sz="4"/>
                  </w:tcBorders>
                </w:tcP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环保运行管理费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03"/>
                  <w:vMerge/>
                  <w:tcBorders>
                    <w:top w:val="none" w:color="000000" w:sz="4"/>
                    <w:left w:val="none" w:color="000000" w:sz="4"/>
                    <w:bottom w:val="single" w:color="000000" w:sz="4"/>
                    <w:right w:val="single" w:color="000000" w:sz="4"/>
                  </w:tcBorders>
                </w:tcP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院区危险废物管理处置</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03"/>
                  <w:vMerge/>
                  <w:tcBorders>
                    <w:top w:val="none" w:color="000000" w:sz="4"/>
                    <w:left w:val="none" w:color="000000" w:sz="4"/>
                    <w:bottom w:val="single" w:color="000000" w:sz="4"/>
                    <w:right w:val="single" w:color="000000" w:sz="4"/>
                  </w:tcBorders>
                </w:tcP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水质监测及平台填报</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03"/>
                  <w:vMerge/>
                  <w:tcBorders>
                    <w:top w:val="none" w:color="000000" w:sz="4"/>
                    <w:left w:val="none" w:color="000000" w:sz="4"/>
                    <w:bottom w:val="single" w:color="000000" w:sz="4"/>
                    <w:right w:val="single" w:color="000000" w:sz="4"/>
                  </w:tcBorders>
                </w:tcP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药剂采购</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说明</w:t>
                  </w:r>
                </w:p>
              </w:tc>
              <w:tc>
                <w:tcPr>
                  <w:tcW w:type="dxa" w:w="193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具体内容见附件一</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服务名称</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服务内容</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计量单位</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服务时间</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备注</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西安市中心医院糖坊街院区污水站运维外包（大包）项目</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4人</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污水站日常运营</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03"/>
                  <w:vMerge/>
                  <w:tcBorders>
                    <w:top w:val="none" w:color="000000" w:sz="4"/>
                    <w:left w:val="none" w:color="000000" w:sz="4"/>
                    <w:bottom w:val="single" w:color="000000" w:sz="4"/>
                    <w:right w:val="single" w:color="000000" w:sz="4"/>
                  </w:tcBorders>
                </w:tcP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设备维护保养</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03"/>
                  <w:vMerge/>
                  <w:tcBorders>
                    <w:top w:val="none" w:color="000000" w:sz="4"/>
                    <w:left w:val="none" w:color="000000" w:sz="4"/>
                    <w:bottom w:val="single" w:color="000000" w:sz="4"/>
                    <w:right w:val="single" w:color="000000" w:sz="4"/>
                  </w:tcBorders>
                </w:tcP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环保运行管理费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03"/>
                  <w:vMerge/>
                  <w:tcBorders>
                    <w:top w:val="none" w:color="000000" w:sz="4"/>
                    <w:left w:val="none" w:color="000000" w:sz="4"/>
                    <w:bottom w:val="single" w:color="000000" w:sz="4"/>
                    <w:right w:val="single" w:color="000000" w:sz="4"/>
                  </w:tcBorders>
                </w:tcP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院区危险废物管理处置</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03"/>
                  <w:vMerge/>
                  <w:tcBorders>
                    <w:top w:val="none" w:color="000000" w:sz="4"/>
                    <w:left w:val="none" w:color="000000" w:sz="4"/>
                    <w:bottom w:val="single" w:color="000000" w:sz="4"/>
                    <w:right w:val="single" w:color="000000" w:sz="4"/>
                  </w:tcBorders>
                </w:tcP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水质监测及平台填报</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03"/>
                  <w:vMerge/>
                  <w:tcBorders>
                    <w:top w:val="none" w:color="000000" w:sz="4"/>
                    <w:left w:val="none" w:color="000000" w:sz="4"/>
                    <w:bottom w:val="single" w:color="000000" w:sz="4"/>
                    <w:right w:val="single" w:color="000000" w:sz="4"/>
                  </w:tcBorders>
                </w:tcP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药剂采购</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一年</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说明</w:t>
                  </w:r>
                </w:p>
              </w:tc>
              <w:tc>
                <w:tcPr>
                  <w:tcW w:type="dxa" w:w="193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具体内容见附件一</w:t>
                  </w:r>
                </w:p>
              </w:tc>
            </w:tr>
          </w:tbl>
          <w:p>
            <w:pPr>
              <w:pStyle w:val="null3"/>
            </w:pPr>
            <w:r>
              <w:rPr>
                <w:rFonts w:ascii="&quot;times new roman&quot;" w:hAnsi="&quot;times new roman&quot;" w:cs="&quot;times new roman&quot;" w:eastAsia="&quot;times new roman&quot;"/>
                <w:sz w:val="21"/>
              </w:rPr>
              <w:t xml:space="preserve">   服务地点：西安市中心医院北大街院区及糖坊街院区污水处理站</w:t>
            </w:r>
          </w:p>
          <w:p>
            <w:pPr>
              <w:pStyle w:val="null3"/>
            </w:pPr>
            <w:r>
              <w:rPr>
                <w:rFonts w:ascii="&quot;times new roman&quot;" w:hAnsi="&quot;times new roman&quot;" w:cs="&quot;times new roman&quot;" w:eastAsia="&quot;times new roman&quot;"/>
                <w:sz w:val="21"/>
              </w:rPr>
              <w:t xml:space="preserve">   服务包括：人工、设备维护、环保运行管理和危险废物处置、水质监测、平台填报等其他费用。</w:t>
            </w:r>
          </w:p>
          <w:p>
            <w:pPr>
              <w:pStyle w:val="null3"/>
              <w:ind w:left="420"/>
              <w:jc w:val="both"/>
            </w:pPr>
            <w:r>
              <w:rPr>
                <w:rFonts w:ascii="&quot;times new roman&quot;" w:hAnsi="&quot;times new roman&quot;" w:cs="&quot;times new roman&quot;" w:eastAsia="&quot;times new roman&quot;"/>
                <w:sz w:val="21"/>
                <w:b/>
              </w:rPr>
              <w:t>三、技术要求</w:t>
            </w:r>
          </w:p>
          <w:p>
            <w:pPr>
              <w:pStyle w:val="null3"/>
              <w:ind w:firstLine="560"/>
              <w:jc w:val="both"/>
            </w:pPr>
            <w:r>
              <w:rPr>
                <w:rFonts w:ascii="&quot;times new roman&quot;" w:hAnsi="&quot;times new roman&quot;" w:cs="&quot;times new roman&quot;" w:eastAsia="&quot;times new roman&quot;"/>
                <w:sz w:val="21"/>
              </w:rPr>
              <w:t>1、污水处理工艺技术参数的设置与控制；</w:t>
            </w:r>
          </w:p>
          <w:p>
            <w:pPr>
              <w:pStyle w:val="null3"/>
              <w:ind w:firstLine="560"/>
              <w:jc w:val="both"/>
            </w:pPr>
            <w:r>
              <w:rPr>
                <w:rFonts w:ascii="&quot;times new roman&quot;" w:hAnsi="&quot;times new roman&quot;" w:cs="&quot;times new roman&quot;" w:eastAsia="&quot;times new roman&quot;"/>
                <w:sz w:val="21"/>
              </w:rPr>
              <w:t>2、污水处理设备运行管理及记录；</w:t>
            </w:r>
          </w:p>
          <w:p>
            <w:pPr>
              <w:pStyle w:val="null3"/>
              <w:ind w:firstLine="560"/>
              <w:jc w:val="both"/>
            </w:pPr>
            <w:r>
              <w:rPr>
                <w:rFonts w:ascii="&quot;times new roman&quot;" w:hAnsi="&quot;times new roman&quot;" w:cs="&quot;times new roman&quot;" w:eastAsia="&quot;times new roman&quot;"/>
                <w:sz w:val="21"/>
              </w:rPr>
              <w:t>3、构筑物的运行管理；</w:t>
            </w:r>
          </w:p>
          <w:p>
            <w:pPr>
              <w:pStyle w:val="null3"/>
              <w:ind w:firstLine="560"/>
              <w:jc w:val="both"/>
            </w:pPr>
            <w:r>
              <w:rPr>
                <w:rFonts w:ascii="&quot;times new roman&quot;" w:hAnsi="&quot;times new roman&quot;" w:cs="&quot;times new roman&quot;" w:eastAsia="&quot;times new roman&quot;"/>
                <w:sz w:val="21"/>
              </w:rPr>
              <w:t>4、微生物池的管理与维护；</w:t>
            </w:r>
          </w:p>
          <w:p>
            <w:pPr>
              <w:pStyle w:val="null3"/>
              <w:ind w:firstLine="560"/>
              <w:jc w:val="both"/>
            </w:pPr>
            <w:r>
              <w:rPr>
                <w:rFonts w:ascii="&quot;times new roman&quot;" w:hAnsi="&quot;times new roman&quot;" w:cs="&quot;times new roman&quot;" w:eastAsia="&quot;times new roman&quot;"/>
                <w:sz w:val="21"/>
              </w:rPr>
              <w:t>5、消毒系统的管理与维护；</w:t>
            </w:r>
          </w:p>
          <w:p>
            <w:pPr>
              <w:pStyle w:val="null3"/>
              <w:ind w:firstLine="560"/>
              <w:jc w:val="both"/>
            </w:pPr>
            <w:r>
              <w:rPr>
                <w:rFonts w:ascii="&quot;times new roman&quot;" w:hAnsi="&quot;times new roman&quot;" w:cs="&quot;times new roman&quot;" w:eastAsia="&quot;times new roman&quot;"/>
                <w:sz w:val="21"/>
              </w:rPr>
              <w:t>6、相关电气与仪表专业管理与维护；</w:t>
            </w:r>
          </w:p>
          <w:p>
            <w:pPr>
              <w:pStyle w:val="null3"/>
              <w:ind w:firstLine="560"/>
              <w:jc w:val="both"/>
            </w:pPr>
            <w:r>
              <w:rPr>
                <w:rFonts w:ascii="&quot;times new roman&quot;" w:hAnsi="&quot;times new roman&quot;" w:cs="&quot;times new roman&quot;" w:eastAsia="&quot;times new roman&quot;"/>
                <w:sz w:val="21"/>
              </w:rPr>
              <w:t>7、其他注意事项；</w:t>
            </w:r>
          </w:p>
          <w:p>
            <w:pPr>
              <w:pStyle w:val="null3"/>
              <w:ind w:firstLine="560"/>
              <w:jc w:val="both"/>
            </w:pPr>
            <w:r>
              <w:rPr>
                <w:rFonts w:ascii="&quot;times new roman&quot;" w:hAnsi="&quot;times new roman&quot;" w:cs="&quot;times new roman&quot;" w:eastAsia="&quot;times new roman&quot;"/>
                <w:sz w:val="21"/>
              </w:rPr>
              <w:t>8、负责甲方接受各个部门的检查；</w:t>
            </w:r>
          </w:p>
          <w:p>
            <w:pPr>
              <w:pStyle w:val="null3"/>
              <w:ind w:firstLine="560"/>
              <w:jc w:val="both"/>
            </w:pPr>
            <w:r>
              <w:rPr>
                <w:rFonts w:ascii="&quot;times new roman&quot;" w:hAnsi="&quot;times new roman&quot;" w:cs="&quot;times new roman&quot;" w:eastAsia="&quot;times new roman&quot;"/>
                <w:sz w:val="21"/>
              </w:rPr>
              <w:t>9、出现问题1小时内解决，出现可能影响污水处理站水质的问题时应在1小时内通知甲方，必要时需及时报备环保部门；</w:t>
            </w:r>
          </w:p>
          <w:p>
            <w:pPr>
              <w:pStyle w:val="null3"/>
              <w:ind w:firstLine="560"/>
              <w:jc w:val="both"/>
            </w:pPr>
            <w:r>
              <w:rPr>
                <w:rFonts w:ascii="&quot;times new roman&quot;" w:hAnsi="&quot;times new roman&quot;" w:cs="&quot;times new roman&quot;" w:eastAsia="&quot;times new roman&quot;"/>
                <w:sz w:val="21"/>
              </w:rPr>
              <w:t>10、托管期间污水站内由于乙方原因导致污水处理站水质不达标，若发生环保事件一切责任（包括但不限于环保部门对甲方的罚款以及对第三方造成的人身损害或财产损失等）由乙方负责；</w:t>
            </w:r>
          </w:p>
          <w:p>
            <w:pPr>
              <w:pStyle w:val="null3"/>
              <w:ind w:firstLine="560"/>
              <w:jc w:val="both"/>
            </w:pPr>
            <w:r>
              <w:rPr>
                <w:rFonts w:ascii="&quot;times new roman&quot;" w:hAnsi="&quot;times new roman&quot;" w:cs="&quot;times new roman&quot;" w:eastAsia="&quot;times new roman&quot;"/>
                <w:sz w:val="21"/>
              </w:rPr>
              <w:t>11、乙方必须服从甲方管理，遵守甲方的各项管理制度；</w:t>
            </w:r>
          </w:p>
          <w:p>
            <w:pPr>
              <w:pStyle w:val="null3"/>
              <w:ind w:firstLine="560"/>
              <w:jc w:val="both"/>
            </w:pPr>
            <w:r>
              <w:rPr>
                <w:rFonts w:ascii="&quot;times new roman&quot;" w:hAnsi="&quot;times new roman&quot;" w:cs="&quot;times new roman&quot;" w:eastAsia="&quot;times new roman&quot;"/>
                <w:sz w:val="21"/>
              </w:rPr>
              <w:t>12、乙方应遵守有关的安全规定，采取有效措施保证乙方管理服务人员及构筑物内人员的安全，保护好环境；</w:t>
            </w:r>
          </w:p>
          <w:p>
            <w:pPr>
              <w:pStyle w:val="null3"/>
              <w:ind w:firstLine="560"/>
              <w:jc w:val="both"/>
            </w:pPr>
            <w:r>
              <w:rPr>
                <w:rFonts w:ascii="&quot;times new roman&quot;" w:hAnsi="&quot;times new roman&quot;" w:cs="&quot;times new roman&quot;" w:eastAsia="&quot;times new roman&quot;"/>
                <w:sz w:val="21"/>
              </w:rPr>
              <w:t>13、乙方不得出卖、非法抵押甲方污水站资产</w:t>
            </w:r>
          </w:p>
          <w:p>
            <w:pPr>
              <w:pStyle w:val="null3"/>
              <w:ind w:firstLine="560"/>
              <w:jc w:val="both"/>
            </w:pPr>
            <w:r>
              <w:rPr>
                <w:rFonts w:ascii="&quot;times new roman&quot;" w:hAnsi="&quot;times new roman&quot;" w:cs="&quot;times new roman&quot;" w:eastAsia="&quot;times new roman&quot;"/>
                <w:sz w:val="21"/>
              </w:rPr>
              <w:t>14、负责主院区污水处理站运行外包服务、操作、维修、维护、保养等工作。</w:t>
            </w:r>
          </w:p>
          <w:p>
            <w:pPr>
              <w:pStyle w:val="null3"/>
              <w:ind w:firstLine="560"/>
              <w:jc w:val="both"/>
            </w:pPr>
            <w:r>
              <w:rPr>
                <w:rFonts w:ascii="&quot;times new roman&quot;" w:hAnsi="&quot;times new roman&quot;" w:cs="&quot;times new roman&quot;" w:eastAsia="&quot;times new roman&quot;"/>
                <w:sz w:val="21"/>
              </w:rPr>
              <w:t>15、乙方派驻专业人员对污水处理站进行管理，负责本项目沟通与协调工作。乙方派驻甲方的工作人员必须在本合同签订之日起【7】日内向甲方书面提供符合招标文件及投标文件相关的资格证书和有效文件，并将人员信息（姓名、年龄、住址、身份证号、联系方式、是否具备相关工作经验等）登记备案交予甲方保管。甲方有权要求乙方调换派驻甲方现场的不称职工作人员，甲方有权对乙方的日常工作进行监督检查。乙方应于接到甲方的调换要求之日起【2】日内完成，不得借口推辞。</w:t>
            </w:r>
          </w:p>
          <w:p>
            <w:pPr>
              <w:pStyle w:val="null3"/>
              <w:ind w:firstLine="560"/>
              <w:jc w:val="both"/>
            </w:pPr>
            <w:r>
              <w:rPr>
                <w:rFonts w:ascii="&quot;times new roman&quot;" w:hAnsi="&quot;times new roman&quot;" w:cs="&quot;times new roman&quot;" w:eastAsia="&quot;times new roman&quot;"/>
                <w:sz w:val="21"/>
              </w:rPr>
              <w:t>16、乙方员工必须具备各相关工作实际操作经验，持有相关的资格证书和有效证件，必须严格按照有关操作规程进行操作。</w:t>
            </w:r>
          </w:p>
          <w:p>
            <w:pPr>
              <w:pStyle w:val="null3"/>
              <w:ind w:firstLine="560"/>
              <w:jc w:val="both"/>
            </w:pPr>
            <w:r>
              <w:rPr>
                <w:rFonts w:ascii="&quot;times new roman&quot;" w:hAnsi="&quot;times new roman&quot;" w:cs="&quot;times new roman&quot;" w:eastAsia="&quot;times new roman&quot;"/>
                <w:sz w:val="21"/>
              </w:rPr>
              <w:t>17、认真履行各项相应岗位职责，遵守劳动纪律，认真遵守甲乙双方指定的各种规章制度，无条件接受甲方的检查、监督、考核。</w:t>
            </w:r>
          </w:p>
          <w:p>
            <w:pPr>
              <w:pStyle w:val="null3"/>
              <w:ind w:firstLine="560"/>
              <w:jc w:val="both"/>
            </w:pPr>
            <w:r>
              <w:rPr>
                <w:rFonts w:ascii="&quot;times new roman&quot;" w:hAnsi="&quot;times new roman&quot;" w:cs="&quot;times new roman&quot;" w:eastAsia="&quot;times new roman&quot;"/>
                <w:sz w:val="21"/>
              </w:rPr>
              <w:t>18、负责对污水处理站的维护工作。乙方应至少留守两人负责突发情况的处理。乙方应在接到报修通知后【1】小时内响应，并于【24】小时内排除故障。</w:t>
            </w:r>
          </w:p>
          <w:p>
            <w:pPr>
              <w:pStyle w:val="null3"/>
              <w:ind w:firstLine="560"/>
              <w:jc w:val="both"/>
            </w:pPr>
            <w:r>
              <w:rPr>
                <w:rFonts w:ascii="&quot;times new roman&quot;" w:hAnsi="&quot;times new roman&quot;" w:cs="&quot;times new roman&quot;" w:eastAsia="&quot;times new roman&quot;"/>
                <w:sz w:val="21"/>
              </w:rPr>
              <w:t>19、鉴于甲方需向乙方支付服务费，乙方驻场服务人员的加班、人身意外保险和其他社会保险、福利和在工作中因公伤亡、致残等发生的医药费、抚恤金等费用由乙方全部承担，甲方不承担任何费用。且由此造成的纠纷均与甲方无关。</w:t>
            </w:r>
          </w:p>
          <w:p>
            <w:pPr>
              <w:pStyle w:val="null3"/>
              <w:ind w:firstLine="560"/>
              <w:jc w:val="both"/>
            </w:pPr>
            <w:r>
              <w:rPr>
                <w:rFonts w:ascii="&quot;times new roman&quot;" w:hAnsi="&quot;times new roman&quot;" w:cs="&quot;times new roman&quot;" w:eastAsia="&quot;times new roman&quot;"/>
                <w:sz w:val="21"/>
              </w:rPr>
              <w:t>20、乙方在污水处理过程中使用相关设备、零件、药剂的采购必须合规合法，购买的产品必须保质保量。若因乙方采购产品存在质量问题，由此给甲方带来的任何责任和损失均由乙方承担。</w:t>
            </w:r>
          </w:p>
          <w:p>
            <w:pPr>
              <w:pStyle w:val="null3"/>
              <w:ind w:firstLine="560"/>
              <w:jc w:val="both"/>
            </w:pPr>
            <w:r>
              <w:rPr>
                <w:rFonts w:ascii="&quot;times new roman&quot;" w:hAnsi="&quot;times new roman&quot;" w:cs="&quot;times new roman&quot;" w:eastAsia="&quot;times new roman&quot;"/>
                <w:sz w:val="21"/>
              </w:rPr>
              <w:t>21、除上述约定外，乙方的其他合同义务以竞争性磋商文件/招标文件及乙方响应文件为准。</w:t>
            </w:r>
          </w:p>
          <w:p>
            <w:pPr>
              <w:pStyle w:val="null3"/>
              <w:ind w:firstLine="560"/>
              <w:jc w:val="both"/>
            </w:pPr>
            <w:r>
              <w:rPr>
                <w:rFonts w:ascii="&quot;times new roman&quot;" w:hAnsi="&quot;times new roman&quot;" w:cs="&quot;times new roman&quot;" w:eastAsia="&quot;times new roman&quot;"/>
                <w:sz w:val="21"/>
              </w:rPr>
              <w:t>22、办理环保部门对甲方提出的相关证件。</w:t>
            </w:r>
          </w:p>
          <w:p>
            <w:pPr>
              <w:pStyle w:val="null3"/>
              <w:ind w:firstLine="560"/>
              <w:jc w:val="both"/>
            </w:pPr>
            <w:r>
              <w:rPr>
                <w:rFonts w:ascii="&quot;times new roman&quot;" w:hAnsi="&quot;times new roman&quot;" w:cs="&quot;times new roman&quot;" w:eastAsia="&quot;times new roman&quot;"/>
                <w:sz w:val="21"/>
              </w:rPr>
              <w:t>23、处理监督其他及三方关于环保方面工作并上报，处理甲方在环保方面的所有问题及工作。</w:t>
            </w:r>
          </w:p>
          <w:p>
            <w:pPr>
              <w:pStyle w:val="null3"/>
              <w:ind w:firstLine="560"/>
              <w:jc w:val="both"/>
            </w:pPr>
            <w:r>
              <w:rPr>
                <w:rFonts w:ascii="&quot;times new roman&quot;" w:hAnsi="&quot;times new roman&quot;" w:cs="&quot;times new roman&quot;" w:eastAsia="&quot;times new roman&quot;"/>
                <w:sz w:val="21"/>
              </w:rPr>
              <w:t>24、托管期间因设备问题需要停运维修的，需及时向环保部门申报停运手续，并及时维修设备。</w:t>
            </w:r>
          </w:p>
          <w:p>
            <w:pPr>
              <w:pStyle w:val="null3"/>
              <w:ind w:left="420"/>
              <w:jc w:val="both"/>
            </w:pPr>
            <w:r>
              <w:rPr>
                <w:rFonts w:ascii="&quot;times new roman&quot;" w:hAnsi="&quot;times new roman&quot;" w:cs="&quot;times new roman&quot;" w:eastAsia="&quot;times new roman&quot;"/>
                <w:sz w:val="21"/>
                <w:b/>
              </w:rPr>
              <w:t>四、服务要求</w:t>
            </w:r>
          </w:p>
          <w:p>
            <w:pPr>
              <w:pStyle w:val="null3"/>
              <w:ind w:firstLine="560"/>
              <w:jc w:val="both"/>
            </w:pPr>
            <w:r>
              <w:rPr>
                <w:rFonts w:ascii="&quot;times new roman&quot;" w:hAnsi="&quot;times new roman&quot;" w:cs="&quot;times new roman&quot;" w:eastAsia="&quot;times new roman&quot;"/>
                <w:sz w:val="21"/>
              </w:rPr>
              <w:t>投标方所供服务必须执行下列条款：</w:t>
            </w:r>
          </w:p>
          <w:p>
            <w:pPr>
              <w:pStyle w:val="null3"/>
              <w:ind w:firstLine="560"/>
              <w:jc w:val="both"/>
            </w:pPr>
            <w:r>
              <w:rPr>
                <w:rFonts w:ascii="&quot;times new roman&quot;" w:hAnsi="&quot;times new roman&quot;" w:cs="&quot;times new roman&quot;" w:eastAsia="&quot;times new roman&quot;"/>
                <w:sz w:val="21"/>
              </w:rPr>
              <w:t>（一）服务方案和方式科学、可行，人员配置合理，全面满足要求。</w:t>
            </w:r>
          </w:p>
          <w:p>
            <w:pPr>
              <w:pStyle w:val="null3"/>
              <w:ind w:firstLine="560"/>
              <w:jc w:val="both"/>
            </w:pPr>
            <w:r>
              <w:rPr>
                <w:rFonts w:ascii="&quot;times new roman&quot;" w:hAnsi="&quot;times new roman&quot;" w:cs="&quot;times new roman&quot;" w:eastAsia="&quot;times new roman&quot;"/>
                <w:sz w:val="21"/>
              </w:rPr>
              <w:t>（二）符合国家有关服务规范要求，确保各项服务达到最佳运行效果。</w:t>
            </w:r>
          </w:p>
          <w:p>
            <w:pPr>
              <w:pStyle w:val="null3"/>
              <w:ind w:firstLine="560"/>
              <w:jc w:val="both"/>
            </w:pPr>
            <w:r>
              <w:rPr>
                <w:rFonts w:ascii="&quot;times new roman&quot;" w:hAnsi="&quot;times new roman&quot;" w:cs="&quot;times new roman&quot;" w:eastAsia="&quot;times new roman&quot;"/>
                <w:sz w:val="21"/>
              </w:rPr>
              <w:t>（三）乙方提供的服务，若发生侵权而产生的一切后果，由乙方负责。甲方保留索赔权力。</w:t>
            </w:r>
          </w:p>
          <w:p>
            <w:pPr>
              <w:pStyle w:val="null3"/>
              <w:ind w:firstLine="560"/>
              <w:jc w:val="both"/>
            </w:pPr>
            <w:r>
              <w:rPr>
                <w:rFonts w:ascii="&quot;times new roman&quot;" w:hAnsi="&quot;times new roman&quot;" w:cs="&quot;times new roman&quot;" w:eastAsia="&quot;times new roman&quot;"/>
                <w:sz w:val="21"/>
              </w:rPr>
              <w:t>（四）服务承诺内容及污水排放标准要求：</w:t>
            </w:r>
          </w:p>
          <w:p>
            <w:pPr>
              <w:pStyle w:val="null3"/>
              <w:ind w:firstLine="560"/>
              <w:jc w:val="both"/>
            </w:pPr>
            <w:r>
              <w:rPr>
                <w:rFonts w:ascii="&quot;times new roman&quot;" w:hAnsi="&quot;times new roman&quot;" w:cs="&quot;times new roman&quot;" w:eastAsia="&quot;times new roman&quot;"/>
                <w:sz w:val="21"/>
              </w:rPr>
              <w:t>1、保证甲方污水处理设备全年365天正常运行，在环保部门检查中能够达到环保要求。保证甲方原有污水处理设备的完整性，不得私自改动任何设备。</w:t>
            </w:r>
          </w:p>
          <w:p>
            <w:pPr>
              <w:pStyle w:val="null3"/>
              <w:ind w:firstLine="560"/>
              <w:jc w:val="both"/>
            </w:pPr>
            <w:r>
              <w:rPr>
                <w:rFonts w:ascii="&quot;times new roman&quot;" w:hAnsi="&quot;times new roman&quot;" w:cs="&quot;times new roman&quot;" w:eastAsia="&quot;times new roman&quot;"/>
                <w:sz w:val="21"/>
              </w:rPr>
              <w:t>2、要求达到《医疗机构水污染物排放标准》（GB18466-2005）中预处理标准和《黄河流域（陕西段）污水综合排放标准》（DB61/224-2011）中二级标准，《污水排入城镇下水道水质标准》（GBT31962-2015）标准，或最新的污水排放标准。</w:t>
            </w:r>
          </w:p>
          <w:p>
            <w:pPr>
              <w:pStyle w:val="null3"/>
              <w:ind w:firstLine="560"/>
              <w:jc w:val="both"/>
            </w:pPr>
            <w:r>
              <w:rPr>
                <w:rFonts w:ascii="&quot;times new roman&quot;" w:hAnsi="&quot;times new roman&quot;" w:cs="&quot;times new roman&quot;" w:eastAsia="&quot;times new roman&quot;"/>
                <w:sz w:val="21"/>
              </w:rPr>
              <w:t>主要指标如下表：</w:t>
            </w:r>
          </w:p>
          <w:p>
            <w:pPr>
              <w:pStyle w:val="null3"/>
              <w:ind w:firstLine="560"/>
              <w:jc w:val="both"/>
            </w:pPr>
            <w:r>
              <w:rPr>
                <w:rFonts w:ascii="&quot;times new roman&quot;" w:hAnsi="&quot;times new roman&quot;" w:cs="&quot;times new roman&quot;" w:eastAsia="&quot;times new roman&quot;"/>
                <w:sz w:val="21"/>
              </w:rPr>
              <w:t>单位：mg/L</w:t>
            </w:r>
          </w:p>
          <w:tbl>
            <w:tblPr>
              <w:tblBorders>
                <w:top w:val="none" w:color="000000" w:sz="4"/>
                <w:left w:val="none" w:color="000000" w:sz="4"/>
                <w:bottom w:val="none" w:color="000000" w:sz="4"/>
                <w:right w:val="none" w:color="000000" w:sz="4"/>
                <w:insideH w:val="none"/>
                <w:insideV w:val="none"/>
              </w:tblBorders>
            </w:tblPr>
            <w:tblGrid>
              <w:gridCol w:w="479"/>
              <w:gridCol w:w="317"/>
              <w:gridCol w:w="263"/>
              <w:gridCol w:w="263"/>
              <w:gridCol w:w="197"/>
              <w:gridCol w:w="305"/>
              <w:gridCol w:w="707"/>
            </w:tblGrid>
            <w:tr>
              <w:tc>
                <w:tcPr>
                  <w:tcW w:type="dxa" w:w="479"/>
                  <w:tcBorders>
                    <w:top w:val="single" w:color="000000" w:sz="4"/>
                    <w:left w:val="single" w:color="000000" w:sz="4"/>
                    <w:bottom w:val="single" w:color="000000" w:sz="4"/>
                    <w:right w:val="single" w:color="000000" w:sz="4"/>
                  </w:tcBorders>
                  <w:shd w:fill="E0E0E0"/>
                  <w:tcMar>
                    <w:top w:type="dxa" w:w="0"/>
                    <w:left w:type="dxa" w:w="0"/>
                    <w:bottom w:type="dxa" w:w="0"/>
                    <w:right w:type="dxa" w:w="0"/>
                  </w:tcMar>
                  <w:vAlign w:val="top"/>
                </w:tcPr>
                <w:p>
                  <w:pPr>
                    <w:pStyle w:val="null3"/>
                    <w:jc w:val="center"/>
                  </w:pPr>
                  <w:r>
                    <w:rPr>
                      <w:rFonts w:ascii="宋体" w:hAnsi="宋体" w:cs="宋体" w:eastAsia="宋体"/>
                      <w:sz w:val="24"/>
                    </w:rPr>
                    <w:t>指标</w:t>
                  </w:r>
                </w:p>
              </w:tc>
              <w:tc>
                <w:tcPr>
                  <w:tcW w:type="dxa" w:w="317"/>
                  <w:tcBorders>
                    <w:top w:val="single" w:color="000000" w:sz="4"/>
                    <w:left w:val="none" w:color="000000" w:sz="4"/>
                    <w:bottom w:val="single" w:color="000000" w:sz="4"/>
                    <w:right w:val="single" w:color="000000" w:sz="4"/>
                  </w:tcBorders>
                  <w:shd w:fill="E0E0E0"/>
                  <w:tcMar>
                    <w:top w:type="dxa" w:w="0"/>
                    <w:left w:type="dxa" w:w="0"/>
                    <w:bottom w:type="dxa" w:w="0"/>
                    <w:right w:type="dxa" w:w="0"/>
                  </w:tcMar>
                  <w:vAlign w:val="top"/>
                </w:tcPr>
                <w:p>
                  <w:pPr>
                    <w:pStyle w:val="null3"/>
                    <w:jc w:val="center"/>
                  </w:pPr>
                  <w:r>
                    <w:rPr>
                      <w:rFonts w:ascii="calibri" w:hAnsi="calibri" w:cs="calibri" w:eastAsia="calibri"/>
                      <w:sz w:val="24"/>
                    </w:rPr>
                    <w:t>PH</w:t>
                  </w:r>
                </w:p>
              </w:tc>
              <w:tc>
                <w:tcPr>
                  <w:tcW w:type="dxa" w:w="263"/>
                  <w:tcBorders>
                    <w:top w:val="single" w:color="000000" w:sz="4"/>
                    <w:left w:val="none" w:color="000000" w:sz="4"/>
                    <w:bottom w:val="single" w:color="000000" w:sz="4"/>
                    <w:right w:val="single" w:color="000000" w:sz="4"/>
                  </w:tcBorders>
                  <w:shd w:fill="E0E0E0"/>
                  <w:tcMar>
                    <w:top w:type="dxa" w:w="0"/>
                    <w:left w:type="dxa" w:w="0"/>
                    <w:bottom w:type="dxa" w:w="0"/>
                    <w:right w:type="dxa" w:w="0"/>
                  </w:tcMar>
                  <w:vAlign w:val="top"/>
                </w:tcPr>
                <w:p>
                  <w:pPr>
                    <w:pStyle w:val="null3"/>
                    <w:jc w:val="center"/>
                  </w:pPr>
                  <w:r>
                    <w:rPr>
                      <w:rFonts w:ascii="calibri" w:hAnsi="calibri" w:cs="calibri" w:eastAsia="calibri"/>
                      <w:sz w:val="24"/>
                    </w:rPr>
                    <w:t>CODcr</w:t>
                  </w:r>
                </w:p>
              </w:tc>
              <w:tc>
                <w:tcPr>
                  <w:tcW w:type="dxa" w:w="263"/>
                  <w:tcBorders>
                    <w:top w:val="single" w:color="000000" w:sz="4"/>
                    <w:left w:val="none" w:color="000000" w:sz="4"/>
                    <w:bottom w:val="single" w:color="000000" w:sz="4"/>
                    <w:right w:val="single" w:color="000000" w:sz="4"/>
                  </w:tcBorders>
                  <w:shd w:fill="E0E0E0"/>
                  <w:tcMar>
                    <w:top w:type="dxa" w:w="0"/>
                    <w:left w:type="dxa" w:w="0"/>
                    <w:bottom w:type="dxa" w:w="0"/>
                    <w:right w:type="dxa" w:w="0"/>
                  </w:tcMar>
                  <w:vAlign w:val="top"/>
                </w:tcPr>
                <w:p>
                  <w:pPr>
                    <w:pStyle w:val="null3"/>
                    <w:jc w:val="center"/>
                  </w:pPr>
                  <w:r>
                    <w:rPr>
                      <w:rFonts w:ascii="calibri" w:hAnsi="calibri" w:cs="calibri" w:eastAsia="calibri"/>
                      <w:sz w:val="24"/>
                    </w:rPr>
                    <w:t>BOD5</w:t>
                  </w:r>
                </w:p>
              </w:tc>
              <w:tc>
                <w:tcPr>
                  <w:tcW w:type="dxa" w:w="197"/>
                  <w:tcBorders>
                    <w:top w:val="single" w:color="000000" w:sz="4"/>
                    <w:left w:val="none" w:color="000000" w:sz="4"/>
                    <w:bottom w:val="single" w:color="000000" w:sz="4"/>
                    <w:right w:val="single" w:color="000000" w:sz="4"/>
                  </w:tcBorders>
                  <w:shd w:fill="E0E0E0"/>
                  <w:tcMar>
                    <w:top w:type="dxa" w:w="0"/>
                    <w:left w:type="dxa" w:w="0"/>
                    <w:bottom w:type="dxa" w:w="0"/>
                    <w:right w:type="dxa" w:w="0"/>
                  </w:tcMar>
                  <w:vAlign w:val="top"/>
                </w:tcPr>
                <w:p>
                  <w:pPr>
                    <w:pStyle w:val="null3"/>
                    <w:jc w:val="center"/>
                  </w:pPr>
                  <w:r>
                    <w:rPr>
                      <w:rFonts w:ascii="calibri" w:hAnsi="calibri" w:cs="calibri" w:eastAsia="calibri"/>
                      <w:sz w:val="24"/>
                    </w:rPr>
                    <w:t>SS</w:t>
                  </w:r>
                </w:p>
              </w:tc>
              <w:tc>
                <w:tcPr>
                  <w:tcW w:type="dxa" w:w="305"/>
                  <w:tcBorders>
                    <w:top w:val="single" w:color="000000" w:sz="4"/>
                    <w:left w:val="none" w:color="000000" w:sz="4"/>
                    <w:bottom w:val="single" w:color="000000" w:sz="4"/>
                    <w:right w:val="single" w:color="000000" w:sz="4"/>
                  </w:tcBorders>
                  <w:shd w:fill="E0E0E0"/>
                  <w:tcMar>
                    <w:top w:type="dxa" w:w="0"/>
                    <w:left w:type="dxa" w:w="0"/>
                    <w:bottom w:type="dxa" w:w="0"/>
                    <w:right w:type="dxa" w:w="0"/>
                  </w:tcMar>
                  <w:vAlign w:val="top"/>
                </w:tcPr>
                <w:p>
                  <w:pPr>
                    <w:pStyle w:val="null3"/>
                    <w:jc w:val="center"/>
                  </w:pPr>
                  <w:r>
                    <w:rPr>
                      <w:rFonts w:ascii="calibri" w:hAnsi="calibri" w:cs="calibri" w:eastAsia="calibri"/>
                      <w:sz w:val="24"/>
                    </w:rPr>
                    <w:t>NH3-N</w:t>
                  </w:r>
                </w:p>
              </w:tc>
              <w:tc>
                <w:tcPr>
                  <w:tcW w:type="dxa" w:w="707"/>
                  <w:tcBorders>
                    <w:top w:val="single" w:color="000000" w:sz="4"/>
                    <w:left w:val="none" w:color="000000" w:sz="4"/>
                    <w:bottom w:val="single" w:color="000000" w:sz="4"/>
                    <w:right w:val="single" w:color="000000" w:sz="4"/>
                  </w:tcBorders>
                  <w:shd w:fill="E0E0E0"/>
                  <w:tcMar>
                    <w:top w:type="dxa" w:w="0"/>
                    <w:left w:type="dxa" w:w="0"/>
                    <w:bottom w:type="dxa" w:w="0"/>
                    <w:right w:type="dxa" w:w="0"/>
                  </w:tcMar>
                  <w:vAlign w:val="top"/>
                </w:tcPr>
                <w:p>
                  <w:pPr>
                    <w:pStyle w:val="null3"/>
                    <w:jc w:val="center"/>
                  </w:pPr>
                  <w:r>
                    <w:rPr>
                      <w:rFonts w:ascii="宋体" w:hAnsi="宋体" w:cs="宋体" w:eastAsia="宋体"/>
                      <w:sz w:val="24"/>
                    </w:rPr>
                    <w:t>粪大肠菌群</w:t>
                  </w:r>
                  <w:r>
                    <w:rPr>
                      <w:rFonts w:ascii="calibri" w:hAnsi="calibri" w:cs="calibri" w:eastAsia="calibri"/>
                      <w:sz w:val="24"/>
                    </w:rPr>
                    <w:t>(</w:t>
                  </w:r>
                  <w:r>
                    <w:rPr>
                      <w:rFonts w:ascii="宋体" w:hAnsi="宋体" w:cs="宋体" w:eastAsia="宋体"/>
                      <w:sz w:val="24"/>
                    </w:rPr>
                    <w:t>个</w:t>
                  </w:r>
                  <w:r>
                    <w:rPr>
                      <w:rFonts w:ascii="calibri" w:hAnsi="calibri" w:cs="calibri" w:eastAsia="calibri"/>
                      <w:sz w:val="24"/>
                    </w:rPr>
                    <w:t>/L)</w:t>
                  </w:r>
                </w:p>
              </w:tc>
            </w:tr>
            <w:tr>
              <w:tc>
                <w:tcPr>
                  <w:tcW w:type="dxa" w:w="4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排放标准</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calibri" w:hAnsi="calibri" w:cs="calibri" w:eastAsia="calibri"/>
                      <w:sz w:val="24"/>
                    </w:rPr>
                    <w:t>6~9</w:t>
                  </w:r>
                </w:p>
              </w:tc>
              <w:tc>
                <w:tcPr>
                  <w:tcW w:type="dxa" w:w="2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calibri" w:hAnsi="calibri" w:cs="calibri" w:eastAsia="calibri"/>
                      <w:sz w:val="24"/>
                    </w:rPr>
                    <w:t>250</w:t>
                  </w:r>
                </w:p>
              </w:tc>
              <w:tc>
                <w:tcPr>
                  <w:tcW w:type="dxa" w:w="2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calibri" w:hAnsi="calibri" w:cs="calibri" w:eastAsia="calibri"/>
                      <w:sz w:val="24"/>
                    </w:rPr>
                    <w:t>100</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calibri" w:hAnsi="calibri" w:cs="calibri" w:eastAsia="calibri"/>
                      <w:sz w:val="24"/>
                    </w:rPr>
                    <w:t>60</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calibri" w:hAnsi="calibri" w:cs="calibri" w:eastAsia="calibri"/>
                      <w:sz w:val="24"/>
                    </w:rPr>
                    <w:t>25</w:t>
                  </w:r>
                </w:p>
              </w:tc>
              <w:tc>
                <w:tcPr>
                  <w:tcW w:type="dxa" w:w="7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calibri" w:hAnsi="calibri" w:cs="calibri" w:eastAsia="calibri"/>
                      <w:sz w:val="24"/>
                    </w:rPr>
                    <w:t>5000</w:t>
                  </w:r>
                </w:p>
              </w:tc>
            </w:tr>
          </w:tbl>
          <w:p>
            <w:pPr>
              <w:pStyle w:val="null3"/>
              <w:ind w:firstLine="560"/>
              <w:jc w:val="both"/>
            </w:pPr>
            <w:r>
              <w:rPr>
                <w:rFonts w:ascii="&quot;times new roman&quot;" w:hAnsi="&quot;times new roman&quot;" w:cs="&quot;times new roman&quot;" w:eastAsia="&quot;times new roman&quot;"/>
                <w:sz w:val="21"/>
              </w:rPr>
              <w:t>注：当地方标准与国家标准不一致时，以最高标准为最终标准。</w:t>
            </w:r>
          </w:p>
          <w:p>
            <w:pPr>
              <w:pStyle w:val="null3"/>
              <w:ind w:firstLine="560"/>
              <w:jc w:val="both"/>
            </w:pPr>
            <w:r>
              <w:rPr>
                <w:rFonts w:ascii="&quot;times new roman&quot;" w:hAnsi="&quot;times new roman&quot;" w:cs="&quot;times new roman&quot;" w:eastAsia="&quot;times new roman&quot;"/>
                <w:sz w:val="21"/>
              </w:rPr>
              <w:t>此外按照新的排污许可证要求，医院需要开展污水、臭气、噪音等方面的自行检测，乙方需达到自行检测方案中与污水站相关的各项指标要求。</w:t>
            </w:r>
          </w:p>
          <w:p>
            <w:pPr>
              <w:pStyle w:val="null3"/>
              <w:ind w:firstLine="560"/>
              <w:jc w:val="both"/>
            </w:pPr>
            <w:r>
              <w:rPr>
                <w:rFonts w:ascii="&quot;times new roman&quot;" w:hAnsi="&quot;times new roman&quot;" w:cs="&quot;times new roman&quot;" w:eastAsia="&quot;times new roman&quot;"/>
                <w:sz w:val="21"/>
              </w:rPr>
              <w:t>3、确保环保部门检查及抽样检测结果均达标，若因乙方原因导致污水排放未达到《黄河流域（陕西段）污水综合排放标准》（DB61／224-2011）中二级标准，《医疗机构水污染物排放标准》（GB18466-2005）中预处理标准和《污水排入城镇下水道水质标准》（GBT31962-2015）标准，确保环保部门检查及抽样检测结果均达标，若因运营服务承包方原因私自停运或水排放未达到标准所带来的后果及处罚均由运营服务承包方承担。</w:t>
            </w:r>
          </w:p>
          <w:p>
            <w:pPr>
              <w:pStyle w:val="null3"/>
              <w:ind w:firstLine="560"/>
              <w:jc w:val="both"/>
            </w:pPr>
            <w:r>
              <w:rPr>
                <w:rFonts w:ascii="&quot;times new roman&quot;" w:hAnsi="&quot;times new roman&quot;" w:cs="&quot;times new roman&quot;" w:eastAsia="&quot;times new roman&quot;"/>
                <w:sz w:val="21"/>
              </w:rPr>
              <w:t>4、监督完成检测公司进行污水的日检、周检、月检、季检的采样工作，整理保存相关的检测报告，并协助检测公司完成网上的各项报告的上报工作。</w:t>
            </w:r>
          </w:p>
          <w:p>
            <w:pPr>
              <w:pStyle w:val="null3"/>
              <w:ind w:firstLine="560"/>
              <w:jc w:val="both"/>
            </w:pPr>
            <w:r>
              <w:rPr>
                <w:rFonts w:ascii="&quot;times new roman&quot;" w:hAnsi="&quot;times new roman&quot;" w:cs="&quot;times new roman&quot;" w:eastAsia="&quot;times new roman&quot;"/>
                <w:sz w:val="21"/>
              </w:rPr>
              <w:t>5、在乙方承包期间须接受甲方的监管，若甲方发现乙方违反下列规定，可对乙方进行1000元/次的处罚。</w:t>
            </w:r>
          </w:p>
          <w:p>
            <w:pPr>
              <w:pStyle w:val="null3"/>
              <w:ind w:firstLine="560"/>
              <w:jc w:val="both"/>
            </w:pPr>
            <w:r>
              <w:rPr>
                <w:rFonts w:ascii="&quot;times new roman&quot;" w:hAnsi="&quot;times new roman&quot;" w:cs="&quot;times new roman&quot;" w:eastAsia="&quot;times new roman&quot;"/>
                <w:sz w:val="21"/>
              </w:rPr>
              <w:t>主要规定如下：保证人员按时在岗；工作期间不得抽烟、酗酒；不得带与工作无关的人进入工作区域；</w:t>
            </w:r>
          </w:p>
          <w:p>
            <w:pPr>
              <w:pStyle w:val="null3"/>
              <w:ind w:firstLine="560"/>
              <w:jc w:val="both"/>
            </w:pPr>
            <w:r>
              <w:rPr>
                <w:rFonts w:ascii="&quot;times new roman&quot;" w:hAnsi="&quot;times new roman&quot;" w:cs="&quot;times new roman&quot;" w:eastAsia="&quot;times new roman&quot;"/>
                <w:sz w:val="21"/>
              </w:rPr>
              <w:t>持环境卫生的整洁；不得违反甲方的其他规定。</w:t>
            </w:r>
          </w:p>
          <w:p>
            <w:pPr>
              <w:pStyle w:val="null3"/>
              <w:ind w:firstLine="560"/>
              <w:jc w:val="both"/>
            </w:pPr>
            <w:r>
              <w:rPr>
                <w:rFonts w:ascii="&quot;times new roman&quot;" w:hAnsi="&quot;times new roman&quot;" w:cs="&quot;times new roman&quot;" w:eastAsia="&quot;times new roman&quot;"/>
                <w:sz w:val="21"/>
              </w:rPr>
              <w:t>6、乙方负责设备的维修和零配件的更换，一千元以下的单个配件由乙方负责，单次维修和零配件的更换费用为一千元以上的由甲方负责或乙方报甲方同意后由乙方购买，甲方认质认价验收后给予报销。</w:t>
            </w:r>
          </w:p>
          <w:p>
            <w:pPr>
              <w:pStyle w:val="null3"/>
              <w:ind w:firstLine="560"/>
              <w:jc w:val="both"/>
            </w:pPr>
            <w:r>
              <w:rPr>
                <w:rFonts w:ascii="&quot;times new roman&quot;" w:hAnsi="&quot;times new roman&quot;" w:cs="&quot;times new roman&quot;" w:eastAsia="&quot;times new roman&quot;"/>
                <w:sz w:val="21"/>
              </w:rPr>
              <w:t>7、人员配置各站四人，工人2人，维修人员1人，管理人员1人。</w:t>
            </w:r>
          </w:p>
          <w:p>
            <w:pPr>
              <w:pStyle w:val="null3"/>
              <w:ind w:firstLine="560"/>
              <w:jc w:val="both"/>
            </w:pPr>
            <w:r>
              <w:rPr>
                <w:rFonts w:ascii="&quot;times new roman&quot;" w:hAnsi="&quot;times new roman&quot;" w:cs="&quot;times new roman&quot;" w:eastAsia="&quot;times new roman&quot;"/>
                <w:sz w:val="21"/>
                <w:b/>
              </w:rPr>
              <w:t>五、商务要求</w:t>
            </w:r>
          </w:p>
          <w:p>
            <w:pPr>
              <w:pStyle w:val="null3"/>
              <w:ind w:firstLine="560"/>
              <w:jc w:val="both"/>
            </w:pPr>
            <w:r>
              <w:rPr>
                <w:rFonts w:ascii="&quot;times new roman&quot;" w:hAnsi="&quot;times new roman&quot;" w:cs="&quot;times new roman&quot;" w:eastAsia="&quot;times new roman&quot;"/>
                <w:sz w:val="21"/>
              </w:rPr>
              <w:t>（一）服务期限：一年。</w:t>
            </w:r>
          </w:p>
          <w:p>
            <w:pPr>
              <w:pStyle w:val="null3"/>
              <w:ind w:firstLine="560"/>
              <w:jc w:val="both"/>
            </w:pPr>
            <w:r>
              <w:rPr>
                <w:rFonts w:ascii="&quot;times new roman&quot;" w:hAnsi="&quot;times new roman&quot;" w:cs="&quot;times new roman&quot;" w:eastAsia="&quot;times new roman&quot;"/>
                <w:sz w:val="21"/>
              </w:rPr>
              <w:t>（二）款项结算：每三个月支付一次，共支付四次。</w:t>
            </w:r>
          </w:p>
          <w:p>
            <w:pPr>
              <w:pStyle w:val="null3"/>
              <w:jc w:val="both"/>
            </w:pPr>
            <w:r>
              <w:rPr>
                <w:rFonts w:ascii="&quot;times new roman&quot;" w:hAnsi="&quot;times new roman&quot;" w:cs="&quot;times new roman&quot;" w:eastAsia="&quot;times new roman&quot;"/>
                <w:sz w:val="21"/>
                <w:b/>
              </w:rPr>
              <w:t>六、其他</w:t>
            </w:r>
          </w:p>
          <w:p>
            <w:pPr>
              <w:pStyle w:val="null3"/>
              <w:ind w:firstLine="480"/>
              <w:jc w:val="both"/>
            </w:pPr>
            <w:r>
              <w:rPr>
                <w:rFonts w:ascii="&quot;times new roman&quot;" w:hAnsi="&quot;times new roman&quot;" w:cs="&quot;times new roman&quot;" w:eastAsia="&quot;times new roman&quot;"/>
                <w:sz w:val="21"/>
              </w:rPr>
              <w:t xml:space="preserve"> 1、成果交付要求</w:t>
            </w:r>
          </w:p>
          <w:p>
            <w:pPr>
              <w:pStyle w:val="null3"/>
              <w:ind w:firstLine="560"/>
              <w:jc w:val="both"/>
            </w:pPr>
            <w:r>
              <w:rPr>
                <w:rFonts w:ascii="&quot;times new roman&quot;" w:hAnsi="&quot;times new roman&quot;" w:cs="&quot;times new roman&quot;" w:eastAsia="&quot;times new roman&quot;"/>
                <w:sz w:val="21"/>
              </w:rPr>
              <w:t>服务效果应达到国家有关医院污水处理运行外包服务标准。</w:t>
            </w:r>
          </w:p>
          <w:p>
            <w:pPr>
              <w:pStyle w:val="null3"/>
              <w:ind w:firstLine="560"/>
              <w:jc w:val="both"/>
            </w:pPr>
            <w:r>
              <w:rPr>
                <w:rFonts w:ascii="&quot;times new roman&quot;" w:hAnsi="&quot;times new roman&quot;" w:cs="&quot;times new roman&quot;" w:eastAsia="&quot;times new roman&quot;"/>
                <w:sz w:val="21"/>
              </w:rPr>
              <w:t xml:space="preserve">2、质量验收标准或规范：  </w:t>
            </w:r>
          </w:p>
          <w:p>
            <w:pPr>
              <w:pStyle w:val="null3"/>
              <w:ind w:firstLine="560"/>
              <w:jc w:val="both"/>
            </w:pPr>
            <w:r>
              <w:rPr>
                <w:rFonts w:ascii="&quot;times new roman&quot;" w:hAnsi="&quot;times new roman&quot;" w:cs="&quot;times new roman&quot;" w:eastAsia="&quot;times new roman&quot;"/>
                <w:sz w:val="21"/>
              </w:rPr>
              <w:t>参考行业标准</w:t>
            </w:r>
          </w:p>
          <w:p>
            <w:pPr>
              <w:pStyle w:val="null3"/>
            </w:pPr>
            <w:r>
              <w:rPr>
                <w:rFonts w:ascii="&quot;times new roman&quot;" w:hAnsi="&quot;times new roman&quot;" w:cs="&quot;times new roman&quot;" w:eastAsia="&quot;times new roman&quot;"/>
                <w:sz w:val="21"/>
              </w:rPr>
              <w:t>附件一</w:t>
            </w:r>
          </w:p>
          <w:tbl>
            <w:tblPr>
              <w:tblBorders>
                <w:top w:val="none" w:color="000000" w:sz="4"/>
                <w:left w:val="none" w:color="000000" w:sz="4"/>
                <w:bottom w:val="none" w:color="000000" w:sz="4"/>
                <w:right w:val="none" w:color="000000" w:sz="4"/>
                <w:insideH w:val="none"/>
                <w:insideV w:val="none"/>
              </w:tblBorders>
            </w:tblPr>
            <w:tblGrid>
              <w:gridCol w:w="254"/>
              <w:gridCol w:w="2298"/>
              <w:gridCol w:w="254"/>
            </w:tblGrid>
            <w:tr>
              <w:tc>
                <w:tcPr>
                  <w:tcW w:type="dxa" w:w="25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服务内容</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1</w:t>
                  </w:r>
                </w:p>
              </w:tc>
              <w:tc>
                <w:tcPr>
                  <w:tcW w:type="dxa" w:w="25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21"/>
                    </w:rPr>
                    <w:t xml:space="preserve">  对污水站各项设施进行日常管理维护，保证处理设施正常运行，污水排放达到国家有关标准要求。</w:t>
                  </w:r>
                </w:p>
                <w:p>
                  <w:pPr>
                    <w:pStyle w:val="null3"/>
                  </w:pPr>
                  <w:r>
                    <w:rPr>
                      <w:rFonts w:ascii="&quot;times new roman&quot;" w:hAnsi="&quot;times new roman&quot;" w:cs="&quot;times new roman&quot;" w:eastAsia="&quot;times new roman&quot;"/>
                      <w:sz w:val="21"/>
                    </w:rPr>
                    <w:t>（1）定期清理格栅池垃圾；</w:t>
                  </w:r>
                </w:p>
                <w:p>
                  <w:pPr>
                    <w:pStyle w:val="null3"/>
                  </w:pPr>
                  <w:r>
                    <w:rPr>
                      <w:rFonts w:ascii="&quot;times new roman&quot;" w:hAnsi="&quot;times new roman&quot;" w:cs="&quot;times new roman&quot;" w:eastAsia="&quot;times new roman&quot;"/>
                      <w:sz w:val="21"/>
                    </w:rPr>
                    <w:t>（2）定期检查出水池液位是否正常；</w:t>
                  </w:r>
                </w:p>
                <w:p>
                  <w:pPr>
                    <w:pStyle w:val="null3"/>
                  </w:pPr>
                  <w:r>
                    <w:rPr>
                      <w:rFonts w:ascii="&quot;times new roman&quot;" w:hAnsi="&quot;times new roman&quot;" w:cs="&quot;times new roman&quot;" w:eastAsia="&quot;times new roman&quot;"/>
                      <w:sz w:val="21"/>
                    </w:rPr>
                    <w:t>（3）定期检查设备调节池内的水位控制器动作是否正常，一旦发现问题应及时修复调整；</w:t>
                  </w:r>
                </w:p>
                <w:p>
                  <w:pPr>
                    <w:pStyle w:val="null3"/>
                  </w:pPr>
                  <w:r>
                    <w:rPr>
                      <w:rFonts w:ascii="&quot;times new roman&quot;" w:hAnsi="&quot;times new roman&quot;" w:cs="&quot;times new roman&quot;" w:eastAsia="&quot;times new roman&quot;"/>
                      <w:sz w:val="21"/>
                    </w:rPr>
                    <w:t>（4）定期检查“手动”功能是否正常，如有故障及时排除；</w:t>
                  </w:r>
                </w:p>
                <w:p>
                  <w:pPr>
                    <w:pStyle w:val="null3"/>
                  </w:pPr>
                  <w:r>
                    <w:rPr>
                      <w:rFonts w:ascii="&quot;times new roman&quot;" w:hAnsi="&quot;times new roman&quot;" w:cs="&quot;times new roman&quot;" w:eastAsia="&quot;times new roman&quot;"/>
                      <w:sz w:val="21"/>
                    </w:rPr>
                    <w:t>（5）定期检查控制柜内的电子元件技术性能是否良好，如有误差及时维修或调整；</w:t>
                  </w:r>
                </w:p>
                <w:p>
                  <w:pPr>
                    <w:pStyle w:val="null3"/>
                  </w:pPr>
                  <w:r>
                    <w:rPr>
                      <w:rFonts w:ascii="&quot;times new roman&quot;" w:hAnsi="&quot;times new roman&quot;" w:cs="&quot;times new roman&quot;" w:eastAsia="&quot;times new roman&quot;"/>
                      <w:sz w:val="21"/>
                    </w:rPr>
                    <w:t>（6）定期检查控制柜的液位信号、工作指示信号及报警信号是否正常，如发现问题及时修复或更换；</w:t>
                  </w:r>
                </w:p>
                <w:p>
                  <w:pPr>
                    <w:pStyle w:val="null3"/>
                  </w:pPr>
                  <w:r>
                    <w:rPr>
                      <w:rFonts w:ascii="&quot;times new roman&quot;" w:hAnsi="&quot;times new roman&quot;" w:cs="&quot;times new roman&quot;" w:eastAsia="&quot;times new roman&quot;"/>
                      <w:sz w:val="21"/>
                    </w:rPr>
                    <w:t>（7）定期检测机电设备的工作运行电流并做记录，如有异常应及时检查原因并作相应处理；</w:t>
                  </w:r>
                </w:p>
                <w:p>
                  <w:pPr>
                    <w:pStyle w:val="null3"/>
                  </w:pPr>
                  <w:r>
                    <w:rPr>
                      <w:rFonts w:ascii="&quot;times new roman&quot;" w:hAnsi="&quot;times new roman&quot;" w:cs="&quot;times new roman&quot;" w:eastAsia="&quot;times new roman&quot;"/>
                      <w:sz w:val="21"/>
                    </w:rPr>
                    <w:t>（8）检查污水消毒设备是否正常，消毒剂是否有效，如发现问题及时修复或更换；</w:t>
                  </w:r>
                </w:p>
                <w:p>
                  <w:pPr>
                    <w:pStyle w:val="null3"/>
                  </w:pPr>
                  <w:r>
                    <w:rPr>
                      <w:rFonts w:ascii="&quot;times new roman&quot;" w:hAnsi="&quot;times new roman&quot;" w:cs="&quot;times new roman&quot;" w:eastAsia="&quot;times new roman&quot;"/>
                      <w:sz w:val="21"/>
                    </w:rPr>
                    <w:t>（9）做好工作记录，日常的维修保养记录；</w:t>
                  </w:r>
                </w:p>
                <w:p>
                  <w:pPr>
                    <w:pStyle w:val="null3"/>
                  </w:pPr>
                  <w:r>
                    <w:rPr>
                      <w:rFonts w:ascii="&quot;times new roman&quot;" w:hAnsi="&quot;times new roman&quot;" w:cs="&quot;times new roman&quot;" w:eastAsia="&quot;times new roman&quot;"/>
                      <w:sz w:val="21"/>
                    </w:rPr>
                    <w:t>（10）工艺技术工程师对污水站定期巡检；</w:t>
                  </w:r>
                </w:p>
                <w:p>
                  <w:pPr>
                    <w:pStyle w:val="null3"/>
                  </w:pPr>
                  <w:r>
                    <w:rPr>
                      <w:rFonts w:ascii="&quot;times new roman&quot;" w:hAnsi="&quot;times new roman&quot;" w:cs="&quot;times new roman&quot;" w:eastAsia="&quot;times new roman&quot;"/>
                      <w:sz w:val="21"/>
                    </w:rPr>
                    <w:t>（11）每日对水质进行自检，检测项目有：PH、余氯等并做好记录；</w:t>
                  </w:r>
                </w:p>
                <w:p>
                  <w:pPr>
                    <w:pStyle w:val="null3"/>
                  </w:pPr>
                  <w:r>
                    <w:rPr>
                      <w:rFonts w:ascii="&quot;times new roman&quot;" w:hAnsi="&quot;times new roman&quot;" w:cs="&quot;times new roman&quot;" w:eastAsia="&quot;times new roman&quot;"/>
                      <w:sz w:val="21"/>
                    </w:rPr>
                    <w:t>（12）其他与污水站质量相关的临时性工作。</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2</w:t>
                  </w:r>
                </w:p>
              </w:tc>
              <w:tc>
                <w:tcPr>
                  <w:tcW w:type="dxa" w:w="25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1"/>
                    </w:rPr>
                    <w:t>每月工作项目</w:t>
                  </w:r>
                </w:p>
                <w:p>
                  <w:pPr>
                    <w:pStyle w:val="null3"/>
                  </w:pPr>
                  <w:r>
                    <w:rPr>
                      <w:rFonts w:ascii="&quot;times new roman&quot;" w:hAnsi="&quot;times new roman&quot;" w:cs="&quot;times new roman&quot;" w:eastAsia="&quot;times new roman&quot;"/>
                      <w:sz w:val="21"/>
                    </w:rPr>
                    <w:t>（1）清理水泵内的污物以防堵塞；</w:t>
                  </w:r>
                </w:p>
                <w:p>
                  <w:pPr>
                    <w:pStyle w:val="null3"/>
                  </w:pPr>
                  <w:r>
                    <w:rPr>
                      <w:rFonts w:ascii="&quot;times new roman&quot;" w:hAnsi="&quot;times new roman&quot;" w:cs="&quot;times new roman&quot;" w:eastAsia="&quot;times new roman&quot;"/>
                      <w:sz w:val="21"/>
                    </w:rPr>
                    <w:t>（2）调整和加固水泵底座螺丝；</w:t>
                  </w:r>
                </w:p>
                <w:p>
                  <w:pPr>
                    <w:pStyle w:val="null3"/>
                  </w:pPr>
                  <w:r>
                    <w:rPr>
                      <w:rFonts w:ascii="&quot;times new roman&quot;" w:hAnsi="&quot;times new roman&quot;" w:cs="&quot;times new roman&quot;" w:eastAsia="&quot;times new roman&quot;"/>
                      <w:sz w:val="21"/>
                    </w:rPr>
                    <w:t>（3）检测电机绝缘电阻并做记录；</w:t>
                  </w:r>
                </w:p>
                <w:p>
                  <w:pPr>
                    <w:pStyle w:val="null3"/>
                  </w:pPr>
                  <w:r>
                    <w:rPr>
                      <w:rFonts w:ascii="&quot;times new roman&quot;" w:hAnsi="&quot;times new roman&quot;" w:cs="&quot;times new roman&quot;" w:eastAsia="&quot;times new roman&quot;"/>
                      <w:sz w:val="21"/>
                    </w:rPr>
                    <w:t>（4）检查水泵提升链条是否牢固可行，如发现问题应及时更换。</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3</w:t>
                  </w:r>
                </w:p>
              </w:tc>
              <w:tc>
                <w:tcPr>
                  <w:tcW w:type="dxa" w:w="25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1"/>
                    </w:rPr>
                    <w:t>每年/半年工作项目</w:t>
                  </w:r>
                </w:p>
                <w:p>
                  <w:pPr>
                    <w:pStyle w:val="null3"/>
                  </w:pPr>
                  <w:r>
                    <w:rPr>
                      <w:rFonts w:ascii="&quot;times new roman&quot;" w:hAnsi="&quot;times new roman&quot;" w:cs="&quot;times new roman&quot;" w:eastAsia="&quot;times new roman&quot;"/>
                      <w:sz w:val="21"/>
                    </w:rPr>
                    <w:t>（1）对污水站内所有设备、系统每半年进行一次大保养，以确保运行正常；</w:t>
                  </w:r>
                </w:p>
                <w:p>
                  <w:pPr>
                    <w:pStyle w:val="null3"/>
                  </w:pPr>
                  <w:r>
                    <w:rPr>
                      <w:rFonts w:ascii="&quot;times new roman&quot;" w:hAnsi="&quot;times new roman&quot;" w:cs="&quot;times new roman&quot;" w:eastAsia="&quot;times new roman&quot;"/>
                      <w:sz w:val="21"/>
                    </w:rPr>
                    <w:t>（2）对所有污水池每年一次彻底清污；</w:t>
                  </w:r>
                </w:p>
                <w:p>
                  <w:pPr>
                    <w:pStyle w:val="null3"/>
                  </w:pPr>
                  <w:r>
                    <w:rPr>
                      <w:rFonts w:ascii="&quot;times new roman&quot;" w:hAnsi="&quot;times new roman&quot;" w:cs="&quot;times new roman&quot;" w:eastAsia="&quot;times new roman&quot;"/>
                      <w:sz w:val="21"/>
                    </w:rPr>
                    <w:t>（3）污水处理站设施设备的日常保养及设施设备损坏维修均由甲方负责解决；</w:t>
                  </w:r>
                </w:p>
                <w:p>
                  <w:pPr>
                    <w:pStyle w:val="null3"/>
                  </w:pPr>
                  <w:r>
                    <w:rPr>
                      <w:rFonts w:ascii="&quot;times new roman&quot;" w:hAnsi="&quot;times new roman&quot;" w:cs="&quot;times new roman&quot;" w:eastAsia="&quot;times new roman&quot;"/>
                      <w:sz w:val="21"/>
                    </w:rPr>
                    <w:t>（4）所有污水站在院工作人员资料及设备保养维护资料交医院存档。</w:t>
                  </w:r>
                </w:p>
                <w:p>
                  <w:pPr>
                    <w:pStyle w:val="null3"/>
                  </w:pPr>
                  <w:r>
                    <w:rPr>
                      <w:rFonts w:ascii="&quot;times new roman&quot;" w:hAnsi="&quot;times new roman&quot;" w:cs="&quot;times new roman&quot;" w:eastAsia="&quot;times new roman&quot;"/>
                      <w:sz w:val="21"/>
                    </w:rPr>
                    <w:t>（5）污水站台账记录整理装订交医院存档</w:t>
                  </w:r>
                </w:p>
              </w:tc>
            </w:tr>
          </w:tbl>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合同签订后1年</w:t>
      </w:r>
    </w:p>
    <w:p>
      <w:pPr>
        <w:pStyle w:val="null3"/>
        <w:outlineLvl w:val="3"/>
      </w:pPr>
      <w:r>
        <w:rPr>
          <w:sz w:val="24"/>
          <w:b/>
        </w:rPr>
        <w:t>3.3.2服务地点</w:t>
      </w:r>
    </w:p>
    <w:p>
      <w:pPr>
        <w:pStyle w:val="null3"/>
      </w:pPr>
      <w:r>
        <w:rPr/>
        <w:t>采购包1：</w:t>
      </w:r>
    </w:p>
    <w:p>
      <w:pPr>
        <w:pStyle w:val="null3"/>
      </w:pPr>
      <w:r>
        <w:rPr/>
        <w:t>西安市中心医院北大街院区及糖坊街院区污水处理站</w:t>
      </w:r>
    </w:p>
    <w:p>
      <w:pPr>
        <w:pStyle w:val="null3"/>
        <w:outlineLvl w:val="3"/>
      </w:pPr>
      <w:r>
        <w:rPr>
          <w:sz w:val="24"/>
          <w:b/>
        </w:rPr>
        <w:t>3.3.3考核（验收）标准和方法</w:t>
      </w:r>
    </w:p>
    <w:p>
      <w:pPr>
        <w:pStyle w:val="null3"/>
      </w:pPr>
      <w:r>
        <w:rPr/>
        <w:t>采购包1：</w:t>
      </w:r>
    </w:p>
    <w:p>
      <w:pPr>
        <w:pStyle w:val="null3"/>
      </w:pPr>
      <w:r>
        <w:rPr/>
        <w:t>按照国家标准和合同要求执行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每三个月支付一次，共支付四次。</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每三个月支付一次，共支付四次。</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每三个月支付一次，共支付四次。</w:t>
      </w:r>
      <w:r>
        <w:rPr/>
        <w:t xml:space="preserve"> ，达到付款条件起 </w:t>
      </w:r>
      <w:r>
        <w:rPr/>
        <w:t>10</w:t>
      </w:r>
      <w:r>
        <w:rPr/>
        <w:t xml:space="preserve"> 日内，支付合同总金额的 </w:t>
      </w:r>
      <w:r>
        <w:rPr/>
        <w:t>25.00</w:t>
      </w:r>
      <w:r>
        <w:rPr/>
        <w:t>%。</w:t>
      </w:r>
    </w:p>
    <w:p>
      <w:pPr>
        <w:pStyle w:val="null3"/>
      </w:pPr>
      <w:r>
        <w:rPr/>
        <w:t>采购包1：</w:t>
      </w:r>
      <w:r>
        <w:rPr/>
        <w:t xml:space="preserve"> 付款条件说明： </w:t>
      </w:r>
      <w:r>
        <w:rPr/>
        <w:t>每三个月支付一次，共支付四次。</w:t>
      </w:r>
      <w:r>
        <w:rPr/>
        <w:t xml:space="preserve"> ，达到付款条件起 </w:t>
      </w:r>
      <w:r>
        <w:rPr/>
        <w:t>10</w:t>
      </w:r>
      <w:r>
        <w:rPr/>
        <w:t xml:space="preserve"> 日内，支付合同总金额的 </w:t>
      </w:r>
      <w:r>
        <w:rPr/>
        <w:t>25.00</w:t>
      </w:r>
      <w:r>
        <w:rPr/>
        <w:t>%。</w:t>
      </w:r>
    </w:p>
    <w:p>
      <w:pPr>
        <w:pStyle w:val="null3"/>
        <w:outlineLvl w:val="3"/>
      </w:pPr>
      <w:r>
        <w:rPr>
          <w:sz w:val="24"/>
          <w:b/>
        </w:rPr>
        <w:t>3.3.6违约责任及解决争议的方法</w:t>
      </w:r>
    </w:p>
    <w:p>
      <w:pPr>
        <w:pStyle w:val="null3"/>
      </w:pPr>
      <w:r>
        <w:rPr/>
        <w:t>采购包1：</w:t>
      </w:r>
    </w:p>
    <w:p>
      <w:pPr>
        <w:pStyle w:val="null3"/>
      </w:pPr>
      <w:r>
        <w:rPr/>
        <w:t>按照国家标准和合同要求执行</w:t>
      </w:r>
    </w:p>
    <w:p>
      <w:pPr>
        <w:pStyle w:val="null3"/>
        <w:outlineLvl w:val="2"/>
      </w:pPr>
      <w:r>
        <w:rPr>
          <w:sz w:val="28"/>
          <w:b/>
        </w:rPr>
        <w:t>3.4其他要求</w:t>
      </w:r>
    </w:p>
    <w:p>
      <w:pPr>
        <w:pStyle w:val="null3"/>
      </w:pPr>
      <w:r>
        <w:rPr/>
        <w:t>1.具体服务内容以本磋商文件第3章内容为准；2.乙方应在甲方每次付款前提供等额合规发票，否则甲方有权拒付合同款项，且不承担任何责任，乙方亦不得以此为由拒绝履行任意合同义务。</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资格审查资料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应具有在中华人民共和国境内注册，并有效存续的营业执照/事业单位法人证书/非企业专业服务机构执业许可证/民办非企业单位登记证书、税务登记证、组织机构代码证，或“三证合一”后的注册登记证。（营业执照内营业范围需含与环保及污水处理相关的营业范围）。</w:t>
            </w:r>
          </w:p>
        </w:tc>
        <w:tc>
          <w:tcPr>
            <w:tcW w:type="dxa" w:w="1661"/>
          </w:tcPr>
          <w:p>
            <w:pPr>
              <w:pStyle w:val="null3"/>
            </w:pPr>
            <w:r>
              <w:rPr/>
              <w:t>资格审查资料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①2023年度经审计的财务会计报告（至少包括审计报告、资产负债表和利润表，成立时间至提交响应文件截止时间不足一年的可提供成立后任意时段的资产负债表）；②提交响应文件截止时间三个月内企业基本账户开户银行出具的资信证明（附基本存款账户信息）；满足上述两项任意一项即可；</w:t>
            </w:r>
          </w:p>
        </w:tc>
        <w:tc>
          <w:tcPr>
            <w:tcW w:type="dxa" w:w="1661"/>
          </w:tcPr>
          <w:p>
            <w:pPr>
              <w:pStyle w:val="null3"/>
            </w:pPr>
            <w:r>
              <w:rPr/>
              <w:t>资格审查资料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提供投标截止日当年内已缴纳的至少一个月的纳税证明或完税证明（任意税种），依法免税的单位应提供相关证明材料；</w:t>
            </w:r>
          </w:p>
        </w:tc>
        <w:tc>
          <w:tcPr>
            <w:tcW w:type="dxa" w:w="1661"/>
          </w:tcPr>
          <w:p>
            <w:pPr>
              <w:pStyle w:val="null3"/>
            </w:pPr>
            <w:r>
              <w:rPr/>
              <w:t>资格审查资料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提供投标截止日当年内已缴存的至少一个月的社会保障资金缴存单据或社保机构开具的社会保险参保缴费情况证明，依法不需要缴纳社会保障资金的单位应提供相关证明材料；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资格审查资料</w:t>
            </w:r>
          </w:p>
        </w:tc>
      </w:tr>
      <w:tr>
        <w:tc>
          <w:tcPr>
            <w:tcW w:type="dxa" w:w="831"/>
          </w:tcPr>
          <w:p>
            <w:pPr>
              <w:pStyle w:val="null3"/>
            </w:pPr>
            <w:r>
              <w:rPr/>
              <w:t>5</w:t>
            </w:r>
          </w:p>
        </w:tc>
        <w:tc>
          <w:tcPr>
            <w:tcW w:type="dxa" w:w="2492"/>
          </w:tcPr>
          <w:p>
            <w:pPr>
              <w:pStyle w:val="null3"/>
            </w:pPr>
            <w:r>
              <w:rPr/>
              <w:t>法定代表人授权</w:t>
            </w:r>
          </w:p>
        </w:tc>
        <w:tc>
          <w:tcPr>
            <w:tcW w:type="dxa" w:w="3322"/>
          </w:tcPr>
          <w:p>
            <w:pPr>
              <w:pStyle w:val="null3"/>
            </w:pPr>
            <w:r>
              <w:rPr/>
              <w:t>提供法定代表人授权委托书及委托代理人有效身份证原件，法定代表人直接参加磋商会议，需提供法定代表人身份证明及其有效的身份证原件；</w:t>
            </w:r>
          </w:p>
        </w:tc>
        <w:tc>
          <w:tcPr>
            <w:tcW w:type="dxa" w:w="1661"/>
          </w:tcPr>
          <w:p>
            <w:pPr>
              <w:pStyle w:val="null3"/>
            </w:pPr>
            <w:r>
              <w:rPr/>
              <w:t>资格审查资料</w:t>
            </w:r>
          </w:p>
        </w:tc>
      </w:tr>
      <w:tr>
        <w:tc>
          <w:tcPr>
            <w:tcW w:type="dxa" w:w="831"/>
          </w:tcPr>
          <w:p>
            <w:pPr>
              <w:pStyle w:val="null3"/>
            </w:pPr>
            <w:r>
              <w:rPr/>
              <w:t>6</w:t>
            </w:r>
          </w:p>
        </w:tc>
        <w:tc>
          <w:tcPr>
            <w:tcW w:type="dxa" w:w="2492"/>
          </w:tcPr>
          <w:p>
            <w:pPr>
              <w:pStyle w:val="null3"/>
            </w:pPr>
            <w:r>
              <w:rPr/>
              <w:t>信用声明</w:t>
            </w:r>
          </w:p>
        </w:tc>
        <w:tc>
          <w:tcPr>
            <w:tcW w:type="dxa" w:w="3322"/>
          </w:tcPr>
          <w:p>
            <w:pPr>
              <w:pStyle w:val="null3"/>
            </w:pPr>
            <w:r>
              <w:rPr/>
              <w:t>出具参加本次政府采购活动前三年内在经营活动中没有重大违法记录的书面声明</w:t>
            </w:r>
          </w:p>
        </w:tc>
        <w:tc>
          <w:tcPr>
            <w:tcW w:type="dxa" w:w="1661"/>
          </w:tcPr>
          <w:p>
            <w:pPr>
              <w:pStyle w:val="null3"/>
            </w:pPr>
            <w:r>
              <w:rPr/>
              <w:t>资格审查资料</w:t>
            </w:r>
          </w:p>
        </w:tc>
      </w:tr>
      <w:tr>
        <w:tc>
          <w:tcPr>
            <w:tcW w:type="dxa" w:w="831"/>
          </w:tcPr>
          <w:p>
            <w:pPr>
              <w:pStyle w:val="null3"/>
            </w:pPr>
            <w:r>
              <w:rPr/>
              <w:t>7</w:t>
            </w:r>
          </w:p>
        </w:tc>
        <w:tc>
          <w:tcPr>
            <w:tcW w:type="dxa" w:w="2492"/>
          </w:tcPr>
          <w:p>
            <w:pPr>
              <w:pStyle w:val="null3"/>
            </w:pPr>
            <w:r>
              <w:rPr/>
              <w:t>信用截图</w:t>
            </w:r>
          </w:p>
        </w:tc>
        <w:tc>
          <w:tcPr>
            <w:tcW w:type="dxa" w:w="3322"/>
          </w:tcPr>
          <w:p>
            <w:pPr>
              <w:pStyle w:val="null3"/>
            </w:pPr>
            <w:r>
              <w:rPr/>
              <w:t>供应商不得为“信用中国”网站（https://www.creditchina.gov.cn/）中列入失信被执行人和重大税收违法案件当事人名单的供应商，不得为中国政府采购（http://www.ccgp.gov.cn/）政府采购严重违法失信行为记录名单中被财政部门禁止参加政府采购活动的供应商；</w:t>
            </w:r>
          </w:p>
        </w:tc>
        <w:tc>
          <w:tcPr>
            <w:tcW w:type="dxa" w:w="1661"/>
          </w:tcPr>
          <w:p>
            <w:pPr>
              <w:pStyle w:val="null3"/>
            </w:pPr>
            <w:r>
              <w:rPr/>
              <w:t>资格审查资料</w:t>
            </w:r>
          </w:p>
        </w:tc>
      </w:tr>
      <w:tr>
        <w:tc>
          <w:tcPr>
            <w:tcW w:type="dxa" w:w="831"/>
          </w:tcPr>
          <w:p>
            <w:pPr>
              <w:pStyle w:val="null3"/>
            </w:pPr>
            <w:r>
              <w:rPr/>
              <w:t>8</w:t>
            </w:r>
          </w:p>
        </w:tc>
        <w:tc>
          <w:tcPr>
            <w:tcW w:type="dxa" w:w="2492"/>
          </w:tcPr>
          <w:p>
            <w:pPr>
              <w:pStyle w:val="null3"/>
            </w:pPr>
            <w:r>
              <w:rPr/>
              <w:t>具备履行合同所必需的设备和专业技术能力</w:t>
            </w:r>
          </w:p>
        </w:tc>
        <w:tc>
          <w:tcPr>
            <w:tcW w:type="dxa" w:w="3322"/>
          </w:tcPr>
          <w:p>
            <w:pPr>
              <w:pStyle w:val="null3"/>
            </w:pPr>
            <w:r>
              <w:rPr/>
              <w:t>具备履行合同所必需的设备和专业技术能力的证明材料</w:t>
            </w:r>
          </w:p>
        </w:tc>
        <w:tc>
          <w:tcPr>
            <w:tcW w:type="dxa" w:w="1661"/>
          </w:tcPr>
          <w:p>
            <w:pPr>
              <w:pStyle w:val="null3"/>
            </w:pPr>
            <w:r>
              <w:rPr/>
              <w:t>资格审查资料</w:t>
            </w:r>
          </w:p>
        </w:tc>
      </w:tr>
      <w:tr>
        <w:tc>
          <w:tcPr>
            <w:tcW w:type="dxa" w:w="831"/>
          </w:tcPr>
          <w:p>
            <w:pPr>
              <w:pStyle w:val="null3"/>
            </w:pPr>
            <w:r>
              <w:rPr/>
              <w:t>9</w:t>
            </w:r>
          </w:p>
        </w:tc>
        <w:tc>
          <w:tcPr>
            <w:tcW w:type="dxa" w:w="2492"/>
          </w:tcPr>
          <w:p>
            <w:pPr>
              <w:pStyle w:val="null3"/>
            </w:pPr>
            <w:r>
              <w:rPr/>
              <w:t>关联关系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资格审查资料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整体服务方案</w:t>
            </w:r>
          </w:p>
        </w:tc>
        <w:tc>
          <w:tcPr>
            <w:tcW w:type="dxa" w:w="2492"/>
          </w:tcPr>
          <w:p>
            <w:pPr>
              <w:pStyle w:val="null3"/>
            </w:pPr>
            <w:r>
              <w:rPr/>
              <w:t>一、评审内容 针对本项目提供详细的项目实施方案包括但不限于 ①日常运行管理方案； ②污水处理、管理、维护、维修方案；③污水站药剂配比储存方案； ④污水达标排放方案； ⑤水池清理方案； ⑥水质检测方案。 二、评审标准 1、完善性：方案必须全面，对评审内容中的各项要求有详细阐述；2、可实施性：切合本项目实际情况，提出步骤清晰、合理的方案；3、针对性：方案能够紧扣项目实际情况，内容科学合理。上述6项评审内容全部满足评审标准得24分，每有一个评审内容缺项扣4分，每有一项评审内容存在缺陷，扣（1-4）分，扣完为止。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24.0000</w:t>
            </w:r>
          </w:p>
        </w:tc>
        <w:tc>
          <w:tcPr>
            <w:tcW w:type="dxa" w:w="831"/>
          </w:tcPr>
          <w:p>
            <w:pPr>
              <w:pStyle w:val="null3"/>
            </w:pPr>
            <w:r>
              <w:rPr/>
              <w:t>主观</w:t>
            </w:r>
          </w:p>
        </w:tc>
        <w:tc>
          <w:tcPr>
            <w:tcW w:type="dxa" w:w="1661"/>
          </w:tcPr>
          <w:p>
            <w:pPr>
              <w:pStyle w:val="null3"/>
            </w:pPr>
            <w:r>
              <w:rPr/>
              <w:t>整体服务方案</w:t>
            </w:r>
          </w:p>
          <w:p>
            <w:pPr>
              <w:pStyle w:val="null3"/>
            </w:pPr>
            <w:r>
              <w:rPr/>
              <w:t>技术条款响应偏离表</w:t>
            </w:r>
          </w:p>
        </w:tc>
      </w:tr>
      <w:tr>
        <w:tc>
          <w:tcPr>
            <w:tcW w:type="dxa" w:w="831"/>
            <w:vMerge/>
          </w:tcPr>
          <w:p/>
        </w:tc>
        <w:tc>
          <w:tcPr>
            <w:tcW w:type="dxa" w:w="1661"/>
          </w:tcPr>
          <w:p>
            <w:pPr>
              <w:pStyle w:val="null3"/>
            </w:pPr>
            <w:r>
              <w:rPr/>
              <w:t>保障措施</w:t>
            </w:r>
          </w:p>
        </w:tc>
        <w:tc>
          <w:tcPr>
            <w:tcW w:type="dxa" w:w="2492"/>
          </w:tcPr>
          <w:p>
            <w:pPr>
              <w:pStyle w:val="null3"/>
            </w:pPr>
            <w:r>
              <w:rPr/>
              <w:t>一、评审内容 针对本项目提供详细完善的服务计划及保障措施，包括但不限于 ①质量保障措施； ②进度保障措施； ③安全保障措施等内容。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上述3项评审内容全部满足评审标准得12分，每有一个评审内容缺项扣4分，每有一项评审内容存在缺陷，扣（1-4）分，扣完为止。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保障措施</w:t>
            </w:r>
          </w:p>
        </w:tc>
      </w:tr>
      <w:tr>
        <w:tc>
          <w:tcPr>
            <w:tcW w:type="dxa" w:w="831"/>
            <w:vMerge/>
          </w:tcPr>
          <w:p/>
        </w:tc>
        <w:tc>
          <w:tcPr>
            <w:tcW w:type="dxa" w:w="1661"/>
          </w:tcPr>
          <w:p>
            <w:pPr>
              <w:pStyle w:val="null3"/>
            </w:pPr>
            <w:r>
              <w:rPr/>
              <w:t>应急预案</w:t>
            </w:r>
          </w:p>
        </w:tc>
        <w:tc>
          <w:tcPr>
            <w:tcW w:type="dxa" w:w="2492"/>
          </w:tcPr>
          <w:p>
            <w:pPr>
              <w:pStyle w:val="null3"/>
            </w:pPr>
            <w:r>
              <w:rPr/>
              <w:t>一、评审内容 针对本项目提供详尽的应急预案，包含但不限于针对本项目的 ①出现问题或突发情况响应时间； ②因不可抗拒的自然灾害导致污水处理站超负荷运行； ③水质水量异常时投加的各类药剂。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上述3项评审内容全部满足评审标准得12分，每有一个评审内容缺项扣4分，每有一项评审内容存在缺陷，扣（1-4）分，扣完为止。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应急预案</w:t>
            </w:r>
          </w:p>
        </w:tc>
      </w:tr>
      <w:tr>
        <w:tc>
          <w:tcPr>
            <w:tcW w:type="dxa" w:w="831"/>
            <w:vMerge/>
          </w:tcPr>
          <w:p/>
        </w:tc>
        <w:tc>
          <w:tcPr>
            <w:tcW w:type="dxa" w:w="1661"/>
          </w:tcPr>
          <w:p>
            <w:pPr>
              <w:pStyle w:val="null3"/>
            </w:pPr>
            <w:r>
              <w:rPr/>
              <w:t>服务考核</w:t>
            </w:r>
          </w:p>
        </w:tc>
        <w:tc>
          <w:tcPr>
            <w:tcW w:type="dxa" w:w="2492"/>
          </w:tcPr>
          <w:p>
            <w:pPr>
              <w:pStyle w:val="null3"/>
            </w:pPr>
            <w:r>
              <w:rPr/>
              <w:t>服务考核：服务管理责任清晰，有完善的监督、管理、考核标准，制定切实可行的考核管理办法计 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服务考核和合理化建议</w:t>
            </w:r>
          </w:p>
        </w:tc>
      </w:tr>
      <w:tr>
        <w:tc>
          <w:tcPr>
            <w:tcW w:type="dxa" w:w="831"/>
            <w:vMerge/>
          </w:tcPr>
          <w:p/>
        </w:tc>
        <w:tc>
          <w:tcPr>
            <w:tcW w:type="dxa" w:w="1661"/>
          </w:tcPr>
          <w:p>
            <w:pPr>
              <w:pStyle w:val="null3"/>
            </w:pPr>
            <w:r>
              <w:rPr/>
              <w:t>合理化建议</w:t>
            </w:r>
          </w:p>
        </w:tc>
        <w:tc>
          <w:tcPr>
            <w:tcW w:type="dxa" w:w="2492"/>
          </w:tcPr>
          <w:p>
            <w:pPr>
              <w:pStyle w:val="null3"/>
            </w:pPr>
            <w:r>
              <w:rPr/>
              <w:t>合理化建议：针对本项目污水处理设备、设施的日常使用、维护保养提出合理化建议和 方案，计 0-5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服务考核和合理化建议</w:t>
            </w:r>
          </w:p>
        </w:tc>
      </w:tr>
      <w:tr>
        <w:tc>
          <w:tcPr>
            <w:tcW w:type="dxa" w:w="831"/>
            <w:vMerge/>
          </w:tcPr>
          <w:p/>
        </w:tc>
        <w:tc>
          <w:tcPr>
            <w:tcW w:type="dxa" w:w="1661"/>
          </w:tcPr>
          <w:p>
            <w:pPr>
              <w:pStyle w:val="null3"/>
            </w:pPr>
            <w:r>
              <w:rPr/>
              <w:t>项目人员</w:t>
            </w:r>
          </w:p>
        </w:tc>
        <w:tc>
          <w:tcPr>
            <w:tcW w:type="dxa" w:w="2492"/>
          </w:tcPr>
          <w:p>
            <w:pPr>
              <w:pStyle w:val="null3"/>
            </w:pPr>
            <w:r>
              <w:rPr/>
              <w:t>根据供应商提供的项目负责人资格、环保及维保组织架构、人员配置情况（包括岗位设置等），其中环保及污水运行日常管理人员配备，以及对磋商文件的响应程度进行综合赋分，分档评分，组织架构、人员配置合理得当赋：6-10 分］； 基本满足磋商文件需求赋：［3-6 分)； 人员不合理不恰当赋：［0-3 分）。 注：具体请查看磋商文件第五章采购内容和要求。</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项目人员</w:t>
            </w:r>
          </w:p>
        </w:tc>
      </w:tr>
      <w:tr>
        <w:tc>
          <w:tcPr>
            <w:tcW w:type="dxa" w:w="831"/>
            <w:vMerge/>
          </w:tcPr>
          <w:p/>
        </w:tc>
        <w:tc>
          <w:tcPr>
            <w:tcW w:type="dxa" w:w="1661"/>
          </w:tcPr>
          <w:p>
            <w:pPr>
              <w:pStyle w:val="null3"/>
            </w:pPr>
            <w:r>
              <w:rPr/>
              <w:t>服务承诺</w:t>
            </w:r>
          </w:p>
        </w:tc>
        <w:tc>
          <w:tcPr>
            <w:tcW w:type="dxa" w:w="2492"/>
          </w:tcPr>
          <w:p>
            <w:pPr>
              <w:pStyle w:val="null3"/>
            </w:pPr>
            <w:r>
              <w:rPr/>
              <w:t>对供应商服务过程中的质量、进度、安全、节能、环保、运维、维修响应时间、以及由于供应商自身原因造成损坏的赔偿承诺，进行综合赋分，按其响应程度计0-5分。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供应商提供自2022年1月1日至今（以合同签订时间为准）具有类似业绩，磋商响应文件中附其业绩证明材料，每提供一个计2分，满分6分。 备注：证明材料为合同复印件加盖单位公章。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磋商报价采用低价优先法计算，即满足磋商文件要求且最终磋商报价最低的报价为评审基准价，其价格分为满分。其他供应商的价格分统一按照下列公式计算： 磋商报价得分=（评审基准价/最终磋商报价）×20 注：本项目专门面向中小企业，故不再对小微企业、监狱企业、残疾人福利性单位产品的价格给予10%的扣除。</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详见附件：资格审查资料</w:t>
      </w:r>
    </w:p>
    <w:p>
      <w:pPr>
        <w:pStyle w:val="null3"/>
        <w:ind w:firstLine="960"/>
      </w:pPr>
      <w:r>
        <w:rPr/>
        <w:t>详见附件：技术条款响应偏离表</w:t>
      </w:r>
    </w:p>
    <w:p>
      <w:pPr>
        <w:pStyle w:val="null3"/>
        <w:ind w:firstLine="960"/>
      </w:pPr>
      <w:r>
        <w:rPr/>
        <w:t>详见附件：报价表</w:t>
      </w:r>
    </w:p>
    <w:p>
      <w:pPr>
        <w:pStyle w:val="null3"/>
        <w:ind w:firstLine="960"/>
      </w:pPr>
      <w:r>
        <w:rPr/>
        <w:t>详见附件：标的清单</w:t>
      </w:r>
    </w:p>
    <w:p>
      <w:pPr>
        <w:pStyle w:val="null3"/>
        <w:ind w:firstLine="960"/>
      </w:pPr>
      <w:r>
        <w:rPr/>
        <w:t>详见附件：整体服务方案</w:t>
      </w:r>
    </w:p>
    <w:p>
      <w:pPr>
        <w:pStyle w:val="null3"/>
        <w:ind w:firstLine="960"/>
      </w:pPr>
      <w:r>
        <w:rPr/>
        <w:t>详见附件：保障措施</w:t>
      </w:r>
    </w:p>
    <w:p>
      <w:pPr>
        <w:pStyle w:val="null3"/>
        <w:ind w:firstLine="960"/>
      </w:pPr>
      <w:r>
        <w:rPr/>
        <w:t>详见附件：应急预案</w:t>
      </w:r>
    </w:p>
    <w:p>
      <w:pPr>
        <w:pStyle w:val="null3"/>
        <w:ind w:firstLine="960"/>
      </w:pPr>
      <w:r>
        <w:rPr/>
        <w:t>详见附件：服务考核和合理化建议</w:t>
      </w:r>
    </w:p>
    <w:p>
      <w:pPr>
        <w:pStyle w:val="null3"/>
        <w:ind w:firstLine="960"/>
      </w:pPr>
      <w:r>
        <w:rPr/>
        <w:t>详见附件：项目人员</w:t>
      </w:r>
    </w:p>
    <w:p>
      <w:pPr>
        <w:pStyle w:val="null3"/>
        <w:ind w:firstLine="960"/>
      </w:pPr>
      <w:r>
        <w:rPr/>
        <w:t>详见附件：服务承诺</w:t>
      </w:r>
    </w:p>
    <w:p>
      <w:pPr>
        <w:pStyle w:val="null3"/>
        <w:ind w:firstLine="960"/>
      </w:pPr>
      <w:r>
        <w:rPr/>
        <w:t>详见附件：业绩</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详见附件：西安市中心医院-污水参照合同.docx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