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B3548">
      <w:pPr>
        <w:spacing w:line="408" w:lineRule="auto"/>
        <w:jc w:val="center"/>
        <w:outlineLvl w:val="0"/>
        <w:rPr>
          <w:rFonts w:hint="eastAsia" w:ascii="楷体" w:hAnsi="楷体" w:eastAsia="楷体" w:cs="楷体"/>
          <w:bCs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kern w:val="2"/>
          <w:sz w:val="36"/>
          <w:szCs w:val="36"/>
          <w:lang w:val="en-US" w:eastAsia="zh-CN" w:bidi="ar-SA"/>
        </w:rPr>
        <w:t>合同条款及格式</w:t>
      </w:r>
    </w:p>
    <w:p w14:paraId="7B670CE8">
      <w:pPr>
        <w:rPr>
          <w:rFonts w:hint="eastAsia" w:ascii="楷体" w:hAnsi="楷体" w:eastAsia="楷体" w:cs="楷体"/>
        </w:rPr>
      </w:pPr>
    </w:p>
    <w:p w14:paraId="1E0794EB">
      <w:pPr>
        <w:pStyle w:val="2"/>
        <w:rPr>
          <w:rFonts w:hint="eastAsia"/>
        </w:rPr>
      </w:pPr>
    </w:p>
    <w:p w14:paraId="59F30D3B">
      <w:pPr>
        <w:rPr>
          <w:rFonts w:hint="eastAsia" w:ascii="楷体" w:hAnsi="楷体" w:eastAsia="楷体" w:cs="楷体"/>
          <w:b/>
          <w:bCs/>
          <w:color w:val="000000"/>
          <w:sz w:val="48"/>
          <w:szCs w:val="48"/>
        </w:rPr>
      </w:pPr>
    </w:p>
    <w:p w14:paraId="017D6886"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000000"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color w:val="000000"/>
          <w:sz w:val="52"/>
          <w:szCs w:val="52"/>
          <w:u w:val="single"/>
          <w:lang w:val="en-US" w:eastAsia="zh-CN"/>
        </w:rPr>
        <w:t xml:space="preserve">             </w:t>
      </w:r>
      <w:r>
        <w:rPr>
          <w:rFonts w:hint="eastAsia" w:ascii="楷体" w:hAnsi="楷体" w:eastAsia="楷体" w:cs="楷体"/>
          <w:b/>
          <w:bCs/>
          <w:color w:val="000000"/>
          <w:sz w:val="52"/>
          <w:szCs w:val="52"/>
        </w:rPr>
        <w:t>项目合同</w:t>
      </w:r>
    </w:p>
    <w:p w14:paraId="34E16B9B">
      <w:pPr>
        <w:rPr>
          <w:rFonts w:hint="eastAsia" w:ascii="楷体" w:hAnsi="楷体" w:eastAsia="楷体" w:cs="楷体"/>
        </w:rPr>
      </w:pPr>
    </w:p>
    <w:p w14:paraId="6C44CA4B">
      <w:pPr>
        <w:rPr>
          <w:rFonts w:hint="eastAsia" w:ascii="楷体" w:hAnsi="楷体" w:eastAsia="楷体" w:cs="楷体"/>
        </w:rPr>
      </w:pPr>
    </w:p>
    <w:p w14:paraId="6373CC26">
      <w:pPr>
        <w:rPr>
          <w:rFonts w:hint="eastAsia" w:ascii="楷体" w:hAnsi="楷体" w:eastAsia="楷体" w:cs="楷体"/>
        </w:rPr>
      </w:pPr>
    </w:p>
    <w:p w14:paraId="288C9044">
      <w:pPr>
        <w:rPr>
          <w:rFonts w:hint="eastAsia" w:ascii="楷体" w:hAnsi="楷体" w:eastAsia="楷体" w:cs="楷体"/>
        </w:rPr>
      </w:pPr>
    </w:p>
    <w:p w14:paraId="38299CFC">
      <w:pPr>
        <w:jc w:val="center"/>
        <w:rPr>
          <w:rFonts w:hint="eastAsia"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（示范文本）</w:t>
      </w:r>
    </w:p>
    <w:p w14:paraId="187DE347">
      <w:pPr>
        <w:spacing w:before="156" w:beforeLines="50" w:line="408" w:lineRule="auto"/>
        <w:jc w:val="center"/>
        <w:rPr>
          <w:rFonts w:hint="eastAsia" w:ascii="楷体" w:hAnsi="楷体" w:eastAsia="楷体" w:cs="楷体"/>
          <w:b/>
          <w:bCs/>
          <w:sz w:val="36"/>
          <w:szCs w:val="36"/>
        </w:rPr>
      </w:pPr>
      <w:r>
        <w:rPr>
          <w:rFonts w:hint="eastAsia" w:ascii="楷体" w:hAnsi="楷体" w:eastAsia="楷体" w:cs="楷体"/>
          <w:bCs/>
          <w:sz w:val="48"/>
          <w:szCs w:val="48"/>
        </w:rPr>
        <w:br w:type="page"/>
      </w:r>
      <w:r>
        <w:rPr>
          <w:rFonts w:hint="eastAsia" w:ascii="楷体" w:hAnsi="楷体" w:eastAsia="楷体" w:cs="楷体"/>
          <w:b/>
          <w:bCs/>
          <w:sz w:val="36"/>
          <w:szCs w:val="36"/>
        </w:rPr>
        <w:t>第一部分  协议书</w:t>
      </w:r>
    </w:p>
    <w:p w14:paraId="497956AC">
      <w:pPr>
        <w:adjustRightInd w:val="0"/>
        <w:snapToGrid w:val="0"/>
        <w:spacing w:line="580" w:lineRule="exact"/>
        <w:ind w:firstLine="422" w:firstLineChars="200"/>
        <w:rPr>
          <w:rFonts w:hint="eastAsia" w:ascii="楷体" w:hAnsi="楷体" w:eastAsia="楷体" w:cs="楷体"/>
          <w:b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</w:rPr>
        <w:t>采购人（全称）：</w:t>
      </w:r>
      <w:r>
        <w:rPr>
          <w:rFonts w:hint="eastAsia" w:ascii="楷体" w:hAnsi="楷体" w:eastAsia="楷体" w:cs="楷体"/>
          <w:b/>
          <w:u w:val="single"/>
          <w:lang w:val="en-US" w:eastAsia="zh-CN"/>
        </w:rPr>
        <w:t xml:space="preserve">           </w:t>
      </w:r>
    </w:p>
    <w:p w14:paraId="17537765">
      <w:pPr>
        <w:adjustRightInd w:val="0"/>
        <w:snapToGrid w:val="0"/>
        <w:spacing w:line="580" w:lineRule="exact"/>
        <w:ind w:firstLine="422" w:firstLineChars="200"/>
        <w:rPr>
          <w:rFonts w:hint="eastAsia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</w:rPr>
        <w:t>供应商（全称）：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</w:t>
      </w:r>
    </w:p>
    <w:p w14:paraId="4550E3B5">
      <w:pPr>
        <w:adjustRightInd w:val="0"/>
        <w:snapToGrid w:val="0"/>
        <w:spacing w:line="580" w:lineRule="exact"/>
        <w:ind w:firstLine="420" w:firstLineChars="200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根据《中华人民共和国</w:t>
      </w:r>
      <w:r>
        <w:rPr>
          <w:rFonts w:hint="eastAsia" w:ascii="楷体" w:hAnsi="楷体" w:eastAsia="楷体" w:cs="楷体"/>
          <w:lang w:val="en-US" w:eastAsia="zh-CN"/>
        </w:rPr>
        <w:t>民法典</w:t>
      </w:r>
      <w:r>
        <w:rPr>
          <w:rFonts w:hint="eastAsia" w:ascii="楷体" w:hAnsi="楷体" w:eastAsia="楷体" w:cs="楷体"/>
        </w:rPr>
        <w:t>》及其他有关法律、法规，遵循平等、自愿、公平和诚信的原则，双方就下述项目范围与相关服务事项协商一致，订立本合同。</w:t>
      </w:r>
    </w:p>
    <w:p w14:paraId="3DA7FB31">
      <w:pPr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一、项目概况</w:t>
      </w:r>
    </w:p>
    <w:p w14:paraId="7FFE22F4"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1. 项目名称：</w:t>
      </w:r>
      <w:r>
        <w:rPr>
          <w:rFonts w:hint="eastAsia" w:ascii="楷体" w:hAnsi="楷体" w:eastAsia="楷体" w:cs="楷体"/>
          <w:i w:val="0"/>
          <w:iCs w:val="0"/>
          <w:lang w:val="en-US" w:eastAsia="zh-CN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u w:val="single"/>
          <w:lang w:val="en-US" w:eastAsia="zh-CN"/>
        </w:rPr>
        <w:t xml:space="preserve">                      </w:t>
      </w:r>
      <w:r>
        <w:rPr>
          <w:rFonts w:hint="eastAsia" w:ascii="楷体" w:hAnsi="楷体" w:eastAsia="楷体" w:cs="楷体"/>
        </w:rPr>
        <w:t>；</w:t>
      </w:r>
    </w:p>
    <w:p w14:paraId="6AE00461"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2. 项目地点：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</w:rPr>
        <w:t>；</w:t>
      </w:r>
    </w:p>
    <w:p w14:paraId="02F2B9CE">
      <w:pPr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二、组成本合同的文件</w:t>
      </w:r>
    </w:p>
    <w:p w14:paraId="2DB2663E"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1. 协议书；</w:t>
      </w:r>
    </w:p>
    <w:p w14:paraId="301CBD49"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2. </w:t>
      </w:r>
      <w:r>
        <w:rPr>
          <w:rFonts w:hint="eastAsia" w:ascii="楷体" w:hAnsi="楷体" w:eastAsia="楷体" w:cs="楷体"/>
          <w:lang w:eastAsia="zh-CN"/>
        </w:rPr>
        <w:t>成交</w:t>
      </w:r>
      <w:r>
        <w:rPr>
          <w:rFonts w:hint="eastAsia" w:ascii="楷体" w:hAnsi="楷体" w:eastAsia="楷体" w:cs="楷体"/>
        </w:rPr>
        <w:t>通知书、</w:t>
      </w:r>
      <w:r>
        <w:rPr>
          <w:rFonts w:hint="eastAsia" w:ascii="楷体" w:hAnsi="楷体" w:eastAsia="楷体" w:cs="楷体"/>
          <w:lang w:eastAsia="zh-CN"/>
        </w:rPr>
        <w:t>谈判响应</w:t>
      </w:r>
      <w:r>
        <w:rPr>
          <w:rFonts w:hint="eastAsia" w:ascii="楷体" w:hAnsi="楷体" w:eastAsia="楷体" w:cs="楷体"/>
        </w:rPr>
        <w:t>文件、</w:t>
      </w:r>
      <w:r>
        <w:rPr>
          <w:rFonts w:hint="eastAsia" w:ascii="楷体" w:hAnsi="楷体" w:eastAsia="楷体" w:cs="楷体"/>
          <w:lang w:eastAsia="zh-CN"/>
        </w:rPr>
        <w:t>竞争性谈判</w:t>
      </w:r>
      <w:r>
        <w:rPr>
          <w:rFonts w:hint="eastAsia" w:ascii="楷体" w:hAnsi="楷体" w:eastAsia="楷体" w:cs="楷体"/>
        </w:rPr>
        <w:t>文件、澄清、</w:t>
      </w:r>
      <w:r>
        <w:rPr>
          <w:rFonts w:hint="eastAsia" w:ascii="楷体" w:hAnsi="楷体" w:eastAsia="楷体" w:cs="楷体"/>
          <w:lang w:eastAsia="zh-CN"/>
        </w:rPr>
        <w:t>谈判</w:t>
      </w:r>
      <w:r>
        <w:rPr>
          <w:rFonts w:hint="eastAsia" w:ascii="楷体" w:hAnsi="楷体" w:eastAsia="楷体" w:cs="楷体"/>
        </w:rPr>
        <w:t>补充文件；</w:t>
      </w:r>
    </w:p>
    <w:p w14:paraId="46B984E0">
      <w:pPr>
        <w:adjustRightInd w:val="0"/>
        <w:snapToGrid w:val="0"/>
        <w:spacing w:line="58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3. 相关服务建议书；</w:t>
      </w:r>
    </w:p>
    <w:p w14:paraId="0B2E57E0">
      <w:pPr>
        <w:adjustRightInd w:val="0"/>
        <w:snapToGrid w:val="0"/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</w:rPr>
        <w:t xml:space="preserve">  </w:t>
      </w:r>
      <w:r>
        <w:rPr>
          <w:rFonts w:hint="eastAsia" w:ascii="楷体" w:hAnsi="楷体" w:eastAsia="楷体" w:cs="楷体"/>
          <w:b/>
        </w:rPr>
        <w:t>三、合同金额</w:t>
      </w:r>
    </w:p>
    <w:p w14:paraId="1A04B4A4"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合同金额（大写）：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</w:rPr>
        <w:t>（¥</w:t>
      </w:r>
      <w:r>
        <w:rPr>
          <w:rFonts w:hint="eastAsia" w:ascii="楷体" w:hAnsi="楷体" w:eastAsia="楷体" w:cs="楷体"/>
          <w:u w:val="single"/>
        </w:rPr>
        <w:t xml:space="preserve">        </w:t>
      </w:r>
      <w:r>
        <w:rPr>
          <w:rFonts w:hint="eastAsia" w:ascii="楷体" w:hAnsi="楷体" w:eastAsia="楷体" w:cs="楷体"/>
        </w:rPr>
        <w:t>）。</w:t>
      </w:r>
    </w:p>
    <w:p w14:paraId="3F702CD4">
      <w:pPr>
        <w:adjustRightInd w:val="0"/>
        <w:snapToGrid w:val="0"/>
        <w:spacing w:line="520" w:lineRule="exact"/>
        <w:ind w:firstLine="42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合同</w:t>
      </w:r>
      <w:r>
        <w:rPr>
          <w:rFonts w:hint="eastAsia" w:ascii="楷体" w:hAnsi="楷体" w:eastAsia="楷体" w:cs="楷体"/>
          <w:szCs w:val="24"/>
          <w:lang w:eastAsia="zh-CN"/>
        </w:rPr>
        <w:t>总价</w:t>
      </w:r>
      <w:r>
        <w:rPr>
          <w:rFonts w:hint="eastAsia" w:ascii="楷体" w:hAnsi="楷体" w:eastAsia="楷体" w:cs="楷体"/>
          <w:szCs w:val="24"/>
        </w:rPr>
        <w:t>即为中标价，为一次性报价，不受市场价变化或实际工作量变化的影响。合同</w:t>
      </w:r>
      <w:r>
        <w:rPr>
          <w:rFonts w:hint="eastAsia" w:ascii="楷体" w:hAnsi="楷体" w:eastAsia="楷体" w:cs="楷体"/>
          <w:szCs w:val="24"/>
          <w:lang w:eastAsia="zh-CN"/>
        </w:rPr>
        <w:t>价格</w:t>
      </w:r>
      <w:r>
        <w:rPr>
          <w:rFonts w:hint="eastAsia" w:ascii="楷体" w:hAnsi="楷体" w:eastAsia="楷体" w:cs="楷体"/>
          <w:szCs w:val="24"/>
        </w:rPr>
        <w:t>为含税价，供应商（</w:t>
      </w:r>
      <w:r>
        <w:rPr>
          <w:rFonts w:hint="eastAsia" w:ascii="楷体" w:hAnsi="楷体" w:eastAsia="楷体" w:cs="楷体"/>
          <w:szCs w:val="24"/>
          <w:lang w:eastAsia="zh-CN"/>
        </w:rPr>
        <w:t>成交</w:t>
      </w:r>
      <w:r>
        <w:rPr>
          <w:rFonts w:hint="eastAsia" w:ascii="楷体" w:hAnsi="楷体" w:eastAsia="楷体" w:cs="楷体"/>
          <w:szCs w:val="24"/>
        </w:rPr>
        <w:t>人）提供产品所发生的一切费用（包括增值税等相关税费）等都已包含于合同价中。</w:t>
      </w:r>
    </w:p>
    <w:p w14:paraId="39E81F31">
      <w:pPr>
        <w:adjustRightInd w:val="0"/>
        <w:snapToGrid w:val="0"/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四、结算方式</w:t>
      </w:r>
    </w:p>
    <w:p w14:paraId="1B8B6F8B">
      <w:pPr>
        <w:spacing w:line="360" w:lineRule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ab/>
      </w:r>
      <w:r>
        <w:rPr>
          <w:rFonts w:hint="eastAsia" w:ascii="楷体" w:hAnsi="楷体" w:eastAsia="楷体" w:cs="楷体"/>
          <w:szCs w:val="24"/>
        </w:rPr>
        <w:t>1.结算单位：银行转账，由采购人负责结算。在付款前，供应商必须开具与合同金额相应的发票给采购人，附详细清单。</w:t>
      </w:r>
    </w:p>
    <w:p w14:paraId="527BE04F">
      <w:pPr>
        <w:adjustRightInd w:val="0"/>
        <w:snapToGrid w:val="0"/>
        <w:spacing w:line="360" w:lineRule="auto"/>
        <w:ind w:firstLine="420"/>
        <w:rPr>
          <w:rFonts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2.付款方式：</w:t>
      </w:r>
    </w:p>
    <w:p w14:paraId="232CC82B">
      <w:pPr>
        <w:spacing w:line="520" w:lineRule="exact"/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产品安装调试经采购人验收合格后一次性支付100%合同金额。</w:t>
      </w:r>
    </w:p>
    <w:p w14:paraId="4C592530">
      <w:pPr>
        <w:spacing w:line="520" w:lineRule="exact"/>
        <w:rPr>
          <w:rFonts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五、交货期：</w:t>
      </w:r>
      <w:r>
        <w:rPr>
          <w:rFonts w:hint="eastAsia" w:ascii="楷体" w:hAnsi="楷体" w:eastAsia="楷体" w:cs="楷体"/>
          <w:bCs/>
          <w:szCs w:val="24"/>
          <w:highlight w:val="none"/>
        </w:rPr>
        <w:t>自合同签订之日起</w:t>
      </w:r>
      <w:r>
        <w:rPr>
          <w:rFonts w:hint="eastAsia" w:ascii="楷体" w:hAnsi="楷体" w:eastAsia="楷体" w:cs="楷体"/>
          <w:bCs/>
          <w:szCs w:val="24"/>
          <w:highlight w:val="none"/>
          <w:lang w:val="en-US" w:eastAsia="zh-CN"/>
        </w:rPr>
        <w:t>10</w:t>
      </w:r>
      <w:r>
        <w:rPr>
          <w:rFonts w:hint="eastAsia" w:ascii="楷体" w:hAnsi="楷体" w:eastAsia="楷体" w:cs="楷体"/>
          <w:bCs/>
          <w:szCs w:val="24"/>
          <w:highlight w:val="none"/>
        </w:rPr>
        <w:t>日。</w:t>
      </w:r>
    </w:p>
    <w:p w14:paraId="21DDACA3">
      <w:pPr>
        <w:adjustRightInd w:val="0"/>
        <w:snapToGrid w:val="0"/>
        <w:spacing w:line="520" w:lineRule="exact"/>
        <w:rPr>
          <w:rFonts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六、质保期：</w:t>
      </w:r>
      <w:r>
        <w:rPr>
          <w:rFonts w:hint="eastAsia" w:ascii="楷体" w:hAnsi="楷体" w:eastAsia="楷体" w:cs="楷体"/>
          <w:b/>
          <w:szCs w:val="24"/>
          <w:highlight w:val="none"/>
          <w:lang w:eastAsia="zh-CN"/>
        </w:rPr>
        <w:t>验收合格后不少于</w:t>
      </w: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1</w:t>
      </w:r>
      <w:r>
        <w:rPr>
          <w:rFonts w:hint="eastAsia" w:ascii="楷体" w:hAnsi="楷体" w:eastAsia="楷体" w:cs="楷体"/>
          <w:b/>
          <w:szCs w:val="24"/>
          <w:highlight w:val="none"/>
          <w:lang w:eastAsia="zh-CN"/>
        </w:rPr>
        <w:t>年</w:t>
      </w:r>
      <w:r>
        <w:rPr>
          <w:rFonts w:hint="eastAsia" w:ascii="楷体" w:hAnsi="楷体" w:eastAsia="楷体" w:cs="楷体"/>
          <w:szCs w:val="24"/>
          <w:highlight w:val="none"/>
        </w:rPr>
        <w:t>。</w:t>
      </w:r>
    </w:p>
    <w:p w14:paraId="049E50DA"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七、交货/安装地点：</w:t>
      </w:r>
      <w:r>
        <w:rPr>
          <w:rFonts w:hint="eastAsia" w:ascii="楷体" w:hAnsi="楷体" w:eastAsia="楷体" w:cs="楷体"/>
          <w:bCs/>
          <w:szCs w:val="24"/>
        </w:rPr>
        <w:t>采购人指定地点。</w:t>
      </w:r>
      <w:bookmarkStart w:id="0" w:name="_GoBack"/>
      <w:bookmarkEnd w:id="0"/>
    </w:p>
    <w:p w14:paraId="26CA1B57">
      <w:pPr>
        <w:tabs>
          <w:tab w:val="left" w:pos="840"/>
        </w:tabs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八、内容及要求</w:t>
      </w:r>
    </w:p>
    <w:p w14:paraId="361EEC32">
      <w:pPr>
        <w:tabs>
          <w:tab w:val="left" w:pos="840"/>
        </w:tabs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即交付的产品、服务内容、数量与投标文件、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等所指明的，或者与本合同所指明的产品、服务内容相一致。（附清单）</w:t>
      </w:r>
    </w:p>
    <w:p w14:paraId="7D2A0241">
      <w:pPr>
        <w:spacing w:line="520" w:lineRule="exac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b/>
          <w:szCs w:val="24"/>
        </w:rPr>
        <w:t xml:space="preserve">九、运输、安装、调试要求 </w:t>
      </w:r>
    </w:p>
    <w:p w14:paraId="4F40BD6C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1、供应商根据产品特性，自行选择运输及包装方式，承担一切运输费用，包括从生产厂到采购人指定交货地点所需的装卸、运输（含保险费）及其他一切费用。</w:t>
      </w:r>
    </w:p>
    <w:p w14:paraId="43F90AEC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2、由供应商安装、调试及试运行的进度计划表。</w:t>
      </w:r>
    </w:p>
    <w:p w14:paraId="4AA0E654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3、供应商应在合同规定的安装调试期内完成该项工作。如因供应商责任而造成延期，每超过一天按合同总价款的（1‰）支付采购人误期赔偿金，直至交货或提供服务结束为止，所有因延期而产生的费用由供应商承担。</w:t>
      </w:r>
    </w:p>
    <w:p w14:paraId="583BD3BB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4、安装和调试期间所发生的费用均由供应商负责。</w:t>
      </w:r>
    </w:p>
    <w:p w14:paraId="17FBF9E1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5、供应商应对安装调试、整改等实施过程的安全负责，如发生人身伤亡、财产损失的由供应商负责解决并承担全部责任。</w:t>
      </w:r>
    </w:p>
    <w:p w14:paraId="2E977B35"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十、技术具备</w:t>
      </w:r>
    </w:p>
    <w:p w14:paraId="3E6E06FC"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、提供质保期内全年7×24小时的技术咨询服务。供应商怠于或无法提供技术具备的，采购人有权委托第三方处理，由此产生的费用和后果由供应商负责，费用直接从应付款或质保金中扣除。供应商指定的项目总协调人必须是供应商公司管理层人员。因供应商的人员变更原因所造成的任何项目质量、进度滞后的后果，由供应商承担。</w:t>
      </w:r>
    </w:p>
    <w:p w14:paraId="5B18E686"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2、供应商在项目实施过程中，质量保障人员、资源不足或者执行不力，给项目质量带来的风险超出采购人认定的允许范围时，采购人可终止本项目的合作并进行索赔。</w:t>
      </w:r>
    </w:p>
    <w:p w14:paraId="32E3E81B"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</w:rPr>
        <w:t>十一、</w:t>
      </w:r>
      <w:r>
        <w:rPr>
          <w:rFonts w:hint="eastAsia" w:ascii="楷体" w:hAnsi="楷体" w:eastAsia="楷体" w:cs="楷体"/>
          <w:b/>
          <w:bCs/>
          <w:szCs w:val="24"/>
        </w:rPr>
        <w:t>技术培训</w:t>
      </w:r>
    </w:p>
    <w:p w14:paraId="2BF97969"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应包括产品使用操作、保养、维修等培训内容。供应商需</w:t>
      </w:r>
      <w:r>
        <w:rPr>
          <w:rFonts w:hint="eastAsia" w:ascii="楷体" w:hAnsi="楷体" w:eastAsia="楷体" w:cs="楷体"/>
        </w:rPr>
        <w:t>按采购人要求的时间为</w:t>
      </w:r>
      <w:r>
        <w:rPr>
          <w:rFonts w:hint="eastAsia" w:ascii="楷体" w:hAnsi="楷体" w:eastAsia="楷体" w:cs="楷体"/>
          <w:szCs w:val="24"/>
        </w:rPr>
        <w:t>采购人免费培训技术人员若干名，培训服务以受培训人员熟练掌握相应技能为原则。在产品投入使用初期进行必要的跟踪指导，保障产品的稳定运行。投标产品需在培训基地培训的，供应商应按要求履行，培训产生的交通费、食宿费、培训费等均由供应商承担。</w:t>
      </w:r>
    </w:p>
    <w:p w14:paraId="3A325D19"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  <w:szCs w:val="24"/>
        </w:rPr>
        <w:t>十二、技术资料要求</w:t>
      </w:r>
    </w:p>
    <w:p w14:paraId="51290FC9"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供应商应向采购人提供全套中文技术资料一套，其费用包括在投标价格中：</w:t>
      </w:r>
    </w:p>
    <w:p w14:paraId="1215B3E6"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1、完整的产品操作使用手册、说明书和维护、保修卡等；</w:t>
      </w:r>
    </w:p>
    <w:p w14:paraId="394430F9"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2、制造厂的检验、测试报告、产品检验合格证书，质量保证书等文件验收时须一并提供；</w:t>
      </w:r>
    </w:p>
    <w:p w14:paraId="3DF9E3B5">
      <w:pPr>
        <w:ind w:firstLine="420" w:firstLineChars="200"/>
        <w:jc w:val="left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3、产品验收标准；</w:t>
      </w:r>
    </w:p>
    <w:p w14:paraId="61F460A0"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4、技术说明书及必须的其它技术资料；</w:t>
      </w:r>
    </w:p>
    <w:p w14:paraId="2CAF3B3F"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5、产品</w:t>
      </w:r>
      <w:r>
        <w:rPr>
          <w:rFonts w:hint="eastAsia" w:ascii="楷体" w:hAnsi="楷体" w:eastAsia="楷体" w:cs="楷体"/>
          <w:szCs w:val="22"/>
          <w:lang w:val="en-US" w:eastAsia="zh-CN"/>
        </w:rPr>
        <w:t>样品核对</w:t>
      </w:r>
      <w:r>
        <w:rPr>
          <w:rFonts w:hint="eastAsia" w:ascii="楷体" w:hAnsi="楷体" w:eastAsia="楷体" w:cs="楷体"/>
          <w:szCs w:val="22"/>
        </w:rPr>
        <w:t>；</w:t>
      </w:r>
    </w:p>
    <w:p w14:paraId="1DBF27FB"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6、零部件目录；</w:t>
      </w:r>
    </w:p>
    <w:p w14:paraId="271F83C8"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7、备品备件、易损件清单；</w:t>
      </w:r>
    </w:p>
    <w:p w14:paraId="4DB66EAA"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8、整体验收后提供验收报告；</w:t>
      </w:r>
    </w:p>
    <w:p w14:paraId="7B945175"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9、合同中要求的其他文件资料。</w:t>
      </w:r>
    </w:p>
    <w:p w14:paraId="57F89FB3"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  <w:szCs w:val="24"/>
        </w:rPr>
        <w:t>十三、质量保证</w:t>
      </w:r>
    </w:p>
    <w:p w14:paraId="32A8CC24"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4"/>
        </w:rPr>
        <w:t>1、供应商</w:t>
      </w:r>
      <w:r>
        <w:rPr>
          <w:rFonts w:hint="eastAsia" w:ascii="楷体" w:hAnsi="楷体" w:eastAsia="楷体" w:cs="楷体"/>
        </w:rPr>
        <w:t>提供的</w:t>
      </w:r>
      <w:r>
        <w:rPr>
          <w:rFonts w:hint="eastAsia" w:ascii="楷体" w:hAnsi="楷体" w:eastAsia="楷体" w:cs="楷体"/>
          <w:szCs w:val="24"/>
        </w:rPr>
        <w:t>产品</w:t>
      </w:r>
      <w:r>
        <w:rPr>
          <w:rFonts w:hint="eastAsia" w:ascii="楷体" w:hAnsi="楷体" w:eastAsia="楷体" w:cs="楷体"/>
        </w:rPr>
        <w:t>及材料必须保证质量可靠，为市场最新或主流</w:t>
      </w:r>
      <w:r>
        <w:rPr>
          <w:rFonts w:hint="eastAsia" w:ascii="楷体" w:hAnsi="楷体" w:eastAsia="楷体" w:cs="楷体"/>
          <w:szCs w:val="24"/>
        </w:rPr>
        <w:t>产品</w:t>
      </w:r>
      <w:r>
        <w:rPr>
          <w:rFonts w:hint="eastAsia" w:ascii="楷体" w:hAnsi="楷体" w:eastAsia="楷体" w:cs="楷体"/>
        </w:rPr>
        <w:t>，进货渠道正常，配置合理齐全，应全面满足</w:t>
      </w:r>
      <w:r>
        <w:rPr>
          <w:rFonts w:hint="eastAsia" w:ascii="楷体" w:hAnsi="楷体" w:eastAsia="楷体" w:cs="楷体"/>
          <w:lang w:eastAsia="zh-CN"/>
        </w:rPr>
        <w:t>竞争性谈判文件</w:t>
      </w:r>
      <w:r>
        <w:rPr>
          <w:rFonts w:hint="eastAsia" w:ascii="楷体" w:hAnsi="楷体" w:eastAsia="楷体" w:cs="楷体"/>
        </w:rPr>
        <w:t>的要求，</w:t>
      </w:r>
      <w:r>
        <w:rPr>
          <w:rFonts w:hint="eastAsia" w:ascii="楷体" w:hAnsi="楷体" w:eastAsia="楷体" w:cs="楷体"/>
          <w:lang w:eastAsia="zh-CN"/>
        </w:rPr>
        <w:t>竞争性谈判文件</w:t>
      </w:r>
      <w:r>
        <w:rPr>
          <w:rFonts w:hint="eastAsia" w:ascii="楷体" w:hAnsi="楷体" w:eastAsia="楷体" w:cs="楷体"/>
        </w:rPr>
        <w:t>未明确要求的内容，供应商须按采购</w:t>
      </w:r>
      <w:r>
        <w:rPr>
          <w:rFonts w:hint="eastAsia" w:ascii="楷体" w:hAnsi="楷体" w:eastAsia="楷体" w:cs="楷体"/>
          <w:szCs w:val="24"/>
        </w:rPr>
        <w:t>产品</w:t>
      </w:r>
      <w:r>
        <w:rPr>
          <w:rFonts w:hint="eastAsia" w:ascii="楷体" w:hAnsi="楷体" w:eastAsia="楷体" w:cs="楷体"/>
        </w:rPr>
        <w:t>主流标准配置或以采购人的补充要求为准。所供产品工艺质量应严格按国家最新发布的规范标准执行，如发生质量问题由供应商承担全部责任。</w:t>
      </w:r>
    </w:p>
    <w:p w14:paraId="42B95D62"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2、供应商应保证所有产品的完好无损包括配套包装，如有缺漏、损坏，由供应商负责调换、补齐或赔偿。</w:t>
      </w:r>
    </w:p>
    <w:p w14:paraId="079025F3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</w:rPr>
        <w:t>3、采购人使用产品过程中因产品质量、产品缺陷及安装质量等造成人身伤亡、财产损失的，由供应商负责解决并承担全部责任。</w:t>
      </w:r>
    </w:p>
    <w:p w14:paraId="74193DD0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4、服务方式:现场服务，质保期内维修费用含在合同总价中（中标价格）。产品实行“三包”，并承担由此产生的包装、运输等的一切费用。同一主要部件出现质量问题经过两次维修后仍无法正常使用，可以更换同型号、同规格的产品，服务响应时间不超过2小时，解决问题不超过2小时，对问题较大短期内暂不能解决的，为不影响甲方正常工作，乙方在三日内免费提供替代产品，确保产品正常运行；</w:t>
      </w:r>
    </w:p>
    <w:p w14:paraId="01D106DA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5、质保期内每月至少一次免费上门维护，回访。</w:t>
      </w:r>
    </w:p>
    <w:p w14:paraId="5948CA5D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6、对于存在质量问题或者短少的产品，供应商应在接到采购人的通知2个日历日内负责修复，调换、重新制作或补齐。</w:t>
      </w:r>
    </w:p>
    <w:p w14:paraId="19D2D90D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7、在最终验收后的质量保证期内，供应商应对设计、工艺或材料等的缺陷而产生的故障负责（负责解决并承担全部费用）。质保期满后如出现此类问题亦应负责。</w:t>
      </w:r>
    </w:p>
    <w:p w14:paraId="59AFE45D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8、供应商及所投产品的生产厂商应承诺质保期、维保期的售后服务条款（包括具体的服务内容、故障响应时间、响应方式、维修措施及时限、维护响应计划等方面），未提供任何质保期、维保期的售后服务条款或提供的内容不实的以不实质性满足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要求对待。</w:t>
      </w:r>
    </w:p>
    <w:p w14:paraId="5898F5B9"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4"/>
        </w:rPr>
        <w:t>9、</w:t>
      </w:r>
      <w:r>
        <w:rPr>
          <w:rFonts w:hint="eastAsia" w:ascii="楷体" w:hAnsi="楷体" w:eastAsia="楷体" w:cs="楷体"/>
        </w:rPr>
        <w:t>对于未按约定提供质保服务的供应商或违约的供应商，采购人将拒绝其参加采购人单位的政府采购项目。且采购人有权委托第三方进行维修，所产生的费用由供应商承担，采购人有权从质保金中直接扣除，不足部分应由供应商支付。</w:t>
      </w:r>
    </w:p>
    <w:p w14:paraId="18DBC830"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</w:rPr>
        <w:t>十四、</w:t>
      </w:r>
      <w:r>
        <w:rPr>
          <w:rFonts w:hint="eastAsia" w:ascii="楷体" w:hAnsi="楷体" w:eastAsia="楷体" w:cs="楷体"/>
          <w:b/>
          <w:bCs/>
          <w:szCs w:val="24"/>
        </w:rPr>
        <w:t>验收</w:t>
      </w:r>
    </w:p>
    <w:p w14:paraId="21FFB385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由采购人对项目进行整体验收，供应商协助配合。其内容包括确认产品的产地、规格、型号和数量，对其产品技术指标、性能参数、样式、颜色、以及质量是否达到现行国家有关验收规范“合格”标准、是否按照采购人要求安装到位、是否按照采购人要求进行调试和提供相关培训、是否在规定时间内安装完毕、所有产品的配套包装是否完好无损等进行逐项检查。</w:t>
      </w:r>
    </w:p>
    <w:p w14:paraId="367FE6DF"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1、所验产品的指标、性能参数最终验收达不到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要求和投标文件承诺的，或在使用中发现采购人不能容忍的缺陷等，将视为产品验收不合格，供应商应在采购人要求的时间内无条件免费更换或退货。</w:t>
      </w:r>
    </w:p>
    <w:p w14:paraId="23965C83"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2、若发现供应商有弄虚作假的，在投标阶段故意或随意夸大产品技术性能，供应商应无条件退货，本合同解除，供应商赔偿采购人相应的损失。</w:t>
      </w:r>
    </w:p>
    <w:p w14:paraId="2F75889E"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3、验收标准：按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、</w:t>
      </w:r>
      <w:r>
        <w:rPr>
          <w:rFonts w:hint="eastAsia" w:ascii="楷体" w:hAnsi="楷体" w:eastAsia="楷体" w:cs="楷体"/>
          <w:szCs w:val="24"/>
          <w:lang w:eastAsia="zh-CN"/>
        </w:rPr>
        <w:t>竞争性谈判响应</w:t>
      </w:r>
      <w:r>
        <w:rPr>
          <w:rFonts w:hint="eastAsia" w:ascii="楷体" w:hAnsi="楷体" w:eastAsia="楷体" w:cs="楷体"/>
          <w:szCs w:val="24"/>
        </w:rPr>
        <w:t>文件及澄清函等技术指标进行验收。各项指标均应符合验收标准及要求。</w:t>
      </w:r>
    </w:p>
    <w:p w14:paraId="3B923CB4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4、验收合格后，填写验收单，双方签字生效。</w:t>
      </w:r>
    </w:p>
    <w:p w14:paraId="73E9937C"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5、验收依据：</w:t>
      </w:r>
    </w:p>
    <w:p w14:paraId="2ADDE2FB"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ascii="楷体" w:hAnsi="楷体" w:eastAsia="楷体" w:cs="楷体"/>
          <w:szCs w:val="24"/>
        </w:rPr>
      </w:pPr>
      <w:r>
        <w:rPr>
          <w:rFonts w:ascii="楷体" w:hAnsi="楷体" w:eastAsia="楷体" w:cs="楷体"/>
          <w:kern w:val="2"/>
          <w:sz w:val="21"/>
          <w:szCs w:val="24"/>
          <w:lang w:val="en-US" w:eastAsia="zh-CN" w:bidi="ar-SA"/>
        </w:rPr>
        <w:t>a)</w:t>
      </w:r>
      <w:r>
        <w:rPr>
          <w:rFonts w:hint="eastAsia" w:ascii="楷体" w:hAnsi="楷体" w:eastAsia="楷体" w:cs="楷体"/>
          <w:szCs w:val="24"/>
        </w:rPr>
        <w:t>合同文本；</w:t>
      </w:r>
    </w:p>
    <w:p w14:paraId="30178EA9"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ascii="楷体" w:hAnsi="楷体" w:eastAsia="楷体" w:cs="楷体"/>
          <w:szCs w:val="24"/>
        </w:rPr>
      </w:pPr>
      <w:r>
        <w:rPr>
          <w:rFonts w:ascii="楷体" w:hAnsi="楷体" w:eastAsia="楷体" w:cs="楷体"/>
          <w:kern w:val="2"/>
          <w:sz w:val="21"/>
          <w:szCs w:val="24"/>
          <w:lang w:val="en-US" w:eastAsia="zh-CN" w:bidi="ar-SA"/>
        </w:rPr>
        <w:t>b)</w:t>
      </w:r>
      <w:r>
        <w:rPr>
          <w:rFonts w:hint="eastAsia" w:ascii="楷体" w:hAnsi="楷体" w:eastAsia="楷体" w:cs="楷体"/>
          <w:szCs w:val="24"/>
          <w:lang w:eastAsia="zh-CN"/>
        </w:rPr>
        <w:t>竞争性谈判响应</w:t>
      </w:r>
      <w:r>
        <w:rPr>
          <w:rFonts w:hint="eastAsia" w:ascii="楷体" w:hAnsi="楷体" w:eastAsia="楷体" w:cs="楷体"/>
          <w:szCs w:val="24"/>
        </w:rPr>
        <w:t>文件及澄清函、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；</w:t>
      </w:r>
    </w:p>
    <w:p w14:paraId="1B3516EC"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c)</w:t>
      </w:r>
      <w:r>
        <w:rPr>
          <w:rFonts w:hint="eastAsia" w:ascii="楷体" w:hAnsi="楷体" w:eastAsia="楷体" w:cs="楷体"/>
          <w:szCs w:val="24"/>
        </w:rPr>
        <w:t>国家和行业制定的相应的标准和规范；</w:t>
      </w:r>
    </w:p>
    <w:p w14:paraId="66DF81ED"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d)</w:t>
      </w:r>
      <w:r>
        <w:rPr>
          <w:rFonts w:hint="eastAsia" w:ascii="楷体" w:hAnsi="楷体" w:eastAsia="楷体" w:cs="楷体"/>
          <w:szCs w:val="24"/>
        </w:rPr>
        <w:t xml:space="preserve"> 验收清单（注明各部件的品名、数量、规格型号和原产地或生产厂家）。</w:t>
      </w:r>
    </w:p>
    <w:p w14:paraId="599D2366"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十五、保密</w:t>
      </w:r>
    </w:p>
    <w:p w14:paraId="3763A86F">
      <w:pPr>
        <w:tabs>
          <w:tab w:val="left" w:pos="1080"/>
        </w:tabs>
        <w:spacing w:line="520" w:lineRule="exact"/>
        <w:ind w:firstLine="315" w:firstLineChars="15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694C89FC"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十六、知识产权</w:t>
      </w:r>
    </w:p>
    <w:p w14:paraId="2DEF98F6">
      <w:pPr>
        <w:spacing w:line="520" w:lineRule="exac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5EF83201"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十七、合同争议的解决</w:t>
      </w:r>
    </w:p>
    <w:p w14:paraId="7D80BBC7">
      <w:pPr>
        <w:spacing w:line="520" w:lineRule="exact"/>
        <w:ind w:firstLine="48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合同执行中发生争议的，当事人双方应协商解决。协商达不成一致时，可向当地行政仲裁机关申请仲裁或者向人民法院提请诉讼。</w:t>
      </w:r>
    </w:p>
    <w:p w14:paraId="46D16DDF"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  <w:szCs w:val="24"/>
        </w:rPr>
        <w:t>十八、不可抗力情况下的免责约定</w:t>
      </w:r>
    </w:p>
    <w:p w14:paraId="5C537A68">
      <w:pPr>
        <w:spacing w:line="520" w:lineRule="exact"/>
        <w:jc w:val="lef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46E9AC38"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十九、违约责任</w:t>
      </w:r>
    </w:p>
    <w:p w14:paraId="0A9BFB5B">
      <w:pPr>
        <w:spacing w:line="520" w:lineRule="exac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依据《中华人民共和国</w:t>
      </w:r>
      <w:r>
        <w:rPr>
          <w:rFonts w:hint="eastAsia" w:ascii="楷体" w:hAnsi="楷体" w:eastAsia="楷体" w:cs="楷体"/>
          <w:szCs w:val="24"/>
          <w:lang w:val="en-US" w:eastAsia="zh-CN"/>
        </w:rPr>
        <w:t>民法典</w:t>
      </w:r>
      <w:r>
        <w:rPr>
          <w:rFonts w:hint="eastAsia" w:ascii="楷体" w:hAnsi="楷体" w:eastAsia="楷体" w:cs="楷体"/>
          <w:szCs w:val="24"/>
        </w:rPr>
        <w:t>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73CB68F7">
      <w:pPr>
        <w:spacing w:line="520" w:lineRule="exac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二十、其他（</w:t>
      </w:r>
      <w:r>
        <w:rPr>
          <w:rFonts w:hint="eastAsia" w:ascii="楷体" w:hAnsi="楷体" w:eastAsia="楷体" w:cs="楷体"/>
          <w:szCs w:val="24"/>
        </w:rPr>
        <w:t>在合同中具体明确）</w:t>
      </w:r>
    </w:p>
    <w:p w14:paraId="64FDFC4C">
      <w:pPr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二十一、合同订立</w:t>
      </w:r>
    </w:p>
    <w:p w14:paraId="3B68B162"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1. 订立时间：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</w:rPr>
        <w:t>年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</w:rPr>
        <w:t>月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</w:rPr>
        <w:t>日。</w:t>
      </w:r>
    </w:p>
    <w:p w14:paraId="412D6FF5"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2. 订立地点：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</w:rPr>
        <w:t>。</w:t>
      </w:r>
    </w:p>
    <w:p w14:paraId="02A28BDD">
      <w:pPr>
        <w:tabs>
          <w:tab w:val="left" w:pos="980"/>
        </w:tabs>
        <w:kinsoku w:val="0"/>
        <w:spacing w:line="58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3. 本合同一式</w:t>
      </w:r>
      <w:r>
        <w:rPr>
          <w:rFonts w:hint="eastAsia" w:ascii="楷体" w:hAnsi="楷体" w:eastAsia="楷体" w:cs="楷体"/>
          <w:u w:val="single"/>
        </w:rPr>
        <w:t xml:space="preserve"> 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陆 </w:t>
      </w:r>
      <w:r>
        <w:rPr>
          <w:rFonts w:hint="eastAsia" w:ascii="楷体" w:hAnsi="楷体" w:eastAsia="楷体" w:cs="楷体"/>
        </w:rPr>
        <w:t>份，具有同等法律效力，双方各执</w:t>
      </w:r>
      <w:r>
        <w:rPr>
          <w:rFonts w:hint="eastAsia" w:ascii="楷体" w:hAnsi="楷体" w:eastAsia="楷体" w:cs="楷体"/>
          <w:u w:val="single"/>
        </w:rPr>
        <w:t>叁</w:t>
      </w:r>
      <w:r>
        <w:rPr>
          <w:rFonts w:hint="eastAsia" w:ascii="楷体" w:hAnsi="楷体" w:eastAsia="楷体" w:cs="楷体"/>
        </w:rPr>
        <w:t>份，各方签字盖章后生效，合同执行完毕自动失效。（合同的服务承诺则长期有效）。</w:t>
      </w:r>
    </w:p>
    <w:p w14:paraId="63BB4975"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</w:p>
    <w:p w14:paraId="7126AF03">
      <w:pPr>
        <w:adjustRightInd w:val="0"/>
        <w:snapToGrid w:val="0"/>
        <w:spacing w:line="360" w:lineRule="auto"/>
        <w:ind w:firstLine="415" w:firstLineChars="198"/>
        <w:rPr>
          <w:rFonts w:hint="eastAsia" w:ascii="楷体" w:hAnsi="楷体" w:eastAsia="楷体" w:cs="楷体"/>
        </w:rPr>
      </w:pPr>
    </w:p>
    <w:p w14:paraId="21B8AA4C"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采购人：</w:t>
      </w:r>
      <w:r>
        <w:rPr>
          <w:rFonts w:hint="eastAsia" w:ascii="楷体" w:hAnsi="楷体" w:eastAsia="楷体" w:cs="楷体"/>
          <w:u w:val="single"/>
        </w:rPr>
        <w:t xml:space="preserve">   （盖章）      </w:t>
      </w:r>
      <w:r>
        <w:rPr>
          <w:rFonts w:hint="eastAsia" w:ascii="楷体" w:hAnsi="楷体" w:eastAsia="楷体" w:cs="楷体"/>
        </w:rPr>
        <w:t xml:space="preserve">            供应商：</w:t>
      </w:r>
      <w:r>
        <w:rPr>
          <w:rFonts w:hint="eastAsia" w:ascii="楷体" w:hAnsi="楷体" w:eastAsia="楷体" w:cs="楷体"/>
          <w:u w:val="single"/>
        </w:rPr>
        <w:t xml:space="preserve">   （盖章）         </w:t>
      </w:r>
    </w:p>
    <w:p w14:paraId="1DD45A7F"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 xml:space="preserve">地 址： </w:t>
      </w:r>
      <w:r>
        <w:rPr>
          <w:rFonts w:hint="eastAsia" w:ascii="楷体" w:hAnsi="楷体" w:eastAsia="楷体" w:cs="楷体"/>
          <w:u w:val="single"/>
        </w:rPr>
        <w:t xml:space="preserve">                  </w:t>
      </w:r>
      <w:r>
        <w:rPr>
          <w:rFonts w:hint="eastAsia" w:ascii="楷体" w:hAnsi="楷体" w:eastAsia="楷体" w:cs="楷体"/>
        </w:rPr>
        <w:t xml:space="preserve">           地  址：</w:t>
      </w:r>
      <w:r>
        <w:rPr>
          <w:rFonts w:hint="eastAsia" w:ascii="楷体" w:hAnsi="楷体" w:eastAsia="楷体" w:cs="楷体"/>
          <w:u w:val="single"/>
        </w:rPr>
        <w:t xml:space="preserve">                    </w:t>
      </w:r>
    </w:p>
    <w:p w14:paraId="7323A822">
      <w:pPr>
        <w:adjustRightInd w:val="0"/>
        <w:snapToGrid w:val="0"/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邮政编码：</w:t>
      </w:r>
      <w:r>
        <w:rPr>
          <w:rFonts w:hint="eastAsia" w:ascii="楷体" w:hAnsi="楷体" w:eastAsia="楷体" w:cs="楷体"/>
          <w:u w:val="single"/>
        </w:rPr>
        <w:t xml:space="preserve">                 </w:t>
      </w:r>
      <w:r>
        <w:rPr>
          <w:rFonts w:hint="eastAsia" w:ascii="楷体" w:hAnsi="楷体" w:eastAsia="楷体" w:cs="楷体"/>
        </w:rPr>
        <w:t xml:space="preserve">          邮政编码：</w:t>
      </w:r>
      <w:r>
        <w:rPr>
          <w:rFonts w:hint="eastAsia" w:ascii="楷体" w:hAnsi="楷体" w:eastAsia="楷体" w:cs="楷体"/>
          <w:u w:val="single"/>
        </w:rPr>
        <w:t xml:space="preserve">                   </w:t>
      </w:r>
    </w:p>
    <w:p w14:paraId="227B37FA"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法定代表人或其授权                   法定代表人或其授权 </w:t>
      </w:r>
    </w:p>
    <w:p w14:paraId="663C3DA7"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的代理人：</w:t>
      </w:r>
      <w:r>
        <w:rPr>
          <w:rFonts w:hint="eastAsia" w:ascii="楷体" w:hAnsi="楷体" w:eastAsia="楷体" w:cs="楷体"/>
          <w:u w:val="single"/>
        </w:rPr>
        <w:t xml:space="preserve">（签字）      </w:t>
      </w:r>
      <w:r>
        <w:rPr>
          <w:rFonts w:hint="eastAsia" w:ascii="楷体" w:hAnsi="楷体" w:eastAsia="楷体" w:cs="楷体"/>
        </w:rPr>
        <w:t xml:space="preserve">             的代理人：</w:t>
      </w:r>
      <w:r>
        <w:rPr>
          <w:rFonts w:hint="eastAsia" w:ascii="楷体" w:hAnsi="楷体" w:eastAsia="楷体" w:cs="楷体"/>
          <w:u w:val="single"/>
        </w:rPr>
        <w:t xml:space="preserve">（签字）           </w:t>
      </w:r>
    </w:p>
    <w:p w14:paraId="6172C8FE"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开户银行：</w:t>
      </w:r>
      <w:r>
        <w:rPr>
          <w:rFonts w:hint="eastAsia" w:ascii="楷体" w:hAnsi="楷体" w:eastAsia="楷体" w:cs="楷体"/>
          <w:u w:val="single"/>
        </w:rPr>
        <w:t xml:space="preserve">                 </w:t>
      </w:r>
      <w:r>
        <w:rPr>
          <w:rFonts w:hint="eastAsia" w:ascii="楷体" w:hAnsi="楷体" w:eastAsia="楷体" w:cs="楷体"/>
        </w:rPr>
        <w:t xml:space="preserve">          开户银行：</w:t>
      </w:r>
      <w:r>
        <w:rPr>
          <w:rFonts w:hint="eastAsia" w:ascii="楷体" w:hAnsi="楷体" w:eastAsia="楷体" w:cs="楷体"/>
          <w:u w:val="single"/>
        </w:rPr>
        <w:t xml:space="preserve">                   </w:t>
      </w:r>
    </w:p>
    <w:p w14:paraId="31033E8E"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账号：</w:t>
      </w:r>
      <w:r>
        <w:rPr>
          <w:rFonts w:hint="eastAsia" w:ascii="楷体" w:hAnsi="楷体" w:eastAsia="楷体" w:cs="楷体"/>
          <w:u w:val="single"/>
        </w:rPr>
        <w:t xml:space="preserve">                      </w:t>
      </w:r>
      <w:r>
        <w:rPr>
          <w:rFonts w:hint="eastAsia" w:ascii="楷体" w:hAnsi="楷体" w:eastAsia="楷体" w:cs="楷体"/>
        </w:rPr>
        <w:t xml:space="preserve">         账号：</w:t>
      </w:r>
      <w:r>
        <w:rPr>
          <w:rFonts w:hint="eastAsia" w:ascii="楷体" w:hAnsi="楷体" w:eastAsia="楷体" w:cs="楷体"/>
          <w:u w:val="single"/>
        </w:rPr>
        <w:t xml:space="preserve">                       </w:t>
      </w:r>
      <w:r>
        <w:rPr>
          <w:rFonts w:hint="eastAsia" w:ascii="楷体" w:hAnsi="楷体" w:eastAsia="楷体" w:cs="楷体"/>
        </w:rPr>
        <w:t xml:space="preserve"> </w:t>
      </w:r>
    </w:p>
    <w:p w14:paraId="6B38A7F9"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电话：</w:t>
      </w:r>
      <w:r>
        <w:rPr>
          <w:rFonts w:hint="eastAsia" w:ascii="楷体" w:hAnsi="楷体" w:eastAsia="楷体" w:cs="楷体"/>
          <w:u w:val="single"/>
        </w:rPr>
        <w:t xml:space="preserve">                      </w:t>
      </w:r>
      <w:r>
        <w:rPr>
          <w:rFonts w:hint="eastAsia" w:ascii="楷体" w:hAnsi="楷体" w:eastAsia="楷体" w:cs="楷体"/>
        </w:rPr>
        <w:t xml:space="preserve">         电话：</w:t>
      </w:r>
      <w:r>
        <w:rPr>
          <w:rFonts w:hint="eastAsia" w:ascii="楷体" w:hAnsi="楷体" w:eastAsia="楷体" w:cs="楷体"/>
          <w:u w:val="single"/>
        </w:rPr>
        <w:t xml:space="preserve">                       </w:t>
      </w:r>
    </w:p>
    <w:p w14:paraId="55A38A2E"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传真：</w:t>
      </w:r>
      <w:r>
        <w:rPr>
          <w:rFonts w:hint="eastAsia" w:ascii="楷体" w:hAnsi="楷体" w:eastAsia="楷体" w:cs="楷体"/>
          <w:u w:val="single"/>
        </w:rPr>
        <w:t xml:space="preserve">                      </w:t>
      </w:r>
      <w:r>
        <w:rPr>
          <w:rFonts w:hint="eastAsia" w:ascii="楷体" w:hAnsi="楷体" w:eastAsia="楷体" w:cs="楷体"/>
        </w:rPr>
        <w:t xml:space="preserve">         传真：</w:t>
      </w:r>
      <w:r>
        <w:rPr>
          <w:rFonts w:hint="eastAsia" w:ascii="楷体" w:hAnsi="楷体" w:eastAsia="楷体" w:cs="楷体"/>
          <w:u w:val="single"/>
        </w:rPr>
        <w:t xml:space="preserve">                       </w:t>
      </w:r>
    </w:p>
    <w:p w14:paraId="3254DF31"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电子邮箱：</w:t>
      </w:r>
      <w:r>
        <w:rPr>
          <w:rFonts w:hint="eastAsia" w:ascii="楷体" w:hAnsi="楷体" w:eastAsia="楷体" w:cs="楷体"/>
          <w:u w:val="single"/>
        </w:rPr>
        <w:t xml:space="preserve">                 </w:t>
      </w:r>
      <w:r>
        <w:rPr>
          <w:rFonts w:hint="eastAsia" w:ascii="楷体" w:hAnsi="楷体" w:eastAsia="楷体" w:cs="楷体"/>
        </w:rPr>
        <w:t xml:space="preserve">          电子邮箱：</w:t>
      </w:r>
      <w:r>
        <w:rPr>
          <w:rFonts w:hint="eastAsia" w:ascii="楷体" w:hAnsi="楷体" w:eastAsia="楷体" w:cs="楷体"/>
          <w:u w:val="single"/>
        </w:rPr>
        <w:t xml:space="preserve">                   </w:t>
      </w:r>
    </w:p>
    <w:p w14:paraId="3ADF5C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DExYjhhOTg0ODQwMTcxZGZlMzIxYWNhZjhlZGMifQ=="/>
  </w:docVars>
  <w:rsids>
    <w:rsidRoot w:val="4309471D"/>
    <w:rsid w:val="000E57F5"/>
    <w:rsid w:val="098B3F8E"/>
    <w:rsid w:val="15FD7FC2"/>
    <w:rsid w:val="1A0123D5"/>
    <w:rsid w:val="1F464788"/>
    <w:rsid w:val="28B05499"/>
    <w:rsid w:val="2A147D1D"/>
    <w:rsid w:val="2EDB1F06"/>
    <w:rsid w:val="402711B7"/>
    <w:rsid w:val="4309471D"/>
    <w:rsid w:val="4E61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2"/>
    <w:basedOn w:val="1"/>
    <w:autoRedefine/>
    <w:qFormat/>
    <w:uiPriority w:val="0"/>
    <w:rPr>
      <w:rFonts w:ascii="楷体_GB2312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3425</Words>
  <Characters>3444</Characters>
  <Lines>0</Lines>
  <Paragraphs>0</Paragraphs>
  <TotalTime>4</TotalTime>
  <ScaleCrop>false</ScaleCrop>
  <LinksUpToDate>false</LinksUpToDate>
  <CharactersWithSpaces>4026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2024-05-09T01:12:00Z</dcterms:created>
  <dc:creator>biubiubiu～</dc:creator>
  <cp:lastModifiedBy>十九</cp:lastModifiedBy>
  <dcterms:modified xsi:type="dcterms:W3CDTF">2024-12-09T01:47:26Z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1B05F46F6D6C4673A183730FF359B33B_11</vt:lpwstr>
  </property>
</Properties>
</file>