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医学实验室能力提升项目（购置全自动化学发光分析仪和流式细胞分析仪）</w:t>
      </w:r>
    </w:p>
    <w:p>
      <w:pPr>
        <w:pStyle w:val="null3"/>
        <w:jc w:val="center"/>
        <w:outlineLvl w:val="2"/>
      </w:pPr>
      <w:r>
        <w:rPr>
          <w:sz w:val="28"/>
          <w:b/>
        </w:rPr>
        <w:t>采购项目编号：</w:t>
      </w:r>
      <w:r>
        <w:rPr>
          <w:sz w:val="28"/>
          <w:b/>
        </w:rPr>
        <w:t>0617-2424HY3167</w:t>
      </w:r>
      <w:r>
        <w:br/>
      </w:r>
      <w:r>
        <w:br/>
      </w:r>
      <w:r>
        <w:br/>
      </w:r>
    </w:p>
    <w:p>
      <w:pPr>
        <w:pStyle w:val="null3"/>
        <w:jc w:val="center"/>
        <w:outlineLvl w:val="2"/>
      </w:pPr>
      <w:r>
        <w:rPr>
          <w:sz w:val="28"/>
          <w:b/>
        </w:rPr>
        <w:t>西安市精神卫生中心</w:t>
      </w:r>
    </w:p>
    <w:p>
      <w:pPr>
        <w:pStyle w:val="null3"/>
        <w:jc w:val="center"/>
        <w:outlineLvl w:val="2"/>
      </w:pPr>
      <w:r>
        <w:rPr>
          <w:sz w:val="28"/>
          <w:b/>
        </w:rPr>
        <w:t>西北(陕西)国际招标有限公司</w:t>
      </w:r>
      <w:r>
        <w:rPr>
          <w:sz w:val="28"/>
          <w:b/>
        </w:rPr>
        <w:t>共同编制</w:t>
      </w:r>
    </w:p>
    <w:p>
      <w:pPr>
        <w:pStyle w:val="null3"/>
        <w:jc w:val="center"/>
        <w:outlineLvl w:val="2"/>
      </w:pPr>
      <w:r>
        <w:rPr>
          <w:sz w:val="28"/>
          <w:b/>
        </w:rPr>
        <w:t>2024年12月23日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西北(陕西)国际招标有限公司</w:t>
      </w:r>
      <w:r>
        <w:rPr/>
        <w:t>（以下简称“代理机构”）受</w:t>
      </w:r>
      <w:r>
        <w:rPr/>
        <w:t>西安市精神卫生中心</w:t>
      </w:r>
      <w:r>
        <w:rPr/>
        <w:t>委托，拟对</w:t>
      </w:r>
      <w:r>
        <w:rPr/>
        <w:t>医学实验室能力提升项目（购置全自动化学发光分析仪和流式细胞分析仪）</w:t>
      </w:r>
      <w:r>
        <w:rPr/>
        <w:t>进行国内公开招标，兹邀请符合本次招标要求的供应商参加投标。</w:t>
      </w:r>
    </w:p>
    <w:p>
      <w:pPr>
        <w:pStyle w:val="null3"/>
        <w:outlineLvl w:val="2"/>
      </w:pPr>
      <w:r>
        <w:rPr>
          <w:sz w:val="28"/>
          <w:b/>
        </w:rPr>
        <w:t>一、采购项目编号：</w:t>
      </w:r>
      <w:r>
        <w:rPr>
          <w:sz w:val="28"/>
          <w:b/>
        </w:rPr>
        <w:t>0617-2424HY3167</w:t>
      </w:r>
    </w:p>
    <w:p>
      <w:pPr>
        <w:pStyle w:val="null3"/>
        <w:outlineLvl w:val="2"/>
      </w:pPr>
      <w:r>
        <w:rPr>
          <w:sz w:val="28"/>
          <w:b/>
        </w:rPr>
        <w:t>二、采购项目名称：</w:t>
      </w:r>
      <w:r>
        <w:rPr>
          <w:sz w:val="28"/>
          <w:b/>
        </w:rPr>
        <w:t>医学实验室能力提升项目（购置全自动化学发光分析仪和流式细胞分析仪）</w:t>
      </w:r>
    </w:p>
    <w:p>
      <w:pPr>
        <w:pStyle w:val="null3"/>
        <w:outlineLvl w:val="2"/>
      </w:pPr>
      <w:r>
        <w:rPr>
          <w:sz w:val="28"/>
          <w:b/>
        </w:rPr>
        <w:t>三、招标项目简介</w:t>
      </w:r>
    </w:p>
    <w:p>
      <w:pPr>
        <w:pStyle w:val="null3"/>
        <w:ind w:firstLine="480"/>
      </w:pPr>
      <w:r>
        <w:rPr/>
        <w:t>本项目为西安市精神卫生中心医学实验室能力提升项目（购置全自动化学发光分析仪和流式细胞分析仪）项目，拟购置1台全自动化学发光分析仪、1台流式细胞仪。 全自动化学发光分析仪检验是免疫分析发展的一个新阶段，它环保、快速、准确的特点已经得到人们的普遍认可，能对临床样本进行准确快速的分析，辅助临床诊断；为医生及患者提供及时的检测报告，辅助医生进行病情诊断，提高效率，必然得到医患的认可，留住患者，让更多的患者来医院进行治疗，更好更高效的为更多患者服务。 西安市精神卫生中心流式细胞分析仪主要用于免疫学、干细胞、遗传学等临床检测研究；对细胞表面、内部分子包括抗原、核酸等进行检测与分析，可用于分析蛋白表达、免疫分型、细胞凋亡、周期、增殖、细胞毒性、蛋白磷酸化、荧光蛋白、胞内活性氧水平、细胞膜电位、细胞因子、细胞内钙离子浓度检测等。</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1、授权委托书/法定代表人身份证明：提供法定代表人授权书 (附法定代表人、被授权人身份证复印件) 或提供法定代表人身份证明及身份证复印件（法定代表人直接参加投标)。</w:t>
      </w:r>
    </w:p>
    <w:p>
      <w:pPr>
        <w:pStyle w:val="null3"/>
      </w:pPr>
      <w:r>
        <w:rPr/>
        <w:t>2、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t>3、医疗器械经营许可：具备所投医疗器械销售资格，提供医疗器械经营备案凭证或证明。</w:t>
      </w:r>
    </w:p>
    <w:p>
      <w:pPr>
        <w:pStyle w:val="null3"/>
      </w:pPr>
      <w:r>
        <w:rPr/>
        <w:t>4、医疗器械注册证：提供投标产品有效的“中华人民共和国医疗器械注册证”。</w:t>
      </w:r>
    </w:p>
    <w:p>
      <w:pPr>
        <w:pStyle w:val="null3"/>
      </w:pPr>
      <w:r>
        <w:rPr/>
        <w:t>5、医疗器械生产许可证：提供投标产品生产厂家与投标产品相符的医疗器械生产许可证。</w:t>
      </w:r>
    </w:p>
    <w:p>
      <w:pPr>
        <w:pStyle w:val="null3"/>
      </w:pPr>
      <w:r>
        <w:rPr/>
        <w:t>6、其他要求：本项目不接受由西安市精神卫生中心职工及其亲属投资举办的企业参加投标（提供承诺函）；</w:t>
      </w:r>
    </w:p>
    <w:p>
      <w:pPr>
        <w:pStyle w:val="null3"/>
      </w:pPr>
      <w:r>
        <w:rPr/>
        <w:t>采购包2：</w:t>
      </w:r>
    </w:p>
    <w:p>
      <w:pPr>
        <w:pStyle w:val="null3"/>
      </w:pPr>
      <w:r>
        <w:rPr/>
        <w:t>1、授权委托书/法定代表人身份证明：提供法定代表人授权书 (附法定代表人、被授权人身份证复印件) 或提供法定代表人身份证明及身份证复印件（法定代表人直接参加投标)。</w:t>
      </w:r>
    </w:p>
    <w:p>
      <w:pPr>
        <w:pStyle w:val="null3"/>
      </w:pPr>
      <w:r>
        <w:rPr/>
        <w:t>2、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t>3、医疗器械经营许可：具备所投医疗器械销售资格，提供医疗器械经营备案凭证或证明。</w:t>
      </w:r>
    </w:p>
    <w:p>
      <w:pPr>
        <w:pStyle w:val="null3"/>
      </w:pPr>
      <w:r>
        <w:rPr/>
        <w:t>4、医疗器械注册证：提供投标产品有效的“中华人民共和国医疗器械注册证”。</w:t>
      </w:r>
    </w:p>
    <w:p>
      <w:pPr>
        <w:pStyle w:val="null3"/>
      </w:pPr>
      <w:r>
        <w:rPr/>
        <w:t>5、医疗器械生产许可证：提供投标产品生产厂家与投标产品相符的医疗器械生产许可证。</w:t>
      </w:r>
    </w:p>
    <w:p>
      <w:pPr>
        <w:pStyle w:val="null3"/>
      </w:pPr>
      <w:r>
        <w:rPr/>
        <w:t>6、其他要求：本项目不接受由西安市精神卫生中心职工及其亲属投资举办的企业参加投标（提供承诺函）；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西安市精神卫生中心</w:t>
      </w:r>
    </w:p>
    <w:p>
      <w:pPr>
        <w:pStyle w:val="null3"/>
      </w:pPr>
      <w:r>
        <w:rPr/>
        <w:t xml:space="preserve"> 地址： </w:t>
      </w:r>
      <w:r>
        <w:rPr/>
        <w:t>西安市长安区康和路666号</w:t>
      </w:r>
    </w:p>
    <w:p>
      <w:pPr>
        <w:pStyle w:val="null3"/>
      </w:pPr>
      <w:r>
        <w:rPr/>
        <w:t xml:space="preserve"> 邮编： </w:t>
      </w:r>
      <w:r>
        <w:rPr/>
        <w:t>710100</w:t>
      </w:r>
    </w:p>
    <w:p>
      <w:pPr>
        <w:pStyle w:val="null3"/>
      </w:pPr>
      <w:r>
        <w:rPr/>
        <w:t xml:space="preserve"> 联系人： </w:t>
      </w:r>
      <w:r>
        <w:rPr/>
        <w:t>西安市精神卫生中心经办</w:t>
      </w:r>
    </w:p>
    <w:p>
      <w:pPr>
        <w:pStyle w:val="null3"/>
      </w:pPr>
      <w:r>
        <w:rPr/>
        <w:t xml:space="preserve"> 联系电话： </w:t>
      </w:r>
      <w:r>
        <w:rPr/>
        <w:t>029-63609379</w:t>
      </w:r>
    </w:p>
    <w:p>
      <w:pPr>
        <w:pStyle w:val="null3"/>
        <w:outlineLvl w:val="2"/>
      </w:pPr>
      <w:r>
        <w:rPr>
          <w:sz w:val="28"/>
          <w:b/>
        </w:rPr>
        <w:t>代理机构：</w:t>
      </w:r>
      <w:r>
        <w:rPr>
          <w:sz w:val="28"/>
          <w:b/>
        </w:rPr>
        <w:t>西北(陕西)国际招标有限公司</w:t>
      </w:r>
    </w:p>
    <w:p>
      <w:pPr>
        <w:pStyle w:val="null3"/>
      </w:pPr>
      <w:r>
        <w:rPr/>
        <w:t xml:space="preserve"> 地址： </w:t>
      </w:r>
      <w:r>
        <w:rPr/>
        <w:t>西安市雁塔区南二环西段58号成长大厦10-14层</w:t>
      </w:r>
    </w:p>
    <w:p>
      <w:pPr>
        <w:pStyle w:val="null3"/>
      </w:pPr>
      <w:r>
        <w:rPr/>
        <w:t xml:space="preserve"> 邮编： </w:t>
      </w:r>
      <w:r>
        <w:rPr/>
        <w:t>710075</w:t>
      </w:r>
    </w:p>
    <w:p>
      <w:pPr>
        <w:pStyle w:val="null3"/>
      </w:pPr>
      <w:r>
        <w:rPr/>
        <w:t xml:space="preserve"> 联系人： </w:t>
      </w:r>
      <w:r>
        <w:rPr/>
        <w:t>张宇鑫 李建飞 周小方</w:t>
      </w:r>
    </w:p>
    <w:p>
      <w:pPr>
        <w:pStyle w:val="null3"/>
      </w:pPr>
      <w:r>
        <w:rPr/>
        <w:t xml:space="preserve"> 联系电话： </w:t>
      </w:r>
      <w:r>
        <w:rPr/>
        <w:t>029-85592879</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采购包1：650,000.00元</w:t>
            </w:r>
          </w:p>
          <w:p>
            <w:pPr>
              <w:pStyle w:val="null3"/>
            </w:pPr>
            <w:r>
              <w:rPr/>
              <w:t>采购包2：850,000.00元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计算机设备、输入输出设备</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计算机设备、输入输出设备</w:t>
            </w:r>
            <w:r>
              <w:rPr/>
              <w:t>产品属于节能产品政府采购品目清单中应优先采购的产品范围，本项目采购的</w:t>
            </w:r>
            <w:r>
              <w:rPr/>
              <w:t>计算机设备、输入输出设备</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lt;招标代理服务收费管理暂行办法&gt;的通知》（计价格[2002]1980号）规定标准下浮20%收取。成交供应商在领取成交通知书前，须向采购代理机构一次性支付代理服务费。开户名称：西北（陕西）国际招标有限公司； 开户银行：交通银行西安长安大学支行 账号：611301151018010003843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西安市精神卫生中心</w:t>
      </w:r>
      <w:r>
        <w:rPr/>
        <w:t>和</w:t>
      </w:r>
      <w:r>
        <w:rPr/>
        <w:t>西北(陕西)国际招标有限公司</w:t>
      </w:r>
      <w:r>
        <w:rPr/>
        <w:t>享有。对招标文件中供应商参加本次政府采购活动应当具备的条件，招标项目技术、服务、商务及其他要求，评标细则及标准由</w:t>
      </w:r>
      <w:r>
        <w:rPr/>
        <w:t>西安市精神卫生中心</w:t>
      </w:r>
      <w:r>
        <w:rPr/>
        <w:t>负责解释。除上述招标文件内容，其他内容由</w:t>
      </w:r>
      <w:r>
        <w:rPr/>
        <w:t>西北(陕西)国际招标有限公司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西安市精神卫生中心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西北(陕西)国际招标有限公司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现行的国家标准或国家行政部门颁布的法律法规、规章制度等，是项目验收的另一个重要依据。没有国家标准的，可以参考行业标准。主要按采购文件和响应的投标文件验收。</w:t>
      </w:r>
    </w:p>
    <w:p>
      <w:pPr>
        <w:pStyle w:val="null3"/>
      </w:pPr>
      <w:r>
        <w:rPr/>
        <w:t>采购包2：</w:t>
      </w:r>
    </w:p>
    <w:p>
      <w:pPr>
        <w:pStyle w:val="null3"/>
      </w:pPr>
      <w:r>
        <w:rPr/>
        <w:t>合同文本、合同附件、招标文件、投标文件。国内相应的标准、规范。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西北(陕西)国际招标有限公司</w:t>
      </w:r>
      <w:r>
        <w:rPr/>
        <w:t xml:space="preserve"> 负责答复；供应商对除采购需求外的采购文件的询问、质疑由</w:t>
      </w:r>
      <w:r>
        <w:rPr/>
        <w:t>西北(陕西)国际招标有限公司</w:t>
      </w:r>
      <w:r>
        <w:rPr/>
        <w:t xml:space="preserve"> 负责答复；供应商对采购过程、采购结果的询问、质疑由 </w:t>
      </w:r>
      <w:r>
        <w:rPr/>
        <w:t>西北(陕西)国际招标有限公司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联系人：田凯</w:t>
      </w:r>
    </w:p>
    <w:p>
      <w:pPr>
        <w:pStyle w:val="null3"/>
      </w:pPr>
      <w:r>
        <w:rPr/>
        <w:t>联系电话：029-89651862</w:t>
      </w:r>
    </w:p>
    <w:p>
      <w:pPr>
        <w:pStyle w:val="null3"/>
      </w:pPr>
      <w:r>
        <w:rPr/>
        <w:t>地址：陕西省西安市雁塔区南二环西段58号成长大厦11层1203室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本项目为西安市精神卫生中心医学实验室能力提升项目（购置全自动化学发光分析仪和流式细胞分析仪）项目，拟购置1台全自动化学发光分析仪、1台流式细胞仪。 全自动化学发光分析仪检验是免疫分析发展的一个新阶段，它环保、快速、准确的特点已经得到人们的普遍认可，能对临床样本进行准确快速的分析，辅助临床诊断；为医生及患者提供及时的检测报告，辅助医生进行病情诊断，提高效率，必然得到医患的认可，留住患者，让更多的患者来医院进行治疗，更好更高效的为更多患者服务。 西安市精神卫生中心流式细胞分析仪主要用于免疫学、干细胞、遗传学等临床检测研究；对细胞表面、内部分子包括抗原、核酸等进行检测与分析，可用于分析蛋白表达、免疫分型、细胞凋亡、周期、增殖、细胞毒性、蛋白磷酸化、荧光蛋白、胞内活性氧水平、细胞膜电位、细胞因子、细胞内钙离子浓度检测等。</w:t>
      </w:r>
    </w:p>
    <w:p>
      <w:pPr>
        <w:pStyle w:val="null3"/>
        <w:outlineLvl w:val="2"/>
      </w:pPr>
      <w:r>
        <w:rPr>
          <w:sz w:val="28"/>
          <w:b/>
        </w:rPr>
        <w:t>3.2采购内容</w:t>
      </w:r>
    </w:p>
    <w:p>
      <w:pPr>
        <w:pStyle w:val="null3"/>
      </w:pPr>
      <w:r>
        <w:rPr/>
        <w:t>采购包1：</w:t>
      </w:r>
    </w:p>
    <w:p>
      <w:pPr>
        <w:pStyle w:val="null3"/>
      </w:pPr>
      <w:r>
        <w:rPr/>
        <w:t>采购包预算金额（元）: 650,000.00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全自动化学发光分析仪</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850,000.00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流式细胞分析仪</w:t>
            </w:r>
          </w:p>
        </w:tc>
        <w:tc>
          <w:tcPr>
            <w:tcW w:type="dxa" w:w="831"/>
          </w:tcPr>
          <w:p>
            <w:pPr>
              <w:pStyle w:val="null3"/>
              <w:jc w:val="right"/>
            </w:pPr>
            <w:r>
              <w:rPr/>
              <w:t>1.00</w:t>
            </w:r>
          </w:p>
        </w:tc>
        <w:tc>
          <w:tcPr>
            <w:tcW w:type="dxa" w:w="831"/>
          </w:tcPr>
          <w:p>
            <w:pPr>
              <w:pStyle w:val="null3"/>
              <w:jc w:val="right"/>
            </w:pPr>
            <w:r>
              <w:rPr/>
              <w:t>850,000.00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标的名称：全自动化学发光分析仪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color w:val="00B0F0"/>
              </w:rPr>
              <w:t>全自动化学发光分析仪，配置要求如下：</w:t>
            </w:r>
          </w:p>
          <w:p>
            <w:pPr>
              <w:pStyle w:val="null3"/>
            </w:pPr>
            <w:r>
              <w:rPr>
                <w:rFonts w:ascii="宋体" w:hAnsi="宋体" w:cs="宋体" w:eastAsia="宋体"/>
                <w:color w:val="00B0F0"/>
              </w:rPr>
              <w:t>（</w:t>
            </w:r>
            <w:r>
              <w:rPr>
                <w:rFonts w:ascii="calibri" w:hAnsi="calibri" w:cs="calibri" w:eastAsia="calibri"/>
                <w:color w:val="00B0F0"/>
              </w:rPr>
              <w:t>1</w:t>
            </w:r>
            <w:r>
              <w:rPr>
                <w:rFonts w:ascii="宋体" w:hAnsi="宋体" w:cs="宋体" w:eastAsia="宋体"/>
                <w:color w:val="00B0F0"/>
              </w:rPr>
              <w:t>）进</w:t>
            </w:r>
            <w:r>
              <w:rPr>
                <w:rFonts w:ascii="calibri" w:hAnsi="calibri" w:cs="calibri" w:eastAsia="calibri"/>
                <w:color w:val="00B0F0"/>
              </w:rPr>
              <w:t>/</w:t>
            </w:r>
            <w:r>
              <w:rPr>
                <w:rFonts w:ascii="宋体" w:hAnsi="宋体" w:cs="宋体" w:eastAsia="宋体"/>
                <w:color w:val="00B0F0"/>
              </w:rPr>
              <w:t>出样器</w:t>
            </w:r>
            <w:r>
              <w:rPr>
                <w:rFonts w:ascii="calibri" w:hAnsi="calibri" w:cs="calibri" w:eastAsia="calibri"/>
                <w:color w:val="00B0F0"/>
              </w:rPr>
              <w:t>1</w:t>
            </w:r>
            <w:r>
              <w:rPr>
                <w:rFonts w:ascii="宋体" w:hAnsi="宋体" w:cs="宋体" w:eastAsia="宋体"/>
                <w:color w:val="00B0F0"/>
              </w:rPr>
              <w:t>个。</w:t>
            </w:r>
          </w:p>
          <w:p>
            <w:pPr>
              <w:pStyle w:val="null3"/>
            </w:pPr>
            <w:r>
              <w:rPr>
                <w:rFonts w:ascii="宋体" w:hAnsi="宋体" w:cs="宋体" w:eastAsia="宋体"/>
                <w:color w:val="00B0F0"/>
              </w:rPr>
              <w:t>（</w:t>
            </w:r>
            <w:r>
              <w:rPr>
                <w:rFonts w:ascii="calibri" w:hAnsi="calibri" w:cs="calibri" w:eastAsia="calibri"/>
                <w:color w:val="00B0F0"/>
              </w:rPr>
              <w:t>2</w:t>
            </w:r>
            <w:r>
              <w:rPr>
                <w:rFonts w:ascii="宋体" w:hAnsi="宋体" w:cs="宋体" w:eastAsia="宋体"/>
                <w:color w:val="00B0F0"/>
              </w:rPr>
              <w:t>）免疫分析模块</w:t>
            </w:r>
            <w:r>
              <w:rPr>
                <w:rFonts w:ascii="calibri" w:hAnsi="calibri" w:cs="calibri" w:eastAsia="calibri"/>
                <w:color w:val="00B0F0"/>
              </w:rPr>
              <w:t>≥2</w:t>
            </w:r>
            <w:r>
              <w:rPr>
                <w:rFonts w:ascii="宋体" w:hAnsi="宋体" w:cs="宋体" w:eastAsia="宋体"/>
                <w:color w:val="00B0F0"/>
              </w:rPr>
              <w:t>个。</w:t>
            </w:r>
          </w:p>
          <w:p>
            <w:pPr>
              <w:pStyle w:val="null3"/>
            </w:pPr>
            <w:r>
              <w:rPr>
                <w:rFonts w:ascii="宋体" w:hAnsi="宋体" w:cs="宋体" w:eastAsia="宋体"/>
                <w:color w:val="00B0F0"/>
              </w:rPr>
              <w:t>（</w:t>
            </w:r>
            <w:r>
              <w:rPr>
                <w:rFonts w:ascii="calibri" w:hAnsi="calibri" w:cs="calibri" w:eastAsia="calibri"/>
                <w:color w:val="00B0F0"/>
              </w:rPr>
              <w:t>3</w:t>
            </w:r>
            <w:r>
              <w:rPr>
                <w:rFonts w:ascii="宋体" w:hAnsi="宋体" w:cs="宋体" w:eastAsia="宋体"/>
                <w:color w:val="00B0F0"/>
              </w:rPr>
              <w:t>）中文版操作软件</w:t>
            </w:r>
            <w:r>
              <w:rPr>
                <w:rFonts w:ascii="calibri" w:hAnsi="calibri" w:cs="calibri" w:eastAsia="calibri"/>
                <w:color w:val="00B0F0"/>
              </w:rPr>
              <w:t>1</w:t>
            </w:r>
            <w:r>
              <w:rPr>
                <w:rFonts w:ascii="宋体" w:hAnsi="宋体" w:cs="宋体" w:eastAsia="宋体"/>
                <w:color w:val="00B0F0"/>
              </w:rPr>
              <w:t>套。</w:t>
            </w:r>
          </w:p>
          <w:p>
            <w:pPr>
              <w:pStyle w:val="null3"/>
            </w:pPr>
            <w:r>
              <w:rPr>
                <w:rFonts w:ascii="宋体" w:hAnsi="宋体" w:cs="宋体" w:eastAsia="宋体"/>
                <w:color w:val="00B0F0"/>
              </w:rPr>
              <w:t>（</w:t>
            </w:r>
            <w:r>
              <w:rPr>
                <w:rFonts w:ascii="calibri" w:hAnsi="calibri" w:cs="calibri" w:eastAsia="calibri"/>
                <w:color w:val="00B0F0"/>
              </w:rPr>
              <w:t>4</w:t>
            </w:r>
            <w:r>
              <w:rPr>
                <w:rFonts w:ascii="宋体" w:hAnsi="宋体" w:cs="宋体" w:eastAsia="宋体"/>
                <w:color w:val="00B0F0"/>
              </w:rPr>
              <w:t>）显示器</w:t>
            </w:r>
            <w:r>
              <w:rPr>
                <w:rFonts w:ascii="calibri" w:hAnsi="calibri" w:cs="calibri" w:eastAsia="calibri"/>
                <w:color w:val="00B0F0"/>
              </w:rPr>
              <w:t>1</w:t>
            </w:r>
            <w:r>
              <w:rPr>
                <w:rFonts w:ascii="宋体" w:hAnsi="宋体" w:cs="宋体" w:eastAsia="宋体"/>
                <w:color w:val="00B0F0"/>
              </w:rPr>
              <w:t>套</w:t>
            </w:r>
          </w:p>
          <w:p>
            <w:pPr>
              <w:pStyle w:val="null3"/>
            </w:pPr>
            <w:r>
              <w:rPr>
                <w:rFonts w:ascii="宋体" w:hAnsi="宋体" w:cs="宋体" w:eastAsia="宋体"/>
                <w:color w:val="00B0F0"/>
              </w:rPr>
              <w:t>（</w:t>
            </w:r>
            <w:r>
              <w:rPr>
                <w:rFonts w:ascii="calibri" w:hAnsi="calibri" w:cs="calibri" w:eastAsia="calibri"/>
                <w:color w:val="00B0F0"/>
              </w:rPr>
              <w:t>5</w:t>
            </w:r>
            <w:r>
              <w:rPr>
                <w:rFonts w:ascii="宋体" w:hAnsi="宋体" w:cs="宋体" w:eastAsia="宋体"/>
                <w:color w:val="00B0F0"/>
              </w:rPr>
              <w:t>）电脑主机</w:t>
            </w:r>
            <w:r>
              <w:rPr>
                <w:rFonts w:ascii="calibri" w:hAnsi="calibri" w:cs="calibri" w:eastAsia="calibri"/>
                <w:color w:val="00B0F0"/>
              </w:rPr>
              <w:t>1</w:t>
            </w:r>
            <w:r>
              <w:rPr>
                <w:rFonts w:ascii="宋体" w:hAnsi="宋体" w:cs="宋体" w:eastAsia="宋体"/>
                <w:color w:val="00B0F0"/>
              </w:rPr>
              <w:t>套</w:t>
            </w:r>
          </w:p>
          <w:p>
            <w:pPr>
              <w:pStyle w:val="null3"/>
              <w:jc w:val="both"/>
            </w:pPr>
            <w:r>
              <w:rPr>
                <w:rFonts w:ascii="宋体" w:hAnsi="宋体" w:cs="宋体" w:eastAsia="宋体"/>
                <w:sz w:val="21"/>
                <w:color w:val="00B0F0"/>
              </w:rPr>
              <w:t>（</w:t>
            </w:r>
            <w:r>
              <w:rPr>
                <w:rFonts w:ascii="&quot;times new roman&quot;" w:hAnsi="&quot;times new roman&quot;" w:cs="&quot;times new roman&quot;" w:eastAsia="&quot;times new roman&quot;"/>
                <w:sz w:val="21"/>
                <w:color w:val="00B0F0"/>
              </w:rPr>
              <w:t>6</w:t>
            </w:r>
            <w:r>
              <w:rPr>
                <w:rFonts w:ascii="宋体" w:hAnsi="宋体" w:cs="宋体" w:eastAsia="宋体"/>
                <w:sz w:val="21"/>
                <w:color w:val="00B0F0"/>
              </w:rPr>
              <w:t>）无线鼠标键盘</w:t>
            </w:r>
            <w:r>
              <w:rPr>
                <w:rFonts w:ascii="times new roman, times, serif" w:hAnsi="times new roman, times, serif" w:cs="times new roman, times, serif" w:eastAsia="times new roman, times, serif"/>
                <w:sz w:val="21"/>
                <w:color w:val="00B0F0"/>
              </w:rPr>
              <w:t>1</w:t>
            </w:r>
            <w:r>
              <w:rPr>
                <w:rFonts w:ascii="宋体" w:hAnsi="宋体" w:cs="宋体" w:eastAsia="宋体"/>
                <w:sz w:val="21"/>
                <w:color w:val="00B0F0"/>
              </w:rPr>
              <w:t>套</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calibri" w:hAnsi="calibri" w:cs="calibri" w:eastAsia="calibri"/>
                <w:color w:val="00B0F0"/>
              </w:rPr>
              <w:t>1</w:t>
            </w:r>
            <w:r>
              <w:rPr>
                <w:rFonts w:ascii="宋体" w:hAnsi="宋体" w:cs="宋体" w:eastAsia="宋体"/>
                <w:color w:val="00B0F0"/>
              </w:rPr>
              <w:t>）发光原理：非酶参与的直接化学发光</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rFonts w:ascii="calibri" w:hAnsi="calibri" w:cs="calibri" w:eastAsia="calibri"/>
                <w:color w:val="00B0F0"/>
              </w:rPr>
              <w:t>2</w:t>
            </w:r>
            <w:r>
              <w:rPr>
                <w:rFonts w:ascii="宋体" w:hAnsi="宋体" w:cs="宋体" w:eastAsia="宋体"/>
                <w:color w:val="00B0F0"/>
              </w:rPr>
              <w:t>）化学发光法检测的综合测试速度</w:t>
            </w:r>
            <w:r>
              <w:rPr>
                <w:rFonts w:ascii="calibri" w:hAnsi="calibri" w:cs="calibri" w:eastAsia="calibri"/>
                <w:color w:val="00B0F0"/>
              </w:rPr>
              <w:t>≥1200</w:t>
            </w:r>
            <w:r>
              <w:rPr>
                <w:rFonts w:ascii="宋体" w:hAnsi="宋体" w:cs="宋体" w:eastAsia="宋体"/>
                <w:color w:val="00B0F0"/>
              </w:rPr>
              <w:t>测试</w:t>
            </w:r>
            <w:r>
              <w:rPr>
                <w:rFonts w:ascii="calibri" w:hAnsi="calibri" w:cs="calibri" w:eastAsia="calibri"/>
                <w:color w:val="00B0F0"/>
              </w:rPr>
              <w:t>/</w:t>
            </w:r>
            <w:r>
              <w:rPr>
                <w:rFonts w:ascii="宋体" w:hAnsi="宋体" w:cs="宋体" w:eastAsia="宋体"/>
                <w:color w:val="00B0F0"/>
              </w:rPr>
              <w:t>小时，最小检测单元（单模块）的测试速度</w:t>
            </w:r>
            <w:r>
              <w:rPr>
                <w:rFonts w:ascii="calibri" w:hAnsi="calibri" w:cs="calibri" w:eastAsia="calibri"/>
                <w:color w:val="00B0F0"/>
              </w:rPr>
              <w:t>≥600</w:t>
            </w:r>
            <w:r>
              <w:rPr>
                <w:rFonts w:ascii="宋体" w:hAnsi="宋体" w:cs="宋体" w:eastAsia="宋体"/>
                <w:color w:val="00B0F0"/>
              </w:rPr>
              <w:t>测试</w:t>
            </w:r>
            <w:r>
              <w:rPr>
                <w:rFonts w:ascii="calibri" w:hAnsi="calibri" w:cs="calibri" w:eastAsia="calibri"/>
                <w:color w:val="00B0F0"/>
              </w:rPr>
              <w:t>/</w:t>
            </w:r>
            <w:r>
              <w:rPr>
                <w:rFonts w:ascii="宋体" w:hAnsi="宋体" w:cs="宋体" w:eastAsia="宋体"/>
                <w:color w:val="00B0F0"/>
              </w:rPr>
              <w:t>小时（需提供证明材料）。</w:t>
            </w:r>
          </w:p>
        </w:tc>
      </w:tr>
      <w:tr>
        <w:tc>
          <w:tcPr>
            <w:tcW w:type="dxa" w:w="2769"/>
          </w:tcPr>
          <w:p/>
        </w:tc>
        <w:tc>
          <w:tcPr>
            <w:tcW w:type="dxa" w:w="2769"/>
          </w:tcPr>
          <w:p>
            <w:pPr>
              <w:pStyle w:val="null3"/>
            </w:pPr>
            <w:r>
              <w:rPr/>
              <w:t>4</w:t>
            </w:r>
          </w:p>
        </w:tc>
        <w:tc>
          <w:tcPr>
            <w:tcW w:type="dxa" w:w="2769"/>
          </w:tcPr>
          <w:p>
            <w:pPr>
              <w:pStyle w:val="null3"/>
            </w:pPr>
            <w:r>
              <w:rPr>
                <w:rFonts w:ascii="calibri" w:hAnsi="calibri" w:cs="calibri" w:eastAsia="calibri"/>
                <w:color w:val="00B0F0"/>
              </w:rPr>
              <w:t>3</w:t>
            </w:r>
            <w:r>
              <w:rPr>
                <w:rFonts w:ascii="宋体" w:hAnsi="宋体" w:cs="宋体" w:eastAsia="宋体"/>
                <w:color w:val="00B0F0"/>
              </w:rPr>
              <w:t>）第一份结果出来所用时间</w:t>
            </w:r>
            <w:r>
              <w:rPr>
                <w:rFonts w:ascii="calibri" w:hAnsi="calibri" w:cs="calibri" w:eastAsia="calibri"/>
                <w:color w:val="00B0F0"/>
              </w:rPr>
              <w:t>:≤15</w:t>
            </w:r>
            <w:r>
              <w:rPr>
                <w:rFonts w:ascii="宋体" w:hAnsi="宋体" w:cs="宋体" w:eastAsia="宋体"/>
                <w:color w:val="00B0F0"/>
              </w:rPr>
              <w:t>分钟</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rFonts w:ascii="calibri" w:hAnsi="calibri" w:cs="calibri" w:eastAsia="calibri"/>
                <w:color w:val="00B0F0"/>
              </w:rPr>
              <w:t>4</w:t>
            </w:r>
            <w:r>
              <w:rPr>
                <w:rFonts w:ascii="宋体" w:hAnsi="宋体" w:cs="宋体" w:eastAsia="宋体"/>
                <w:color w:val="00B0F0"/>
              </w:rPr>
              <w:t>）样本输入单元单模块通量</w:t>
            </w:r>
            <w:r>
              <w:rPr>
                <w:rFonts w:ascii="calibri" w:hAnsi="calibri" w:cs="calibri" w:eastAsia="calibri"/>
                <w:color w:val="00B0F0"/>
              </w:rPr>
              <w:t>≥1000</w:t>
            </w:r>
            <w:r>
              <w:rPr>
                <w:rFonts w:ascii="宋体" w:hAnsi="宋体" w:cs="宋体" w:eastAsia="宋体"/>
                <w:color w:val="00B0F0"/>
              </w:rPr>
              <w:t>管</w:t>
            </w:r>
            <w:r>
              <w:rPr>
                <w:rFonts w:ascii="calibri" w:hAnsi="calibri" w:cs="calibri" w:eastAsia="calibri"/>
                <w:color w:val="00B0F0"/>
              </w:rPr>
              <w:t>/</w:t>
            </w:r>
            <w:r>
              <w:rPr>
                <w:rFonts w:ascii="宋体" w:hAnsi="宋体" w:cs="宋体" w:eastAsia="宋体"/>
                <w:color w:val="00B0F0"/>
              </w:rPr>
              <w:t>小时，一次性最大上样量</w:t>
            </w:r>
            <w:r>
              <w:rPr>
                <w:rFonts w:ascii="calibri" w:hAnsi="calibri" w:cs="calibri" w:eastAsia="calibri"/>
                <w:color w:val="00B0F0"/>
              </w:rPr>
              <w:t>≥600</w:t>
            </w:r>
            <w:r>
              <w:rPr>
                <w:rFonts w:ascii="宋体" w:hAnsi="宋体" w:cs="宋体" w:eastAsia="宋体"/>
                <w:color w:val="00B0F0"/>
              </w:rPr>
              <w:t>管</w:t>
            </w:r>
            <w:r>
              <w:rPr>
                <w:rFonts w:ascii="calibri" w:hAnsi="calibri" w:cs="calibri" w:eastAsia="calibri"/>
                <w:color w:val="00B0F0"/>
              </w:rPr>
              <w:t xml:space="preserve">, </w:t>
            </w:r>
            <w:r>
              <w:rPr>
                <w:rFonts w:ascii="宋体" w:hAnsi="宋体" w:cs="宋体" w:eastAsia="宋体"/>
                <w:color w:val="00B0F0"/>
              </w:rPr>
              <w:t>可连续进样。</w:t>
            </w:r>
          </w:p>
        </w:tc>
      </w:tr>
      <w:tr>
        <w:tc>
          <w:tcPr>
            <w:tcW w:type="dxa" w:w="2769"/>
          </w:tcPr>
          <w:p/>
        </w:tc>
        <w:tc>
          <w:tcPr>
            <w:tcW w:type="dxa" w:w="2769"/>
          </w:tcPr>
          <w:p>
            <w:pPr>
              <w:pStyle w:val="null3"/>
            </w:pPr>
            <w:r>
              <w:rPr/>
              <w:t>6</w:t>
            </w:r>
          </w:p>
        </w:tc>
        <w:tc>
          <w:tcPr>
            <w:tcW w:type="dxa" w:w="2769"/>
          </w:tcPr>
          <w:p>
            <w:pPr>
              <w:pStyle w:val="null3"/>
            </w:pPr>
            <w:r>
              <w:rPr>
                <w:rFonts w:ascii="calibri" w:hAnsi="calibri" w:cs="calibri" w:eastAsia="calibri"/>
                <w:color w:val="00B0F0"/>
              </w:rPr>
              <w:t>5</w:t>
            </w:r>
            <w:r>
              <w:rPr>
                <w:rFonts w:ascii="宋体" w:hAnsi="宋体" w:cs="宋体" w:eastAsia="宋体"/>
                <w:color w:val="00B0F0"/>
              </w:rPr>
              <w:t>）样本输出单元单模块可配置</w:t>
            </w:r>
            <w:r>
              <w:rPr>
                <w:rFonts w:ascii="calibri" w:hAnsi="calibri" w:cs="calibri" w:eastAsia="calibri"/>
                <w:color w:val="00B0F0"/>
              </w:rPr>
              <w:t>≥8</w:t>
            </w:r>
            <w:r>
              <w:rPr>
                <w:rFonts w:ascii="宋体" w:hAnsi="宋体" w:cs="宋体" w:eastAsia="宋体"/>
                <w:color w:val="00B0F0"/>
              </w:rPr>
              <w:t>个功能区，支持对标本进行分类</w:t>
            </w:r>
            <w:r>
              <w:rPr>
                <w:rFonts w:ascii="calibri" w:hAnsi="calibri" w:cs="calibri" w:eastAsia="calibri"/>
                <w:color w:val="00B0F0"/>
              </w:rPr>
              <w:t>/</w:t>
            </w:r>
            <w:r>
              <w:rPr>
                <w:rFonts w:ascii="宋体" w:hAnsi="宋体" w:cs="宋体" w:eastAsia="宋体"/>
                <w:color w:val="00B0F0"/>
              </w:rPr>
              <w:t>归档等功能。</w:t>
            </w:r>
          </w:p>
        </w:tc>
      </w:tr>
      <w:tr>
        <w:tc>
          <w:tcPr>
            <w:tcW w:type="dxa" w:w="2769"/>
          </w:tcPr>
          <w:p>
            <w:pPr>
              <w:pStyle w:val="null3"/>
            </w:pPr>
            <w:r>
              <w:rPr/>
              <w:t>▲</w:t>
            </w:r>
          </w:p>
        </w:tc>
        <w:tc>
          <w:tcPr>
            <w:tcW w:type="dxa" w:w="2769"/>
          </w:tcPr>
          <w:p>
            <w:pPr>
              <w:pStyle w:val="null3"/>
            </w:pPr>
            <w:r>
              <w:rPr/>
              <w:t>7</w:t>
            </w:r>
          </w:p>
        </w:tc>
        <w:tc>
          <w:tcPr>
            <w:tcW w:type="dxa" w:w="2769"/>
          </w:tcPr>
          <w:p>
            <w:pPr>
              <w:pStyle w:val="null3"/>
              <w:jc w:val="both"/>
            </w:pPr>
            <w:r>
              <w:rPr>
                <w:rFonts w:ascii="&quot;times new roman&quot;" w:hAnsi="&quot;times new roman&quot;" w:cs="&quot;times new roman&quot;" w:eastAsia="&quot;times new roman&quot;"/>
                <w:sz w:val="21"/>
                <w:color w:val="00B0F0"/>
              </w:rPr>
              <w:t>6</w:t>
            </w:r>
            <w:r>
              <w:rPr>
                <w:rFonts w:ascii="宋体" w:hAnsi="宋体" w:cs="宋体" w:eastAsia="宋体"/>
                <w:sz w:val="21"/>
                <w:color w:val="00B0F0"/>
              </w:rPr>
              <w:t>）样本针：采用一次性吸头吸样，样本针携带污染率</w:t>
            </w:r>
            <w:r>
              <w:rPr>
                <w:rFonts w:ascii="times new roman, times, serif" w:hAnsi="times new roman, times, serif" w:cs="times new roman, times, serif" w:eastAsia="times new roman, times, serif"/>
                <w:sz w:val="21"/>
                <w:color w:val="00B0F0"/>
              </w:rPr>
              <w:t>≤0.1PPM</w:t>
            </w:r>
            <w:r>
              <w:rPr>
                <w:rFonts w:ascii="宋体" w:hAnsi="宋体" w:cs="宋体" w:eastAsia="宋体"/>
                <w:sz w:val="21"/>
                <w:color w:val="00B0F0"/>
              </w:rPr>
              <w:t>，具备自动液面探测、凝块探测、气泡探测、碰撞探测功能（提供证明资料）。</w:t>
            </w:r>
          </w:p>
        </w:tc>
      </w:tr>
      <w:tr>
        <w:tc>
          <w:tcPr>
            <w:tcW w:type="dxa" w:w="2769"/>
          </w:tcPr>
          <w:p/>
        </w:tc>
        <w:tc>
          <w:tcPr>
            <w:tcW w:type="dxa" w:w="2769"/>
          </w:tcPr>
          <w:p>
            <w:pPr>
              <w:pStyle w:val="null3"/>
            </w:pPr>
            <w:r>
              <w:rPr/>
              <w:t>8</w:t>
            </w:r>
          </w:p>
        </w:tc>
        <w:tc>
          <w:tcPr>
            <w:tcW w:type="dxa" w:w="2769"/>
          </w:tcPr>
          <w:p>
            <w:pPr>
              <w:pStyle w:val="null3"/>
            </w:pPr>
            <w:r>
              <w:rPr>
                <w:rFonts w:ascii="calibri" w:hAnsi="calibri" w:cs="calibri" w:eastAsia="calibri"/>
                <w:color w:val="00B0F0"/>
              </w:rPr>
              <w:t>7</w:t>
            </w:r>
            <w:r>
              <w:rPr>
                <w:rFonts w:ascii="宋体" w:hAnsi="宋体" w:cs="宋体" w:eastAsia="宋体"/>
                <w:color w:val="00B0F0"/>
              </w:rPr>
              <w:t>）首个结果出报告时间</w:t>
            </w:r>
            <w:r>
              <w:rPr>
                <w:rFonts w:ascii="calibri" w:hAnsi="calibri" w:cs="calibri" w:eastAsia="calibri"/>
                <w:color w:val="00B0F0"/>
              </w:rPr>
              <w:t>≤15</w:t>
            </w:r>
            <w:r>
              <w:rPr>
                <w:rFonts w:ascii="宋体" w:hAnsi="宋体" w:cs="宋体" w:eastAsia="宋体"/>
                <w:color w:val="00B0F0"/>
              </w:rPr>
              <w:t>分钟。</w:t>
            </w:r>
          </w:p>
        </w:tc>
      </w:tr>
      <w:tr>
        <w:tc>
          <w:tcPr>
            <w:tcW w:type="dxa" w:w="2769"/>
          </w:tcPr>
          <w:p/>
        </w:tc>
        <w:tc>
          <w:tcPr>
            <w:tcW w:type="dxa" w:w="2769"/>
          </w:tcPr>
          <w:p>
            <w:pPr>
              <w:pStyle w:val="null3"/>
            </w:pPr>
            <w:r>
              <w:rPr/>
              <w:t>9</w:t>
            </w:r>
          </w:p>
        </w:tc>
        <w:tc>
          <w:tcPr>
            <w:tcW w:type="dxa" w:w="2769"/>
          </w:tcPr>
          <w:p>
            <w:pPr>
              <w:pStyle w:val="null3"/>
            </w:pPr>
            <w:r>
              <w:rPr>
                <w:rFonts w:ascii="calibri" w:hAnsi="calibri" w:cs="calibri" w:eastAsia="calibri"/>
                <w:color w:val="00B0F0"/>
              </w:rPr>
              <w:t>8</w:t>
            </w:r>
            <w:r>
              <w:rPr>
                <w:rFonts w:ascii="宋体" w:hAnsi="宋体" w:cs="宋体" w:eastAsia="宋体"/>
                <w:color w:val="00B0F0"/>
              </w:rPr>
              <w:t>）进样仓容量：最小检测单元（单模块）的一次性最多可装载样本量</w:t>
            </w:r>
            <w:r>
              <w:rPr>
                <w:rFonts w:ascii="calibri" w:hAnsi="calibri" w:cs="calibri" w:eastAsia="calibri"/>
                <w:color w:val="00B0F0"/>
              </w:rPr>
              <w:t>≥300</w:t>
            </w:r>
            <w:r>
              <w:rPr>
                <w:rFonts w:ascii="宋体" w:hAnsi="宋体" w:cs="宋体" w:eastAsia="宋体"/>
                <w:color w:val="00B0F0"/>
              </w:rPr>
              <w:t>个。</w:t>
            </w:r>
          </w:p>
        </w:tc>
      </w:tr>
      <w:tr>
        <w:tc>
          <w:tcPr>
            <w:tcW w:type="dxa" w:w="2769"/>
          </w:tcPr>
          <w:p>
            <w:pPr>
              <w:pStyle w:val="null3"/>
            </w:pPr>
            <w:r>
              <w:rPr/>
              <w:t>▲</w:t>
            </w:r>
          </w:p>
        </w:tc>
        <w:tc>
          <w:tcPr>
            <w:tcW w:type="dxa" w:w="2769"/>
          </w:tcPr>
          <w:p>
            <w:pPr>
              <w:pStyle w:val="null3"/>
            </w:pPr>
            <w:r>
              <w:rPr/>
              <w:t>10</w:t>
            </w:r>
          </w:p>
        </w:tc>
        <w:tc>
          <w:tcPr>
            <w:tcW w:type="dxa" w:w="2769"/>
          </w:tcPr>
          <w:p>
            <w:pPr>
              <w:pStyle w:val="null3"/>
            </w:pPr>
            <w:r>
              <w:rPr>
                <w:rFonts w:ascii="calibri" w:hAnsi="calibri" w:cs="calibri" w:eastAsia="calibri"/>
                <w:color w:val="00B0F0"/>
              </w:rPr>
              <w:t>9</w:t>
            </w:r>
            <w:r>
              <w:rPr>
                <w:rFonts w:ascii="宋体" w:hAnsi="宋体" w:cs="宋体" w:eastAsia="宋体"/>
                <w:color w:val="00B0F0"/>
              </w:rPr>
              <w:t>）最小检测单元（单模块）一次性可检测的项目数量</w:t>
            </w:r>
            <w:r>
              <w:rPr>
                <w:rFonts w:ascii="calibri" w:hAnsi="calibri" w:cs="calibri" w:eastAsia="calibri"/>
                <w:color w:val="00B0F0"/>
              </w:rPr>
              <w:t>≥40</w:t>
            </w:r>
            <w:r>
              <w:rPr>
                <w:rFonts w:ascii="宋体" w:hAnsi="宋体" w:cs="宋体" w:eastAsia="宋体"/>
                <w:color w:val="00B0F0"/>
              </w:rPr>
              <w:t>个，总试剂位</w:t>
            </w:r>
            <w:r>
              <w:rPr>
                <w:rFonts w:ascii="calibri" w:hAnsi="calibri" w:cs="calibri" w:eastAsia="calibri"/>
                <w:color w:val="00B0F0"/>
              </w:rPr>
              <w:t>≥80</w:t>
            </w:r>
            <w:r>
              <w:rPr>
                <w:rFonts w:ascii="宋体" w:hAnsi="宋体" w:cs="宋体" w:eastAsia="宋体"/>
                <w:color w:val="00B0F0"/>
              </w:rPr>
              <w:t>个。</w:t>
            </w:r>
          </w:p>
        </w:tc>
      </w:tr>
      <w:tr>
        <w:tc>
          <w:tcPr>
            <w:tcW w:type="dxa" w:w="2769"/>
          </w:tcPr>
          <w:p/>
        </w:tc>
        <w:tc>
          <w:tcPr>
            <w:tcW w:type="dxa" w:w="2769"/>
          </w:tcPr>
          <w:p>
            <w:pPr>
              <w:pStyle w:val="null3"/>
            </w:pPr>
            <w:r>
              <w:rPr/>
              <w:t>11</w:t>
            </w:r>
          </w:p>
        </w:tc>
        <w:tc>
          <w:tcPr>
            <w:tcW w:type="dxa" w:w="2769"/>
          </w:tcPr>
          <w:p>
            <w:pPr>
              <w:pStyle w:val="null3"/>
            </w:pPr>
            <w:r>
              <w:rPr>
                <w:rFonts w:ascii="calibri" w:hAnsi="calibri" w:cs="calibri" w:eastAsia="calibri"/>
                <w:color w:val="00B0F0"/>
              </w:rPr>
              <w:t>10</w:t>
            </w:r>
            <w:r>
              <w:rPr>
                <w:rFonts w:ascii="宋体" w:hAnsi="宋体" w:cs="宋体" w:eastAsia="宋体"/>
                <w:color w:val="00B0F0"/>
              </w:rPr>
              <w:t>）试剂辨别：采用射频识别技术读取试剂盒的全部信息，可实现自动存量追踪、校准有效性追踪标记和试剂有效期追踪标记。</w:t>
            </w:r>
          </w:p>
        </w:tc>
      </w:tr>
      <w:tr>
        <w:tc>
          <w:tcPr>
            <w:tcW w:type="dxa" w:w="2769"/>
          </w:tcPr>
          <w:p/>
        </w:tc>
        <w:tc>
          <w:tcPr>
            <w:tcW w:type="dxa" w:w="2769"/>
          </w:tcPr>
          <w:p>
            <w:pPr>
              <w:pStyle w:val="null3"/>
            </w:pPr>
            <w:r>
              <w:rPr/>
              <w:t>12</w:t>
            </w:r>
          </w:p>
        </w:tc>
        <w:tc>
          <w:tcPr>
            <w:tcW w:type="dxa" w:w="2769"/>
          </w:tcPr>
          <w:p>
            <w:pPr>
              <w:pStyle w:val="null3"/>
            </w:pPr>
            <w:r>
              <w:rPr>
                <w:rFonts w:ascii="calibri" w:hAnsi="calibri" w:cs="calibri" w:eastAsia="calibri"/>
                <w:color w:val="00B0F0"/>
              </w:rPr>
              <w:t>11</w:t>
            </w:r>
            <w:r>
              <w:rPr>
                <w:rFonts w:ascii="宋体" w:hAnsi="宋体" w:cs="宋体" w:eastAsia="宋体"/>
                <w:color w:val="00B0F0"/>
              </w:rPr>
              <w:t>）反应杯：采用一次性单反应杯，最小检测单元（单模块）一次性加载</w:t>
            </w:r>
            <w:r>
              <w:rPr>
                <w:rFonts w:ascii="calibri" w:hAnsi="calibri" w:cs="calibri" w:eastAsia="calibri"/>
                <w:color w:val="00B0F0"/>
              </w:rPr>
              <w:t>≥2000</w:t>
            </w:r>
            <w:r>
              <w:rPr>
                <w:rFonts w:ascii="宋体" w:hAnsi="宋体" w:cs="宋体" w:eastAsia="宋体"/>
                <w:color w:val="00B0F0"/>
              </w:rPr>
              <w:t>个。</w:t>
            </w:r>
          </w:p>
        </w:tc>
      </w:tr>
      <w:tr>
        <w:tc>
          <w:tcPr>
            <w:tcW w:type="dxa" w:w="2769"/>
          </w:tcPr>
          <w:p/>
        </w:tc>
        <w:tc>
          <w:tcPr>
            <w:tcW w:type="dxa" w:w="2769"/>
          </w:tcPr>
          <w:p>
            <w:pPr>
              <w:pStyle w:val="null3"/>
            </w:pPr>
            <w:r>
              <w:rPr/>
              <w:t>13</w:t>
            </w:r>
          </w:p>
        </w:tc>
        <w:tc>
          <w:tcPr>
            <w:tcW w:type="dxa" w:w="2769"/>
          </w:tcPr>
          <w:p>
            <w:pPr>
              <w:pStyle w:val="null3"/>
            </w:pPr>
            <w:r>
              <w:rPr>
                <w:rFonts w:ascii="calibri" w:hAnsi="calibri" w:cs="calibri" w:eastAsia="calibri"/>
                <w:color w:val="00B0F0"/>
              </w:rPr>
              <w:t>12</w:t>
            </w:r>
            <w:r>
              <w:rPr>
                <w:rFonts w:ascii="宋体" w:hAnsi="宋体" w:cs="宋体" w:eastAsia="宋体"/>
                <w:color w:val="00B0F0"/>
              </w:rPr>
              <w:t>）混匀方式：采用非接触式偏心涡旋混匀或超声混匀。</w:t>
            </w:r>
          </w:p>
        </w:tc>
      </w:tr>
      <w:tr>
        <w:tc>
          <w:tcPr>
            <w:tcW w:type="dxa" w:w="2769"/>
          </w:tcPr>
          <w:p/>
        </w:tc>
        <w:tc>
          <w:tcPr>
            <w:tcW w:type="dxa" w:w="2769"/>
          </w:tcPr>
          <w:p>
            <w:pPr>
              <w:pStyle w:val="null3"/>
            </w:pPr>
            <w:r>
              <w:rPr/>
              <w:t>14</w:t>
            </w:r>
          </w:p>
        </w:tc>
        <w:tc>
          <w:tcPr>
            <w:tcW w:type="dxa" w:w="2769"/>
          </w:tcPr>
          <w:p>
            <w:pPr>
              <w:pStyle w:val="null3"/>
            </w:pPr>
            <w:r>
              <w:rPr>
                <w:rFonts w:ascii="calibri" w:hAnsi="calibri" w:cs="calibri" w:eastAsia="calibri"/>
                <w:color w:val="00B0F0"/>
              </w:rPr>
              <w:t>13</w:t>
            </w:r>
            <w:r>
              <w:rPr>
                <w:rFonts w:ascii="宋体" w:hAnsi="宋体" w:cs="宋体" w:eastAsia="宋体"/>
                <w:color w:val="00B0F0"/>
              </w:rPr>
              <w:t>）校准要求：需无条件提供原厂校准品</w:t>
            </w:r>
            <w:r>
              <w:rPr>
                <w:rFonts w:ascii="calibri" w:hAnsi="calibri" w:cs="calibri" w:eastAsia="calibri"/>
                <w:color w:val="00B0F0"/>
              </w:rPr>
              <w:t>1</w:t>
            </w:r>
            <w:r>
              <w:rPr>
                <w:rFonts w:ascii="宋体" w:hAnsi="宋体" w:cs="宋体" w:eastAsia="宋体"/>
                <w:color w:val="00B0F0"/>
              </w:rPr>
              <w:t>套。</w:t>
            </w:r>
          </w:p>
        </w:tc>
      </w:tr>
      <w:tr>
        <w:tc>
          <w:tcPr>
            <w:tcW w:type="dxa" w:w="2769"/>
          </w:tcPr>
          <w:p>
            <w:pPr>
              <w:pStyle w:val="null3"/>
            </w:pPr>
            <w:r>
              <w:rPr/>
              <w:t>▲</w:t>
            </w:r>
          </w:p>
        </w:tc>
        <w:tc>
          <w:tcPr>
            <w:tcW w:type="dxa" w:w="2769"/>
          </w:tcPr>
          <w:p>
            <w:pPr>
              <w:pStyle w:val="null3"/>
            </w:pPr>
            <w:r>
              <w:rPr/>
              <w:t>15</w:t>
            </w:r>
          </w:p>
        </w:tc>
        <w:tc>
          <w:tcPr>
            <w:tcW w:type="dxa" w:w="2769"/>
          </w:tcPr>
          <w:p>
            <w:pPr>
              <w:pStyle w:val="null3"/>
            </w:pPr>
            <w:r>
              <w:rPr>
                <w:rFonts w:ascii="calibri" w:hAnsi="calibri" w:cs="calibri" w:eastAsia="calibri"/>
                <w:color w:val="00B0F0"/>
              </w:rPr>
              <w:t>14</w:t>
            </w:r>
            <w:r>
              <w:rPr>
                <w:rFonts w:ascii="宋体" w:hAnsi="宋体" w:cs="宋体" w:eastAsia="宋体"/>
                <w:color w:val="00B0F0"/>
              </w:rPr>
              <w:t>）校准方式：内置主曲线，所有项目均采用两点校准。</w:t>
            </w:r>
          </w:p>
        </w:tc>
      </w:tr>
      <w:tr>
        <w:tc>
          <w:tcPr>
            <w:tcW w:type="dxa" w:w="2769"/>
          </w:tcPr>
          <w:p/>
        </w:tc>
        <w:tc>
          <w:tcPr>
            <w:tcW w:type="dxa" w:w="2769"/>
          </w:tcPr>
          <w:p>
            <w:pPr>
              <w:pStyle w:val="null3"/>
            </w:pPr>
            <w:r>
              <w:rPr/>
              <w:t>16</w:t>
            </w:r>
          </w:p>
        </w:tc>
        <w:tc>
          <w:tcPr>
            <w:tcW w:type="dxa" w:w="2769"/>
          </w:tcPr>
          <w:p>
            <w:pPr>
              <w:pStyle w:val="null3"/>
            </w:pPr>
            <w:r>
              <w:rPr>
                <w:rFonts w:ascii="calibri" w:hAnsi="calibri" w:cs="calibri" w:eastAsia="calibri"/>
                <w:color w:val="00B0F0"/>
              </w:rPr>
              <w:t>15</w:t>
            </w:r>
            <w:r>
              <w:rPr>
                <w:rFonts w:ascii="宋体" w:hAnsi="宋体" w:cs="宋体" w:eastAsia="宋体"/>
                <w:color w:val="00B0F0"/>
              </w:rPr>
              <w:t>）试剂种类：</w:t>
            </w:r>
            <w:r>
              <w:rPr>
                <w:rFonts w:ascii="calibri" w:hAnsi="calibri" w:cs="calibri" w:eastAsia="calibri"/>
                <w:color w:val="00B0F0"/>
              </w:rPr>
              <w:t>≥120</w:t>
            </w:r>
            <w:r>
              <w:rPr>
                <w:rFonts w:ascii="宋体" w:hAnsi="宋体" w:cs="宋体" w:eastAsia="宋体"/>
                <w:color w:val="00B0F0"/>
              </w:rPr>
              <w:t>种，项目包含：性腺、甲状腺、肿瘤标志物、传染病、糖代谢等项目，并提供试剂注册证。</w:t>
            </w:r>
          </w:p>
        </w:tc>
      </w:tr>
      <w:tr>
        <w:tc>
          <w:tcPr>
            <w:tcW w:type="dxa" w:w="2769"/>
          </w:tcPr>
          <w:p/>
        </w:tc>
        <w:tc>
          <w:tcPr>
            <w:tcW w:type="dxa" w:w="2769"/>
          </w:tcPr>
          <w:p>
            <w:pPr>
              <w:pStyle w:val="null3"/>
            </w:pPr>
            <w:r>
              <w:rPr/>
              <w:t>17</w:t>
            </w:r>
          </w:p>
        </w:tc>
        <w:tc>
          <w:tcPr>
            <w:tcW w:type="dxa" w:w="2769"/>
          </w:tcPr>
          <w:p>
            <w:pPr>
              <w:pStyle w:val="null3"/>
            </w:pPr>
            <w:r>
              <w:rPr>
                <w:rFonts w:ascii="calibri" w:hAnsi="calibri" w:cs="calibri" w:eastAsia="calibri"/>
                <w:color w:val="00B0F0"/>
              </w:rPr>
              <w:t>16</w:t>
            </w:r>
            <w:r>
              <w:rPr>
                <w:rFonts w:ascii="宋体" w:hAnsi="宋体" w:cs="宋体" w:eastAsia="宋体"/>
                <w:color w:val="00B0F0"/>
              </w:rPr>
              <w:t>）具有</w:t>
            </w:r>
            <w:r>
              <w:rPr>
                <w:rFonts w:ascii="calibri" w:hAnsi="calibri" w:cs="calibri" w:eastAsia="calibri"/>
                <w:color w:val="00B0F0"/>
              </w:rPr>
              <w:t>PCT</w:t>
            </w:r>
            <w:r>
              <w:rPr>
                <w:rFonts w:ascii="宋体" w:hAnsi="宋体" w:cs="宋体" w:eastAsia="宋体"/>
                <w:color w:val="00B0F0"/>
              </w:rPr>
              <w:t>（降钙素原）、</w:t>
            </w:r>
            <w:r>
              <w:rPr>
                <w:rFonts w:ascii="calibri" w:hAnsi="calibri" w:cs="calibri" w:eastAsia="calibri"/>
                <w:color w:val="00B0F0"/>
              </w:rPr>
              <w:t>CRP</w:t>
            </w:r>
            <w:r>
              <w:rPr>
                <w:rFonts w:ascii="宋体" w:hAnsi="宋体" w:cs="宋体" w:eastAsia="宋体"/>
                <w:color w:val="00B0F0"/>
              </w:rPr>
              <w:t>（</w:t>
            </w:r>
            <w:r>
              <w:rPr>
                <w:rFonts w:ascii="calibri" w:hAnsi="calibri" w:cs="calibri" w:eastAsia="calibri"/>
                <w:color w:val="00B0F0"/>
              </w:rPr>
              <w:t>C</w:t>
            </w:r>
            <w:r>
              <w:rPr>
                <w:rFonts w:ascii="宋体" w:hAnsi="宋体" w:cs="宋体" w:eastAsia="宋体"/>
                <w:color w:val="00B0F0"/>
              </w:rPr>
              <w:t>反应蛋白）、</w:t>
            </w:r>
            <w:r>
              <w:rPr>
                <w:rFonts w:ascii="calibri" w:hAnsi="calibri" w:cs="calibri" w:eastAsia="calibri"/>
                <w:color w:val="00B0F0"/>
              </w:rPr>
              <w:t>IL-6</w:t>
            </w:r>
            <w:r>
              <w:rPr>
                <w:rFonts w:ascii="宋体" w:hAnsi="宋体" w:cs="宋体" w:eastAsia="宋体"/>
                <w:color w:val="00B0F0"/>
              </w:rPr>
              <w:t>（白介素</w:t>
            </w:r>
            <w:r>
              <w:rPr>
                <w:rFonts w:ascii="calibri" w:hAnsi="calibri" w:cs="calibri" w:eastAsia="calibri"/>
                <w:color w:val="00B0F0"/>
              </w:rPr>
              <w:t>6</w:t>
            </w:r>
            <w:r>
              <w:rPr>
                <w:rFonts w:ascii="宋体" w:hAnsi="宋体" w:cs="宋体" w:eastAsia="宋体"/>
                <w:color w:val="00B0F0"/>
              </w:rPr>
              <w:t>）、</w:t>
            </w:r>
            <w:r>
              <w:rPr>
                <w:rFonts w:ascii="calibri" w:hAnsi="calibri" w:cs="calibri" w:eastAsia="calibri"/>
                <w:color w:val="00B0F0"/>
              </w:rPr>
              <w:t>SAA</w:t>
            </w:r>
            <w:r>
              <w:rPr>
                <w:rFonts w:ascii="宋体" w:hAnsi="宋体" w:cs="宋体" w:eastAsia="宋体"/>
                <w:color w:val="00B0F0"/>
              </w:rPr>
              <w:t>（血清淀粉样蛋白</w:t>
            </w:r>
            <w:r>
              <w:rPr>
                <w:rFonts w:ascii="calibri" w:hAnsi="calibri" w:cs="calibri" w:eastAsia="calibri"/>
                <w:color w:val="00B0F0"/>
              </w:rPr>
              <w:t>A</w:t>
            </w:r>
            <w:r>
              <w:rPr>
                <w:rFonts w:ascii="宋体" w:hAnsi="宋体" w:cs="宋体" w:eastAsia="宋体"/>
                <w:color w:val="00B0F0"/>
              </w:rPr>
              <w:t>）等检测项目，并提供试剂注册证。</w:t>
            </w:r>
          </w:p>
        </w:tc>
      </w:tr>
      <w:tr>
        <w:tc>
          <w:tcPr>
            <w:tcW w:type="dxa" w:w="2769"/>
          </w:tcPr>
          <w:p>
            <w:pPr>
              <w:pStyle w:val="null3"/>
            </w:pPr>
            <w:r>
              <w:rPr/>
              <w:t>▲</w:t>
            </w:r>
          </w:p>
        </w:tc>
        <w:tc>
          <w:tcPr>
            <w:tcW w:type="dxa" w:w="2769"/>
          </w:tcPr>
          <w:p>
            <w:pPr>
              <w:pStyle w:val="null3"/>
            </w:pPr>
            <w:r>
              <w:rPr/>
              <w:t>18</w:t>
            </w:r>
          </w:p>
        </w:tc>
        <w:tc>
          <w:tcPr>
            <w:tcW w:type="dxa" w:w="2769"/>
          </w:tcPr>
          <w:p>
            <w:pPr>
              <w:pStyle w:val="null3"/>
            </w:pPr>
            <w:r>
              <w:rPr>
                <w:rFonts w:ascii="calibri" w:hAnsi="calibri" w:cs="calibri" w:eastAsia="calibri"/>
                <w:color w:val="00B0F0"/>
              </w:rPr>
              <w:t>17</w:t>
            </w:r>
            <w:r>
              <w:rPr>
                <w:rFonts w:ascii="宋体" w:hAnsi="宋体" w:cs="宋体" w:eastAsia="宋体"/>
                <w:color w:val="00B0F0"/>
              </w:rPr>
              <w:t>）具有</w:t>
            </w:r>
            <w:r>
              <w:rPr>
                <w:rFonts w:ascii="calibri" w:hAnsi="calibri" w:cs="calibri" w:eastAsia="calibri"/>
                <w:color w:val="00B0F0"/>
              </w:rPr>
              <w:t>ANA</w:t>
            </w:r>
            <w:r>
              <w:rPr>
                <w:rFonts w:ascii="宋体" w:hAnsi="宋体" w:cs="宋体" w:eastAsia="宋体"/>
                <w:color w:val="00B0F0"/>
              </w:rPr>
              <w:t>（抗核抗体）、</w:t>
            </w:r>
            <w:r>
              <w:rPr>
                <w:rFonts w:ascii="calibri" w:hAnsi="calibri" w:cs="calibri" w:eastAsia="calibri"/>
                <w:color w:val="00B0F0"/>
              </w:rPr>
              <w:t>Anti-Sm</w:t>
            </w:r>
            <w:r>
              <w:rPr>
                <w:rFonts w:ascii="宋体" w:hAnsi="宋体" w:cs="宋体" w:eastAsia="宋体"/>
                <w:color w:val="00B0F0"/>
              </w:rPr>
              <w:t>（抗</w:t>
            </w:r>
            <w:r>
              <w:rPr>
                <w:rFonts w:ascii="calibri" w:hAnsi="calibri" w:cs="calibri" w:eastAsia="calibri"/>
                <w:color w:val="00B0F0"/>
              </w:rPr>
              <w:t xml:space="preserve">Sm </w:t>
            </w:r>
            <w:r>
              <w:rPr>
                <w:rFonts w:ascii="宋体" w:hAnsi="宋体" w:cs="宋体" w:eastAsia="宋体"/>
                <w:color w:val="00B0F0"/>
              </w:rPr>
              <w:t>抗体）等检测项目，并提供试剂注册证。</w:t>
            </w:r>
          </w:p>
        </w:tc>
      </w:tr>
      <w:tr>
        <w:tc>
          <w:tcPr>
            <w:tcW w:type="dxa" w:w="2769"/>
          </w:tcPr>
          <w:p>
            <w:pPr>
              <w:pStyle w:val="null3"/>
            </w:pPr>
            <w:r>
              <w:rPr/>
              <w:t>▲</w:t>
            </w:r>
          </w:p>
        </w:tc>
        <w:tc>
          <w:tcPr>
            <w:tcW w:type="dxa" w:w="2769"/>
          </w:tcPr>
          <w:p>
            <w:pPr>
              <w:pStyle w:val="null3"/>
            </w:pPr>
            <w:r>
              <w:rPr/>
              <w:t>19</w:t>
            </w:r>
          </w:p>
        </w:tc>
        <w:tc>
          <w:tcPr>
            <w:tcW w:type="dxa" w:w="2769"/>
          </w:tcPr>
          <w:p>
            <w:pPr>
              <w:pStyle w:val="null3"/>
            </w:pPr>
            <w:r>
              <w:rPr>
                <w:rFonts w:ascii="calibri" w:hAnsi="calibri" w:cs="calibri" w:eastAsia="calibri"/>
                <w:color w:val="00B0F0"/>
              </w:rPr>
              <w:t>18</w:t>
            </w:r>
            <w:r>
              <w:rPr>
                <w:rFonts w:ascii="宋体" w:hAnsi="宋体" w:cs="宋体" w:eastAsia="宋体"/>
                <w:color w:val="00B0F0"/>
              </w:rPr>
              <w:t>）具有</w:t>
            </w:r>
            <w:r>
              <w:rPr>
                <w:rFonts w:ascii="calibri" w:hAnsi="calibri" w:cs="calibri" w:eastAsia="calibri"/>
                <w:color w:val="00B0F0"/>
              </w:rPr>
              <w:t>TSH</w:t>
            </w:r>
            <w:r>
              <w:rPr>
                <w:rFonts w:ascii="宋体" w:hAnsi="宋体" w:cs="宋体" w:eastAsia="宋体"/>
                <w:color w:val="00B0F0"/>
              </w:rPr>
              <w:t>（促甲状腺素）、</w:t>
            </w:r>
            <w:r>
              <w:rPr>
                <w:rFonts w:ascii="calibri" w:hAnsi="calibri" w:cs="calibri" w:eastAsia="calibri"/>
                <w:color w:val="00B0F0"/>
              </w:rPr>
              <w:t>FT4</w:t>
            </w:r>
            <w:r>
              <w:rPr>
                <w:rFonts w:ascii="宋体" w:hAnsi="宋体" w:cs="宋体" w:eastAsia="宋体"/>
                <w:color w:val="00B0F0"/>
              </w:rPr>
              <w:t>（血清游离四碘甲状腺原氨酸）、</w:t>
            </w:r>
            <w:r>
              <w:rPr>
                <w:rFonts w:ascii="calibri" w:hAnsi="calibri" w:cs="calibri" w:eastAsia="calibri"/>
                <w:color w:val="00B0F0"/>
              </w:rPr>
              <w:t>TMA</w:t>
            </w:r>
            <w:r>
              <w:rPr>
                <w:rFonts w:ascii="宋体" w:hAnsi="宋体" w:cs="宋体" w:eastAsia="宋体"/>
                <w:color w:val="00B0F0"/>
              </w:rPr>
              <w:t>（甲状腺微粒体抗体）等检测项目，并提供试剂注册证。</w:t>
            </w:r>
          </w:p>
        </w:tc>
      </w:tr>
      <w:tr>
        <w:tc>
          <w:tcPr>
            <w:tcW w:type="dxa" w:w="2769"/>
          </w:tcPr>
          <w:p>
            <w:pPr>
              <w:pStyle w:val="null3"/>
            </w:pPr>
            <w:r>
              <w:rPr/>
              <w:t>▲</w:t>
            </w:r>
          </w:p>
        </w:tc>
        <w:tc>
          <w:tcPr>
            <w:tcW w:type="dxa" w:w="2769"/>
          </w:tcPr>
          <w:p>
            <w:pPr>
              <w:pStyle w:val="null3"/>
            </w:pPr>
            <w:r>
              <w:rPr/>
              <w:t>20</w:t>
            </w:r>
          </w:p>
        </w:tc>
        <w:tc>
          <w:tcPr>
            <w:tcW w:type="dxa" w:w="2769"/>
          </w:tcPr>
          <w:p>
            <w:pPr>
              <w:pStyle w:val="null3"/>
            </w:pPr>
            <w:r>
              <w:rPr>
                <w:rFonts w:ascii="calibri" w:hAnsi="calibri" w:cs="calibri" w:eastAsia="calibri"/>
                <w:color w:val="00B0F0"/>
              </w:rPr>
              <w:t>19</w:t>
            </w:r>
            <w:r>
              <w:rPr>
                <w:rFonts w:ascii="宋体" w:hAnsi="宋体" w:cs="宋体" w:eastAsia="宋体"/>
                <w:color w:val="00B0F0"/>
              </w:rPr>
              <w:t>）具有</w:t>
            </w:r>
            <w:r>
              <w:rPr>
                <w:rFonts w:ascii="calibri" w:hAnsi="calibri" w:cs="calibri" w:eastAsia="calibri"/>
                <w:color w:val="00B0F0"/>
              </w:rPr>
              <w:t>HCY</w:t>
            </w:r>
            <w:r>
              <w:rPr>
                <w:rFonts w:ascii="宋体" w:hAnsi="宋体" w:cs="宋体" w:eastAsia="宋体"/>
                <w:color w:val="00B0F0"/>
              </w:rPr>
              <w:t>（同型半胱氨酸）检测项目，并提供试剂注册证。</w:t>
            </w:r>
          </w:p>
        </w:tc>
      </w:tr>
      <w:tr>
        <w:tc>
          <w:tcPr>
            <w:tcW w:type="dxa" w:w="2769"/>
          </w:tcPr>
          <w:p/>
        </w:tc>
        <w:tc>
          <w:tcPr>
            <w:tcW w:type="dxa" w:w="2769"/>
          </w:tcPr>
          <w:p>
            <w:pPr>
              <w:pStyle w:val="null3"/>
            </w:pPr>
            <w:r>
              <w:rPr/>
              <w:t>21</w:t>
            </w:r>
          </w:p>
        </w:tc>
        <w:tc>
          <w:tcPr>
            <w:tcW w:type="dxa" w:w="2769"/>
          </w:tcPr>
          <w:p>
            <w:pPr>
              <w:pStyle w:val="null3"/>
            </w:pPr>
            <w:r>
              <w:rPr>
                <w:rFonts w:ascii="calibri" w:hAnsi="calibri" w:cs="calibri" w:eastAsia="calibri"/>
                <w:color w:val="00B0F0"/>
              </w:rPr>
              <w:t>20</w:t>
            </w:r>
            <w:r>
              <w:rPr>
                <w:rFonts w:ascii="宋体" w:hAnsi="宋体" w:cs="宋体" w:eastAsia="宋体"/>
                <w:color w:val="00B0F0"/>
              </w:rPr>
              <w:t>）生产厂家在《二十五省（区、兵团）</w:t>
            </w:r>
            <w:r>
              <w:rPr>
                <w:rFonts w:ascii="calibri" w:hAnsi="calibri" w:cs="calibri" w:eastAsia="calibri"/>
                <w:color w:val="00B0F0"/>
              </w:rPr>
              <w:t>2023</w:t>
            </w:r>
            <w:r>
              <w:rPr>
                <w:rFonts w:ascii="宋体" w:hAnsi="宋体" w:cs="宋体" w:eastAsia="宋体"/>
                <w:color w:val="00B0F0"/>
              </w:rPr>
              <w:t>体外诊断试剂省际联盟集中带量采购工作》试剂中标情况：传染病、糖尿病、性激素都在</w:t>
            </w:r>
            <w:r>
              <w:rPr>
                <w:rFonts w:ascii="calibri" w:hAnsi="calibri" w:cs="calibri" w:eastAsia="calibri"/>
                <w:color w:val="00B0F0"/>
              </w:rPr>
              <w:t>A</w:t>
            </w:r>
            <w:r>
              <w:rPr>
                <w:rFonts w:ascii="宋体" w:hAnsi="宋体" w:cs="宋体" w:eastAsia="宋体"/>
                <w:color w:val="00B0F0"/>
              </w:rPr>
              <w:t>组中标。</w:t>
            </w:r>
          </w:p>
        </w:tc>
      </w:tr>
      <w:tr>
        <w:tc>
          <w:tcPr>
            <w:tcW w:type="dxa" w:w="2769"/>
          </w:tcPr>
          <w:p/>
        </w:tc>
        <w:tc>
          <w:tcPr>
            <w:tcW w:type="dxa" w:w="2769"/>
          </w:tcPr>
          <w:p>
            <w:pPr>
              <w:pStyle w:val="null3"/>
            </w:pPr>
            <w:r>
              <w:rPr/>
              <w:t>22</w:t>
            </w:r>
          </w:p>
        </w:tc>
        <w:tc>
          <w:tcPr>
            <w:tcW w:type="dxa" w:w="2769"/>
          </w:tcPr>
          <w:p>
            <w:pPr>
              <w:pStyle w:val="null3"/>
            </w:pPr>
            <w:r>
              <w:rPr>
                <w:rFonts w:ascii="calibri" w:hAnsi="calibri" w:cs="calibri" w:eastAsia="calibri"/>
                <w:color w:val="00B0F0"/>
              </w:rPr>
              <w:t>21</w:t>
            </w:r>
            <w:r>
              <w:rPr>
                <w:rFonts w:ascii="宋体" w:hAnsi="宋体" w:cs="宋体" w:eastAsia="宋体"/>
                <w:color w:val="00B0F0"/>
              </w:rPr>
              <w:t>）生产厂家在陕西省临床检验中心组织的陕西省室间质评中有单独分组。</w:t>
            </w:r>
          </w:p>
        </w:tc>
      </w:tr>
      <w:tr>
        <w:tc>
          <w:tcPr>
            <w:tcW w:type="dxa" w:w="2769"/>
          </w:tcPr>
          <w:p/>
        </w:tc>
        <w:tc>
          <w:tcPr>
            <w:tcW w:type="dxa" w:w="2769"/>
          </w:tcPr>
          <w:p>
            <w:pPr>
              <w:pStyle w:val="null3"/>
            </w:pPr>
            <w:r>
              <w:rPr/>
              <w:t>23</w:t>
            </w:r>
          </w:p>
        </w:tc>
        <w:tc>
          <w:tcPr>
            <w:tcW w:type="dxa" w:w="2769"/>
          </w:tcPr>
          <w:p>
            <w:pPr>
              <w:pStyle w:val="null3"/>
            </w:pPr>
            <w:r>
              <w:rPr>
                <w:rFonts w:ascii="calibri" w:hAnsi="calibri" w:cs="calibri" w:eastAsia="calibri"/>
                <w:color w:val="00B0F0"/>
              </w:rPr>
              <w:t>22</w:t>
            </w:r>
            <w:r>
              <w:rPr>
                <w:rFonts w:ascii="宋体" w:hAnsi="宋体" w:cs="宋体" w:eastAsia="宋体"/>
                <w:color w:val="00B0F0"/>
              </w:rPr>
              <w:t>）提供智慧软件系统并包含样</w:t>
            </w:r>
            <w:r>
              <w:rPr>
                <w:rFonts w:ascii="宋体" w:hAnsi="宋体" w:cs="宋体" w:eastAsia="宋体"/>
                <w:color w:val="00B0F0"/>
              </w:rPr>
              <w:t>本归档、自动审核、质控管理、</w:t>
            </w:r>
            <w:r>
              <w:rPr>
                <w:rFonts w:ascii="calibri" w:hAnsi="calibri" w:cs="calibri" w:eastAsia="calibri"/>
                <w:color w:val="00B0F0"/>
              </w:rPr>
              <w:t>LIS</w:t>
            </w:r>
            <w:r>
              <w:rPr>
                <w:rFonts w:ascii="宋体" w:hAnsi="宋体" w:cs="宋体" w:eastAsia="宋体"/>
                <w:color w:val="00B0F0"/>
              </w:rPr>
              <w:t>通讯、仪器远程控制、库存与人事管理、</w:t>
            </w:r>
            <w:r>
              <w:rPr>
                <w:rFonts w:ascii="calibri" w:hAnsi="calibri" w:cs="calibri" w:eastAsia="calibri"/>
                <w:color w:val="00B0F0"/>
              </w:rPr>
              <w:t>ISO15189</w:t>
            </w:r>
            <w:r>
              <w:rPr>
                <w:rFonts w:ascii="宋体" w:hAnsi="宋体" w:cs="宋体" w:eastAsia="宋体"/>
                <w:color w:val="00B0F0"/>
              </w:rPr>
              <w:t>内审功能、文件管理、智慧科研和诊断模块等核心功能，支持实验室全流程自动化与数据化管理，并具备扩展性和硬件兼容要求。</w:t>
            </w:r>
          </w:p>
        </w:tc>
      </w:tr>
      <w:tr>
        <w:tc>
          <w:tcPr>
            <w:tcW w:type="dxa" w:w="2769"/>
          </w:tcPr>
          <w:p/>
        </w:tc>
        <w:tc>
          <w:tcPr>
            <w:tcW w:type="dxa" w:w="2769"/>
          </w:tcPr>
          <w:p>
            <w:pPr>
              <w:pStyle w:val="null3"/>
            </w:pPr>
            <w:r>
              <w:rPr/>
              <w:t>24</w:t>
            </w:r>
          </w:p>
        </w:tc>
        <w:tc>
          <w:tcPr>
            <w:tcW w:type="dxa" w:w="2769"/>
          </w:tcPr>
          <w:p>
            <w:pPr>
              <w:pStyle w:val="null3"/>
              <w:jc w:val="both"/>
            </w:pPr>
            <w:r>
              <w:rPr>
                <w:rFonts w:ascii="&quot;times new roman&quot;" w:hAnsi="&quot;times new roman&quot;" w:cs="&quot;times new roman&quot;" w:eastAsia="&quot;times new roman&quot;"/>
                <w:sz w:val="21"/>
                <w:color w:val="00B0F0"/>
              </w:rPr>
              <w:t>23</w:t>
            </w:r>
            <w:r>
              <w:rPr>
                <w:rFonts w:ascii="宋体" w:hAnsi="宋体" w:cs="宋体" w:eastAsia="宋体"/>
                <w:sz w:val="21"/>
                <w:color w:val="00B0F0"/>
              </w:rPr>
              <w:t>）负责与</w:t>
            </w:r>
            <w:r>
              <w:rPr>
                <w:rFonts w:ascii="times new roman, times, serif" w:hAnsi="times new roman, times, serif" w:cs="times new roman, times, serif" w:eastAsia="times new roman, times, serif"/>
                <w:sz w:val="21"/>
                <w:color w:val="00B0F0"/>
              </w:rPr>
              <w:t>LIS</w:t>
            </w:r>
            <w:r>
              <w:rPr>
                <w:rFonts w:ascii="宋体" w:hAnsi="宋体" w:cs="宋体" w:eastAsia="宋体"/>
                <w:sz w:val="21"/>
                <w:color w:val="00B0F0"/>
              </w:rPr>
              <w:t>系统双工连接，并承担相应费用。</w:t>
            </w:r>
          </w:p>
        </w:tc>
      </w:tr>
      <w:tr>
        <w:tc>
          <w:tcPr>
            <w:tcW w:type="dxa" w:w="2769"/>
          </w:tcPr>
          <w:p/>
        </w:tc>
        <w:tc>
          <w:tcPr>
            <w:tcW w:type="dxa" w:w="2769"/>
          </w:tcPr>
          <w:p>
            <w:pPr>
              <w:pStyle w:val="null3"/>
            </w:pPr>
            <w:r>
              <w:rPr/>
              <w:t>25</w:t>
            </w:r>
          </w:p>
        </w:tc>
        <w:tc>
          <w:tcPr>
            <w:tcW w:type="dxa" w:w="2769"/>
          </w:tcPr>
          <w:p>
            <w:pPr>
              <w:pStyle w:val="null3"/>
            </w:pPr>
            <w:r>
              <w:rPr>
                <w:rFonts w:ascii="calibri" w:hAnsi="calibri" w:cs="calibri" w:eastAsia="calibri"/>
                <w:color w:val="00B0F0"/>
              </w:rPr>
              <w:t>1.</w:t>
            </w:r>
            <w:r>
              <w:rPr>
                <w:rFonts w:ascii="宋体" w:hAnsi="宋体" w:cs="宋体" w:eastAsia="宋体"/>
                <w:color w:val="00B0F0"/>
              </w:rPr>
              <w:t>培训方案：</w:t>
            </w:r>
          </w:p>
          <w:p>
            <w:pPr>
              <w:pStyle w:val="null3"/>
            </w:pPr>
            <w:r>
              <w:rPr>
                <w:rFonts w:ascii="宋体" w:hAnsi="宋体" w:cs="宋体" w:eastAsia="宋体"/>
                <w:color w:val="00B0F0"/>
              </w:rPr>
              <w:t>（</w:t>
            </w:r>
            <w:r>
              <w:rPr>
                <w:rFonts w:ascii="calibri" w:hAnsi="calibri" w:cs="calibri" w:eastAsia="calibri"/>
                <w:color w:val="00B0F0"/>
              </w:rPr>
              <w:t>1</w:t>
            </w:r>
            <w:r>
              <w:rPr>
                <w:rFonts w:ascii="宋体" w:hAnsi="宋体" w:cs="宋体" w:eastAsia="宋体"/>
                <w:color w:val="00B0F0"/>
              </w:rPr>
              <w:t>）培训目标：掌握设备的正确操作使用方法，让设备能够发挥正常的使用功效。</w:t>
            </w:r>
          </w:p>
          <w:p>
            <w:pPr>
              <w:pStyle w:val="null3"/>
            </w:pPr>
            <w:r>
              <w:rPr>
                <w:rFonts w:ascii="宋体" w:hAnsi="宋体" w:cs="宋体" w:eastAsia="宋体"/>
                <w:color w:val="00B0F0"/>
              </w:rPr>
              <w:t>（</w:t>
            </w:r>
            <w:r>
              <w:rPr>
                <w:rFonts w:ascii="calibri" w:hAnsi="calibri" w:cs="calibri" w:eastAsia="calibri"/>
                <w:color w:val="00B0F0"/>
              </w:rPr>
              <w:t>2</w:t>
            </w:r>
            <w:r>
              <w:rPr>
                <w:rFonts w:ascii="宋体" w:hAnsi="宋体" w:cs="宋体" w:eastAsia="宋体"/>
                <w:color w:val="00B0F0"/>
              </w:rPr>
              <w:t>）培训时间：接到使用单位通知后的一周内安排培训，或与使用单位协商后组织实施：培训时间不少于</w:t>
            </w:r>
            <w:r>
              <w:rPr>
                <w:rFonts w:ascii="calibri" w:hAnsi="calibri" w:cs="calibri" w:eastAsia="calibri"/>
                <w:color w:val="00B0F0"/>
              </w:rPr>
              <w:t>3</w:t>
            </w:r>
            <w:r>
              <w:rPr>
                <w:rFonts w:ascii="宋体" w:hAnsi="宋体" w:cs="宋体" w:eastAsia="宋体"/>
                <w:color w:val="00B0F0"/>
              </w:rPr>
              <w:t>天。</w:t>
            </w:r>
          </w:p>
          <w:p>
            <w:pPr>
              <w:pStyle w:val="null3"/>
            </w:pPr>
            <w:r>
              <w:rPr>
                <w:rFonts w:ascii="宋体" w:hAnsi="宋体" w:cs="宋体" w:eastAsia="宋体"/>
                <w:color w:val="00B0F0"/>
              </w:rPr>
              <w:t>（</w:t>
            </w:r>
            <w:r>
              <w:rPr>
                <w:rFonts w:ascii="calibri" w:hAnsi="calibri" w:cs="calibri" w:eastAsia="calibri"/>
                <w:color w:val="00B0F0"/>
              </w:rPr>
              <w:t>3</w:t>
            </w:r>
            <w:r>
              <w:rPr>
                <w:rFonts w:ascii="宋体" w:hAnsi="宋体" w:cs="宋体" w:eastAsia="宋体"/>
                <w:color w:val="00B0F0"/>
              </w:rPr>
              <w:t>）培训人员：为用户免费培训两名以上工作人员</w:t>
            </w:r>
          </w:p>
          <w:p>
            <w:pPr>
              <w:pStyle w:val="null3"/>
            </w:pPr>
            <w:r>
              <w:rPr>
                <w:rFonts w:ascii="宋体" w:hAnsi="宋体" w:cs="宋体" w:eastAsia="宋体"/>
                <w:color w:val="00B0F0"/>
              </w:rPr>
              <w:t>（</w:t>
            </w:r>
            <w:r>
              <w:rPr>
                <w:rFonts w:ascii="calibri" w:hAnsi="calibri" w:cs="calibri" w:eastAsia="calibri"/>
                <w:color w:val="00B0F0"/>
              </w:rPr>
              <w:t>4</w:t>
            </w:r>
            <w:r>
              <w:rPr>
                <w:rFonts w:ascii="宋体" w:hAnsi="宋体" w:cs="宋体" w:eastAsia="宋体"/>
                <w:color w:val="00B0F0"/>
              </w:rPr>
              <w:t>）培训地点：用户单位或厂家</w:t>
            </w:r>
          </w:p>
          <w:p>
            <w:pPr>
              <w:pStyle w:val="null3"/>
            </w:pPr>
            <w:r>
              <w:rPr>
                <w:rFonts w:ascii="宋体" w:hAnsi="宋体" w:cs="宋体" w:eastAsia="宋体"/>
                <w:color w:val="00B0F0"/>
              </w:rPr>
              <w:t>（</w:t>
            </w:r>
            <w:r>
              <w:rPr>
                <w:rFonts w:ascii="calibri" w:hAnsi="calibri" w:cs="calibri" w:eastAsia="calibri"/>
                <w:color w:val="00B0F0"/>
              </w:rPr>
              <w:t>5</w:t>
            </w:r>
            <w:r>
              <w:rPr>
                <w:rFonts w:ascii="宋体" w:hAnsi="宋体" w:cs="宋体" w:eastAsia="宋体"/>
                <w:color w:val="00B0F0"/>
              </w:rPr>
              <w:t>）培训费用：培训费、有关耗材费用以及培训的资料、师资的费用均由中标方支付。</w:t>
            </w:r>
          </w:p>
          <w:p>
            <w:pPr>
              <w:pStyle w:val="null3"/>
              <w:jc w:val="both"/>
            </w:pPr>
            <w:r>
              <w:rPr>
                <w:rFonts w:ascii="宋体" w:hAnsi="宋体" w:cs="宋体" w:eastAsia="宋体"/>
                <w:sz w:val="21"/>
                <w:color w:val="00B0F0"/>
              </w:rPr>
              <w:t>（</w:t>
            </w:r>
            <w:r>
              <w:rPr>
                <w:rFonts w:ascii="&quot;times new roman&quot;" w:hAnsi="&quot;times new roman&quot;" w:cs="&quot;times new roman&quot;" w:eastAsia="&quot;times new roman&quot;"/>
                <w:sz w:val="21"/>
                <w:color w:val="00B0F0"/>
              </w:rPr>
              <w:t>6</w:t>
            </w:r>
            <w:r>
              <w:rPr>
                <w:rFonts w:ascii="宋体" w:hAnsi="宋体" w:cs="宋体" w:eastAsia="宋体"/>
                <w:sz w:val="21"/>
                <w:color w:val="00B0F0"/>
              </w:rPr>
              <w:t>）培训教员：中标方派出资深工程师</w:t>
            </w:r>
          </w:p>
        </w:tc>
      </w:tr>
      <w:tr>
        <w:tc>
          <w:tcPr>
            <w:tcW w:type="dxa" w:w="2769"/>
          </w:tcPr>
          <w:p/>
        </w:tc>
        <w:tc>
          <w:tcPr>
            <w:tcW w:type="dxa" w:w="2769"/>
          </w:tcPr>
          <w:p>
            <w:pPr>
              <w:pStyle w:val="null3"/>
            </w:pPr>
            <w:r>
              <w:rPr/>
              <w:t>26</w:t>
            </w:r>
          </w:p>
        </w:tc>
        <w:tc>
          <w:tcPr>
            <w:tcW w:type="dxa" w:w="2769"/>
          </w:tcPr>
          <w:p>
            <w:pPr>
              <w:pStyle w:val="null3"/>
            </w:pPr>
            <w:r>
              <w:rPr>
                <w:rFonts w:ascii="calibri" w:hAnsi="calibri" w:cs="calibri" w:eastAsia="calibri"/>
                <w:color w:val="00B0F0"/>
              </w:rPr>
              <w:t>2.</w:t>
            </w:r>
            <w:r>
              <w:rPr>
                <w:rFonts w:ascii="宋体" w:hAnsi="宋体" w:cs="宋体" w:eastAsia="宋体"/>
                <w:color w:val="00B0F0"/>
              </w:rPr>
              <w:t>售后服务</w:t>
            </w:r>
          </w:p>
          <w:p>
            <w:pPr>
              <w:pStyle w:val="null3"/>
            </w:pPr>
            <w:r>
              <w:rPr>
                <w:rFonts w:ascii="宋体" w:hAnsi="宋体" w:cs="宋体" w:eastAsia="宋体"/>
                <w:color w:val="00B0F0"/>
              </w:rPr>
              <w:t>（</w:t>
            </w:r>
            <w:r>
              <w:rPr>
                <w:rFonts w:ascii="calibri" w:hAnsi="calibri" w:cs="calibri" w:eastAsia="calibri"/>
                <w:color w:val="00B0F0"/>
              </w:rPr>
              <w:t>1</w:t>
            </w:r>
            <w:r>
              <w:rPr>
                <w:rFonts w:ascii="宋体" w:hAnsi="宋体" w:cs="宋体" w:eastAsia="宋体"/>
                <w:color w:val="00B0F0"/>
              </w:rPr>
              <w:t>）提供</w:t>
            </w:r>
            <w:r>
              <w:rPr>
                <w:rFonts w:ascii="calibri" w:hAnsi="calibri" w:cs="calibri" w:eastAsia="calibri"/>
                <w:color w:val="00B0F0"/>
              </w:rPr>
              <w:t>7*24</w:t>
            </w:r>
            <w:r>
              <w:rPr>
                <w:rFonts w:ascii="宋体" w:hAnsi="宋体" w:cs="宋体" w:eastAsia="宋体"/>
                <w:color w:val="00B0F0"/>
              </w:rPr>
              <w:t>小时现场保修和技术支持服务。</w:t>
            </w:r>
          </w:p>
          <w:p>
            <w:pPr>
              <w:pStyle w:val="null3"/>
            </w:pPr>
            <w:r>
              <w:rPr>
                <w:rFonts w:ascii="宋体" w:hAnsi="宋体" w:cs="宋体" w:eastAsia="宋体"/>
                <w:color w:val="00B0F0"/>
              </w:rPr>
              <w:t>（</w:t>
            </w:r>
            <w:r>
              <w:rPr>
                <w:rFonts w:ascii="calibri" w:hAnsi="calibri" w:cs="calibri" w:eastAsia="calibri"/>
                <w:color w:val="00B0F0"/>
              </w:rPr>
              <w:t>2</w:t>
            </w:r>
            <w:r>
              <w:rPr>
                <w:rFonts w:ascii="宋体" w:hAnsi="宋体" w:cs="宋体" w:eastAsia="宋体"/>
                <w:color w:val="00B0F0"/>
              </w:rPr>
              <w:t>）有充足的备件，保障了用户产品出现质量故障时在最短时间内能给予更换。</w:t>
            </w:r>
          </w:p>
          <w:p>
            <w:pPr>
              <w:pStyle w:val="null3"/>
              <w:jc w:val="both"/>
            </w:pPr>
            <w:r>
              <w:rPr>
                <w:rFonts w:ascii="宋体" w:hAnsi="宋体" w:cs="宋体" w:eastAsia="宋体"/>
                <w:sz w:val="21"/>
                <w:color w:val="00B0F0"/>
              </w:rPr>
              <w:t>（</w:t>
            </w:r>
            <w:r>
              <w:rPr>
                <w:rFonts w:ascii="&quot;times new roman&quot;" w:hAnsi="&quot;times new roman&quot;" w:cs="&quot;times new roman&quot;" w:eastAsia="&quot;times new roman&quot;"/>
                <w:sz w:val="21"/>
                <w:color w:val="00B0F0"/>
              </w:rPr>
              <w:t>3</w:t>
            </w:r>
            <w:r>
              <w:rPr>
                <w:rFonts w:ascii="宋体" w:hAnsi="宋体" w:cs="宋体" w:eastAsia="宋体"/>
                <w:sz w:val="21"/>
                <w:color w:val="00B0F0"/>
              </w:rPr>
              <w:t>）在设备的设计使用寿命期内，保证零部件的正常供应。对所有部件终身提供维修服务，对设备定期维护保养，确保设备正常使用。</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标的名称：流式细胞分析仪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color w:val="00B0F0"/>
              </w:rPr>
              <w:t>主要用于免疫学、干细胞、遗传学等临床检测研究；对细胞表面、内部分子包括抗原、核酸等进行检测与分析，可用于分析蛋白表达、免疫分型、细胞凋亡、周期、增殖、细胞毒性、蛋白磷酸化、荧光蛋白、胞内活性氧水平、细胞膜电位、细胞因子、细胞内钙离子浓度检测等。</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calibri" w:hAnsi="calibri" w:cs="calibri" w:eastAsia="calibri"/>
                <w:sz w:val="20"/>
                <w:color w:val="00B0F0"/>
              </w:rPr>
              <w:t>1.</w:t>
            </w:r>
            <w:r>
              <w:rPr>
                <w:rFonts w:ascii="宋体" w:hAnsi="宋体" w:cs="宋体" w:eastAsia="宋体"/>
                <w:sz w:val="20"/>
                <w:color w:val="00B0F0"/>
              </w:rPr>
              <w:t>光学系统：</w:t>
            </w:r>
          </w:p>
          <w:p>
            <w:pPr>
              <w:pStyle w:val="null3"/>
              <w:jc w:val="both"/>
            </w:pPr>
            <w:r>
              <w:rPr>
                <w:rFonts w:ascii="calibri" w:hAnsi="calibri" w:cs="calibri" w:eastAsia="calibri"/>
                <w:sz w:val="20"/>
                <w:color w:val="00B0F0"/>
              </w:rPr>
              <w:t>1.1</w:t>
            </w:r>
            <w:r>
              <w:rPr>
                <w:rFonts w:ascii="宋体" w:hAnsi="宋体" w:cs="宋体" w:eastAsia="宋体"/>
                <w:sz w:val="20"/>
                <w:color w:val="00B0F0"/>
              </w:rPr>
              <w:t>激光器配置：蓝色激光（激光波长范围</w:t>
            </w:r>
            <w:r>
              <w:rPr>
                <w:rFonts w:ascii="calibri" w:hAnsi="calibri" w:cs="calibri" w:eastAsia="calibri"/>
                <w:sz w:val="20"/>
                <w:color w:val="00B0F0"/>
              </w:rPr>
              <w:t>488nm</w:t>
            </w:r>
            <w:r>
              <w:rPr>
                <w:rFonts w:ascii="宋体" w:hAnsi="宋体" w:cs="宋体" w:eastAsia="宋体"/>
                <w:sz w:val="20"/>
                <w:color w:val="00B0F0"/>
              </w:rPr>
              <w:t>±</w:t>
            </w:r>
            <w:r>
              <w:rPr>
                <w:rFonts w:ascii="calibri" w:hAnsi="calibri" w:cs="calibri" w:eastAsia="calibri"/>
                <w:sz w:val="20"/>
                <w:color w:val="00B0F0"/>
              </w:rPr>
              <w:t>5nm</w:t>
            </w:r>
            <w:r>
              <w:rPr>
                <w:rFonts w:ascii="宋体" w:hAnsi="宋体" w:cs="宋体" w:eastAsia="宋体"/>
                <w:sz w:val="20"/>
                <w:color w:val="00B0F0"/>
              </w:rPr>
              <w:t>）、红色激光 （激光波长范围</w:t>
            </w:r>
            <w:r>
              <w:rPr>
                <w:rFonts w:ascii="calibri" w:hAnsi="calibri" w:cs="calibri" w:eastAsia="calibri"/>
                <w:sz w:val="20"/>
                <w:color w:val="00B0F0"/>
              </w:rPr>
              <w:t>635nm</w:t>
            </w:r>
            <w:r>
              <w:rPr>
                <w:rFonts w:ascii="宋体" w:hAnsi="宋体" w:cs="宋体" w:eastAsia="宋体"/>
                <w:sz w:val="20"/>
                <w:color w:val="00B0F0"/>
              </w:rPr>
              <w:t>±</w:t>
            </w:r>
            <w:r>
              <w:rPr>
                <w:rFonts w:ascii="calibri" w:hAnsi="calibri" w:cs="calibri" w:eastAsia="calibri"/>
                <w:sz w:val="20"/>
                <w:color w:val="00B0F0"/>
              </w:rPr>
              <w:t>5nm)</w:t>
            </w:r>
            <w:r>
              <w:rPr>
                <w:rFonts w:ascii="宋体" w:hAnsi="宋体" w:cs="宋体" w:eastAsia="宋体"/>
                <w:sz w:val="20"/>
                <w:color w:val="00B0F0"/>
              </w:rPr>
              <w:t>和紫色激光器（</w:t>
            </w:r>
            <w:r>
              <w:rPr>
                <w:rFonts w:ascii="calibri" w:hAnsi="calibri" w:cs="calibri" w:eastAsia="calibri"/>
                <w:sz w:val="20"/>
                <w:color w:val="00B0F0"/>
              </w:rPr>
              <w:t>405nm</w:t>
            </w:r>
            <w:r>
              <w:rPr>
                <w:rFonts w:ascii="宋体" w:hAnsi="宋体" w:cs="宋体" w:eastAsia="宋体"/>
                <w:sz w:val="20"/>
                <w:color w:val="00B0F0"/>
              </w:rPr>
              <w:t>范围±</w:t>
            </w:r>
            <w:r>
              <w:rPr>
                <w:rFonts w:ascii="calibri" w:hAnsi="calibri" w:cs="calibri" w:eastAsia="calibri"/>
                <w:sz w:val="20"/>
                <w:color w:val="00B0F0"/>
              </w:rPr>
              <w:t>5nm</w:t>
            </w:r>
            <w:r>
              <w:rPr>
                <w:rFonts w:ascii="宋体" w:hAnsi="宋体" w:cs="宋体" w:eastAsia="宋体"/>
                <w:sz w:val="20"/>
                <w:color w:val="00B0F0"/>
              </w:rPr>
              <w:t>）</w:t>
            </w:r>
          </w:p>
        </w:tc>
      </w:tr>
      <w:tr>
        <w:tc>
          <w:tcPr>
            <w:tcW w:type="dxa" w:w="2769"/>
          </w:tcPr>
          <w:p/>
        </w:tc>
        <w:tc>
          <w:tcPr>
            <w:tcW w:type="dxa" w:w="2769"/>
          </w:tcPr>
          <w:p>
            <w:pPr>
              <w:pStyle w:val="null3"/>
            </w:pPr>
            <w:r>
              <w:rPr/>
              <w:t>3</w:t>
            </w:r>
          </w:p>
        </w:tc>
        <w:tc>
          <w:tcPr>
            <w:tcW w:type="dxa" w:w="2769"/>
          </w:tcPr>
          <w:p>
            <w:pPr>
              <w:pStyle w:val="null3"/>
              <w:jc w:val="both"/>
            </w:pPr>
            <w:r>
              <w:rPr>
                <w:rFonts w:ascii="calibri" w:hAnsi="calibri" w:cs="calibri" w:eastAsia="calibri"/>
                <w:sz w:val="20"/>
                <w:color w:val="00B0F0"/>
              </w:rPr>
              <w:t>1.2</w:t>
            </w:r>
            <w:r>
              <w:rPr>
                <w:rFonts w:ascii="宋体" w:hAnsi="宋体" w:cs="宋体" w:eastAsia="宋体"/>
                <w:sz w:val="20"/>
                <w:color w:val="00B0F0"/>
              </w:rPr>
              <w:t>双散射光检测器：前向和侧向；</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calibri" w:hAnsi="calibri" w:cs="calibri" w:eastAsia="calibri"/>
                <w:sz w:val="20"/>
                <w:color w:val="00B0F0"/>
              </w:rPr>
              <w:t>1.3</w:t>
            </w:r>
            <w:r>
              <w:rPr>
                <w:rFonts w:ascii="宋体" w:hAnsi="宋体" w:cs="宋体" w:eastAsia="宋体"/>
                <w:sz w:val="20"/>
                <w:color w:val="00B0F0"/>
              </w:rPr>
              <w:t>荧光通道配置：配置</w:t>
            </w:r>
            <w:r>
              <w:rPr>
                <w:rFonts w:ascii="宋体" w:hAnsi="宋体" w:cs="宋体" w:eastAsia="宋体"/>
                <w:sz w:val="20"/>
                <w:color w:val="00B0F0"/>
              </w:rPr>
              <w:t>≥</w:t>
            </w:r>
            <w:r>
              <w:rPr>
                <w:rFonts w:ascii="calibri" w:hAnsi="calibri" w:cs="calibri" w:eastAsia="calibri"/>
                <w:sz w:val="20"/>
                <w:color w:val="00B0F0"/>
              </w:rPr>
              <w:t>8</w:t>
            </w:r>
            <w:r>
              <w:rPr>
                <w:rFonts w:ascii="宋体" w:hAnsi="宋体" w:cs="宋体" w:eastAsia="宋体"/>
                <w:sz w:val="20"/>
                <w:color w:val="00B0F0"/>
              </w:rPr>
              <w:t>个独立的荧光检测通道；</w:t>
            </w:r>
          </w:p>
        </w:tc>
      </w:tr>
      <w:tr>
        <w:tc>
          <w:tcPr>
            <w:tcW w:type="dxa" w:w="2769"/>
          </w:tcPr>
          <w:p/>
        </w:tc>
        <w:tc>
          <w:tcPr>
            <w:tcW w:type="dxa" w:w="2769"/>
          </w:tcPr>
          <w:p>
            <w:pPr>
              <w:pStyle w:val="null3"/>
            </w:pPr>
            <w:r>
              <w:rPr/>
              <w:t>5</w:t>
            </w:r>
          </w:p>
        </w:tc>
        <w:tc>
          <w:tcPr>
            <w:tcW w:type="dxa" w:w="2769"/>
          </w:tcPr>
          <w:p>
            <w:pPr>
              <w:pStyle w:val="null3"/>
              <w:jc w:val="both"/>
            </w:pPr>
            <w:r>
              <w:rPr>
                <w:rFonts w:ascii="calibri" w:hAnsi="calibri" w:cs="calibri" w:eastAsia="calibri"/>
                <w:sz w:val="20"/>
                <w:color w:val="00B0F0"/>
              </w:rPr>
              <w:t>1.4</w:t>
            </w:r>
            <w:r>
              <w:rPr>
                <w:rFonts w:ascii="宋体" w:hAnsi="宋体" w:cs="宋体" w:eastAsia="宋体"/>
                <w:sz w:val="20"/>
                <w:color w:val="00B0F0"/>
              </w:rPr>
              <w:t>荧光检测灵敏度：</w:t>
            </w:r>
            <w:r>
              <w:rPr>
                <w:rFonts w:ascii="calibri" w:hAnsi="calibri" w:cs="calibri" w:eastAsia="calibri"/>
                <w:sz w:val="20"/>
                <w:color w:val="00B0F0"/>
              </w:rPr>
              <w:t>FITC</w:t>
            </w:r>
            <w:r>
              <w:rPr>
                <w:rFonts w:ascii="宋体" w:hAnsi="宋体" w:cs="宋体" w:eastAsia="宋体"/>
                <w:sz w:val="20"/>
                <w:color w:val="00B0F0"/>
              </w:rPr>
              <w:t>≤</w:t>
            </w:r>
            <w:r>
              <w:rPr>
                <w:rFonts w:ascii="calibri" w:hAnsi="calibri" w:cs="calibri" w:eastAsia="calibri"/>
                <w:sz w:val="20"/>
                <w:color w:val="00B0F0"/>
              </w:rPr>
              <w:t>50MESF</w:t>
            </w:r>
            <w:r>
              <w:rPr>
                <w:rFonts w:ascii="宋体" w:hAnsi="宋体" w:cs="宋体" w:eastAsia="宋体"/>
                <w:sz w:val="20"/>
                <w:color w:val="00B0F0"/>
              </w:rPr>
              <w:t>，</w:t>
            </w:r>
            <w:r>
              <w:rPr>
                <w:rFonts w:ascii="calibri" w:hAnsi="calibri" w:cs="calibri" w:eastAsia="calibri"/>
                <w:sz w:val="20"/>
                <w:color w:val="00B0F0"/>
              </w:rPr>
              <w:t>PE</w:t>
            </w:r>
            <w:r>
              <w:rPr>
                <w:rFonts w:ascii="宋体" w:hAnsi="宋体" w:cs="宋体" w:eastAsia="宋体"/>
                <w:sz w:val="20"/>
                <w:color w:val="00B0F0"/>
              </w:rPr>
              <w:t>≤</w:t>
            </w:r>
            <w:r>
              <w:rPr>
                <w:rFonts w:ascii="calibri" w:hAnsi="calibri" w:cs="calibri" w:eastAsia="calibri"/>
                <w:sz w:val="20"/>
                <w:color w:val="00B0F0"/>
              </w:rPr>
              <w:t>30 MESF</w:t>
            </w:r>
            <w:r>
              <w:rPr>
                <w:rFonts w:ascii="宋体" w:hAnsi="宋体" w:cs="宋体" w:eastAsia="宋体"/>
                <w:sz w:val="20"/>
                <w:color w:val="00B0F0"/>
              </w:rPr>
              <w:t>，</w:t>
            </w:r>
            <w:r>
              <w:rPr>
                <w:rFonts w:ascii="calibri" w:hAnsi="calibri" w:cs="calibri" w:eastAsia="calibri"/>
                <w:sz w:val="20"/>
                <w:color w:val="00B0F0"/>
              </w:rPr>
              <w:t>APC</w:t>
            </w:r>
            <w:r>
              <w:rPr>
                <w:rFonts w:ascii="宋体" w:hAnsi="宋体" w:cs="宋体" w:eastAsia="宋体"/>
                <w:sz w:val="20"/>
                <w:color w:val="00B0F0"/>
              </w:rPr>
              <w:t>≤</w:t>
            </w:r>
            <w:r>
              <w:rPr>
                <w:rFonts w:ascii="calibri" w:hAnsi="calibri" w:cs="calibri" w:eastAsia="calibri"/>
                <w:sz w:val="20"/>
                <w:color w:val="00B0F0"/>
              </w:rPr>
              <w:t>30 MESF</w:t>
            </w:r>
            <w:r>
              <w:rPr>
                <w:rFonts w:ascii="宋体" w:hAnsi="宋体" w:cs="宋体" w:eastAsia="宋体"/>
                <w:sz w:val="20"/>
                <w:color w:val="00B0F0"/>
              </w:rPr>
              <w:t>；</w:t>
            </w:r>
          </w:p>
          <w:p>
            <w:pPr>
              <w:pStyle w:val="null3"/>
              <w:jc w:val="both"/>
            </w:pPr>
            <w:r>
              <w:rPr>
                <w:rFonts w:ascii="calibri" w:hAnsi="calibri" w:cs="calibri" w:eastAsia="calibri"/>
                <w:sz w:val="20"/>
                <w:color w:val="00B0F0"/>
              </w:rPr>
              <w:t>CSB</w:t>
            </w:r>
            <w:r>
              <w:rPr>
                <w:rFonts w:ascii="宋体" w:hAnsi="宋体" w:cs="宋体" w:eastAsia="宋体"/>
                <w:sz w:val="20"/>
                <w:color w:val="00B0F0"/>
              </w:rPr>
              <w:t xml:space="preserve">≤ </w:t>
            </w:r>
            <w:r>
              <w:rPr>
                <w:rFonts w:ascii="calibri" w:hAnsi="calibri" w:cs="calibri" w:eastAsia="calibri"/>
                <w:sz w:val="20"/>
                <w:color w:val="00B0F0"/>
              </w:rPr>
              <w:t>30MESF</w:t>
            </w:r>
            <w:r>
              <w:rPr>
                <w:rFonts w:ascii="宋体" w:hAnsi="宋体" w:cs="宋体" w:eastAsia="宋体"/>
                <w:sz w:val="20"/>
                <w:color w:val="00B0F0"/>
              </w:rPr>
              <w:t>（等效</w:t>
            </w:r>
            <w:r>
              <w:rPr>
                <w:rFonts w:ascii="calibri" w:hAnsi="calibri" w:cs="calibri" w:eastAsia="calibri"/>
                <w:sz w:val="20"/>
                <w:color w:val="00B0F0"/>
              </w:rPr>
              <w:t>Pacific Blue</w:t>
            </w:r>
            <w:r>
              <w:rPr>
                <w:rFonts w:ascii="宋体" w:hAnsi="宋体" w:cs="宋体" w:eastAsia="宋体"/>
                <w:sz w:val="20"/>
                <w:color w:val="00B0F0"/>
              </w:rPr>
              <w:t>）</w:t>
            </w:r>
          </w:p>
        </w:tc>
      </w:tr>
      <w:tr>
        <w:tc>
          <w:tcPr>
            <w:tcW w:type="dxa" w:w="2769"/>
          </w:tcPr>
          <w:p/>
        </w:tc>
        <w:tc>
          <w:tcPr>
            <w:tcW w:type="dxa" w:w="2769"/>
          </w:tcPr>
          <w:p>
            <w:pPr>
              <w:pStyle w:val="null3"/>
            </w:pPr>
            <w:r>
              <w:rPr/>
              <w:t>6</w:t>
            </w:r>
          </w:p>
        </w:tc>
        <w:tc>
          <w:tcPr>
            <w:tcW w:type="dxa" w:w="2769"/>
          </w:tcPr>
          <w:p>
            <w:pPr>
              <w:pStyle w:val="null3"/>
              <w:jc w:val="both"/>
            </w:pPr>
            <w:r>
              <w:rPr>
                <w:rFonts w:ascii="calibri" w:hAnsi="calibri" w:cs="calibri" w:eastAsia="calibri"/>
                <w:sz w:val="20"/>
                <w:color w:val="00B0F0"/>
              </w:rPr>
              <w:t>1.5</w:t>
            </w:r>
            <w:r>
              <w:rPr>
                <w:rFonts w:ascii="宋体" w:hAnsi="宋体" w:cs="宋体" w:eastAsia="宋体"/>
                <w:sz w:val="20"/>
                <w:color w:val="00B0F0"/>
              </w:rPr>
              <w:t>仪器分辨率：前向散射光、</w:t>
            </w:r>
            <w:r>
              <w:rPr>
                <w:rFonts w:ascii="calibri" w:hAnsi="calibri" w:cs="calibri" w:eastAsia="calibri"/>
                <w:sz w:val="20"/>
                <w:color w:val="00B0F0"/>
              </w:rPr>
              <w:t>FITC</w:t>
            </w:r>
            <w:r>
              <w:rPr>
                <w:rFonts w:ascii="宋体" w:hAnsi="宋体" w:cs="宋体" w:eastAsia="宋体"/>
                <w:sz w:val="20"/>
                <w:color w:val="00B0F0"/>
              </w:rPr>
              <w:t>通道和</w:t>
            </w:r>
            <w:r>
              <w:rPr>
                <w:rFonts w:ascii="calibri" w:hAnsi="calibri" w:cs="calibri" w:eastAsia="calibri"/>
                <w:sz w:val="20"/>
                <w:color w:val="00B0F0"/>
              </w:rPr>
              <w:t>PE</w:t>
            </w:r>
            <w:r>
              <w:rPr>
                <w:rFonts w:ascii="宋体" w:hAnsi="宋体" w:cs="宋体" w:eastAsia="宋体"/>
                <w:sz w:val="20"/>
                <w:color w:val="00B0F0"/>
              </w:rPr>
              <w:t>通道≤</w:t>
            </w:r>
            <w:r>
              <w:rPr>
                <w:rFonts w:ascii="calibri" w:hAnsi="calibri" w:cs="calibri" w:eastAsia="calibri"/>
                <w:sz w:val="20"/>
                <w:color w:val="00B0F0"/>
              </w:rPr>
              <w:t>2%</w:t>
            </w:r>
            <w:r>
              <w:rPr>
                <w:rFonts w:ascii="宋体" w:hAnsi="宋体" w:cs="宋体" w:eastAsia="宋体"/>
                <w:sz w:val="20"/>
                <w:color w:val="00B0F0"/>
              </w:rPr>
              <w:t>，</w:t>
            </w:r>
            <w:r>
              <w:rPr>
                <w:rFonts w:ascii="calibri" w:hAnsi="calibri" w:cs="calibri" w:eastAsia="calibri"/>
                <w:sz w:val="20"/>
                <w:color w:val="00B0F0"/>
              </w:rPr>
              <w:t>APC</w:t>
            </w:r>
            <w:r>
              <w:rPr>
                <w:rFonts w:ascii="宋体" w:hAnsi="宋体" w:cs="宋体" w:eastAsia="宋体"/>
                <w:sz w:val="20"/>
                <w:color w:val="00B0F0"/>
              </w:rPr>
              <w:t>及其余通道≤</w:t>
            </w:r>
            <w:r>
              <w:rPr>
                <w:rFonts w:ascii="calibri" w:hAnsi="calibri" w:cs="calibri" w:eastAsia="calibri"/>
                <w:sz w:val="20"/>
                <w:color w:val="00B0F0"/>
              </w:rPr>
              <w:t>4%</w:t>
            </w:r>
            <w:r>
              <w:rPr>
                <w:rFonts w:ascii="宋体" w:hAnsi="宋体" w:cs="宋体" w:eastAsia="宋体"/>
                <w:sz w:val="20"/>
                <w:color w:val="00B0F0"/>
              </w:rPr>
              <w:t>；</w:t>
            </w:r>
          </w:p>
        </w:tc>
      </w:tr>
      <w:tr>
        <w:tc>
          <w:tcPr>
            <w:tcW w:type="dxa" w:w="2769"/>
          </w:tcPr>
          <w:p>
            <w:pPr>
              <w:pStyle w:val="null3"/>
            </w:pPr>
            <w:r>
              <w:rPr/>
              <w:t>▲</w:t>
            </w:r>
          </w:p>
        </w:tc>
        <w:tc>
          <w:tcPr>
            <w:tcW w:type="dxa" w:w="2769"/>
          </w:tcPr>
          <w:p>
            <w:pPr>
              <w:pStyle w:val="null3"/>
            </w:pPr>
            <w:r>
              <w:rPr/>
              <w:t>7</w:t>
            </w:r>
          </w:p>
        </w:tc>
        <w:tc>
          <w:tcPr>
            <w:tcW w:type="dxa" w:w="2769"/>
          </w:tcPr>
          <w:p>
            <w:pPr>
              <w:pStyle w:val="null3"/>
              <w:jc w:val="both"/>
            </w:pPr>
            <w:r>
              <w:rPr>
                <w:rFonts w:ascii="calibri" w:hAnsi="calibri" w:cs="calibri" w:eastAsia="calibri"/>
                <w:sz w:val="20"/>
                <w:color w:val="00B0F0"/>
              </w:rPr>
              <w:t>1.6</w:t>
            </w:r>
            <w:r>
              <w:rPr>
                <w:rFonts w:ascii="宋体" w:hAnsi="宋体" w:cs="宋体" w:eastAsia="宋体"/>
                <w:sz w:val="20"/>
                <w:color w:val="00B0F0"/>
              </w:rPr>
              <w:t>升级能力：支持原机升级</w:t>
            </w:r>
            <w:r>
              <w:rPr>
                <w:rFonts w:ascii="宋体" w:hAnsi="宋体" w:cs="宋体" w:eastAsia="宋体"/>
                <w:sz w:val="20"/>
                <w:color w:val="00B0F0"/>
              </w:rPr>
              <w:t>≥</w:t>
            </w:r>
            <w:r>
              <w:rPr>
                <w:rFonts w:ascii="calibri" w:hAnsi="calibri" w:cs="calibri" w:eastAsia="calibri"/>
                <w:sz w:val="20"/>
                <w:color w:val="00B0F0"/>
              </w:rPr>
              <w:t>12</w:t>
            </w:r>
            <w:r>
              <w:rPr>
                <w:rFonts w:ascii="宋体" w:hAnsi="宋体" w:cs="宋体" w:eastAsia="宋体"/>
                <w:sz w:val="20"/>
                <w:color w:val="00B0F0"/>
              </w:rPr>
              <w:t>个荧光检测通道；</w:t>
            </w:r>
          </w:p>
        </w:tc>
      </w:tr>
      <w:tr>
        <w:tc>
          <w:tcPr>
            <w:tcW w:type="dxa" w:w="2769"/>
          </w:tcPr>
          <w:p/>
        </w:tc>
        <w:tc>
          <w:tcPr>
            <w:tcW w:type="dxa" w:w="2769"/>
          </w:tcPr>
          <w:p>
            <w:pPr>
              <w:pStyle w:val="null3"/>
            </w:pPr>
            <w:r>
              <w:rPr/>
              <w:t>8</w:t>
            </w:r>
          </w:p>
        </w:tc>
        <w:tc>
          <w:tcPr>
            <w:tcW w:type="dxa" w:w="2769"/>
          </w:tcPr>
          <w:p>
            <w:pPr>
              <w:pStyle w:val="null3"/>
              <w:jc w:val="both"/>
            </w:pPr>
            <w:r>
              <w:rPr>
                <w:rFonts w:ascii="calibri" w:hAnsi="calibri" w:cs="calibri" w:eastAsia="calibri"/>
                <w:sz w:val="20"/>
                <w:color w:val="00B0F0"/>
              </w:rPr>
              <w:t>2</w:t>
            </w:r>
            <w:r>
              <w:rPr>
                <w:rFonts w:ascii="宋体" w:hAnsi="宋体" w:cs="宋体" w:eastAsia="宋体"/>
                <w:sz w:val="20"/>
                <w:color w:val="00B0F0"/>
              </w:rPr>
              <w:t>液路系统：</w:t>
            </w:r>
          </w:p>
          <w:p>
            <w:pPr>
              <w:pStyle w:val="null3"/>
              <w:jc w:val="both"/>
            </w:pPr>
            <w:r>
              <w:rPr>
                <w:rFonts w:ascii="calibri" w:hAnsi="calibri" w:cs="calibri" w:eastAsia="calibri"/>
                <w:sz w:val="20"/>
                <w:color w:val="00B0F0"/>
              </w:rPr>
              <w:t>2.1</w:t>
            </w:r>
            <w:r>
              <w:rPr>
                <w:rFonts w:ascii="宋体" w:hAnsi="宋体" w:cs="宋体" w:eastAsia="宋体"/>
                <w:sz w:val="20"/>
                <w:color w:val="00B0F0"/>
              </w:rPr>
              <w:t>分析速度：</w:t>
            </w:r>
            <w:r>
              <w:rPr>
                <w:rFonts w:ascii="宋体" w:hAnsi="宋体" w:cs="宋体" w:eastAsia="宋体"/>
                <w:sz w:val="20"/>
                <w:color w:val="00B0F0"/>
              </w:rPr>
              <w:t>≥</w:t>
            </w:r>
            <w:r>
              <w:rPr>
                <w:rFonts w:ascii="calibri" w:hAnsi="calibri" w:cs="calibri" w:eastAsia="calibri"/>
                <w:sz w:val="20"/>
                <w:color w:val="00B0F0"/>
              </w:rPr>
              <w:t xml:space="preserve">30000 </w:t>
            </w:r>
            <w:r>
              <w:rPr>
                <w:rFonts w:ascii="宋体" w:hAnsi="宋体" w:cs="宋体" w:eastAsia="宋体"/>
                <w:sz w:val="20"/>
                <w:color w:val="00B0F0"/>
              </w:rPr>
              <w:t>粒子</w:t>
            </w:r>
            <w:r>
              <w:rPr>
                <w:rFonts w:ascii="calibri" w:hAnsi="calibri" w:cs="calibri" w:eastAsia="calibri"/>
                <w:sz w:val="20"/>
                <w:color w:val="00B0F0"/>
              </w:rPr>
              <w:t>/</w:t>
            </w:r>
            <w:r>
              <w:rPr>
                <w:rFonts w:ascii="宋体" w:hAnsi="宋体" w:cs="宋体" w:eastAsia="宋体"/>
                <w:sz w:val="20"/>
                <w:color w:val="00B0F0"/>
              </w:rPr>
              <w:t>秒；</w:t>
            </w:r>
          </w:p>
        </w:tc>
      </w:tr>
      <w:tr>
        <w:tc>
          <w:tcPr>
            <w:tcW w:type="dxa" w:w="2769"/>
          </w:tcPr>
          <w:p/>
        </w:tc>
        <w:tc>
          <w:tcPr>
            <w:tcW w:type="dxa" w:w="2769"/>
          </w:tcPr>
          <w:p>
            <w:pPr>
              <w:pStyle w:val="null3"/>
            </w:pPr>
            <w:r>
              <w:rPr/>
              <w:t>9</w:t>
            </w:r>
          </w:p>
        </w:tc>
        <w:tc>
          <w:tcPr>
            <w:tcW w:type="dxa" w:w="2769"/>
          </w:tcPr>
          <w:p>
            <w:pPr>
              <w:pStyle w:val="null3"/>
              <w:jc w:val="both"/>
            </w:pPr>
            <w:r>
              <w:rPr>
                <w:rFonts w:ascii="calibri" w:hAnsi="calibri" w:cs="calibri" w:eastAsia="calibri"/>
                <w:sz w:val="20"/>
                <w:color w:val="00B0F0"/>
              </w:rPr>
              <w:t>2.2</w:t>
            </w:r>
            <w:r>
              <w:rPr>
                <w:rFonts w:ascii="宋体" w:hAnsi="宋体" w:cs="宋体" w:eastAsia="宋体"/>
                <w:sz w:val="20"/>
                <w:color w:val="00B0F0"/>
              </w:rPr>
              <w:t>携带污染率：</w:t>
            </w:r>
            <w:r>
              <w:rPr>
                <w:rFonts w:ascii="宋体" w:hAnsi="宋体" w:cs="宋体" w:eastAsia="宋体"/>
                <w:sz w:val="20"/>
                <w:color w:val="00B0F0"/>
              </w:rPr>
              <w:t xml:space="preserve">≤ </w:t>
            </w:r>
            <w:r>
              <w:rPr>
                <w:rFonts w:ascii="calibri" w:hAnsi="calibri" w:cs="calibri" w:eastAsia="calibri"/>
                <w:sz w:val="20"/>
                <w:color w:val="00B0F0"/>
              </w:rPr>
              <w:t>0.1%</w:t>
            </w:r>
            <w:r>
              <w:rPr>
                <w:rFonts w:ascii="宋体" w:hAnsi="宋体" w:cs="宋体" w:eastAsia="宋体"/>
                <w:sz w:val="20"/>
                <w:color w:val="00B0F0"/>
              </w:rPr>
              <w:t>；</w:t>
            </w:r>
          </w:p>
        </w:tc>
      </w:tr>
      <w:tr>
        <w:tc>
          <w:tcPr>
            <w:tcW w:type="dxa" w:w="2769"/>
          </w:tcPr>
          <w:p/>
        </w:tc>
        <w:tc>
          <w:tcPr>
            <w:tcW w:type="dxa" w:w="2769"/>
          </w:tcPr>
          <w:p>
            <w:pPr>
              <w:pStyle w:val="null3"/>
            </w:pPr>
            <w:r>
              <w:rPr/>
              <w:t>10</w:t>
            </w:r>
          </w:p>
        </w:tc>
        <w:tc>
          <w:tcPr>
            <w:tcW w:type="dxa" w:w="2769"/>
          </w:tcPr>
          <w:p>
            <w:pPr>
              <w:pStyle w:val="null3"/>
              <w:jc w:val="both"/>
            </w:pPr>
            <w:r>
              <w:rPr>
                <w:rFonts w:ascii="calibri" w:hAnsi="calibri" w:cs="calibri" w:eastAsia="calibri"/>
                <w:sz w:val="20"/>
                <w:color w:val="00B0F0"/>
              </w:rPr>
              <w:t>2.3</w:t>
            </w:r>
            <w:r>
              <w:rPr>
                <w:rFonts w:ascii="宋体" w:hAnsi="宋体" w:cs="宋体" w:eastAsia="宋体"/>
                <w:sz w:val="20"/>
                <w:color w:val="00B0F0"/>
              </w:rPr>
              <w:t>进样方式：采用非注射泵进样方式，以满足快速连续的进样要求；</w:t>
            </w:r>
          </w:p>
        </w:tc>
      </w:tr>
      <w:tr>
        <w:tc>
          <w:tcPr>
            <w:tcW w:type="dxa" w:w="2769"/>
          </w:tcPr>
          <w:p/>
        </w:tc>
        <w:tc>
          <w:tcPr>
            <w:tcW w:type="dxa" w:w="2769"/>
          </w:tcPr>
          <w:p>
            <w:pPr>
              <w:pStyle w:val="null3"/>
            </w:pPr>
            <w:r>
              <w:rPr/>
              <w:t>11</w:t>
            </w:r>
          </w:p>
        </w:tc>
        <w:tc>
          <w:tcPr>
            <w:tcW w:type="dxa" w:w="2769"/>
          </w:tcPr>
          <w:p>
            <w:pPr>
              <w:pStyle w:val="null3"/>
              <w:jc w:val="both"/>
            </w:pPr>
            <w:r>
              <w:rPr>
                <w:rFonts w:ascii="calibri" w:hAnsi="calibri" w:cs="calibri" w:eastAsia="calibri"/>
                <w:sz w:val="20"/>
                <w:color w:val="00B0F0"/>
              </w:rPr>
              <w:t>2.4</w:t>
            </w:r>
            <w:r>
              <w:rPr>
                <w:rFonts w:ascii="宋体" w:hAnsi="宋体" w:cs="宋体" w:eastAsia="宋体"/>
                <w:sz w:val="20"/>
                <w:color w:val="00B0F0"/>
              </w:rPr>
              <w:t>液流速度：可根据样本类型进行流速调节；</w:t>
            </w:r>
          </w:p>
        </w:tc>
      </w:tr>
      <w:tr>
        <w:tc>
          <w:tcPr>
            <w:tcW w:type="dxa" w:w="2769"/>
          </w:tcPr>
          <w:p/>
        </w:tc>
        <w:tc>
          <w:tcPr>
            <w:tcW w:type="dxa" w:w="2769"/>
          </w:tcPr>
          <w:p>
            <w:pPr>
              <w:pStyle w:val="null3"/>
            </w:pPr>
            <w:r>
              <w:rPr/>
              <w:t>12</w:t>
            </w:r>
          </w:p>
        </w:tc>
        <w:tc>
          <w:tcPr>
            <w:tcW w:type="dxa" w:w="2769"/>
          </w:tcPr>
          <w:p>
            <w:pPr>
              <w:pStyle w:val="null3"/>
              <w:jc w:val="both"/>
            </w:pPr>
            <w:r>
              <w:rPr>
                <w:rFonts w:ascii="calibri" w:hAnsi="calibri" w:cs="calibri" w:eastAsia="calibri"/>
                <w:sz w:val="20"/>
                <w:color w:val="00B0F0"/>
              </w:rPr>
              <w:t>2.5</w:t>
            </w:r>
            <w:r>
              <w:rPr>
                <w:rFonts w:ascii="宋体" w:hAnsi="宋体" w:cs="宋体" w:eastAsia="宋体"/>
                <w:sz w:val="20"/>
                <w:color w:val="00B0F0"/>
              </w:rPr>
              <w:t>支持试管类型：</w:t>
            </w:r>
            <w:r>
              <w:rPr>
                <w:rFonts w:ascii="calibri" w:hAnsi="calibri" w:cs="calibri" w:eastAsia="calibri"/>
                <w:sz w:val="20"/>
                <w:color w:val="00B0F0"/>
              </w:rPr>
              <w:t>12</w:t>
            </w:r>
            <w:r>
              <w:rPr>
                <w:rFonts w:ascii="宋体" w:hAnsi="宋体" w:cs="宋体" w:eastAsia="宋体"/>
                <w:sz w:val="20"/>
                <w:color w:val="00B0F0"/>
              </w:rPr>
              <w:t>×</w:t>
            </w:r>
            <w:r>
              <w:rPr>
                <w:rFonts w:ascii="calibri" w:hAnsi="calibri" w:cs="calibri" w:eastAsia="calibri"/>
                <w:sz w:val="20"/>
                <w:color w:val="00B0F0"/>
              </w:rPr>
              <w:t>75mm</w:t>
            </w:r>
            <w:r>
              <w:rPr>
                <w:rFonts w:ascii="宋体" w:hAnsi="宋体" w:cs="宋体" w:eastAsia="宋体"/>
                <w:sz w:val="20"/>
                <w:color w:val="00B0F0"/>
              </w:rPr>
              <w:t>试管、</w:t>
            </w:r>
            <w:r>
              <w:rPr>
                <w:rFonts w:ascii="calibri" w:hAnsi="calibri" w:cs="calibri" w:eastAsia="calibri"/>
                <w:sz w:val="20"/>
                <w:color w:val="00B0F0"/>
              </w:rPr>
              <w:t>1.5ml</w:t>
            </w:r>
            <w:r>
              <w:rPr>
                <w:rFonts w:ascii="宋体" w:hAnsi="宋体" w:cs="宋体" w:eastAsia="宋体"/>
                <w:sz w:val="20"/>
                <w:color w:val="00B0F0"/>
              </w:rPr>
              <w:t>或</w:t>
            </w:r>
            <w:r>
              <w:rPr>
                <w:rFonts w:ascii="calibri" w:hAnsi="calibri" w:cs="calibri" w:eastAsia="calibri"/>
                <w:sz w:val="20"/>
                <w:color w:val="00B0F0"/>
              </w:rPr>
              <w:t>2ml EP</w:t>
            </w:r>
            <w:r>
              <w:rPr>
                <w:rFonts w:ascii="宋体" w:hAnsi="宋体" w:cs="宋体" w:eastAsia="宋体"/>
                <w:sz w:val="20"/>
                <w:color w:val="00B0F0"/>
              </w:rPr>
              <w:t>管；</w:t>
            </w:r>
          </w:p>
        </w:tc>
      </w:tr>
      <w:tr>
        <w:tc>
          <w:tcPr>
            <w:tcW w:type="dxa" w:w="2769"/>
          </w:tcPr>
          <w:p/>
        </w:tc>
        <w:tc>
          <w:tcPr>
            <w:tcW w:type="dxa" w:w="2769"/>
          </w:tcPr>
          <w:p>
            <w:pPr>
              <w:pStyle w:val="null3"/>
            </w:pPr>
            <w:r>
              <w:rPr/>
              <w:t>13</w:t>
            </w:r>
          </w:p>
        </w:tc>
        <w:tc>
          <w:tcPr>
            <w:tcW w:type="dxa" w:w="2769"/>
          </w:tcPr>
          <w:p>
            <w:pPr>
              <w:pStyle w:val="null3"/>
              <w:jc w:val="both"/>
            </w:pPr>
            <w:r>
              <w:rPr>
                <w:rFonts w:ascii="calibri" w:hAnsi="calibri" w:cs="calibri" w:eastAsia="calibri"/>
                <w:sz w:val="20"/>
                <w:color w:val="00B0F0"/>
              </w:rPr>
              <w:t>2.6</w:t>
            </w:r>
            <w:r>
              <w:rPr>
                <w:rFonts w:ascii="宋体" w:hAnsi="宋体" w:cs="宋体" w:eastAsia="宋体"/>
                <w:sz w:val="20"/>
                <w:color w:val="00B0F0"/>
              </w:rPr>
              <w:t>具备绝对计数功能：采用体积法测量原理；</w:t>
            </w:r>
          </w:p>
        </w:tc>
      </w:tr>
      <w:tr>
        <w:tc>
          <w:tcPr>
            <w:tcW w:type="dxa" w:w="2769"/>
          </w:tcPr>
          <w:p/>
        </w:tc>
        <w:tc>
          <w:tcPr>
            <w:tcW w:type="dxa" w:w="2769"/>
          </w:tcPr>
          <w:p>
            <w:pPr>
              <w:pStyle w:val="null3"/>
            </w:pPr>
            <w:r>
              <w:rPr/>
              <w:t>14</w:t>
            </w:r>
          </w:p>
        </w:tc>
        <w:tc>
          <w:tcPr>
            <w:tcW w:type="dxa" w:w="2769"/>
          </w:tcPr>
          <w:p>
            <w:pPr>
              <w:pStyle w:val="null3"/>
              <w:jc w:val="both"/>
            </w:pPr>
            <w:r>
              <w:rPr>
                <w:rFonts w:ascii="calibri" w:hAnsi="calibri" w:cs="calibri" w:eastAsia="calibri"/>
                <w:sz w:val="20"/>
                <w:color w:val="00B0F0"/>
              </w:rPr>
              <w:t>2.7</w:t>
            </w:r>
            <w:r>
              <w:rPr>
                <w:rFonts w:ascii="宋体" w:hAnsi="宋体" w:cs="宋体" w:eastAsia="宋体"/>
                <w:sz w:val="20"/>
                <w:color w:val="00B0F0"/>
              </w:rPr>
              <w:t>试剂余量监测：对鞘液、废液量连续实时检测，及时提示用户处理，支持废液直排系统；</w:t>
            </w:r>
          </w:p>
        </w:tc>
      </w:tr>
      <w:tr>
        <w:tc>
          <w:tcPr>
            <w:tcW w:type="dxa" w:w="2769"/>
          </w:tcPr>
          <w:p/>
        </w:tc>
        <w:tc>
          <w:tcPr>
            <w:tcW w:type="dxa" w:w="2769"/>
          </w:tcPr>
          <w:p>
            <w:pPr>
              <w:pStyle w:val="null3"/>
            </w:pPr>
            <w:r>
              <w:rPr/>
              <w:t>15</w:t>
            </w:r>
          </w:p>
        </w:tc>
        <w:tc>
          <w:tcPr>
            <w:tcW w:type="dxa" w:w="2769"/>
          </w:tcPr>
          <w:p>
            <w:pPr>
              <w:pStyle w:val="null3"/>
              <w:jc w:val="both"/>
            </w:pPr>
            <w:r>
              <w:rPr>
                <w:rFonts w:ascii="calibri" w:hAnsi="calibri" w:cs="calibri" w:eastAsia="calibri"/>
                <w:sz w:val="20"/>
                <w:color w:val="00B0F0"/>
              </w:rPr>
              <w:t>3</w:t>
            </w:r>
            <w:r>
              <w:rPr>
                <w:rFonts w:ascii="宋体" w:hAnsi="宋体" w:cs="宋体" w:eastAsia="宋体"/>
                <w:sz w:val="20"/>
                <w:color w:val="00B0F0"/>
              </w:rPr>
              <w:t>分析软件：</w:t>
            </w:r>
          </w:p>
          <w:p>
            <w:pPr>
              <w:pStyle w:val="null3"/>
              <w:jc w:val="both"/>
            </w:pPr>
            <w:r>
              <w:rPr>
                <w:rFonts w:ascii="calibri" w:hAnsi="calibri" w:cs="calibri" w:eastAsia="calibri"/>
                <w:sz w:val="20"/>
                <w:color w:val="00B0F0"/>
              </w:rPr>
              <w:t>3.1</w:t>
            </w:r>
            <w:r>
              <w:rPr>
                <w:rFonts w:ascii="宋体" w:hAnsi="宋体" w:cs="宋体" w:eastAsia="宋体"/>
                <w:sz w:val="20"/>
                <w:color w:val="00B0F0"/>
              </w:rPr>
              <w:t>数据功能：实现所有流式数据（包括信号的高度、宽度和面积信息等）的采集和分析，并且支持线性、对数坐标的变换；</w:t>
            </w:r>
          </w:p>
        </w:tc>
      </w:tr>
      <w:tr>
        <w:tc>
          <w:tcPr>
            <w:tcW w:type="dxa" w:w="2769"/>
          </w:tcPr>
          <w:p/>
        </w:tc>
        <w:tc>
          <w:tcPr>
            <w:tcW w:type="dxa" w:w="2769"/>
          </w:tcPr>
          <w:p>
            <w:pPr>
              <w:pStyle w:val="null3"/>
            </w:pPr>
            <w:r>
              <w:rPr/>
              <w:t>16</w:t>
            </w:r>
          </w:p>
        </w:tc>
        <w:tc>
          <w:tcPr>
            <w:tcW w:type="dxa" w:w="2769"/>
          </w:tcPr>
          <w:p>
            <w:pPr>
              <w:pStyle w:val="null3"/>
              <w:jc w:val="both"/>
            </w:pPr>
            <w:r>
              <w:rPr>
                <w:rFonts w:ascii="calibri" w:hAnsi="calibri" w:cs="calibri" w:eastAsia="calibri"/>
                <w:sz w:val="20"/>
                <w:color w:val="00B0F0"/>
              </w:rPr>
              <w:t>3.2 LIS</w:t>
            </w:r>
            <w:r>
              <w:rPr>
                <w:rFonts w:ascii="宋体" w:hAnsi="宋体" w:cs="宋体" w:eastAsia="宋体"/>
                <w:sz w:val="20"/>
                <w:color w:val="00B0F0"/>
              </w:rPr>
              <w:t>连接：</w:t>
            </w:r>
            <w:r>
              <w:rPr>
                <w:rFonts w:ascii="宋体" w:hAnsi="宋体" w:cs="宋体" w:eastAsia="宋体"/>
                <w:sz w:val="20"/>
                <w:color w:val="00B0F0"/>
              </w:rPr>
              <w:t>负责</w:t>
            </w:r>
            <w:r>
              <w:rPr>
                <w:rFonts w:ascii="宋体" w:hAnsi="宋体" w:cs="宋体" w:eastAsia="宋体"/>
                <w:sz w:val="20"/>
                <w:color w:val="00B0F0"/>
              </w:rPr>
              <w:t>双向</w:t>
            </w:r>
            <w:r>
              <w:rPr>
                <w:rFonts w:ascii="calibri" w:hAnsi="calibri" w:cs="calibri" w:eastAsia="calibri"/>
                <w:sz w:val="20"/>
                <w:color w:val="00B0F0"/>
              </w:rPr>
              <w:t>LIS</w:t>
            </w:r>
            <w:r>
              <w:rPr>
                <w:rFonts w:ascii="宋体" w:hAnsi="宋体" w:cs="宋体" w:eastAsia="宋体"/>
                <w:sz w:val="20"/>
                <w:color w:val="00B0F0"/>
              </w:rPr>
              <w:t>连接</w:t>
            </w:r>
            <w:r>
              <w:rPr>
                <w:rFonts w:ascii="宋体" w:hAnsi="宋体" w:cs="宋体" w:eastAsia="宋体"/>
                <w:sz w:val="20"/>
                <w:color w:val="00B0F0"/>
              </w:rPr>
              <w:t>，并承担相应费用</w:t>
            </w:r>
            <w:r>
              <w:rPr>
                <w:rFonts w:ascii="宋体" w:hAnsi="宋体" w:cs="宋体" w:eastAsia="宋体"/>
                <w:sz w:val="20"/>
                <w:color w:val="00B0F0"/>
              </w:rPr>
              <w:t>；</w:t>
            </w:r>
          </w:p>
        </w:tc>
      </w:tr>
      <w:tr>
        <w:tc>
          <w:tcPr>
            <w:tcW w:type="dxa" w:w="2769"/>
          </w:tcPr>
          <w:p/>
        </w:tc>
        <w:tc>
          <w:tcPr>
            <w:tcW w:type="dxa" w:w="2769"/>
          </w:tcPr>
          <w:p>
            <w:pPr>
              <w:pStyle w:val="null3"/>
            </w:pPr>
            <w:r>
              <w:rPr/>
              <w:t>17</w:t>
            </w:r>
          </w:p>
        </w:tc>
        <w:tc>
          <w:tcPr>
            <w:tcW w:type="dxa" w:w="2769"/>
          </w:tcPr>
          <w:p>
            <w:pPr>
              <w:pStyle w:val="null3"/>
              <w:jc w:val="both"/>
            </w:pPr>
            <w:r>
              <w:rPr>
                <w:rFonts w:ascii="calibri" w:hAnsi="calibri" w:cs="calibri" w:eastAsia="calibri"/>
                <w:sz w:val="20"/>
                <w:color w:val="00B0F0"/>
              </w:rPr>
              <w:t xml:space="preserve">3.3 </w:t>
            </w:r>
            <w:r>
              <w:rPr>
                <w:rFonts w:ascii="宋体" w:hAnsi="宋体" w:cs="宋体" w:eastAsia="宋体"/>
                <w:sz w:val="20"/>
                <w:color w:val="00B0F0"/>
              </w:rPr>
              <w:t>电压调节：可以根据样本特点对电压进行调节；</w:t>
            </w:r>
          </w:p>
        </w:tc>
      </w:tr>
      <w:tr>
        <w:tc>
          <w:tcPr>
            <w:tcW w:type="dxa" w:w="2769"/>
          </w:tcPr>
          <w:p/>
        </w:tc>
        <w:tc>
          <w:tcPr>
            <w:tcW w:type="dxa" w:w="2769"/>
          </w:tcPr>
          <w:p>
            <w:pPr>
              <w:pStyle w:val="null3"/>
            </w:pPr>
            <w:r>
              <w:rPr/>
              <w:t>18</w:t>
            </w:r>
          </w:p>
        </w:tc>
        <w:tc>
          <w:tcPr>
            <w:tcW w:type="dxa" w:w="2769"/>
          </w:tcPr>
          <w:p>
            <w:pPr>
              <w:pStyle w:val="null3"/>
              <w:jc w:val="both"/>
            </w:pPr>
            <w:r>
              <w:rPr>
                <w:rFonts w:ascii="calibri" w:hAnsi="calibri" w:cs="calibri" w:eastAsia="calibri"/>
                <w:sz w:val="20"/>
                <w:color w:val="00B0F0"/>
              </w:rPr>
              <w:t xml:space="preserve">3.4 </w:t>
            </w:r>
            <w:r>
              <w:rPr>
                <w:rFonts w:ascii="宋体" w:hAnsi="宋体" w:cs="宋体" w:eastAsia="宋体"/>
                <w:sz w:val="20"/>
                <w:color w:val="00B0F0"/>
              </w:rPr>
              <w:t>信号阈值：支持阈值设定；</w:t>
            </w:r>
          </w:p>
        </w:tc>
      </w:tr>
      <w:tr>
        <w:tc>
          <w:tcPr>
            <w:tcW w:type="dxa" w:w="2769"/>
          </w:tcPr>
          <w:p/>
        </w:tc>
        <w:tc>
          <w:tcPr>
            <w:tcW w:type="dxa" w:w="2769"/>
          </w:tcPr>
          <w:p>
            <w:pPr>
              <w:pStyle w:val="null3"/>
            </w:pPr>
            <w:r>
              <w:rPr/>
              <w:t>19</w:t>
            </w:r>
          </w:p>
        </w:tc>
        <w:tc>
          <w:tcPr>
            <w:tcW w:type="dxa" w:w="2769"/>
          </w:tcPr>
          <w:p>
            <w:pPr>
              <w:pStyle w:val="null3"/>
              <w:jc w:val="both"/>
            </w:pPr>
            <w:r>
              <w:rPr>
                <w:rFonts w:ascii="calibri" w:hAnsi="calibri" w:cs="calibri" w:eastAsia="calibri"/>
                <w:sz w:val="20"/>
                <w:color w:val="00B0F0"/>
              </w:rPr>
              <w:t xml:space="preserve">3.5 </w:t>
            </w:r>
            <w:r>
              <w:rPr>
                <w:rFonts w:ascii="宋体" w:hAnsi="宋体" w:cs="宋体" w:eastAsia="宋体"/>
                <w:sz w:val="20"/>
                <w:color w:val="00B0F0"/>
              </w:rPr>
              <w:t>荧光补偿：全矩阵荧光信号补偿系统，在测试前、测试中和测试后均可调节荧光补偿；</w:t>
            </w:r>
          </w:p>
        </w:tc>
      </w:tr>
      <w:tr>
        <w:tc>
          <w:tcPr>
            <w:tcW w:type="dxa" w:w="2769"/>
          </w:tcPr>
          <w:p/>
        </w:tc>
        <w:tc>
          <w:tcPr>
            <w:tcW w:type="dxa" w:w="2769"/>
          </w:tcPr>
          <w:p>
            <w:pPr>
              <w:pStyle w:val="null3"/>
            </w:pPr>
            <w:r>
              <w:rPr/>
              <w:t>20</w:t>
            </w:r>
          </w:p>
        </w:tc>
        <w:tc>
          <w:tcPr>
            <w:tcW w:type="dxa" w:w="2769"/>
          </w:tcPr>
          <w:p>
            <w:pPr>
              <w:pStyle w:val="null3"/>
              <w:jc w:val="both"/>
            </w:pPr>
            <w:r>
              <w:rPr>
                <w:rFonts w:ascii="calibri" w:hAnsi="calibri" w:cs="calibri" w:eastAsia="calibri"/>
                <w:sz w:val="20"/>
                <w:color w:val="00B0F0"/>
              </w:rPr>
              <w:t xml:space="preserve">3.6 </w:t>
            </w:r>
            <w:r>
              <w:rPr>
                <w:rFonts w:ascii="宋体" w:hAnsi="宋体" w:cs="宋体" w:eastAsia="宋体"/>
                <w:sz w:val="20"/>
                <w:color w:val="00B0F0"/>
              </w:rPr>
              <w:t>软件集成自动算法，可自动分析及审核淋巴细胞亚群项目结果；</w:t>
            </w:r>
          </w:p>
        </w:tc>
      </w:tr>
      <w:tr>
        <w:tc>
          <w:tcPr>
            <w:tcW w:type="dxa" w:w="2769"/>
          </w:tcPr>
          <w:p>
            <w:pPr>
              <w:pStyle w:val="null3"/>
            </w:pPr>
            <w:r>
              <w:rPr/>
              <w:t>▲</w:t>
            </w:r>
          </w:p>
        </w:tc>
        <w:tc>
          <w:tcPr>
            <w:tcW w:type="dxa" w:w="2769"/>
          </w:tcPr>
          <w:p>
            <w:pPr>
              <w:pStyle w:val="null3"/>
            </w:pPr>
            <w:r>
              <w:rPr/>
              <w:t>21</w:t>
            </w:r>
          </w:p>
        </w:tc>
        <w:tc>
          <w:tcPr>
            <w:tcW w:type="dxa" w:w="2769"/>
          </w:tcPr>
          <w:p>
            <w:pPr>
              <w:pStyle w:val="null3"/>
              <w:jc w:val="both"/>
            </w:pPr>
            <w:r>
              <w:rPr>
                <w:rFonts w:ascii="calibri" w:hAnsi="calibri" w:cs="calibri" w:eastAsia="calibri"/>
                <w:sz w:val="20"/>
                <w:color w:val="00B0F0"/>
              </w:rPr>
              <w:t>4</w:t>
            </w:r>
            <w:r>
              <w:rPr>
                <w:rFonts w:ascii="calibri" w:hAnsi="calibri" w:cs="calibri" w:eastAsia="calibri"/>
                <w:sz w:val="21"/>
              </w:rPr>
              <w:t xml:space="preserve"> </w:t>
            </w:r>
            <w:r>
              <w:rPr>
                <w:rFonts w:ascii="宋体" w:hAnsi="宋体" w:cs="宋体" w:eastAsia="宋体"/>
                <w:sz w:val="20"/>
                <w:color w:val="00B0F0"/>
              </w:rPr>
              <w:t>配套临床试剂：提供取得中华人民共和国医疗器械注册证的</w:t>
            </w:r>
            <w:r>
              <w:rPr>
                <w:rFonts w:ascii="calibri" w:hAnsi="calibri" w:cs="calibri" w:eastAsia="calibri"/>
                <w:sz w:val="20"/>
                <w:color w:val="00B0F0"/>
              </w:rPr>
              <w:t>CD3/CD4/CD8/CD45</w:t>
            </w:r>
            <w:r>
              <w:rPr>
                <w:rFonts w:ascii="宋体" w:hAnsi="宋体" w:cs="宋体" w:eastAsia="宋体"/>
                <w:sz w:val="20"/>
                <w:color w:val="00B0F0"/>
              </w:rPr>
              <w:t>检测试剂、</w:t>
            </w:r>
            <w:r>
              <w:rPr>
                <w:rFonts w:ascii="calibri" w:hAnsi="calibri" w:cs="calibri" w:eastAsia="calibri"/>
                <w:sz w:val="20"/>
                <w:color w:val="00B0F0"/>
              </w:rPr>
              <w:t>CD3/CD56/CD19/CD45</w:t>
            </w:r>
            <w:r>
              <w:rPr>
                <w:rFonts w:ascii="宋体" w:hAnsi="宋体" w:cs="宋体" w:eastAsia="宋体"/>
                <w:sz w:val="20"/>
                <w:color w:val="00B0F0"/>
              </w:rPr>
              <w:t>检测试剂或</w:t>
            </w:r>
            <w:r>
              <w:rPr>
                <w:rFonts w:ascii="calibri" w:hAnsi="calibri" w:cs="calibri" w:eastAsia="calibri"/>
                <w:sz w:val="20"/>
                <w:color w:val="00B0F0"/>
              </w:rPr>
              <w:t>CD3/CD16+56/CD45/CD19</w:t>
            </w:r>
            <w:r>
              <w:rPr>
                <w:rFonts w:ascii="宋体" w:hAnsi="宋体" w:cs="宋体" w:eastAsia="宋体"/>
                <w:sz w:val="20"/>
                <w:color w:val="00B0F0"/>
              </w:rPr>
              <w:t>、</w:t>
            </w:r>
            <w:r>
              <w:rPr>
                <w:rFonts w:ascii="calibri" w:hAnsi="calibri" w:cs="calibri" w:eastAsia="calibri"/>
                <w:sz w:val="20"/>
                <w:color w:val="00B0F0"/>
              </w:rPr>
              <w:t>HLA-B27</w:t>
            </w:r>
            <w:r>
              <w:rPr>
                <w:rFonts w:ascii="宋体" w:hAnsi="宋体" w:cs="宋体" w:eastAsia="宋体"/>
                <w:sz w:val="20"/>
                <w:color w:val="00B0F0"/>
              </w:rPr>
              <w:t>等配套试剂；</w:t>
            </w:r>
          </w:p>
        </w:tc>
      </w:tr>
      <w:tr>
        <w:tc>
          <w:tcPr>
            <w:tcW w:type="dxa" w:w="2769"/>
          </w:tcPr>
          <w:p/>
        </w:tc>
        <w:tc>
          <w:tcPr>
            <w:tcW w:type="dxa" w:w="2769"/>
          </w:tcPr>
          <w:p>
            <w:pPr>
              <w:pStyle w:val="null3"/>
            </w:pPr>
            <w:r>
              <w:rPr/>
              <w:t>22</w:t>
            </w:r>
          </w:p>
        </w:tc>
        <w:tc>
          <w:tcPr>
            <w:tcW w:type="dxa" w:w="2769"/>
          </w:tcPr>
          <w:p>
            <w:pPr>
              <w:pStyle w:val="null3"/>
              <w:jc w:val="both"/>
            </w:pPr>
            <w:r>
              <w:rPr>
                <w:rFonts w:ascii="calibri" w:hAnsi="calibri" w:cs="calibri" w:eastAsia="calibri"/>
                <w:sz w:val="20"/>
                <w:color w:val="00B0F0"/>
              </w:rPr>
              <w:t xml:space="preserve">5 </w:t>
            </w:r>
            <w:r>
              <w:rPr>
                <w:rFonts w:ascii="宋体" w:hAnsi="宋体" w:cs="宋体" w:eastAsia="宋体"/>
                <w:sz w:val="20"/>
                <w:color w:val="00B0F0"/>
              </w:rPr>
              <w:t>自动进样器规格：</w:t>
            </w:r>
            <w:r>
              <w:rPr>
                <w:rFonts w:ascii="calibri" w:hAnsi="calibri" w:cs="calibri" w:eastAsia="calibri"/>
                <w:sz w:val="20"/>
                <w:color w:val="00B0F0"/>
              </w:rPr>
              <w:t>32</w:t>
            </w:r>
            <w:r>
              <w:rPr>
                <w:rFonts w:ascii="宋体" w:hAnsi="宋体" w:cs="宋体" w:eastAsia="宋体"/>
                <w:sz w:val="20"/>
                <w:color w:val="00B0F0"/>
              </w:rPr>
              <w:t>管或以上圆盘式进样；</w:t>
            </w:r>
          </w:p>
        </w:tc>
      </w:tr>
      <w:tr>
        <w:tc>
          <w:tcPr>
            <w:tcW w:type="dxa" w:w="2769"/>
          </w:tcPr>
          <w:p/>
        </w:tc>
        <w:tc>
          <w:tcPr>
            <w:tcW w:type="dxa" w:w="2769"/>
          </w:tcPr>
          <w:p>
            <w:pPr>
              <w:pStyle w:val="null3"/>
            </w:pPr>
            <w:r>
              <w:rPr/>
              <w:t>23</w:t>
            </w:r>
          </w:p>
        </w:tc>
        <w:tc>
          <w:tcPr>
            <w:tcW w:type="dxa" w:w="2769"/>
          </w:tcPr>
          <w:p>
            <w:pPr>
              <w:pStyle w:val="null3"/>
              <w:jc w:val="both"/>
            </w:pPr>
            <w:r>
              <w:rPr>
                <w:rFonts w:ascii="宋体" w:hAnsi="宋体" w:cs="宋体" w:eastAsia="宋体"/>
                <w:sz w:val="20"/>
                <w:color w:val="00B0F0"/>
              </w:rPr>
              <w:t>服务要求</w:t>
            </w:r>
          </w:p>
          <w:p>
            <w:pPr>
              <w:pStyle w:val="null3"/>
              <w:jc w:val="both"/>
            </w:pPr>
            <w:r>
              <w:rPr>
                <w:rFonts w:ascii="calibri" w:hAnsi="calibri" w:cs="calibri" w:eastAsia="calibri"/>
                <w:sz w:val="20"/>
                <w:color w:val="00B0F0"/>
              </w:rPr>
              <w:t>1</w:t>
            </w:r>
            <w:r>
              <w:rPr>
                <w:rFonts w:ascii="宋体" w:hAnsi="宋体" w:cs="宋体" w:eastAsia="宋体"/>
                <w:sz w:val="20"/>
                <w:color w:val="00B0F0"/>
              </w:rPr>
              <w:t>、售后服务要求：免费维修或更换缺陷的货物或部件期限：设备出现故障时，卖方必须在接到故障报告后在</w:t>
            </w:r>
            <w:r>
              <w:rPr>
                <w:rFonts w:ascii="calibri" w:hAnsi="calibri" w:cs="calibri" w:eastAsia="calibri"/>
                <w:sz w:val="20"/>
                <w:color w:val="00B0F0"/>
              </w:rPr>
              <w:t>2</w:t>
            </w:r>
            <w:r>
              <w:rPr>
                <w:rFonts w:ascii="宋体" w:hAnsi="宋体" w:cs="宋体" w:eastAsia="宋体"/>
                <w:sz w:val="20"/>
                <w:color w:val="00B0F0"/>
              </w:rPr>
              <w:t>小时内维修工程师到达现场，排除故障的期限不得超过</w:t>
            </w:r>
            <w:r>
              <w:rPr>
                <w:rFonts w:ascii="calibri" w:hAnsi="calibri" w:cs="calibri" w:eastAsia="calibri"/>
                <w:sz w:val="20"/>
                <w:color w:val="00B0F0"/>
              </w:rPr>
              <w:t>12</w:t>
            </w:r>
            <w:r>
              <w:rPr>
                <w:rFonts w:ascii="宋体" w:hAnsi="宋体" w:cs="宋体" w:eastAsia="宋体"/>
                <w:sz w:val="20"/>
                <w:color w:val="00B0F0"/>
              </w:rPr>
              <w:t>小时；</w:t>
            </w:r>
          </w:p>
          <w:p>
            <w:pPr>
              <w:pStyle w:val="null3"/>
              <w:jc w:val="both"/>
            </w:pPr>
            <w:r>
              <w:rPr>
                <w:rFonts w:ascii="calibri" w:hAnsi="calibri" w:cs="calibri" w:eastAsia="calibri"/>
                <w:sz w:val="20"/>
                <w:color w:val="00B0F0"/>
              </w:rPr>
              <w:t>2</w:t>
            </w:r>
            <w:r>
              <w:rPr>
                <w:rFonts w:ascii="宋体" w:hAnsi="宋体" w:cs="宋体" w:eastAsia="宋体"/>
                <w:sz w:val="20"/>
                <w:color w:val="00B0F0"/>
              </w:rPr>
              <w:t>、伴随服务要求：应随同每套货物提供相应的中文的技术文件；提供操作手册及设备操作规程和维护、修理技术文件，电路原理图纸、保修卡等；制造厂的检验报告、设备检验合格证书，计量合格等级证书，质量保证书等文件须随设备装箱提供；伴随服务的费用已含在合同价中，不单独进行支付。</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自合同签订之日起30个日历日</w:t>
      </w:r>
    </w:p>
    <w:p>
      <w:pPr>
        <w:pStyle w:val="null3"/>
      </w:pPr>
      <w:r>
        <w:rPr/>
        <w:t>采购包2：</w:t>
      </w:r>
    </w:p>
    <w:p>
      <w:pPr>
        <w:pStyle w:val="null3"/>
      </w:pPr>
      <w:r>
        <w:rPr/>
        <w:t>自合同签订之日起30个日历日</w:t>
      </w:r>
    </w:p>
    <w:p>
      <w:pPr>
        <w:pStyle w:val="null3"/>
        <w:outlineLvl w:val="3"/>
      </w:pPr>
      <w:r>
        <w:rPr>
          <w:sz w:val="24"/>
          <w:b/>
        </w:rPr>
        <w:t>3.4.2交货地点</w:t>
      </w:r>
    </w:p>
    <w:p>
      <w:pPr>
        <w:pStyle w:val="null3"/>
      </w:pPr>
      <w:r>
        <w:rPr/>
        <w:t>采购包1：</w:t>
      </w:r>
    </w:p>
    <w:p>
      <w:pPr>
        <w:pStyle w:val="null3"/>
      </w:pPr>
      <w:r>
        <w:rPr/>
        <w:t>西安市精神卫生中心</w:t>
      </w:r>
    </w:p>
    <w:p>
      <w:pPr>
        <w:pStyle w:val="null3"/>
      </w:pPr>
      <w:r>
        <w:rPr/>
        <w:t>采购包2：</w:t>
      </w:r>
    </w:p>
    <w:p>
      <w:pPr>
        <w:pStyle w:val="null3"/>
      </w:pPr>
      <w:r>
        <w:rPr/>
        <w:t>西安市精神卫生中心</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（适用于非授予中小企业政府采购合同）所有设备供货到位，安装、调试、培训完成，经初步验收合格后</w:t>
      </w:r>
      <w:r>
        <w:rPr/>
        <w:t xml:space="preserve"> ，达到付款条件起 </w:t>
      </w:r>
      <w:r>
        <w:rPr/>
        <w:t>60</w:t>
      </w:r>
      <w:r>
        <w:rPr/>
        <w:t xml:space="preserve"> 日内，支付合同总金额的 </w:t>
      </w:r>
      <w:r>
        <w:rPr/>
        <w:t>90.00</w:t>
      </w:r>
      <w:r>
        <w:rPr/>
        <w:t>%。</w:t>
      </w:r>
    </w:p>
    <w:p>
      <w:pPr>
        <w:pStyle w:val="null3"/>
      </w:pPr>
      <w:r>
        <w:rPr/>
        <w:t>采购包1：</w:t>
      </w:r>
      <w:r>
        <w:rPr/>
        <w:t xml:space="preserve"> 付款条件说明： </w:t>
      </w:r>
      <w:r>
        <w:rPr/>
        <w:t>（适用于非授予中小企业政府采购合同）设备正式实施运行3年，无重大故障，终验收合格后</w:t>
      </w:r>
      <w:r>
        <w:rPr/>
        <w:t xml:space="preserve"> ，达到付款条件起 </w:t>
      </w:r>
      <w:r>
        <w:rPr/>
        <w:t>60</w:t>
      </w:r>
      <w:r>
        <w:rPr/>
        <w:t xml:space="preserve"> 日内，支付合同总金额的 </w:t>
      </w:r>
      <w:r>
        <w:rPr/>
        <w:t>10.00</w:t>
      </w:r>
      <w:r>
        <w:rPr/>
        <w:t>%。</w:t>
      </w:r>
    </w:p>
    <w:p>
      <w:pPr>
        <w:pStyle w:val="null3"/>
      </w:pPr>
      <w:r>
        <w:rPr/>
        <w:t>采购包2：</w:t>
      </w:r>
      <w:r>
        <w:rPr/>
        <w:t xml:space="preserve"> 付款条件说明： </w:t>
      </w:r>
      <w:r>
        <w:rPr/>
        <w:t>（适用于非授予中小企业政府采购合同）所有设备供货到位，安装、调试、培训完成，经初步验收合格后</w:t>
      </w:r>
      <w:r>
        <w:rPr/>
        <w:t xml:space="preserve"> ，达到付款条件起 </w:t>
      </w:r>
      <w:r>
        <w:rPr/>
        <w:t>60</w:t>
      </w:r>
      <w:r>
        <w:rPr/>
        <w:t xml:space="preserve"> 日内，支付合同总金额的 </w:t>
      </w:r>
      <w:r>
        <w:rPr/>
        <w:t>90.00</w:t>
      </w:r>
      <w:r>
        <w:rPr/>
        <w:t>%。</w:t>
      </w:r>
    </w:p>
    <w:p>
      <w:pPr>
        <w:pStyle w:val="null3"/>
      </w:pPr>
      <w:r>
        <w:rPr/>
        <w:t>采购包2：</w:t>
      </w:r>
      <w:r>
        <w:rPr/>
        <w:t xml:space="preserve"> 付款条件说明： </w:t>
      </w:r>
      <w:r>
        <w:rPr/>
        <w:t>（适用于非授予中小企业政府采购合同）设备正式实施运行3年，无重大故障，终验收合格后</w:t>
      </w:r>
      <w:r>
        <w:rPr/>
        <w:t xml:space="preserve"> ，达到付款条件起 </w:t>
      </w:r>
      <w:r>
        <w:rPr/>
        <w:t>60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现行的国家标准或国家行政部门颁布的法律法规、规章制度等，是项目验收的另一个重要依据。没有国家标准的，可以参考行业标准。主要按采购文件和响应的投标文件验收。 除合同另有规定外，供应商提供的全部货物，均应按标准保护措施进行包装，并确保货物安全无损运抵买方指定地点。 每一个包装箱内应附一份详细装箱单和质量合格证。</w:t>
      </w:r>
    </w:p>
    <w:p>
      <w:pPr>
        <w:pStyle w:val="null3"/>
      </w:pPr>
      <w:r>
        <w:rPr/>
        <w:t>采购包2：</w:t>
      </w:r>
    </w:p>
    <w:p>
      <w:pPr>
        <w:pStyle w:val="null3"/>
      </w:pPr>
      <w:r>
        <w:rPr/>
        <w:t>1、到货验收：货物到货后，由双方共同进行外观验收，验收内容包括，外包装的完好性，货物品牌、规格、数量及产地与合同要求的一致性。 2、货物运行验收：供应商安装调试合格后，提出验收申请，接到验收申请后组织验收（必要时可聘请相应专家或委托相应部门验收），验收合格后，出具使用验收合格证明。 3、最终验收：最终验收结果作为付款依据，填写验收单，提交实施过程中的所有资料，以便买方日后管理和维护。 4、质保期满后：出具质保期运行质量报告，若存在质量问题，应按相应规定协商处理。 5、验收依据： 5-1、合同文本、合同附件、采购文件、投标文件。 5-2、国内相应的标准、规范。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1、设备质量保证期为仪器装机验合格后三年。 2、在保修期内免费对设备进行定期维护和修理。从验收合格交付使用起，任何由制造设计原理而引发机器故障，由中标方负责免费维修或更换。</w:t>
      </w:r>
    </w:p>
    <w:p>
      <w:pPr>
        <w:pStyle w:val="null3"/>
      </w:pPr>
      <w:r>
        <w:rPr/>
        <w:t>采购包2：</w:t>
      </w:r>
    </w:p>
    <w:p>
      <w:pPr>
        <w:pStyle w:val="null3"/>
      </w:pPr>
      <w:r>
        <w:rPr/>
        <w:t>1、货物性能稳定、具有较好的使用效果，质量保证措施完善，符合国家相关标准。 2、货物的质保期为验收合格后3年，终身维护保养，质保期后只收取成本费用，全部软件终生免费升级。</w:t>
      </w:r>
    </w:p>
    <w:p>
      <w:pPr>
        <w:pStyle w:val="null3"/>
        <w:outlineLvl w:val="3"/>
      </w:pPr>
      <w:r>
        <w:rPr>
          <w:sz w:val="24"/>
          <w:b/>
        </w:rPr>
        <w:t>3.4.8违约责任与解决争议的方法</w:t>
      </w:r>
    </w:p>
    <w:p>
      <w:pPr>
        <w:pStyle w:val="null3"/>
      </w:pPr>
      <w:r>
        <w:rPr/>
        <w:t>采购包1：</w:t>
      </w:r>
    </w:p>
    <w:p>
      <w:pPr>
        <w:pStyle w:val="null3"/>
      </w:pPr>
      <w:r>
        <w:rPr/>
        <w:t>1、一般按《中华人民共和国政府采购法》、《中华人民共和国民法典》中的相关条款执行。 2、未按合同要求提供货物或质量不能满足技术要求，乙方必须无条件更换，提高技术，完善质量，否则，甲方会同鉴证方有权终止合同，并对乙方的违约行为报监管机构进行相应的处罚。 3、交货期每超过一天，扣除乙方合同总价款的1%。在卖方违约的情况下，买方报告西安市政府采购管理处后，有权终止合同，并依法向卖方进行索赔。 本合同在履行过程中发生的争议，由甲、乙双方当事人协商解决，协商不成的，甲乙双方均可向甲方所在地有管辖权的人民法院提起诉讼。</w:t>
      </w:r>
    </w:p>
    <w:p>
      <w:pPr>
        <w:pStyle w:val="null3"/>
      </w:pPr>
      <w:r>
        <w:rPr/>
        <w:t>采购包2：</w:t>
      </w:r>
    </w:p>
    <w:p>
      <w:pPr>
        <w:pStyle w:val="null3"/>
      </w:pPr>
      <w:r>
        <w:rPr/>
        <w:t>按《中华人民共和国民法典》中的相关条款执行。 1卖方履约延误 1-1、如卖方事先未征得买方同意并得到买方的谅解而单方面延迟交货，将按违约终止合同。 1-2、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每延误一周的赔偿费按迟交货物交货价或未提供服务的服务费用的百分之零点五（0.5%）计收，直至交货或提供服务为止。误期赔偿费的最高限额为合同价格的百分之五（5%）。一旦达到误期赔偿费的最高限额，买方可终止合同。 2、违约终止合同：未按合同要求提供货物或质量不能满足技术要求，买方会同监督机构有权终止合同，对卖方违约行为进行追究，同时按政府采购法的有关规定进行相应的处罚。</w:t>
      </w:r>
    </w:p>
    <w:p>
      <w:pPr>
        <w:pStyle w:val="null3"/>
        <w:jc w:val="left"/>
        <w:outlineLvl w:val="2"/>
      </w:pPr>
      <w:r>
        <w:rPr>
          <w:sz w:val="28"/>
          <w:b/>
        </w:rPr>
        <w:t>3.5其他要求</w:t>
      </w:r>
    </w:p>
    <w:p>
      <w:pPr>
        <w:pStyle w:val="null3"/>
      </w:pPr>
      <w:r>
        <w:rPr/>
        <w:t>采购包1： 1、售后服务保障 售后服务:保修≥3年，终身维修，十年以上配件供应服务，一小时响应，六小时现场处置。 2、技术资料及培训(中标供应商提供) （1）提供设备安装场地环境标准文件及产品中文使用说明书。 （2）提供设备全部技术资料文件及全部应用软件及光盘备份。 （3）各项参数均为设备重要技术指标配置，虚假应标责任自负。 3、服务要求 3.1质保期内: （1）发生质量(包括软件部问题，接到甲方通知后，应于当日派出专业的维修人员到现场进行检测维修。发生的全部费用由乙方承担，若需送回生产厂，乙方承担往返费用。 （2）每月派技术人员到现场走访，给予检查维护。 （3）排除故障的期限不得超过48小时，否则甲方有权指定第三方维修，维修费用由乙方承担。甲方可在货款和其他应付乙方款项中扣除。或者要求乙方提供备用机。 （4）物品在质保期内,如果出现两次以上因质量问题引起的故障，乙方公司负责更换同类新的物品。 （5）如因乙方物品质量问题,导致甲方损失，乙方应予以赔偿。 3.2、保修期结束前,进行系统测试，全面保养维护，确保正常运行。 3.3、保修期结束后，厂家设终身维护，维修只能按市场最低价收取配件费，人工服务费全免，并提供技术支持。 4、支付约定（适用于授予中小企业政府采购合同，残疾人、福利单位视同小微企业） 采购包1： 付款条件说明：（适用于授予中小企业政府采购合同，残疾人、福利单位视同小微企业）合同签订后，达到付款条件起 60 日内，支付合同总金额的 40.00%预付款。 采购包1： 付款条件说明：（适用于授予中小企业政府采购合同，残疾人、福利单位视同小微企业）所有设备供货到位，安装、调试、培训、使用部门初步验收后，达到付款条件起 60 日内，支付合同总金额的 50.00%。 采购包1： 付款条件说明：（适用于授予中小企业政府采购合同，残疾人、福利单位视同小微企业）设备正式实施运行3年后，无重大故障，终验收合格后，达到付款条件起 60 日内，支付合同总金额的 10.00%。 采购包2： 1、厂家建立完善的售后服务机构，提供厂家出具的完善的售后服务承诺及完整的培训方案。 2、能够及时有效的响应采购方要求，具备本地化服务能力。 3、售后服务机构需要配备厂家专业售后服务团队，售后服务团队人员需有售后人员服务资质、工作证。 4、设备出厂时间要求；所交付的设备，须最新出厂的设备，设备到货日期距生产日期在6个月内（国产产品）/ 12 个月内（进口产品），以铭牌上出厂日期或生产日期为准。 5、支付约定（适用于授予中小企业政府采购合同，残疾人、福利单位视同小微企业） 采购包2： 付款条件说明：（适用于授予中小企业政府采购合同，残疾人、福利单位视同小微企业）合同签订后，达到付款条件起 60 日内，支付合同总金额的 40.00%预付款。 采购包2： 付款条件说明：（适用于授予中小企业政府采购合同，残疾人、福利单位视同小微企业）所有设备供货到位，安装、调试、培训、使用部门初步验收后，达到付款条件起 60 日内，支付合同总金额的 50.00%。 采购包2： 付款条件说明：（适用于授予中小企业政府采购合同，残疾人、福利单位视同小微企业）设备正式实施运行3年后，无重大故障，终验收合格后，达到付款条件起 60 日内，支付合同总金额的 10.00%。</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1.提供合格有效的法人或者其他组织的营业执照等证明文件， 自然人的身份证明; 2.提供缴费所属日期为投标文件递交截止时间前12个月内任一月份（投标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3.提供缴费所属日期为投标文件递交截止时间前12个月内任一月份（投标文件递交截止时间当月不计入）的缴费凭据或社保机关出具的缴费证明/在法规范围内不需提供的应出具书面说明和证明文件；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t>资格证明文件 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1.提供合格有效的法人或者其他组织的营业执照等证明文件， 自然人的身份证明; 2.提供缴费所属日期为投标文件递交截止时间前12个月内任一月份（投标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3.提供缴费所属日期为投标文件递交截止时间前12个月内任一月份（投标文件递交截止时间当月不计入）的缴费凭据或社保机关出具的缴费证明/在法规范围内不需提供的应出具书面说明和证明文件；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t>资格证明文件 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授权委托书/法定代表人身份证明</w:t>
            </w:r>
          </w:p>
        </w:tc>
        <w:tc>
          <w:tcPr>
            <w:tcW w:type="dxa" w:w="3322"/>
          </w:tcPr>
          <w:p>
            <w:pPr>
              <w:pStyle w:val="null3"/>
            </w:pPr>
            <w:r>
              <w:rPr/>
              <w:t>提供法定代表人授权书 (附法定代表人、被授权人身份证复印件) 或提供法定代表人身份证明及身份证复印件（法定代表人直接参加投标)。</w:t>
            </w:r>
          </w:p>
        </w:tc>
        <w:tc>
          <w:tcPr>
            <w:tcW w:type="dxa" w:w="1661"/>
          </w:tcPr>
          <w:p>
            <w:pPr>
              <w:pStyle w:val="null3"/>
            </w:pPr>
            <w:r>
              <w:rPr/>
              <w:t>资格证明文件 投标文件封面</w:t>
            </w:r>
          </w:p>
        </w:tc>
      </w:tr>
      <w:tr>
        <w:tc>
          <w:tcPr>
            <w:tcW w:type="dxa" w:w="831"/>
          </w:tcPr>
          <w:p>
            <w:pPr>
              <w:pStyle w:val="null3"/>
            </w:pPr>
            <w:r>
              <w:rPr/>
              <w:t>2</w:t>
            </w:r>
          </w:p>
        </w:tc>
        <w:tc>
          <w:tcPr>
            <w:tcW w:type="dxa" w:w="2492"/>
          </w:tcPr>
          <w:p>
            <w:pPr>
              <w:pStyle w:val="null3"/>
            </w:pPr>
            <w:r>
              <w:rPr/>
              <w:t>信用要求</w:t>
            </w:r>
          </w:p>
        </w:tc>
        <w:tc>
          <w:tcPr>
            <w:tcW w:type="dxa" w:w="3322"/>
          </w:tcPr>
          <w:p>
            <w:pPr>
              <w:pStyle w:val="null3"/>
            </w:pPr>
            <w:r>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医疗器械经营许可</w:t>
            </w:r>
          </w:p>
        </w:tc>
        <w:tc>
          <w:tcPr>
            <w:tcW w:type="dxa" w:w="3322"/>
          </w:tcPr>
          <w:p>
            <w:pPr>
              <w:pStyle w:val="null3"/>
            </w:pPr>
            <w:r>
              <w:rPr/>
              <w:t>具备所投医疗器械销售资格，提供医疗器械经营备案凭证或证明。</w:t>
            </w:r>
          </w:p>
        </w:tc>
        <w:tc>
          <w:tcPr>
            <w:tcW w:type="dxa" w:w="1661"/>
          </w:tcPr>
          <w:p>
            <w:pPr>
              <w:pStyle w:val="null3"/>
            </w:pPr>
            <w:r>
              <w:rPr/>
              <w:t>资格证明文件 投标文件封面</w:t>
            </w:r>
          </w:p>
        </w:tc>
      </w:tr>
      <w:tr>
        <w:tc>
          <w:tcPr>
            <w:tcW w:type="dxa" w:w="831"/>
          </w:tcPr>
          <w:p>
            <w:pPr>
              <w:pStyle w:val="null3"/>
            </w:pPr>
            <w:r>
              <w:rPr/>
              <w:t>4</w:t>
            </w:r>
          </w:p>
        </w:tc>
        <w:tc>
          <w:tcPr>
            <w:tcW w:type="dxa" w:w="2492"/>
          </w:tcPr>
          <w:p>
            <w:pPr>
              <w:pStyle w:val="null3"/>
            </w:pPr>
            <w:r>
              <w:rPr/>
              <w:t>医疗器械注册证</w:t>
            </w:r>
          </w:p>
        </w:tc>
        <w:tc>
          <w:tcPr>
            <w:tcW w:type="dxa" w:w="3322"/>
          </w:tcPr>
          <w:p>
            <w:pPr>
              <w:pStyle w:val="null3"/>
            </w:pPr>
            <w:r>
              <w:rPr/>
              <w:t>提供投标产品有效的“中华人民共和国医疗器械注册证”。</w:t>
            </w:r>
          </w:p>
        </w:tc>
        <w:tc>
          <w:tcPr>
            <w:tcW w:type="dxa" w:w="1661"/>
          </w:tcPr>
          <w:p>
            <w:pPr>
              <w:pStyle w:val="null3"/>
            </w:pPr>
            <w:r>
              <w:rPr/>
              <w:t>资格证明文件 投标文件封面</w:t>
            </w:r>
          </w:p>
        </w:tc>
      </w:tr>
      <w:tr>
        <w:tc>
          <w:tcPr>
            <w:tcW w:type="dxa" w:w="831"/>
          </w:tcPr>
          <w:p>
            <w:pPr>
              <w:pStyle w:val="null3"/>
            </w:pPr>
            <w:r>
              <w:rPr/>
              <w:t>5</w:t>
            </w:r>
          </w:p>
        </w:tc>
        <w:tc>
          <w:tcPr>
            <w:tcW w:type="dxa" w:w="2492"/>
          </w:tcPr>
          <w:p>
            <w:pPr>
              <w:pStyle w:val="null3"/>
            </w:pPr>
            <w:r>
              <w:rPr/>
              <w:t>医疗器械生产许可证</w:t>
            </w:r>
          </w:p>
        </w:tc>
        <w:tc>
          <w:tcPr>
            <w:tcW w:type="dxa" w:w="3322"/>
          </w:tcPr>
          <w:p>
            <w:pPr>
              <w:pStyle w:val="null3"/>
            </w:pPr>
            <w:r>
              <w:rPr/>
              <w:t>提供投标产品生产厂家与投标产品相符的医疗器械生产许可证。</w:t>
            </w:r>
          </w:p>
        </w:tc>
        <w:tc>
          <w:tcPr>
            <w:tcW w:type="dxa" w:w="1661"/>
          </w:tcPr>
          <w:p>
            <w:pPr>
              <w:pStyle w:val="null3"/>
            </w:pPr>
            <w:r>
              <w:rPr/>
              <w:t>资格证明文件 投标文件封面</w:t>
            </w:r>
          </w:p>
        </w:tc>
      </w:tr>
      <w:tr>
        <w:tc>
          <w:tcPr>
            <w:tcW w:type="dxa" w:w="831"/>
          </w:tcPr>
          <w:p>
            <w:pPr>
              <w:pStyle w:val="null3"/>
            </w:pPr>
            <w:r>
              <w:rPr/>
              <w:t>6</w:t>
            </w:r>
          </w:p>
        </w:tc>
        <w:tc>
          <w:tcPr>
            <w:tcW w:type="dxa" w:w="2492"/>
          </w:tcPr>
          <w:p>
            <w:pPr>
              <w:pStyle w:val="null3"/>
            </w:pPr>
            <w:r>
              <w:rPr/>
              <w:t>其他要求</w:t>
            </w:r>
          </w:p>
        </w:tc>
        <w:tc>
          <w:tcPr>
            <w:tcW w:type="dxa" w:w="3322"/>
          </w:tcPr>
          <w:p>
            <w:pPr>
              <w:pStyle w:val="null3"/>
            </w:pPr>
            <w:r>
              <w:rPr/>
              <w:t>本项目不接受由西安市精神卫生中心职工及其亲属投资举办的企业参加投标（提供承诺函）；</w:t>
            </w:r>
          </w:p>
        </w:tc>
        <w:tc>
          <w:tcPr>
            <w:tcW w:type="dxa" w:w="1661"/>
          </w:tcPr>
          <w:p>
            <w:pPr>
              <w:pStyle w:val="null3"/>
            </w:pPr>
            <w:r>
              <w:rPr/>
              <w:t>资格证明文件 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授权委托书/法定代表人身份证明</w:t>
            </w:r>
          </w:p>
        </w:tc>
        <w:tc>
          <w:tcPr>
            <w:tcW w:type="dxa" w:w="3322"/>
          </w:tcPr>
          <w:p>
            <w:pPr>
              <w:pStyle w:val="null3"/>
            </w:pPr>
            <w:r>
              <w:rPr/>
              <w:t>提供法定代表人授权书 (附法定代表人、被授权人身份证复印件) 或提供法定代表人身份证明及身份证复印件（法定代表人直接参加投标)。</w:t>
            </w:r>
          </w:p>
        </w:tc>
        <w:tc>
          <w:tcPr>
            <w:tcW w:type="dxa" w:w="1661"/>
          </w:tcPr>
          <w:p>
            <w:pPr>
              <w:pStyle w:val="null3"/>
            </w:pPr>
            <w:r>
              <w:rPr/>
              <w:t>资格证明文件 投标文件封面</w:t>
            </w:r>
          </w:p>
        </w:tc>
      </w:tr>
      <w:tr>
        <w:tc>
          <w:tcPr>
            <w:tcW w:type="dxa" w:w="831"/>
          </w:tcPr>
          <w:p>
            <w:pPr>
              <w:pStyle w:val="null3"/>
            </w:pPr>
            <w:r>
              <w:rPr/>
              <w:t>2</w:t>
            </w:r>
          </w:p>
        </w:tc>
        <w:tc>
          <w:tcPr>
            <w:tcW w:type="dxa" w:w="2492"/>
          </w:tcPr>
          <w:p>
            <w:pPr>
              <w:pStyle w:val="null3"/>
            </w:pPr>
            <w:r>
              <w:rPr/>
              <w:t>信用要求</w:t>
            </w:r>
          </w:p>
        </w:tc>
        <w:tc>
          <w:tcPr>
            <w:tcW w:type="dxa" w:w="3322"/>
          </w:tcPr>
          <w:p>
            <w:pPr>
              <w:pStyle w:val="null3"/>
            </w:pPr>
            <w:r>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医疗器械经营许可</w:t>
            </w:r>
          </w:p>
        </w:tc>
        <w:tc>
          <w:tcPr>
            <w:tcW w:type="dxa" w:w="3322"/>
          </w:tcPr>
          <w:p>
            <w:pPr>
              <w:pStyle w:val="null3"/>
            </w:pPr>
            <w:r>
              <w:rPr/>
              <w:t>具备所投医疗器械销售资格，提供医疗器械经营备案凭证或证明。</w:t>
            </w:r>
          </w:p>
        </w:tc>
        <w:tc>
          <w:tcPr>
            <w:tcW w:type="dxa" w:w="1661"/>
          </w:tcPr>
          <w:p>
            <w:pPr>
              <w:pStyle w:val="null3"/>
            </w:pPr>
            <w:r>
              <w:rPr/>
              <w:t>资格证明文件 投标文件封面</w:t>
            </w:r>
          </w:p>
        </w:tc>
      </w:tr>
      <w:tr>
        <w:tc>
          <w:tcPr>
            <w:tcW w:type="dxa" w:w="831"/>
          </w:tcPr>
          <w:p>
            <w:pPr>
              <w:pStyle w:val="null3"/>
            </w:pPr>
            <w:r>
              <w:rPr/>
              <w:t>4</w:t>
            </w:r>
          </w:p>
        </w:tc>
        <w:tc>
          <w:tcPr>
            <w:tcW w:type="dxa" w:w="2492"/>
          </w:tcPr>
          <w:p>
            <w:pPr>
              <w:pStyle w:val="null3"/>
            </w:pPr>
            <w:r>
              <w:rPr/>
              <w:t>医疗器械注册证</w:t>
            </w:r>
          </w:p>
        </w:tc>
        <w:tc>
          <w:tcPr>
            <w:tcW w:type="dxa" w:w="3322"/>
          </w:tcPr>
          <w:p>
            <w:pPr>
              <w:pStyle w:val="null3"/>
            </w:pPr>
            <w:r>
              <w:rPr/>
              <w:t>提供投标产品有效的“中华人民共和国医疗器械注册证”。</w:t>
            </w:r>
          </w:p>
        </w:tc>
        <w:tc>
          <w:tcPr>
            <w:tcW w:type="dxa" w:w="1661"/>
          </w:tcPr>
          <w:p>
            <w:pPr>
              <w:pStyle w:val="null3"/>
            </w:pPr>
            <w:r>
              <w:rPr/>
              <w:t>资格证明文件 投标文件封面</w:t>
            </w:r>
          </w:p>
        </w:tc>
      </w:tr>
      <w:tr>
        <w:tc>
          <w:tcPr>
            <w:tcW w:type="dxa" w:w="831"/>
          </w:tcPr>
          <w:p>
            <w:pPr>
              <w:pStyle w:val="null3"/>
            </w:pPr>
            <w:r>
              <w:rPr/>
              <w:t>5</w:t>
            </w:r>
          </w:p>
        </w:tc>
        <w:tc>
          <w:tcPr>
            <w:tcW w:type="dxa" w:w="2492"/>
          </w:tcPr>
          <w:p>
            <w:pPr>
              <w:pStyle w:val="null3"/>
            </w:pPr>
            <w:r>
              <w:rPr/>
              <w:t>医疗器械生产许可证</w:t>
            </w:r>
          </w:p>
        </w:tc>
        <w:tc>
          <w:tcPr>
            <w:tcW w:type="dxa" w:w="3322"/>
          </w:tcPr>
          <w:p>
            <w:pPr>
              <w:pStyle w:val="null3"/>
            </w:pPr>
            <w:r>
              <w:rPr/>
              <w:t>提供投标产品生产厂家与投标产品相符的医疗器械生产许可证。</w:t>
            </w:r>
          </w:p>
        </w:tc>
        <w:tc>
          <w:tcPr>
            <w:tcW w:type="dxa" w:w="1661"/>
          </w:tcPr>
          <w:p>
            <w:pPr>
              <w:pStyle w:val="null3"/>
            </w:pPr>
            <w:r>
              <w:rPr/>
              <w:t>资格证明文件 投标文件封面</w:t>
            </w:r>
          </w:p>
        </w:tc>
      </w:tr>
      <w:tr>
        <w:tc>
          <w:tcPr>
            <w:tcW w:type="dxa" w:w="831"/>
          </w:tcPr>
          <w:p>
            <w:pPr>
              <w:pStyle w:val="null3"/>
            </w:pPr>
            <w:r>
              <w:rPr/>
              <w:t>6</w:t>
            </w:r>
          </w:p>
        </w:tc>
        <w:tc>
          <w:tcPr>
            <w:tcW w:type="dxa" w:w="2492"/>
          </w:tcPr>
          <w:p>
            <w:pPr>
              <w:pStyle w:val="null3"/>
            </w:pPr>
            <w:r>
              <w:rPr/>
              <w:t>其他要求</w:t>
            </w:r>
          </w:p>
        </w:tc>
        <w:tc>
          <w:tcPr>
            <w:tcW w:type="dxa" w:w="3322"/>
          </w:tcPr>
          <w:p>
            <w:pPr>
              <w:pStyle w:val="null3"/>
            </w:pPr>
            <w:r>
              <w:rPr/>
              <w:t>本项目不接受由西安市精神卫生中心职工及其亲属投资举办的企业参加投标（提供承诺函）；</w:t>
            </w:r>
          </w:p>
        </w:tc>
        <w:tc>
          <w:tcPr>
            <w:tcW w:type="dxa" w:w="1661"/>
          </w:tcPr>
          <w:p>
            <w:pPr>
              <w:pStyle w:val="null3"/>
            </w:pPr>
            <w:r>
              <w:rPr/>
              <w:t>资格证明文件 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1.满足招标文件要求得30分； 2.标注▲的技术指标任何一项低于招标要求或不具备，扣3分；一般技术指标，任何一项低于招标要求或不具备，扣1.5分；30分扣完为止。</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其他声明文件</w:t>
            </w:r>
          </w:p>
          <w:p>
            <w:pPr>
              <w:pStyle w:val="null3"/>
            </w:pPr>
            <w:r>
              <w:rPr/>
              <w:t>技术和商务响应内容</w:t>
            </w:r>
          </w:p>
        </w:tc>
      </w:tr>
      <w:tr>
        <w:tc>
          <w:tcPr>
            <w:tcW w:type="dxa" w:w="831"/>
            <w:vMerge/>
          </w:tcPr>
          <w:p/>
        </w:tc>
        <w:tc>
          <w:tcPr>
            <w:tcW w:type="dxa" w:w="1661"/>
          </w:tcPr>
          <w:p>
            <w:pPr>
              <w:pStyle w:val="null3"/>
            </w:pPr>
            <w:r>
              <w:rPr/>
              <w:t>产品配置</w:t>
            </w:r>
          </w:p>
        </w:tc>
        <w:tc>
          <w:tcPr>
            <w:tcW w:type="dxa" w:w="2492"/>
          </w:tcPr>
          <w:p>
            <w:pPr>
              <w:pStyle w:val="null3"/>
            </w:pPr>
            <w:r>
              <w:rPr/>
              <w:t>1.投标设备主机及配套产品的性能优良，配置高端，可操作性强、技术先进，完全能够满足使用要求且有技术优于要求，得7分； 2.投标设备主机及配套产品的性能优良，配置高端，可操作性强、技术先进，满足使用要求，无任何技术参数负偏离，得5分； 3.投标设备主机及配套产品备的性能基本满足招标要求，配置完整，无缺项，人员操作、技术可靠行不足，得3分； 4.投标设备主机及配套产品备的性能基本满足招标要求，有功能的缺失或不满足，得2分； 5.投标设备主机及配套产品的性能一般，配置不够齐全，有缺项或有影响使用的重要功能缺失，得1分。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投标函</w:t>
            </w:r>
          </w:p>
          <w:p>
            <w:pPr>
              <w:pStyle w:val="null3"/>
            </w:pPr>
            <w:r>
              <w:rPr/>
              <w:t>开标一览表</w:t>
            </w:r>
          </w:p>
          <w:p>
            <w:pPr>
              <w:pStyle w:val="null3"/>
            </w:pPr>
            <w:r>
              <w:rPr/>
              <w:t>标的清单</w:t>
            </w:r>
          </w:p>
          <w:p>
            <w:pPr>
              <w:pStyle w:val="null3"/>
            </w:pPr>
            <w:r>
              <w:rPr/>
              <w:t>技术和商务响应内容</w:t>
            </w:r>
          </w:p>
        </w:tc>
      </w:tr>
      <w:tr>
        <w:tc>
          <w:tcPr>
            <w:tcW w:type="dxa" w:w="831"/>
            <w:vMerge/>
          </w:tcPr>
          <w:p/>
        </w:tc>
        <w:tc>
          <w:tcPr>
            <w:tcW w:type="dxa" w:w="1661"/>
          </w:tcPr>
          <w:p>
            <w:pPr>
              <w:pStyle w:val="null3"/>
            </w:pPr>
            <w:r>
              <w:rPr/>
              <w:t>安装调试方案</w:t>
            </w:r>
          </w:p>
        </w:tc>
        <w:tc>
          <w:tcPr>
            <w:tcW w:type="dxa" w:w="2492"/>
          </w:tcPr>
          <w:p>
            <w:pPr>
              <w:pStyle w:val="null3"/>
            </w:pPr>
            <w:r>
              <w:rPr/>
              <w:t>根据安装调试方案进行评审： 1.安装调试方案详细全面，人员、工具、进度安排合理，安装调试计划可行，完全能够保证设备正常投入使用，得4分； 2.安装调试方案较为全面，有可实施的安装调试计划，人员、工具、进度安排较为合理，基本能保证设备的正常安装调试，得3分； 3.有安装调试方案，在安装调试计划、人员、工具、进度安排上有缺陷或不够详细，预期安装调试进展困难，得2分； 3.安装调试方案较为简单，人员、工具、进度安排不够合理，计划周期难以保证，得1分。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投标函</w:t>
            </w:r>
          </w:p>
          <w:p>
            <w:pPr>
              <w:pStyle w:val="null3"/>
            </w:pPr>
            <w:r>
              <w:rPr/>
              <w:t>开标一览表</w:t>
            </w:r>
          </w:p>
          <w:p>
            <w:pPr>
              <w:pStyle w:val="null3"/>
            </w:pPr>
            <w:r>
              <w:rPr/>
              <w:t>标的清单</w:t>
            </w:r>
          </w:p>
          <w:p>
            <w:pPr>
              <w:pStyle w:val="null3"/>
            </w:pPr>
            <w:r>
              <w:rPr/>
              <w:t>技术和商务响应内容</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售后服务能力</w:t>
            </w:r>
          </w:p>
        </w:tc>
        <w:tc>
          <w:tcPr>
            <w:tcW w:type="dxa" w:w="2492"/>
          </w:tcPr>
          <w:p>
            <w:pPr>
              <w:pStyle w:val="null3"/>
            </w:pPr>
            <w:r>
              <w:rPr/>
              <w:t>1、评审内容：售后服务便利性、售后服务专业人员配备、备品备件、售后服务计划、售后服务承诺； 2、评审标准： ①售后服务点设置便利能够保证响应的及时性得2分；售后服务点设置较难保证响应的及时性得1分；无售后服务点得0分。 ②售后服务专业人员配备齐全，专业能力强得1分；售后服务专业人员配备和专业能力不足得0.5分；无售后服务专业人员配备得0分。 ③有备品备件库，备品备件充足可以有效保证售后服务供应得1分；有备品备件库，备品备件不够充足较难保证售后服务供应得0.5分；无备品备件库得0分。 ④售后服务计划全面详细，能够有效保证售后服务实施得1分；售后服务计划较为全面，但不够详细得0.5分；无售后服务计划得0分。 ⑤售后服务承诺详细全面满足要求得1分；售后服务承诺较为简单，不够详细得0.5分；无售后服务承诺得0分。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投标函</w:t>
            </w:r>
          </w:p>
          <w:p>
            <w:pPr>
              <w:pStyle w:val="null3"/>
            </w:pPr>
            <w:r>
              <w:rPr/>
              <w:t>开标一览表</w:t>
            </w:r>
          </w:p>
          <w:p>
            <w:pPr>
              <w:pStyle w:val="null3"/>
            </w:pPr>
            <w:r>
              <w:rPr/>
              <w:t>标的清单</w:t>
            </w:r>
          </w:p>
          <w:p>
            <w:pPr>
              <w:pStyle w:val="null3"/>
            </w:pPr>
            <w:r>
              <w:rPr/>
              <w:t>技术和商务响应内容</w:t>
            </w:r>
          </w:p>
        </w:tc>
      </w:tr>
      <w:tr>
        <w:tc>
          <w:tcPr>
            <w:tcW w:type="dxa" w:w="831"/>
            <w:vMerge/>
          </w:tcPr>
          <w:p/>
        </w:tc>
        <w:tc>
          <w:tcPr>
            <w:tcW w:type="dxa" w:w="1661"/>
          </w:tcPr>
          <w:p>
            <w:pPr>
              <w:pStyle w:val="null3"/>
            </w:pPr>
            <w:r>
              <w:rPr/>
              <w:t>培训方案</w:t>
            </w:r>
          </w:p>
        </w:tc>
        <w:tc>
          <w:tcPr>
            <w:tcW w:type="dxa" w:w="2492"/>
          </w:tcPr>
          <w:p>
            <w:pPr>
              <w:pStyle w:val="null3"/>
            </w:pPr>
            <w:r>
              <w:rPr/>
              <w:t>1.评审内容：培训目标、培训方式、培训内容、培训时间、培训评估。 2.评分标准：每一项评审内容满足描述详细、科学合理可行得1分，每一项评审内容存在缺陷（描述不够详细或不够科学合理）扣0.5分。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投标函</w:t>
            </w:r>
          </w:p>
          <w:p>
            <w:pPr>
              <w:pStyle w:val="null3"/>
            </w:pPr>
            <w:r>
              <w:rPr/>
              <w:t>开标一览表</w:t>
            </w:r>
          </w:p>
          <w:p>
            <w:pPr>
              <w:pStyle w:val="null3"/>
            </w:pPr>
            <w:r>
              <w:rPr/>
              <w:t>标的清单</w:t>
            </w:r>
          </w:p>
          <w:p>
            <w:pPr>
              <w:pStyle w:val="null3"/>
            </w:pPr>
            <w:r>
              <w:rPr/>
              <w:t>技术和商务响应内容</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商务条款</w:t>
            </w:r>
          </w:p>
        </w:tc>
        <w:tc>
          <w:tcPr>
            <w:tcW w:type="dxa" w:w="2492"/>
          </w:tcPr>
          <w:p>
            <w:pPr>
              <w:pStyle w:val="null3"/>
            </w:pPr>
            <w:r>
              <w:rPr/>
              <w:t>交货期、付款方式、质保期、免费维修或更换缺陷的货物或部件期限全部满足招标文件要求的得3分，否则得0分。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投标函</w:t>
            </w:r>
          </w:p>
          <w:p>
            <w:pPr>
              <w:pStyle w:val="null3"/>
            </w:pPr>
            <w:r>
              <w:rPr/>
              <w:t>开标一览表</w:t>
            </w:r>
          </w:p>
          <w:p>
            <w:pPr>
              <w:pStyle w:val="null3"/>
            </w:pPr>
            <w:r>
              <w:rPr/>
              <w:t>标的清单</w:t>
            </w:r>
          </w:p>
          <w:p>
            <w:pPr>
              <w:pStyle w:val="null3"/>
            </w:pPr>
            <w:r>
              <w:rPr/>
              <w:t>技术和商务响应内容</w:t>
            </w:r>
          </w:p>
        </w:tc>
      </w:tr>
      <w:tr>
        <w:tc>
          <w:tcPr>
            <w:tcW w:type="dxa" w:w="831"/>
            <w:vMerge/>
          </w:tcPr>
          <w:p/>
        </w:tc>
        <w:tc>
          <w:tcPr>
            <w:tcW w:type="dxa" w:w="1661"/>
          </w:tcPr>
          <w:p>
            <w:pPr>
              <w:pStyle w:val="null3"/>
            </w:pPr>
            <w:r>
              <w:rPr/>
              <w:t>业绩</w:t>
            </w:r>
          </w:p>
        </w:tc>
        <w:tc>
          <w:tcPr>
            <w:tcW w:type="dxa" w:w="2492"/>
          </w:tcPr>
          <w:p>
            <w:pPr>
              <w:pStyle w:val="null3"/>
            </w:pPr>
            <w:r>
              <w:rPr/>
              <w:t>提供2021年01月至今所投产品的销售业绩（业绩合同复印件），每提供一份有效业绩合同，得1分，最多10分。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投标函</w:t>
            </w:r>
          </w:p>
          <w:p>
            <w:pPr>
              <w:pStyle w:val="null3"/>
            </w:pPr>
            <w:r>
              <w:rPr/>
              <w:t>开标一览表</w:t>
            </w:r>
          </w:p>
          <w:p>
            <w:pPr>
              <w:pStyle w:val="null3"/>
            </w:pPr>
            <w:r>
              <w:rPr/>
              <w:t>标的清单</w:t>
            </w:r>
          </w:p>
          <w:p>
            <w:pPr>
              <w:pStyle w:val="null3"/>
            </w:pPr>
            <w:r>
              <w:rPr/>
              <w:t>技术和商务响应内容</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技术支持资料</w:t>
            </w:r>
          </w:p>
        </w:tc>
        <w:tc>
          <w:tcPr>
            <w:tcW w:type="dxa" w:w="2492"/>
          </w:tcPr>
          <w:p>
            <w:pPr>
              <w:pStyle w:val="null3"/>
            </w:pPr>
            <w:r>
              <w:rPr/>
              <w:t>提供投标产品公开发行的完整彩色样本、完整的技术白皮书或技术说明书、检测机构出具的完整检测报告，每提供一项得1分，最多得3分。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投标函</w:t>
            </w:r>
          </w:p>
          <w:p>
            <w:pPr>
              <w:pStyle w:val="null3"/>
            </w:pPr>
            <w:r>
              <w:rPr/>
              <w:t>开标一览表</w:t>
            </w:r>
          </w:p>
          <w:p>
            <w:pPr>
              <w:pStyle w:val="null3"/>
            </w:pPr>
            <w:r>
              <w:rPr/>
              <w:t>标的清单</w:t>
            </w:r>
          </w:p>
          <w:p>
            <w:pPr>
              <w:pStyle w:val="null3"/>
            </w:pPr>
            <w:r>
              <w:rPr/>
              <w:t>技术和商务响应内容</w:t>
            </w:r>
          </w:p>
        </w:tc>
      </w:tr>
      <w:tr>
        <w:tc>
          <w:tcPr>
            <w:tcW w:type="dxa" w:w="831"/>
            <w:vMerge/>
          </w:tcPr>
          <w:p/>
        </w:tc>
        <w:tc>
          <w:tcPr>
            <w:tcW w:type="dxa" w:w="1661"/>
          </w:tcPr>
          <w:p>
            <w:pPr>
              <w:pStyle w:val="null3"/>
            </w:pPr>
            <w:r>
              <w:rPr/>
              <w:t>节能环保</w:t>
            </w:r>
          </w:p>
        </w:tc>
        <w:tc>
          <w:tcPr>
            <w:tcW w:type="dxa" w:w="2492"/>
          </w:tcPr>
          <w:p>
            <w:pPr>
              <w:pStyle w:val="null3"/>
            </w:pPr>
            <w:r>
              <w:rPr/>
              <w:t>① A020101 计算机设备（环境标志产品），1分； ② A020106 输入输出设备（环境标志产品）1分； 赋分依据：经国家确定的认证机构出具的、处于有效期之内的节能环保产品认证证书扫描件或中国政府采购网（www.ccgp.gov.cn）节能环保截图（中国政府采购网首页»节能环保»节能产品查询；中国政府采购网首页»节能环保»环境标志产品查询），并盖章。</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技术和商务响应内容</w:t>
            </w:r>
          </w:p>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1.满足招标文件要求得25分； 2.标注▲的技术指标任何一项低于招标要求或不具备，扣2.5分；一般技术指标，任何一项低于招标要求或不具备，扣1.5分；25分扣完为止。</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其他声明文件</w:t>
            </w:r>
          </w:p>
          <w:p>
            <w:pPr>
              <w:pStyle w:val="null3"/>
            </w:pPr>
            <w:r>
              <w:rPr/>
              <w:t>技术和商务响应内容</w:t>
            </w:r>
          </w:p>
        </w:tc>
      </w:tr>
      <w:tr>
        <w:tc>
          <w:tcPr>
            <w:tcW w:type="dxa" w:w="831"/>
            <w:vMerge/>
          </w:tcPr>
          <w:p/>
        </w:tc>
        <w:tc>
          <w:tcPr>
            <w:tcW w:type="dxa" w:w="1661"/>
          </w:tcPr>
          <w:p>
            <w:pPr>
              <w:pStyle w:val="null3"/>
            </w:pPr>
            <w:r>
              <w:rPr/>
              <w:t>产品配置</w:t>
            </w:r>
          </w:p>
        </w:tc>
        <w:tc>
          <w:tcPr>
            <w:tcW w:type="dxa" w:w="2492"/>
          </w:tcPr>
          <w:p>
            <w:pPr>
              <w:pStyle w:val="null3"/>
            </w:pPr>
            <w:r>
              <w:rPr/>
              <w:t>1.投标设备主机及配套产品的性能优良，配置高端，可操作性强、技术先进，完全能够满足使用要求且有技术优于要求，得7分； 2.投标设备主机及配套产品的性能优良，配置高端，可操作性强、技术先进，满足使用要求，无任何技术参数负偏离，得5分； 3.投标设备主机及配套产品备的性能基本满足招标要求，配置完整，无缺项，人员操作、技术可靠行不足，得3分； 4.投标设备主机及配套产品备的性能基本满足招标要求，有功能的缺失或不满足，得2分； 5.投标设备主机及配套产品的性能一般，配置不够齐全，有缺项或有影响使用的重要功能缺失，得1分。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投标函</w:t>
            </w:r>
          </w:p>
          <w:p>
            <w:pPr>
              <w:pStyle w:val="null3"/>
            </w:pPr>
            <w:r>
              <w:rPr/>
              <w:t>开标一览表</w:t>
            </w:r>
          </w:p>
          <w:p>
            <w:pPr>
              <w:pStyle w:val="null3"/>
            </w:pPr>
            <w:r>
              <w:rPr/>
              <w:t>标的清单</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安装调试方案</w:t>
            </w:r>
          </w:p>
        </w:tc>
        <w:tc>
          <w:tcPr>
            <w:tcW w:type="dxa" w:w="2492"/>
          </w:tcPr>
          <w:p>
            <w:pPr>
              <w:pStyle w:val="null3"/>
            </w:pPr>
            <w:r>
              <w:rPr/>
              <w:t>根据安装调试方案进行评审： 1.安装调试方案详细全面，人员、工具、进度安排合理，安装调试计划可行，完全能够保证设备正常投入使用，得4分； 2.安装调试方案较为全面，有可实施的安装调试计划，人员、工具、进度安排较为合理，基本能保证设备的正常安装调试，得3分； 3.有安装调试方案，在安装调试计划、人员、工具、进度安排上有缺陷或不够详细，预期安装调试进展困难，得2分； 3.安装调试方案较为简单，人员、工具、进度安排不够合理，计划周期难以保证，得1分。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投标函</w:t>
            </w:r>
          </w:p>
          <w:p>
            <w:pPr>
              <w:pStyle w:val="null3"/>
            </w:pPr>
            <w:r>
              <w:rPr/>
              <w:t>开标一览表</w:t>
            </w:r>
          </w:p>
          <w:p>
            <w:pPr>
              <w:pStyle w:val="null3"/>
            </w:pPr>
            <w:r>
              <w:rPr/>
              <w:t>标的清单</w:t>
            </w:r>
          </w:p>
          <w:p>
            <w:pPr>
              <w:pStyle w:val="null3"/>
            </w:pPr>
            <w:r>
              <w:rPr/>
              <w:t>技术和商务响应内容</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售后服务能力</w:t>
            </w:r>
          </w:p>
        </w:tc>
        <w:tc>
          <w:tcPr>
            <w:tcW w:type="dxa" w:w="2492"/>
          </w:tcPr>
          <w:p>
            <w:pPr>
              <w:pStyle w:val="null3"/>
            </w:pPr>
            <w:r>
              <w:rPr/>
              <w:t>1、评审内容：售后服务便利性、售后服务专业人员配备、备品备件、售后服务计划、售后服务承诺； 2、评审标准： ①售后服务点设置便利能够保证响应的及时性得2分；售后服务点设置较难保证响应的及时性得1分；无售后服务点得0分。 ②售后服务专业人员配备齐全，专业能力强得1分；售后服务专业人员配备和专业能力不足得0.5分；无售后服务专业人员配备得0分。 ③有备品备件库，备品备件充足可以有效保证售后服务供应得1分；有备品备件库，备品备件不够充足较难保证售后服务供应得0.5分；无备品备件库得0分。 ④售后服务计划全面详细，能够有效保证售后服务实施得1分；售后服务计划较为全面，但不够详细得0.5分；无售后服务计划得0分。 ⑤售后服务承诺详细全面满足要求得1分；售后服务承诺较为简单，不够详细得0.5分；无售后服务承诺得0分。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投标函</w:t>
            </w:r>
          </w:p>
          <w:p>
            <w:pPr>
              <w:pStyle w:val="null3"/>
            </w:pPr>
            <w:r>
              <w:rPr/>
              <w:t>开标一览表</w:t>
            </w:r>
          </w:p>
          <w:p>
            <w:pPr>
              <w:pStyle w:val="null3"/>
            </w:pPr>
            <w:r>
              <w:rPr/>
              <w:t>标的清单</w:t>
            </w:r>
          </w:p>
          <w:p>
            <w:pPr>
              <w:pStyle w:val="null3"/>
            </w:pPr>
            <w:r>
              <w:rPr/>
              <w:t>技术和商务响应内容</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1.评审内容：培训目标、培训方式、培训内容、培训时间、培训评估。 2.评分标准：每一项评审内容满足描述详细、科学合理可行得1分，每一项评审内容存在缺陷（描述不够详细或不够科学合理）扣0.5分。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投标函</w:t>
            </w:r>
          </w:p>
          <w:p>
            <w:pPr>
              <w:pStyle w:val="null3"/>
            </w:pPr>
            <w:r>
              <w:rPr/>
              <w:t>开标一览表</w:t>
            </w:r>
          </w:p>
          <w:p>
            <w:pPr>
              <w:pStyle w:val="null3"/>
            </w:pPr>
            <w:r>
              <w:rPr/>
              <w:t>标的清单</w:t>
            </w:r>
          </w:p>
          <w:p>
            <w:pPr>
              <w:pStyle w:val="null3"/>
            </w:pPr>
            <w:r>
              <w:rPr/>
              <w:t>技术和商务响应内容</w:t>
            </w:r>
          </w:p>
        </w:tc>
      </w:tr>
      <w:tr>
        <w:tc>
          <w:tcPr>
            <w:tcW w:type="dxa" w:w="831"/>
            <w:vMerge/>
          </w:tcPr>
          <w:p/>
        </w:tc>
        <w:tc>
          <w:tcPr>
            <w:tcW w:type="dxa" w:w="1661"/>
          </w:tcPr>
          <w:p>
            <w:pPr>
              <w:pStyle w:val="null3"/>
            </w:pPr>
            <w:r>
              <w:rPr/>
              <w:t>商务条款</w:t>
            </w:r>
          </w:p>
        </w:tc>
        <w:tc>
          <w:tcPr>
            <w:tcW w:type="dxa" w:w="2492"/>
          </w:tcPr>
          <w:p>
            <w:pPr>
              <w:pStyle w:val="null3"/>
            </w:pPr>
            <w:r>
              <w:rPr/>
              <w:t>交货期、付款方式、质保期、免费维修或更换缺陷的货物或部件期限全部满足招标文件要求的得3分，否则得0分。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开标一览表</w:t>
            </w:r>
          </w:p>
          <w:p>
            <w:pPr>
              <w:pStyle w:val="null3"/>
            </w:pPr>
            <w:r>
              <w:rPr/>
              <w:t>标的清单</w:t>
            </w:r>
          </w:p>
          <w:p>
            <w:pPr>
              <w:pStyle w:val="null3"/>
            </w:pPr>
            <w:r>
              <w:rPr/>
              <w:t>技术和商务响应内容</w:t>
            </w:r>
          </w:p>
        </w:tc>
      </w:tr>
      <w:tr>
        <w:tc>
          <w:tcPr>
            <w:tcW w:type="dxa" w:w="831"/>
            <w:vMerge/>
          </w:tcPr>
          <w:p/>
        </w:tc>
        <w:tc>
          <w:tcPr>
            <w:tcW w:type="dxa" w:w="1661"/>
          </w:tcPr>
          <w:p>
            <w:pPr>
              <w:pStyle w:val="null3"/>
            </w:pPr>
            <w:r>
              <w:rPr/>
              <w:t>业绩</w:t>
            </w:r>
          </w:p>
        </w:tc>
        <w:tc>
          <w:tcPr>
            <w:tcW w:type="dxa" w:w="2492"/>
          </w:tcPr>
          <w:p>
            <w:pPr>
              <w:pStyle w:val="null3"/>
            </w:pPr>
            <w:r>
              <w:rPr/>
              <w:t>提供2021年01月至今所投产品的销售业绩（业绩合同复印件），每提供一份有效业绩合同，得1分，最多5分。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投标函</w:t>
            </w:r>
          </w:p>
          <w:p>
            <w:pPr>
              <w:pStyle w:val="null3"/>
            </w:pPr>
            <w:r>
              <w:rPr/>
              <w:t>开标一览表</w:t>
            </w:r>
          </w:p>
          <w:p>
            <w:pPr>
              <w:pStyle w:val="null3"/>
            </w:pPr>
            <w:r>
              <w:rPr/>
              <w:t>标的清单</w:t>
            </w:r>
          </w:p>
          <w:p>
            <w:pPr>
              <w:pStyle w:val="null3"/>
            </w:pPr>
            <w:r>
              <w:rPr/>
              <w:t>技术和商务响应内容</w:t>
            </w:r>
          </w:p>
        </w:tc>
      </w:tr>
      <w:tr>
        <w:tc>
          <w:tcPr>
            <w:tcW w:type="dxa" w:w="831"/>
            <w:vMerge/>
          </w:tcPr>
          <w:p/>
        </w:tc>
        <w:tc>
          <w:tcPr>
            <w:tcW w:type="dxa" w:w="1661"/>
          </w:tcPr>
          <w:p>
            <w:pPr>
              <w:pStyle w:val="null3"/>
            </w:pPr>
            <w:r>
              <w:rPr/>
              <w:t>技术支持资料</w:t>
            </w:r>
          </w:p>
        </w:tc>
        <w:tc>
          <w:tcPr>
            <w:tcW w:type="dxa" w:w="2492"/>
          </w:tcPr>
          <w:p>
            <w:pPr>
              <w:pStyle w:val="null3"/>
            </w:pPr>
            <w:r>
              <w:rPr/>
              <w:t>提供投标产品公开发行的完整彩色样本、完整的技术白皮书或技术说明书、检测机构出具的完整检测报告，每提供一项得1分，最多得3分。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节能环保</w:t>
            </w:r>
          </w:p>
        </w:tc>
        <w:tc>
          <w:tcPr>
            <w:tcW w:type="dxa" w:w="2492"/>
          </w:tcPr>
          <w:p>
            <w:pPr>
              <w:pStyle w:val="null3"/>
            </w:pPr>
            <w:r>
              <w:rPr/>
              <w:t>① A020101 计算机设备（环境标志产品），1分； ② A020106 输入输出设备（环境标志产品）1分； 赋分依据：经国家确定的认证机构出具的、处于有效期之内的节能环保产品认证证书扫描件或中国政府采购网（www.ccgp.gov.cn）节能环保截图（中国政府采购网首页»节能环保»节能产品查询；中国政府采购网首页»节能环保»环境标志产品查询），并盖章。</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投标函</w:t>
            </w:r>
          </w:p>
          <w:p>
            <w:pPr>
              <w:pStyle w:val="null3"/>
            </w:pPr>
            <w:r>
              <w:rPr/>
              <w:t>技术和商务响应内容</w:t>
            </w:r>
          </w:p>
        </w:tc>
      </w:tr>
      <w:tr>
        <w:tc>
          <w:tcPr>
            <w:tcW w:type="dxa" w:w="831"/>
            <w:vMerge/>
          </w:tcPr>
          <w:p/>
        </w:tc>
        <w:tc>
          <w:tcPr>
            <w:tcW w:type="dxa" w:w="1661"/>
          </w:tcPr>
          <w:p>
            <w:pPr>
              <w:pStyle w:val="null3"/>
            </w:pPr>
            <w:r>
              <w:rPr/>
              <w:t>试剂价格分</w:t>
            </w:r>
          </w:p>
        </w:tc>
        <w:tc>
          <w:tcPr>
            <w:tcW w:type="dxa" w:w="2492"/>
          </w:tcPr>
          <w:p>
            <w:pPr>
              <w:pStyle w:val="null3"/>
            </w:pPr>
            <w:r>
              <w:rPr/>
              <w:t>经初审合格的投标文件，其配套临床试剂报价为有效投标价。 基准价：即满足招标文件要求且投标价格最低的报价为基准价。 其他供应商的试剂价格分按照下列公式计算。试剂价格得分=(基准价／配套临床试剂报价)×10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配套试剂价格</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详见附件：其他声明文件</w:t>
      </w:r>
    </w:p>
    <w:p>
      <w:pPr>
        <w:pStyle w:val="null3"/>
        <w:ind w:firstLine="960"/>
      </w:pPr>
      <w:r>
        <w:rPr/>
        <w:t>详见附件：技术和商务响应内容</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详见附件：其他声明文件</w:t>
      </w:r>
    </w:p>
    <w:p>
      <w:pPr>
        <w:pStyle w:val="null3"/>
        <w:ind w:firstLine="960"/>
      </w:pPr>
      <w:r>
        <w:rPr/>
        <w:t>详见附件：技术和商务响应内容</w:t>
      </w:r>
    </w:p>
    <w:p>
      <w:pPr>
        <w:pStyle w:val="null3"/>
        <w:ind w:firstLine="960"/>
      </w:pPr>
      <w:r>
        <w:rPr/>
        <w:t>详见附件：配套试剂价格</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