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西安市2023年度国土变更调查项目</w:t>
      </w:r>
    </w:p>
    <w:p>
      <w:pPr>
        <w:pStyle w:val="null3"/>
        <w:jc w:val="center"/>
        <w:outlineLvl w:val="2"/>
      </w:pPr>
      <w:r>
        <w:rPr>
          <w:b/>
          <w:sz w:val="28"/>
        </w:rPr>
        <w:t>采购项目编号：</w:t>
      </w:r>
      <w:r>
        <w:rPr>
          <w:b/>
          <w:sz w:val="28"/>
        </w:rPr>
        <w:t>LZBC2024-305</w:t>
      </w:r>
      <w:r>
        <w:br/>
      </w:r>
      <w:r>
        <w:br/>
      </w:r>
      <w:r>
        <w:br/>
      </w:r>
    </w:p>
    <w:p>
      <w:pPr>
        <w:pStyle w:val="null3"/>
        <w:jc w:val="center"/>
        <w:outlineLvl w:val="2"/>
      </w:pPr>
      <w:r>
        <w:rPr>
          <w:b/>
          <w:sz w:val="28"/>
        </w:rPr>
        <w:t>西安市自然资源和规划局（本级）</w:t>
      </w:r>
    </w:p>
    <w:p>
      <w:pPr>
        <w:pStyle w:val="null3"/>
        <w:jc w:val="center"/>
        <w:outlineLvl w:val="2"/>
      </w:pPr>
      <w:r>
        <w:rPr>
          <w:b/>
          <w:sz w:val="28"/>
        </w:rPr>
        <w:t>龙寰项目管理咨询有限公司</w:t>
      </w:r>
      <w:r>
        <w:rPr>
          <w:b/>
          <w:sz w:val="28"/>
        </w:rPr>
        <w:t>共同编制</w:t>
      </w:r>
    </w:p>
    <w:p>
      <w:pPr>
        <w:pStyle w:val="null3"/>
        <w:jc w:val="center"/>
        <w:outlineLvl w:val="2"/>
      </w:pPr>
      <w:r>
        <w:rPr>
          <w:b/>
          <w:sz w:val="28"/>
        </w:rPr>
        <w:t>2024年03月19日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龙寰项目管理咨询有限公司</w:t>
      </w:r>
      <w:r>
        <w:rPr/>
        <w:t>（以下简称“代理机构”）受</w:t>
      </w:r>
      <w:r>
        <w:rPr/>
        <w:t>西安市自然资源和规划局（本级）</w:t>
      </w:r>
      <w:r>
        <w:rPr/>
        <w:t>委托，拟对</w:t>
      </w:r>
      <w:r>
        <w:rPr/>
        <w:t>西安市2023年度国土变更调查项目</w:t>
      </w:r>
      <w:r>
        <w:rPr/>
        <w:t>采用竞争性磋商采购方式进行采购，兹邀请供应商参加本项目的竞争性磋商。</w:t>
      </w:r>
    </w:p>
    <w:p>
      <w:pPr>
        <w:pStyle w:val="null3"/>
        <w:outlineLvl w:val="2"/>
      </w:pPr>
      <w:r>
        <w:rPr>
          <w:b/>
          <w:sz w:val="28"/>
        </w:rPr>
        <w:t>一、项目编号：</w:t>
      </w:r>
      <w:r>
        <w:rPr>
          <w:b/>
          <w:sz w:val="28"/>
        </w:rPr>
        <w:t>LZBC2024-305</w:t>
      </w:r>
    </w:p>
    <w:p>
      <w:pPr>
        <w:pStyle w:val="null3"/>
        <w:outlineLvl w:val="2"/>
      </w:pPr>
      <w:r>
        <w:rPr>
          <w:b/>
          <w:sz w:val="28"/>
        </w:rPr>
        <w:t>二、项目名称：</w:t>
      </w:r>
      <w:r>
        <w:rPr>
          <w:b/>
          <w:sz w:val="28"/>
        </w:rPr>
        <w:t>西安市2023年度国土变更调查项目</w:t>
      </w:r>
    </w:p>
    <w:p>
      <w:pPr>
        <w:pStyle w:val="null3"/>
        <w:outlineLvl w:val="2"/>
      </w:pPr>
      <w:r>
        <w:rPr>
          <w:b/>
          <w:sz w:val="28"/>
        </w:rPr>
        <w:t>三、磋商项目简介</w:t>
      </w:r>
    </w:p>
    <w:p>
      <w:pPr>
        <w:pStyle w:val="null3"/>
        <w:ind w:firstLine="480"/>
      </w:pPr>
      <w:r>
        <w:rPr/>
        <w:t>本项目拟对西安市2023年度国土变更调查项目进行采购，具体详见采购文件。</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采购包1（西安市2023年度国土变更调查项目）：属于专门面向中小企业采购。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 或自然人：法人或者其他组织提供营业执照等证明文件，自然人提供身份证件：供应商需在项目电子化交易系统中按要求上传相应证明文件并进行电子签章</w:t>
      </w:r>
    </w:p>
    <w:p>
      <w:pPr>
        <w:pStyle w:val="null3"/>
      </w:pPr>
      <w:r>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t>3、财务状况报告：供应商提供2022年度经审计的财务审计报告（事业法人可提供部门决算报告）；或提供供应商开户银行出具的资信证明；或提供政府采购专业担保机构出具的投标担保函，供应商需在项目电子化交易系统中按要求上传相应证明文件</w:t>
      </w:r>
    </w:p>
    <w:p>
      <w:pPr>
        <w:pStyle w:val="null3"/>
      </w:pPr>
      <w:r>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t>6、项目负责人具有测绘类中级以上（含中级）职称或注册测绘师：项目负责人具有测绘类中级以上（含中级）职称或注册测绘师，供应商需在项目电子化交易系统中按要求上传相应证明文件并进行电子签章</w:t>
      </w:r>
    </w:p>
    <w:p>
      <w:pPr>
        <w:pStyle w:val="null3"/>
      </w:pPr>
      <w:r>
        <w:rPr/>
        <w:t>7、供应商须具有测绘专业（工程测量及地理信息系统工程）乙级（含乙级）以上资质：供应商须具有测绘专业（工程测量及地理信息系统工程）乙级（含乙级）以上资质，供应商需在项目电子化交易系统中按要求上传相应证明文件并进行电子签章</w:t>
      </w:r>
    </w:p>
    <w:p>
      <w:pPr>
        <w:pStyle w:val="null3"/>
      </w:pPr>
      <w:r>
        <w:rPr/>
        <w:t>8、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西安市自然资源和规划局（本级）</w:t>
      </w:r>
    </w:p>
    <w:p>
      <w:pPr>
        <w:pStyle w:val="null3"/>
      </w:pPr>
      <w:r>
        <w:rPr/>
        <w:t xml:space="preserve"> 地址： </w:t>
      </w:r>
      <w:r>
        <w:rPr/>
        <w:t>凤城八路109号</w:t>
      </w:r>
    </w:p>
    <w:p>
      <w:pPr>
        <w:pStyle w:val="null3"/>
      </w:pPr>
      <w:r>
        <w:rPr/>
        <w:t xml:space="preserve"> 邮编： </w:t>
      </w:r>
      <w:r>
        <w:rPr/>
        <w:t>710065</w:t>
      </w:r>
    </w:p>
    <w:p>
      <w:pPr>
        <w:pStyle w:val="null3"/>
      </w:pPr>
      <w:r>
        <w:rPr/>
        <w:t xml:space="preserve"> 联系人： </w:t>
      </w:r>
      <w:r>
        <w:rPr/>
        <w:t>西安市自然资源和规划局孙迎华</w:t>
      </w:r>
    </w:p>
    <w:p>
      <w:pPr>
        <w:pStyle w:val="null3"/>
      </w:pPr>
      <w:r>
        <w:rPr/>
        <w:t xml:space="preserve"> 联系电话： </w:t>
      </w:r>
      <w:r>
        <w:rPr/>
        <w:t>029-86787010</w:t>
      </w:r>
    </w:p>
    <w:p>
      <w:pPr>
        <w:pStyle w:val="null3"/>
        <w:outlineLvl w:val="3"/>
      </w:pPr>
      <w:r>
        <w:rPr>
          <w:b/>
          <w:sz w:val="24"/>
        </w:rPr>
        <w:t>代理机构：</w:t>
      </w:r>
      <w:r>
        <w:rPr>
          <w:b/>
          <w:sz w:val="24"/>
        </w:rPr>
        <w:t>龙寰项目管理咨询有限公司</w:t>
      </w:r>
    </w:p>
    <w:p>
      <w:pPr>
        <w:pStyle w:val="null3"/>
      </w:pPr>
      <w:r>
        <w:rPr/>
        <w:t xml:space="preserve"> 地址： </w:t>
      </w:r>
      <w:r>
        <w:rPr/>
        <w:t>陕西省西安市高新区太白南路181号A座A区501</w:t>
      </w:r>
    </w:p>
    <w:p>
      <w:pPr>
        <w:pStyle w:val="null3"/>
      </w:pPr>
      <w:r>
        <w:rPr/>
        <w:t xml:space="preserve"> 邮编： </w:t>
      </w:r>
      <w:r>
        <w:rPr/>
        <w:t>710065</w:t>
      </w:r>
    </w:p>
    <w:p>
      <w:pPr>
        <w:pStyle w:val="null3"/>
      </w:pPr>
      <w:r>
        <w:rPr/>
        <w:t xml:space="preserve"> 联系人： </w:t>
      </w:r>
      <w:r>
        <w:rPr/>
        <w:t>张正浩、胡敏、王申午</w:t>
      </w:r>
    </w:p>
    <w:p>
      <w:pPr>
        <w:pStyle w:val="null3"/>
      </w:pPr>
      <w:r>
        <w:rPr/>
        <w:t xml:space="preserve"> 联系电话： </w:t>
      </w:r>
      <w:r>
        <w:rPr/>
        <w:t>029-88228899-632</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采购包1：1,130,000.00元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颁发的《招标代理服务收费管理暂行办法》（计价格[2002]1980号）和国家发展改革委员会办公厅颁发的《关于招标代理服务收费有关问题的通知》（发改办价格[2003]857号）的有关规定收取。2、成交单位在领取成交通知书之前，须向代理机构支付招标代理服务费。3、招标代理服务费以转账或现金形式缴纳至以下账户： 开户名称：龙寰项目管理咨询有限公司，开户银行：平安银行西安高新路支行，账 号：30201278014264。</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西安市自然资源和规划局（本级）</w:t>
      </w:r>
      <w:r>
        <w:rPr/>
        <w:t>和</w:t>
      </w:r>
      <w:r>
        <w:rPr/>
        <w:t>龙寰项目管理咨询有限公司</w:t>
      </w:r>
      <w:r>
        <w:rPr/>
        <w:t>享有。对磋商文件中供应商参加本次政府采购活动应当具备的条件，磋商项目技术、服务、商务及其他要求，评审细则及标准由</w:t>
      </w:r>
      <w:r>
        <w:rPr/>
        <w:t>西安市自然资源和规划局（本级）</w:t>
      </w:r>
      <w:r>
        <w:rPr/>
        <w:t>负责解释。除上述磋商文件内容，其他内容由</w:t>
      </w:r>
      <w:r>
        <w:rPr/>
        <w:t>龙寰项目管理咨询有限公司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西安市自然资源和规划局（本级）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龙寰项目管理咨询有限公司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满足国家及行业相关标准及要求，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龙寰项目管理咨询有限公司</w:t>
      </w:r>
      <w:r>
        <w:rPr/>
        <w:t xml:space="preserve"> 负责答复；供应商对除采购需求外的采购文件的询问、质疑由</w:t>
      </w:r>
      <w:r>
        <w:rPr/>
        <w:t>龙寰项目管理咨询有限公司</w:t>
      </w:r>
      <w:r>
        <w:rPr/>
        <w:t xml:space="preserve"> 负责答复；供应商对采购过程、采购结果的询问、质疑由 </w:t>
      </w:r>
      <w:r>
        <w:rPr/>
        <w:t>龙寰项目管理咨询有限公司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联系人：张正浩、胡敏、王申午</w:t>
      </w:r>
    </w:p>
    <w:p>
      <w:pPr>
        <w:pStyle w:val="null3"/>
      </w:pPr>
      <w:r>
        <w:rPr/>
        <w:t>联系电话：029-888228899-632</w:t>
      </w:r>
    </w:p>
    <w:p>
      <w:pPr>
        <w:pStyle w:val="null3"/>
      </w:pPr>
      <w:r>
        <w:rPr/>
        <w:t>地址：西安市太白南路181号西部电子社区A座A区501室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本项目拟对西安市2023年度国土变更调查项目进行采购，具体详见采购文件。</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1,130,000.00</w:t>
      </w:r>
    </w:p>
    <w:p>
      <w:pPr>
        <w:pStyle w:val="null3"/>
      </w:pPr>
      <w:r>
        <w:rPr/>
        <w:t>采购包最高限价（元）: 1,130,000.00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西安市2023年度国土变更调查项目</w:t>
            </w:r>
          </w:p>
        </w:tc>
        <w:tc>
          <w:tcPr>
            <w:tcW w:type="dxa" w:w="831"/>
          </w:tcPr>
          <w:p>
            <w:pPr>
              <w:pStyle w:val="null3"/>
              <w:jc w:val="right"/>
            </w:pPr>
            <w:r>
              <w:rPr/>
              <w:t>1.00</w:t>
            </w:r>
          </w:p>
        </w:tc>
        <w:tc>
          <w:tcPr>
            <w:tcW w:type="dxa" w:w="831"/>
          </w:tcPr>
          <w:p>
            <w:pPr>
              <w:pStyle w:val="null3"/>
              <w:jc w:val="right"/>
            </w:pPr>
            <w:r>
              <w:rPr/>
              <w:t>1,130,000.00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标的名称：西安市2023年度国土变更调查项目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pPr>
            <w:r>
              <w:rPr>
                <w:rFonts w:ascii="宋体" w:hAnsi="宋体" w:cs="宋体" w:eastAsia="宋体"/>
                <w:sz w:val="21"/>
              </w:rPr>
              <w:t>一、</w:t>
            </w:r>
            <w:r>
              <w:rPr>
                <w:rFonts w:ascii="宋体" w:hAnsi="宋体" w:cs="宋体" w:eastAsia="宋体"/>
                <w:sz w:val="21"/>
              </w:rPr>
              <w:t>采购内容:</w:t>
            </w:r>
          </w:p>
          <w:p>
            <w:pPr>
              <w:pStyle w:val="null3"/>
            </w:pPr>
            <w:r>
              <w:rPr>
                <w:rFonts w:ascii="宋体" w:hAnsi="宋体" w:cs="宋体" w:eastAsia="宋体"/>
                <w:sz w:val="21"/>
              </w:rPr>
              <w:t>（一）工作区域：</w:t>
            </w:r>
          </w:p>
          <w:p>
            <w:pPr>
              <w:pStyle w:val="null3"/>
            </w:pPr>
            <w:r>
              <w:rPr>
                <w:rFonts w:ascii="宋体" w:hAnsi="宋体" w:cs="宋体" w:eastAsia="宋体"/>
                <w:sz w:val="21"/>
              </w:rPr>
              <w:t>西安市13个区县</w:t>
            </w:r>
          </w:p>
          <w:p>
            <w:pPr>
              <w:pStyle w:val="null3"/>
            </w:pPr>
            <w:r>
              <w:rPr>
                <w:rFonts w:ascii="宋体" w:hAnsi="宋体" w:cs="宋体" w:eastAsia="宋体"/>
                <w:sz w:val="21"/>
              </w:rPr>
              <w:t>（二）工作内容：</w:t>
            </w:r>
          </w:p>
          <w:p>
            <w:pPr>
              <w:pStyle w:val="null3"/>
            </w:pPr>
            <w:r>
              <w:rPr>
                <w:rFonts w:ascii="宋体" w:hAnsi="宋体" w:cs="宋体" w:eastAsia="宋体"/>
                <w:sz w:val="21"/>
              </w:rPr>
              <w:t>1、市级核查</w:t>
            </w:r>
          </w:p>
          <w:p>
            <w:pPr>
              <w:pStyle w:val="null3"/>
            </w:pPr>
            <w:r>
              <w:rPr>
                <w:rFonts w:ascii="宋体" w:hAnsi="宋体" w:cs="宋体" w:eastAsia="宋体"/>
                <w:sz w:val="21"/>
              </w:rPr>
              <w:t>（1）县级2023年度变更调查成果核查</w:t>
            </w:r>
          </w:p>
          <w:p>
            <w:pPr>
              <w:pStyle w:val="null3"/>
            </w:pPr>
            <w:r>
              <w:rPr>
                <w:rFonts w:ascii="宋体" w:hAnsi="宋体" w:cs="宋体" w:eastAsia="宋体"/>
                <w:sz w:val="21"/>
              </w:rPr>
              <w:t>市局负责组织做好本地区县级调查成果的检查把关，组织专业队伍，结合举证照片、最新卫星遥感影像以及地类核查结果，对县级调查成果进行全面核查（重点检查地类及属性标注、单独图层变更的正确性）。</w:t>
            </w:r>
          </w:p>
          <w:p>
            <w:pPr>
              <w:pStyle w:val="null3"/>
            </w:pPr>
            <w:r>
              <w:rPr>
                <w:rFonts w:ascii="宋体" w:hAnsi="宋体" w:cs="宋体" w:eastAsia="宋体"/>
                <w:sz w:val="21"/>
              </w:rPr>
              <w:t>1）内业核查</w:t>
            </w:r>
          </w:p>
          <w:p>
            <w:pPr>
              <w:pStyle w:val="null3"/>
            </w:pPr>
            <w:r>
              <w:rPr>
                <w:rFonts w:ascii="宋体" w:hAnsi="宋体" w:cs="宋体" w:eastAsia="宋体"/>
                <w:sz w:val="21"/>
              </w:rPr>
              <w:t>结合相关资料，对图斑地类、边界、属性及单独图层等开展线上及线下全面核查。对发现的疑似错误图斑，反馈区县内业整改或外业核实补充举证，并对整改成果开展市级内业复核。</w:t>
            </w:r>
          </w:p>
          <w:p>
            <w:pPr>
              <w:pStyle w:val="null3"/>
            </w:pPr>
            <w:r>
              <w:rPr>
                <w:rFonts w:ascii="宋体" w:hAnsi="宋体" w:cs="宋体" w:eastAsia="宋体"/>
                <w:sz w:val="21"/>
              </w:rPr>
              <w:t>2）外业核查</w:t>
            </w:r>
          </w:p>
          <w:p>
            <w:pPr>
              <w:pStyle w:val="null3"/>
            </w:pPr>
            <w:r>
              <w:rPr>
                <w:rFonts w:ascii="宋体" w:hAnsi="宋体" w:cs="宋体" w:eastAsia="宋体"/>
                <w:sz w:val="21"/>
              </w:rPr>
              <w:t>结合市级内业核查整改结果情况，针对重点区县抽取一定数量的疑似问题图斑，由市级业务骨干及专业技术人员组成外业核查队伍，实地核实各图斑变更的准确性以及合理性，对核查发现的问题图斑责成区县及时整改。</w:t>
            </w:r>
          </w:p>
          <w:p>
            <w:pPr>
              <w:pStyle w:val="null3"/>
            </w:pPr>
            <w:r>
              <w:rPr>
                <w:rFonts w:ascii="宋体" w:hAnsi="宋体" w:cs="宋体" w:eastAsia="宋体"/>
                <w:sz w:val="21"/>
              </w:rPr>
              <w:t>3）数据库质检</w:t>
            </w:r>
          </w:p>
          <w:p>
            <w:pPr>
              <w:pStyle w:val="null3"/>
            </w:pPr>
            <w:r>
              <w:rPr>
                <w:rFonts w:ascii="宋体" w:hAnsi="宋体" w:cs="宋体" w:eastAsia="宋体"/>
                <w:sz w:val="21"/>
              </w:rPr>
              <w:t>使用统一的数据库质量检查软件，按照数据库质检规则，对数据库成果进行质量检查，不合格的成果反馈区县修改完善，确保调查成果的质量。对于未通过市级核查的变化图斑，当天反馈，要求区县开展进一步核实举证和整改工作。</w:t>
            </w:r>
          </w:p>
          <w:p>
            <w:pPr>
              <w:pStyle w:val="null3"/>
            </w:pPr>
            <w:r>
              <w:rPr>
                <w:rFonts w:ascii="宋体" w:hAnsi="宋体" w:cs="宋体" w:eastAsia="宋体"/>
                <w:sz w:val="21"/>
              </w:rPr>
              <w:t>（2）耕地资源质量分类更新及监测成果全面核查</w:t>
            </w:r>
          </w:p>
          <w:p>
            <w:pPr>
              <w:pStyle w:val="null3"/>
            </w:pPr>
            <w:r>
              <w:rPr>
                <w:rFonts w:ascii="宋体" w:hAnsi="宋体" w:cs="宋体" w:eastAsia="宋体"/>
                <w:sz w:val="21"/>
              </w:rPr>
              <w:t>利用数据库质检软件及人工检查相结合方式对县级年度更新数据包、年度更新数据库、年度监测数据库、县级耕地资源质量分类年度更新分析报告、数据表等成果进行全面检查。</w:t>
            </w:r>
          </w:p>
          <w:p>
            <w:pPr>
              <w:pStyle w:val="null3"/>
            </w:pPr>
            <w:r>
              <w:rPr>
                <w:rFonts w:ascii="宋体" w:hAnsi="宋体" w:cs="宋体" w:eastAsia="宋体"/>
                <w:sz w:val="21"/>
              </w:rPr>
              <w:t>（3）县级2024年日常变更调查成果核查</w:t>
            </w:r>
          </w:p>
          <w:p>
            <w:pPr>
              <w:pStyle w:val="null3"/>
            </w:pPr>
            <w:r>
              <w:rPr>
                <w:rFonts w:ascii="宋体" w:hAnsi="宋体" w:cs="宋体" w:eastAsia="宋体"/>
                <w:sz w:val="21"/>
              </w:rPr>
              <w:t>根据省市工作要求，对全市各区县形成的举证成果、矢量图层进行检查。</w:t>
            </w:r>
          </w:p>
          <w:p>
            <w:pPr>
              <w:pStyle w:val="null3"/>
            </w:pPr>
            <w:r>
              <w:rPr>
                <w:rFonts w:ascii="宋体" w:hAnsi="宋体" w:cs="宋体" w:eastAsia="宋体"/>
                <w:sz w:val="21"/>
              </w:rPr>
              <w:t>2、市级汇总</w:t>
            </w:r>
          </w:p>
          <w:p>
            <w:pPr>
              <w:pStyle w:val="null3"/>
            </w:pPr>
            <w:r>
              <w:rPr>
                <w:rFonts w:ascii="宋体" w:hAnsi="宋体" w:cs="宋体" w:eastAsia="宋体"/>
                <w:sz w:val="21"/>
              </w:rPr>
              <w:t>根据检查通过的县级2023年度变更调查成果、耕地资源质量分类更新与监测成果及日常变更调查成果，汇总市级各类各项表格，并对数据进行分析，形成全市土地利用变化情况分析报告及耕地资源质量分类年度更新与监测报告。</w:t>
            </w:r>
          </w:p>
          <w:p>
            <w:pPr>
              <w:pStyle w:val="null3"/>
              <w:numPr>
                <w:ilvl w:val="0"/>
                <w:numId w:val="1"/>
              </w:numPr>
            </w:pPr>
            <w:r>
              <w:rPr>
                <w:rFonts w:ascii="宋体" w:hAnsi="宋体" w:cs="宋体" w:eastAsia="宋体"/>
                <w:sz w:val="21"/>
              </w:rPr>
              <w:t>技术要求</w:t>
            </w:r>
          </w:p>
          <w:p>
            <w:pPr>
              <w:pStyle w:val="null3"/>
              <w:jc w:val="both"/>
            </w:pPr>
            <w:r>
              <w:rPr>
                <w:rFonts w:ascii="宋体" w:hAnsi="宋体" w:cs="宋体" w:eastAsia="宋体"/>
                <w:sz w:val="21"/>
              </w:rPr>
              <w:t>服务成果应符合下列文件、规范和规程要求：</w:t>
            </w:r>
          </w:p>
          <w:p>
            <w:pPr>
              <w:pStyle w:val="null3"/>
            </w:pPr>
            <w:r>
              <w:rPr>
                <w:rFonts w:ascii="宋体" w:hAnsi="宋体" w:cs="宋体" w:eastAsia="宋体"/>
                <w:sz w:val="21"/>
              </w:rPr>
              <w:t>1、自然资源部办公厅《关于开展2023年度全国国土变更调查工作的通知》（自然资办发〔2023〕38号）</w:t>
            </w:r>
          </w:p>
          <w:p>
            <w:pPr>
              <w:pStyle w:val="null3"/>
            </w:pPr>
            <w:r>
              <w:rPr>
                <w:rFonts w:ascii="宋体" w:hAnsi="宋体" w:cs="宋体" w:eastAsia="宋体"/>
                <w:sz w:val="21"/>
              </w:rPr>
              <w:t>2、《2023年度变更调查实施方案》</w:t>
            </w:r>
          </w:p>
          <w:p>
            <w:pPr>
              <w:pStyle w:val="null3"/>
            </w:pPr>
            <w:r>
              <w:rPr>
                <w:rFonts w:ascii="宋体" w:hAnsi="宋体" w:cs="宋体" w:eastAsia="宋体"/>
                <w:sz w:val="21"/>
              </w:rPr>
              <w:t>3、《国土变更调查技术规程》（2023年度适用）</w:t>
            </w:r>
          </w:p>
          <w:p>
            <w:pPr>
              <w:pStyle w:val="null3"/>
            </w:pPr>
            <w:r>
              <w:rPr>
                <w:rFonts w:ascii="宋体" w:hAnsi="宋体" w:cs="宋体" w:eastAsia="宋体"/>
                <w:sz w:val="21"/>
              </w:rPr>
              <w:t>4、《第三次全国国土调查工作分类》</w:t>
            </w:r>
          </w:p>
          <w:p>
            <w:pPr>
              <w:pStyle w:val="null3"/>
            </w:pPr>
            <w:r>
              <w:rPr>
                <w:rFonts w:ascii="宋体" w:hAnsi="宋体" w:cs="宋体" w:eastAsia="宋体"/>
                <w:sz w:val="21"/>
              </w:rPr>
              <w:t>5、《第三次全国国土调查实施方案》</w:t>
            </w:r>
          </w:p>
          <w:p>
            <w:pPr>
              <w:pStyle w:val="null3"/>
            </w:pPr>
            <w:r>
              <w:rPr>
                <w:rFonts w:ascii="宋体" w:hAnsi="宋体" w:cs="宋体" w:eastAsia="宋体"/>
                <w:sz w:val="21"/>
              </w:rPr>
              <w:t>6、《第三次全国国土调查技术规程》</w:t>
            </w:r>
          </w:p>
          <w:p>
            <w:pPr>
              <w:pStyle w:val="null3"/>
            </w:pPr>
            <w:r>
              <w:rPr>
                <w:rFonts w:ascii="宋体" w:hAnsi="宋体" w:cs="宋体" w:eastAsia="宋体"/>
                <w:sz w:val="21"/>
              </w:rPr>
              <w:t>7、《国务院第三次全国国土调查领导小组办公室关于调整第三次全国国土调查有关内容与要求的补充通知》</w:t>
            </w:r>
          </w:p>
          <w:p>
            <w:pPr>
              <w:pStyle w:val="null3"/>
            </w:pPr>
            <w:r>
              <w:rPr>
                <w:rFonts w:ascii="宋体" w:hAnsi="宋体" w:cs="宋体" w:eastAsia="宋体"/>
                <w:sz w:val="21"/>
              </w:rPr>
              <w:t>8、《第三次全国国土调查技术问答》</w:t>
            </w:r>
          </w:p>
          <w:p>
            <w:pPr>
              <w:pStyle w:val="null3"/>
              <w:jc w:val="both"/>
            </w:pPr>
            <w:r>
              <w:rPr>
                <w:rFonts w:ascii="宋体" w:hAnsi="宋体" w:cs="宋体" w:eastAsia="宋体"/>
                <w:sz w:val="21"/>
              </w:rPr>
              <w:t>9、西安市自然资源和规划局《关于开展西安市2023年度国土变更调查工作的通知》</w:t>
            </w:r>
          </w:p>
        </w:tc>
      </w:tr>
    </w:tbl>
    <w:p>
      <w:pPr>
        <w:pStyle w:val="null3"/>
        <w:outlineLvl w:val="2"/>
      </w:pPr>
      <w:r>
        <w:rPr>
          <w:b/>
          <w:sz w:val="28"/>
        </w:rPr>
        <w:t>3.2.3人员配置要求</w:t>
      </w:r>
    </w:p>
    <w:p>
      <w:pPr>
        <w:pStyle w:val="null3"/>
      </w:pPr>
      <w:r>
        <w:rPr/>
        <w:t>采购包1：</w:t>
      </w:r>
    </w:p>
    <w:p>
      <w:pPr>
        <w:pStyle w:val="null3"/>
      </w:pPr>
      <w:r>
        <w:rPr/>
        <w:t>项目拟投入人员至少15人，项目人员须有相关资历，以毕业证书、专业职称证书等为依据。</w:t>
      </w:r>
    </w:p>
    <w:p>
      <w:pPr>
        <w:pStyle w:val="null3"/>
        <w:outlineLvl w:val="2"/>
      </w:pPr>
      <w:r>
        <w:rPr>
          <w:b/>
          <w:sz w:val="28"/>
        </w:rPr>
        <w:t>3.2.4设施设备要求</w:t>
      </w:r>
    </w:p>
    <w:p>
      <w:pPr>
        <w:pStyle w:val="null3"/>
      </w:pPr>
      <w:r>
        <w:rPr/>
        <w:t>采购包1：</w:t>
      </w:r>
    </w:p>
    <w:p>
      <w:pPr>
        <w:pStyle w:val="null3"/>
      </w:pPr>
      <w:r>
        <w:rPr/>
        <w:t>配备专业的仪器，包括台式机电脑、笔记本电脑、硬盘、核查软件、建库软件、举证软件等，从数量、质量及其先进可靠性等方面能够满足本项目需求。</w:t>
      </w:r>
    </w:p>
    <w:p>
      <w:pPr>
        <w:pStyle w:val="null3"/>
        <w:outlineLvl w:val="2"/>
      </w:pPr>
      <w:r>
        <w:rPr>
          <w:b/>
          <w:sz w:val="28"/>
        </w:rPr>
        <w:t>3.2.5其他要求</w:t>
      </w:r>
    </w:p>
    <w:p>
      <w:pPr>
        <w:pStyle w:val="null3"/>
      </w:pPr>
      <w:r>
        <w:rPr/>
        <w:t>采购包1：</w:t>
      </w:r>
    </w:p>
    <w:p>
      <w:pPr>
        <w:pStyle w:val="null3"/>
      </w:pPr>
      <w:r>
        <w:rPr/>
        <w:t>1、熟悉西安市国土变更调查市级核查及汇总技术工作。核查人员全面掌握核查规则及要求；熟练运用陕西自然资源监测云平台、核查软件、质检软件等相关专业软件；具备随时在线进行技术指导工作的能力。 2、内外业人员全面掌握国土变更调查地类及属性认定、耕地资源质量分类更新与监测指标赋值、日常变更等技术要求；其中外业人员掌握外业调查及举证具体要求；内业人员熟练运用质检软件等相关专业软件；在规定时间内完成国土变更调查、耕地资源质量分类更新与监测及日常变更的各项工作，成果满足国、省、市相关文件要求，确保通过国家、省级的核查。3、成果质量需满足部、省级质量评价合格要求。其中变更调查省级内业核查结果以2024年报省核查结果计算新增建设用地图斑单项差错率、补充耕地图斑单项差错率、以及涉及一级地类和耕地二级地类的变更图斑总体差错率三项差错率均低于2%的为合格；省级外业抽查核实结果计算外业图斑总体差错率，低于2%为合格；承诺种植新增耕地全部落实为合格；部评价结果合格的为合格。 4、按期完成市级核查汇总的各项工作，提交的成果质量符合自然资源部办公厅《关于开展2023年度全国国土变更调查工作的通知》（自然资办发[2023]38号）、《2023年度全国国土变更调查实施方案》、《国土变更调查技术规程》（2023年度适用）等文件规范和规程要求。 5、服务商在合同执行期间，需义务为采购方人员提供相关培训，确保其正确使用工作成果。6、供应商须具备相关服务经验。 7、交付成果：（1）市级汇总成果 1）数据库成果。包括更新后的市级数据库，以及各类统计汇总表。 2）文字成果。包括土地利用变化情况分析报告以及其他专题报告。 （2）耕地资源质量分类年度更新与监测成果 1）文字成果。西安市耕地资源质量分类年度更新与监测分析报告。 2）表格成果。西安市耕地资源质量分类年度更新结果汇总表和耕地资源质量分类年度监测结果汇总表。 （3）日常变更调查成果 西安市2024年日常变更矢量图层及举证成果。 （4）市级核查反馈记录 西安市2023年变更调查、2023年耕地资源质量分类更新与监测及2024年日常变更调查成果核查反馈记录。 8、验收标准: 由采购人和成交供应商共同对项目进行验收填写验收单。其内容包括是否按照采购人要求进行服务、是否在规定时间内服务完毕。</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合同签订之日起至成果通过部省级核查</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由采购人和成交供应商共同对项目进行验收填写验收单。其内容包括是否按照采购人要求进行服务、是否在规定时间内服务完毕。</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分两次付款，合同签订后一个月内支付合同总价款的60%</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分两次付款，所有成果经省级核查通过后支付剩余的40%</w:t>
      </w:r>
      <w:r>
        <w:rPr/>
        <w:t xml:space="preserve"> ，达到付款条件起 </w:t>
      </w:r>
      <w:r>
        <w:rPr/>
        <w:t>30</w:t>
      </w:r>
      <w:r>
        <w:rPr/>
        <w:t xml:space="preserve"> 日内，支付合同总金额的 </w:t>
      </w:r>
      <w:r>
        <w:rPr/>
        <w:t>40.00</w:t>
      </w:r>
      <w:r>
        <w:rPr/>
        <w:t>%。</w:t>
      </w:r>
    </w:p>
    <w:p>
      <w:pPr>
        <w:pStyle w:val="null3"/>
        <w:outlineLvl w:val="3"/>
      </w:pPr>
      <w:r>
        <w:rPr>
          <w:b/>
          <w:sz w:val="24"/>
        </w:rPr>
        <w:t>3.3.6违约责任及解决争议的方法</w:t>
      </w:r>
    </w:p>
    <w:p>
      <w:pPr>
        <w:pStyle w:val="null3"/>
      </w:pPr>
      <w:r>
        <w:rPr/>
        <w:t>采购包1：</w:t>
      </w:r>
    </w:p>
    <w:p>
      <w:pPr>
        <w:pStyle w:val="null3"/>
      </w:pPr>
      <w:r>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outlineLvl w:val="2"/>
      </w:pPr>
      <w:r>
        <w:rPr>
          <w:b/>
          <w:sz w:val="28"/>
        </w:rPr>
        <w:t>3.4其他要求</w:t>
      </w:r>
    </w:p>
    <w:p>
      <w:pPr>
        <w:pStyle w:val="null3"/>
      </w:pPr>
      <w:r>
        <w:rPr/>
        <w:t>1.采购标的对应的中小企业划分标准所属行业为其他未列明行业。从业人员300人以下的为中小微型企业。其中，从业人员100人及以上的为中型企业；从业人员10人及以上的为小型企业；从业人员10人以下的为微型企业。 2.本项目专门面向中小企业采购（残疾人福利性单位、监狱企业视同小型、微型企业）。 3.为顺利推进政府采购电子化交易平台试点应用工作，供应商需要在线提交所有通过电子化交易平台实施的政府采购项目的投标文件，同时，线下提交纸质投标文件正本一份、副本两份，电子版壹份（U盘壹份）。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5、本项目预算为：113.00万元。 6、本项目服务期限：合同签订之日起至成果通过部省级核查。</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开标一览表 服务内容及服务邀请应答表 中小企业声明函 商务应答表 供应商应提交的相关资格证明材料 报价表 响应文件封面 相关附件 残疾人福利性单位声明函 服务方案 标的清单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开标一览表 服务内容及服务邀请应答表 中小企业声明函 商务应答表 供应商应提交的相关资格证明材料 报价表 响应文件封面 相关附件 残疾人福利性单位声明函 服务方案 标的清单 响应函 监狱企业的证明文件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开标一览表 服务内容及服务邀请应答表 中小企业声明函 商务应答表 供应商应提交的相关资格证明材料 报价表 响应文件封面 相关附件 残疾人福利性单位声明函 服务方案 标的清单 响应函 监狱企业的证明文件</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 或自然人</w:t>
            </w:r>
          </w:p>
        </w:tc>
        <w:tc>
          <w:tcPr>
            <w:tcW w:type="dxa" w:w="3322"/>
          </w:tcPr>
          <w:p>
            <w:pPr>
              <w:pStyle w:val="null3"/>
            </w:pPr>
            <w:r>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t>开标一览表 服务内容及服务邀请应答表 中小企业声明函 商务应答表 供应商应提交的相关资格证明材料 报价表 响应文件封面 相关附件 残疾人福利性单位声明函 服务方案 标的清单 响应函 监狱企业的证明文件</w:t>
            </w:r>
          </w:p>
        </w:tc>
      </w:tr>
      <w:tr>
        <w:tc>
          <w:tcPr>
            <w:tcW w:type="dxa" w:w="831"/>
          </w:tcPr>
          <w:p>
            <w:pPr>
              <w:pStyle w:val="null3"/>
            </w:pPr>
            <w:r>
              <w:rPr/>
              <w:t>2</w:t>
            </w:r>
          </w:p>
        </w:tc>
        <w:tc>
          <w:tcPr>
            <w:tcW w:type="dxa" w:w="2492"/>
          </w:tcPr>
          <w:p>
            <w:pPr>
              <w:pStyle w:val="null3"/>
            </w:pPr>
            <w:r>
              <w:rPr/>
              <w:t>税收缴纳凭证及社会保险缴纳的凭证</w:t>
            </w:r>
          </w:p>
        </w:tc>
        <w:tc>
          <w:tcPr>
            <w:tcW w:type="dxa" w:w="3322"/>
          </w:tcPr>
          <w:p>
            <w:pPr>
              <w:pStyle w:val="null3"/>
            </w:pPr>
            <w:r>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t>开标一览表 服务内容及服务邀请应答表 中小企业声明函 商务应答表 供应商应提交的相关资格证明材料 报价表 响应文件封面 相关附件 残疾人福利性单位声明函 服务方案 标的清单 响应函 监狱企业的证明文件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供应商提供2022年度经审计的财务审计报告（事业法人可提供部门决算报告）；或提供供应商开户银行出具的资信证明；或提供政府采购专业担保机构出具的投标担保函，供应商需在项目电子化交易系统中按要求上传相应证明文件</w:t>
            </w:r>
          </w:p>
        </w:tc>
        <w:tc>
          <w:tcPr>
            <w:tcW w:type="dxa" w:w="1661"/>
          </w:tcPr>
          <w:p>
            <w:pPr>
              <w:pStyle w:val="null3"/>
            </w:pPr>
            <w:r>
              <w:rPr/>
              <w:t>开标一览表 服务内容及服务邀请应答表 中小企业声明函 商务应答表 供应商应提交的相关资格证明材料 报价表 响应文件封面 相关附件 残疾人福利性单位声明函 服务方案 标的清单 响应函 监狱企业的证明文件</w:t>
            </w:r>
          </w:p>
        </w:tc>
      </w:tr>
      <w:tr>
        <w:tc>
          <w:tcPr>
            <w:tcW w:type="dxa" w:w="831"/>
          </w:tcPr>
          <w:p>
            <w:pPr>
              <w:pStyle w:val="null3"/>
            </w:pPr>
            <w:r>
              <w:rPr/>
              <w:t>4</w:t>
            </w:r>
          </w:p>
        </w:tc>
        <w:tc>
          <w:tcPr>
            <w:tcW w:type="dxa" w:w="2492"/>
          </w:tcPr>
          <w:p>
            <w:pPr>
              <w:pStyle w:val="null3"/>
            </w:pPr>
            <w:r>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开标一览表 服务内容及服务邀请应答表 中小企业声明函 商务应答表 供应商应提交的相关资格证明材料 报价表 响应文件封面 相关附件 残疾人福利性单位声明函 服务方案 标的清单 响应函 监狱企业的证明文件</w:t>
            </w:r>
          </w:p>
        </w:tc>
      </w:tr>
      <w:tr>
        <w:tc>
          <w:tcPr>
            <w:tcW w:type="dxa" w:w="831"/>
          </w:tcPr>
          <w:p>
            <w:pPr>
              <w:pStyle w:val="null3"/>
            </w:pPr>
            <w:r>
              <w:rPr/>
              <w:t>5</w:t>
            </w:r>
          </w:p>
        </w:tc>
        <w:tc>
          <w:tcPr>
            <w:tcW w:type="dxa" w:w="2492"/>
          </w:tcPr>
          <w:p>
            <w:pPr>
              <w:pStyle w:val="null3"/>
            </w:pPr>
            <w:r>
              <w:rPr/>
              <w:t>履行合同所必需的设备和专业技术能力书面声明函</w:t>
            </w:r>
          </w:p>
        </w:tc>
        <w:tc>
          <w:tcPr>
            <w:tcW w:type="dxa" w:w="3322"/>
          </w:tcPr>
          <w:p>
            <w:pPr>
              <w:pStyle w:val="null3"/>
            </w:pPr>
            <w:r>
              <w:rPr/>
              <w:t>具有履行合同所必需的设备和专业技术能力书面声明函，供应商需在项目电子化交易系统中按要求上传相应证明文件并进行电子签章</w:t>
            </w:r>
          </w:p>
        </w:tc>
        <w:tc>
          <w:tcPr>
            <w:tcW w:type="dxa" w:w="1661"/>
          </w:tcPr>
          <w:p>
            <w:pPr>
              <w:pStyle w:val="null3"/>
            </w:pPr>
            <w:r>
              <w:rPr/>
              <w:t>开标一览表 服务内容及服务邀请应答表 中小企业声明函 商务应答表 供应商应提交的相关资格证明材料 报价表 响应文件封面 相关附件 残疾人福利性单位声明函 服务方案 标的清单 响应函 监狱企业的证明文件</w:t>
            </w:r>
          </w:p>
        </w:tc>
      </w:tr>
      <w:tr>
        <w:tc>
          <w:tcPr>
            <w:tcW w:type="dxa" w:w="831"/>
          </w:tcPr>
          <w:p>
            <w:pPr>
              <w:pStyle w:val="null3"/>
            </w:pPr>
            <w:r>
              <w:rPr/>
              <w:t>6</w:t>
            </w:r>
          </w:p>
        </w:tc>
        <w:tc>
          <w:tcPr>
            <w:tcW w:type="dxa" w:w="2492"/>
          </w:tcPr>
          <w:p>
            <w:pPr>
              <w:pStyle w:val="null3"/>
            </w:pPr>
            <w:r>
              <w:rPr/>
              <w:t>项目负责人具有测绘类中级以上（含中级）职称或注册测绘师</w:t>
            </w:r>
          </w:p>
        </w:tc>
        <w:tc>
          <w:tcPr>
            <w:tcW w:type="dxa" w:w="3322"/>
          </w:tcPr>
          <w:p>
            <w:pPr>
              <w:pStyle w:val="null3"/>
            </w:pPr>
            <w:r>
              <w:rPr/>
              <w:t>项目负责人具有测绘类中级以上（含中级）职称或注册测绘师，供应商需在项目电子化交易系统中按要求上传相应证明文件并进行电子签章</w:t>
            </w:r>
          </w:p>
        </w:tc>
        <w:tc>
          <w:tcPr>
            <w:tcW w:type="dxa" w:w="1661"/>
          </w:tcPr>
          <w:p>
            <w:pPr>
              <w:pStyle w:val="null3"/>
            </w:pPr>
            <w:r>
              <w:rPr/>
              <w:t>开标一览表 服务内容及服务邀请应答表 中小企业声明函 商务应答表 供应商应提交的相关资格证明材料 报价表 响应文件封面 相关附件 残疾人福利性单位声明函 服务方案 标的清单 响应函 监狱企业的证明文件</w:t>
            </w:r>
          </w:p>
        </w:tc>
      </w:tr>
      <w:tr>
        <w:tc>
          <w:tcPr>
            <w:tcW w:type="dxa" w:w="831"/>
          </w:tcPr>
          <w:p>
            <w:pPr>
              <w:pStyle w:val="null3"/>
            </w:pPr>
            <w:r>
              <w:rPr/>
              <w:t>7</w:t>
            </w:r>
          </w:p>
        </w:tc>
        <w:tc>
          <w:tcPr>
            <w:tcW w:type="dxa" w:w="2492"/>
          </w:tcPr>
          <w:p>
            <w:pPr>
              <w:pStyle w:val="null3"/>
            </w:pPr>
            <w:r>
              <w:rPr/>
              <w:t>供应商须具有测绘专业（工程测量及地理信息系统工程）乙级（含乙级）以上资质</w:t>
            </w:r>
          </w:p>
        </w:tc>
        <w:tc>
          <w:tcPr>
            <w:tcW w:type="dxa" w:w="3322"/>
          </w:tcPr>
          <w:p>
            <w:pPr>
              <w:pStyle w:val="null3"/>
            </w:pPr>
            <w:r>
              <w:rPr/>
              <w:t>供应商须具有测绘专业（工程测量及地理信息系统工程）乙级（含乙级）以上资质，供应商需在项目电子化交易系统中按要求上传相应证明文件并进行电子签章</w:t>
            </w:r>
          </w:p>
        </w:tc>
        <w:tc>
          <w:tcPr>
            <w:tcW w:type="dxa" w:w="1661"/>
          </w:tcPr>
          <w:p>
            <w:pPr>
              <w:pStyle w:val="null3"/>
            </w:pPr>
            <w:r>
              <w:rPr/>
              <w:t>开标一览表 服务内容及服务邀请应答表 中小企业声明函 商务应答表 供应商应提交的相关资格证明材料 报价表 响应文件封面 相关附件 残疾人福利性单位声明函 服务方案 标的清单 响应函 监狱企业的证明文件</w:t>
            </w:r>
          </w:p>
        </w:tc>
      </w:tr>
      <w:tr>
        <w:tc>
          <w:tcPr>
            <w:tcW w:type="dxa" w:w="831"/>
          </w:tcPr>
          <w:p>
            <w:pPr>
              <w:pStyle w:val="null3"/>
            </w:pPr>
            <w:r>
              <w:rPr/>
              <w:t>8</w:t>
            </w:r>
          </w:p>
        </w:tc>
        <w:tc>
          <w:tcPr>
            <w:tcW w:type="dxa" w:w="2492"/>
          </w:tcPr>
          <w:p>
            <w:pPr>
              <w:pStyle w:val="null3"/>
            </w:pPr>
            <w:r>
              <w:rPr/>
              <w:t>供应商信用状况</w:t>
            </w:r>
          </w:p>
        </w:tc>
        <w:tc>
          <w:tcPr>
            <w:tcW w:type="dxa" w:w="3322"/>
          </w:tcPr>
          <w:p>
            <w:pPr>
              <w:pStyle w:val="null3"/>
            </w:pPr>
            <w:r>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t>开标一览表 服务内容及服务邀请应答表 中小企业声明函 商务应答表 供应商应提交的相关资格证明材料 报价表 响应文件封面 相关附件 残疾人福利性单位声明函 服务方案 标的清单 响应函 监狱企业的证明文件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明显低于其他通过符合性审查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开标一览表 服务内容及服务邀请应答表 中小企业声明函 商务应答表 供应商应提交的相关资格证明材料 报价表 响应文件封面 相关附件 残疾人福利性单位声明函 服务方案 标的清单 响应函 监狱企业的证明文件</w:t>
            </w:r>
          </w:p>
        </w:tc>
      </w:tr>
      <w:tr>
        <w:tc>
          <w:tcPr>
            <w:tcW w:type="dxa" w:w="831"/>
          </w:tcPr>
          <w:p>
            <w:pPr>
              <w:pStyle w:val="null3"/>
            </w:pPr>
            <w:r>
              <w:rPr/>
              <w:t>2</w:t>
            </w:r>
          </w:p>
        </w:tc>
        <w:tc>
          <w:tcPr>
            <w:tcW w:type="dxa" w:w="2492"/>
          </w:tcPr>
          <w:p>
            <w:pPr>
              <w:pStyle w:val="null3"/>
            </w:pPr>
            <w:r>
              <w:rPr/>
              <w:t>响应文件的有效期</w:t>
            </w:r>
          </w:p>
        </w:tc>
        <w:tc>
          <w:tcPr>
            <w:tcW w:type="dxa" w:w="3322"/>
          </w:tcPr>
          <w:p>
            <w:pPr>
              <w:pStyle w:val="null3"/>
            </w:pPr>
            <w:r>
              <w:rPr/>
              <w:t>符合竞争性磋商文件要求。</w:t>
            </w:r>
          </w:p>
        </w:tc>
        <w:tc>
          <w:tcPr>
            <w:tcW w:type="dxa" w:w="1661"/>
          </w:tcPr>
          <w:p>
            <w:pPr>
              <w:pStyle w:val="null3"/>
            </w:pPr>
            <w:r>
              <w:rPr/>
              <w:t>开标一览表 服务内容及服务邀请应答表 中小企业声明函 商务应答表 供应商应提交的相关资格证明材料 报价表 响应文件封面 相关附件 残疾人福利性单位声明函 服务方案 标的清单 响应函 监狱企业的证明文件</w:t>
            </w:r>
          </w:p>
        </w:tc>
      </w:tr>
      <w:tr>
        <w:tc>
          <w:tcPr>
            <w:tcW w:type="dxa" w:w="831"/>
          </w:tcPr>
          <w:p>
            <w:pPr>
              <w:pStyle w:val="null3"/>
            </w:pPr>
            <w:r>
              <w:rPr/>
              <w:t>3</w:t>
            </w:r>
          </w:p>
        </w:tc>
        <w:tc>
          <w:tcPr>
            <w:tcW w:type="dxa" w:w="2492"/>
          </w:tcPr>
          <w:p>
            <w:pPr>
              <w:pStyle w:val="null3"/>
            </w:pPr>
            <w:r>
              <w:rPr/>
              <w:t>投标文件签署、签章</w:t>
            </w:r>
          </w:p>
        </w:tc>
        <w:tc>
          <w:tcPr>
            <w:tcW w:type="dxa" w:w="3322"/>
          </w:tcPr>
          <w:p>
            <w:pPr>
              <w:pStyle w:val="null3"/>
            </w:pPr>
            <w:r>
              <w:rPr/>
              <w:t>响应文件签署、盖章均按磋商文件要求签字、盖章。</w:t>
            </w:r>
          </w:p>
        </w:tc>
        <w:tc>
          <w:tcPr>
            <w:tcW w:type="dxa" w:w="1661"/>
          </w:tcPr>
          <w:p>
            <w:pPr>
              <w:pStyle w:val="null3"/>
            </w:pPr>
            <w:r>
              <w:rPr/>
              <w:t>开标一览表 服务内容及服务邀请应答表 中小企业声明函 商务应答表 供应商应提交的相关资格证明材料 报价表 响应文件封面 相关附件 残疾人福利性单位声明函 服务方案 标的清单 响应函 监狱企业的证明文件</w:t>
            </w:r>
          </w:p>
        </w:tc>
      </w:tr>
      <w:tr>
        <w:tc>
          <w:tcPr>
            <w:tcW w:type="dxa" w:w="831"/>
          </w:tcPr>
          <w:p>
            <w:pPr>
              <w:pStyle w:val="null3"/>
            </w:pPr>
            <w:r>
              <w:rPr/>
              <w:t>4</w:t>
            </w:r>
          </w:p>
        </w:tc>
        <w:tc>
          <w:tcPr>
            <w:tcW w:type="dxa" w:w="2492"/>
          </w:tcPr>
          <w:p>
            <w:pPr>
              <w:pStyle w:val="null3"/>
            </w:pPr>
            <w:r>
              <w:rPr/>
              <w:t>响应文件报价</w:t>
            </w:r>
          </w:p>
        </w:tc>
        <w:tc>
          <w:tcPr>
            <w:tcW w:type="dxa" w:w="3322"/>
          </w:tcPr>
          <w:p>
            <w:pPr>
              <w:pStyle w:val="null3"/>
            </w:pPr>
            <w:r>
              <w:rPr/>
              <w:t>报价唯一，且没有高于采购预算或磋商文件规定的最高限价。</w:t>
            </w:r>
          </w:p>
        </w:tc>
        <w:tc>
          <w:tcPr>
            <w:tcW w:type="dxa" w:w="1661"/>
          </w:tcPr>
          <w:p>
            <w:pPr>
              <w:pStyle w:val="null3"/>
            </w:pPr>
            <w:r>
              <w:rPr/>
              <w:t>开标一览表 服务内容及服务邀请应答表 中小企业声明函 商务应答表 供应商应提交的相关资格证明材料 报价表 响应文件封面 相关附件 残疾人福利性单位声明函 服务方案 标的清单 响应函 监狱企业的证明文件</w:t>
            </w:r>
          </w:p>
        </w:tc>
      </w:tr>
      <w:tr>
        <w:tc>
          <w:tcPr>
            <w:tcW w:type="dxa" w:w="831"/>
          </w:tcPr>
          <w:p>
            <w:pPr>
              <w:pStyle w:val="null3"/>
            </w:pPr>
            <w:r>
              <w:rPr/>
              <w:t>5</w:t>
            </w:r>
          </w:p>
        </w:tc>
        <w:tc>
          <w:tcPr>
            <w:tcW w:type="dxa" w:w="2492"/>
          </w:tcPr>
          <w:p>
            <w:pPr>
              <w:pStyle w:val="null3"/>
            </w:pPr>
            <w:r>
              <w:rPr/>
              <w:t>服务期限</w:t>
            </w:r>
          </w:p>
        </w:tc>
        <w:tc>
          <w:tcPr>
            <w:tcW w:type="dxa" w:w="3322"/>
          </w:tcPr>
          <w:p>
            <w:pPr>
              <w:pStyle w:val="null3"/>
            </w:pPr>
            <w:r>
              <w:rPr/>
              <w:t>符合竞争性磋商文件要求。</w:t>
            </w:r>
          </w:p>
        </w:tc>
        <w:tc>
          <w:tcPr>
            <w:tcW w:type="dxa" w:w="1661"/>
          </w:tcPr>
          <w:p>
            <w:pPr>
              <w:pStyle w:val="null3"/>
            </w:pPr>
            <w:r>
              <w:rPr/>
              <w:t>开标一览表 服务内容及服务邀请应答表 中小企业声明函 商务应答表 供应商应提交的相关资格证明材料 报价表 响应文件封面 相关附件 残疾人福利性单位声明函 服务方案 标的清单 响应函 监狱企业的证明文件</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需求分析</w:t>
            </w:r>
          </w:p>
        </w:tc>
        <w:tc>
          <w:tcPr>
            <w:tcW w:type="dxa" w:w="2492"/>
          </w:tcPr>
          <w:p>
            <w:pPr>
              <w:pStyle w:val="null3"/>
            </w:pPr>
            <w:r>
              <w:rPr/>
              <w:t>根据供应商对项目的背景、目的、内容与时间要求等的理解程度进行评分。 项目的背景、目的、内容与时间要求等的理解深刻，认识全面，切合项目情况得7分；理解较深刻，有一定认识，与项目情况较切合得5分；理解不足，认识度低，与项目关联度低得3分。未提供不得分。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商务应答表</w:t>
            </w:r>
          </w:p>
          <w:p>
            <w:pPr>
              <w:pStyle w:val="null3"/>
            </w:pPr>
            <w:r>
              <w:rPr/>
              <w:t>报价表</w:t>
            </w:r>
          </w:p>
          <w:p>
            <w:pPr>
              <w:pStyle w:val="null3"/>
            </w:pPr>
            <w:r>
              <w:rPr/>
              <w:t>标的清单</w:t>
            </w:r>
          </w:p>
          <w:p>
            <w:pPr>
              <w:pStyle w:val="null3"/>
            </w:pPr>
            <w:r>
              <w:rPr/>
              <w:t>服务方案</w:t>
            </w:r>
          </w:p>
          <w:p>
            <w:pPr>
              <w:pStyle w:val="null3"/>
            </w:pPr>
            <w:r>
              <w:rPr/>
              <w:t>开标一览表</w:t>
            </w:r>
          </w:p>
          <w:p>
            <w:pPr>
              <w:pStyle w:val="null3"/>
            </w:pPr>
            <w:r>
              <w:rPr/>
              <w:t>相关附件</w:t>
            </w:r>
          </w:p>
        </w:tc>
      </w:tr>
      <w:tr>
        <w:tc>
          <w:tcPr>
            <w:tcW w:type="dxa" w:w="831"/>
            <w:vMerge/>
          </w:tcPr>
          <w:p/>
        </w:tc>
        <w:tc>
          <w:tcPr>
            <w:tcW w:type="dxa" w:w="1661"/>
          </w:tcPr>
          <w:p>
            <w:pPr>
              <w:pStyle w:val="null3"/>
            </w:pPr>
            <w:r>
              <w:rPr/>
              <w:t>实施方案</w:t>
            </w:r>
          </w:p>
        </w:tc>
        <w:tc>
          <w:tcPr>
            <w:tcW w:type="dxa" w:w="2492"/>
          </w:tcPr>
          <w:p>
            <w:pPr>
              <w:pStyle w:val="null3"/>
            </w:pPr>
            <w:r>
              <w:rPr/>
              <w:t>提供完善的满足采购人要求的实施方案。 1、方案内容完整详实、技术路线和方法清晰、全面，针对性强、可操作性强、可行性强的，得10分； 2、方案内容基本完整详实、技术路线和方法基本清晰、全面，针对性、可操作性、可行性一般的，得7分； 3、方案内容简单、技术路线和方法不清晰、不全面，无针对性及可操作性，需要改进后才能使用得4分。 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商务应答表</w:t>
            </w:r>
          </w:p>
          <w:p>
            <w:pPr>
              <w:pStyle w:val="null3"/>
            </w:pPr>
            <w:r>
              <w:rPr/>
              <w:t>报价表</w:t>
            </w:r>
          </w:p>
          <w:p>
            <w:pPr>
              <w:pStyle w:val="null3"/>
            </w:pPr>
            <w:r>
              <w:rPr/>
              <w:t>标的清单</w:t>
            </w:r>
          </w:p>
          <w:p>
            <w:pPr>
              <w:pStyle w:val="null3"/>
            </w:pPr>
            <w:r>
              <w:rPr/>
              <w:t>服务方案</w:t>
            </w:r>
          </w:p>
          <w:p>
            <w:pPr>
              <w:pStyle w:val="null3"/>
            </w:pPr>
            <w:r>
              <w:rPr/>
              <w:t>开标一览表</w:t>
            </w:r>
          </w:p>
          <w:p>
            <w:pPr>
              <w:pStyle w:val="null3"/>
            </w:pPr>
            <w:r>
              <w:rPr/>
              <w:t>相关附件</w:t>
            </w:r>
          </w:p>
        </w:tc>
      </w:tr>
      <w:tr>
        <w:tc>
          <w:tcPr>
            <w:tcW w:type="dxa" w:w="831"/>
            <w:vMerge/>
          </w:tcPr>
          <w:p/>
        </w:tc>
        <w:tc>
          <w:tcPr>
            <w:tcW w:type="dxa" w:w="1661"/>
          </w:tcPr>
          <w:p>
            <w:pPr>
              <w:pStyle w:val="null3"/>
            </w:pPr>
            <w:r>
              <w:rPr/>
              <w:t>拟投入人员配备方案</w:t>
            </w:r>
          </w:p>
        </w:tc>
        <w:tc>
          <w:tcPr>
            <w:tcW w:type="dxa" w:w="2492"/>
          </w:tcPr>
          <w:p>
            <w:pPr>
              <w:pStyle w:val="null3"/>
            </w:pPr>
            <w:r>
              <w:rPr/>
              <w:t>本项目拟投入人员至少15人，项目人员须有相关资历，以毕业证书、专业职称证书等为依据。拟投入本项目的其他人员(除项目负责人以外)中具有相关专业（包含但不限于测绘、规划、地理信息系统等）中级及以上工程师职称的，每提供1个计1分，最多得8分。 未提供不得分。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商务应答表</w:t>
            </w:r>
          </w:p>
          <w:p>
            <w:pPr>
              <w:pStyle w:val="null3"/>
            </w:pPr>
            <w:r>
              <w:rPr/>
              <w:t>报价表</w:t>
            </w:r>
          </w:p>
          <w:p>
            <w:pPr>
              <w:pStyle w:val="null3"/>
            </w:pPr>
            <w:r>
              <w:rPr/>
              <w:t>标的清单</w:t>
            </w:r>
          </w:p>
          <w:p>
            <w:pPr>
              <w:pStyle w:val="null3"/>
            </w:pPr>
            <w:r>
              <w:rPr/>
              <w:t>服务方案</w:t>
            </w:r>
          </w:p>
          <w:p>
            <w:pPr>
              <w:pStyle w:val="null3"/>
            </w:pPr>
            <w:r>
              <w:rPr/>
              <w:t>开标一览表</w:t>
            </w:r>
          </w:p>
          <w:p>
            <w:pPr>
              <w:pStyle w:val="null3"/>
            </w:pPr>
            <w:r>
              <w:rPr/>
              <w:t>相关附件</w:t>
            </w:r>
          </w:p>
        </w:tc>
      </w:tr>
      <w:tr>
        <w:tc>
          <w:tcPr>
            <w:tcW w:type="dxa" w:w="831"/>
            <w:vMerge/>
          </w:tcPr>
          <w:p/>
        </w:tc>
        <w:tc>
          <w:tcPr>
            <w:tcW w:type="dxa" w:w="1661"/>
          </w:tcPr>
          <w:p>
            <w:pPr>
              <w:pStyle w:val="null3"/>
            </w:pPr>
            <w:r>
              <w:rPr/>
              <w:t>质量保障措施</w:t>
            </w:r>
          </w:p>
        </w:tc>
        <w:tc>
          <w:tcPr>
            <w:tcW w:type="dxa" w:w="2492"/>
          </w:tcPr>
          <w:p>
            <w:pPr>
              <w:pStyle w:val="null3"/>
            </w:pPr>
            <w:r>
              <w:rPr/>
              <w:t>具有完善的工作质量保障措施。 1、质量保障措施全面、合理、规范，可行性强，得8分； 2、质量保障措施基本合理，具有一定的可行性，得6分； 3、质量保障措施简略，不全面，得3分； 未提供不得分。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商务应答表</w:t>
            </w:r>
          </w:p>
          <w:p>
            <w:pPr>
              <w:pStyle w:val="null3"/>
            </w:pPr>
            <w:r>
              <w:rPr/>
              <w:t>报价表</w:t>
            </w:r>
          </w:p>
          <w:p>
            <w:pPr>
              <w:pStyle w:val="null3"/>
            </w:pPr>
            <w:r>
              <w:rPr/>
              <w:t>标的清单</w:t>
            </w:r>
          </w:p>
          <w:p>
            <w:pPr>
              <w:pStyle w:val="null3"/>
            </w:pPr>
            <w:r>
              <w:rPr/>
              <w:t>服务方案</w:t>
            </w:r>
          </w:p>
          <w:p>
            <w:pPr>
              <w:pStyle w:val="null3"/>
            </w:pPr>
            <w:r>
              <w:rPr/>
              <w:t>开标一览表</w:t>
            </w:r>
          </w:p>
          <w:p>
            <w:pPr>
              <w:pStyle w:val="null3"/>
            </w:pPr>
            <w:r>
              <w:rPr/>
              <w:t>相关附件</w:t>
            </w:r>
          </w:p>
        </w:tc>
      </w:tr>
      <w:tr>
        <w:tc>
          <w:tcPr>
            <w:tcW w:type="dxa" w:w="831"/>
            <w:vMerge/>
          </w:tcPr>
          <w:p/>
        </w:tc>
        <w:tc>
          <w:tcPr>
            <w:tcW w:type="dxa" w:w="1661"/>
          </w:tcPr>
          <w:p>
            <w:pPr>
              <w:pStyle w:val="null3"/>
            </w:pPr>
            <w:r>
              <w:rPr/>
              <w:t>设备配备</w:t>
            </w:r>
          </w:p>
        </w:tc>
        <w:tc>
          <w:tcPr>
            <w:tcW w:type="dxa" w:w="2492"/>
          </w:tcPr>
          <w:p>
            <w:pPr>
              <w:pStyle w:val="null3"/>
            </w:pPr>
            <w:r>
              <w:rPr/>
              <w:t>配备专业的仪器设备，从数量、质量及其先进可靠性等方面满足本项目需求，得5分； 配备一般得3分； 配备简单的1分。 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商务应答表</w:t>
            </w:r>
          </w:p>
          <w:p>
            <w:pPr>
              <w:pStyle w:val="null3"/>
            </w:pPr>
            <w:r>
              <w:rPr/>
              <w:t>报价表</w:t>
            </w:r>
          </w:p>
          <w:p>
            <w:pPr>
              <w:pStyle w:val="null3"/>
            </w:pPr>
            <w:r>
              <w:rPr/>
              <w:t>标的清单</w:t>
            </w:r>
          </w:p>
          <w:p>
            <w:pPr>
              <w:pStyle w:val="null3"/>
            </w:pPr>
            <w:r>
              <w:rPr/>
              <w:t>服务方案</w:t>
            </w:r>
          </w:p>
          <w:p>
            <w:pPr>
              <w:pStyle w:val="null3"/>
            </w:pPr>
            <w:r>
              <w:rPr/>
              <w:t>开标一览表</w:t>
            </w:r>
          </w:p>
          <w:p>
            <w:pPr>
              <w:pStyle w:val="null3"/>
            </w:pPr>
            <w:r>
              <w:rPr/>
              <w:t>相关附件</w:t>
            </w:r>
          </w:p>
        </w:tc>
      </w:tr>
      <w:tr>
        <w:tc>
          <w:tcPr>
            <w:tcW w:type="dxa" w:w="831"/>
            <w:vMerge/>
          </w:tcPr>
          <w:p/>
        </w:tc>
        <w:tc>
          <w:tcPr>
            <w:tcW w:type="dxa" w:w="1661"/>
          </w:tcPr>
          <w:p>
            <w:pPr>
              <w:pStyle w:val="null3"/>
            </w:pPr>
            <w:r>
              <w:rPr/>
              <w:t>重难点分析</w:t>
            </w:r>
          </w:p>
        </w:tc>
        <w:tc>
          <w:tcPr>
            <w:tcW w:type="dxa" w:w="2492"/>
          </w:tcPr>
          <w:p>
            <w:pPr>
              <w:pStyle w:val="null3"/>
            </w:pPr>
            <w:r>
              <w:rPr/>
              <w:t>对本项目重难点的分析，以及相应的规划对策和控制措施： 1、分析准确，规划设计对策及控制措施合理，计9分； 2、分析较准确，规划设计对策及控制措施较合理，计6分； 3、分析准确性一般、规划设计对策及控制措施合理性一般，计3分； 未提供不得分。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商务应答表</w:t>
            </w:r>
          </w:p>
          <w:p>
            <w:pPr>
              <w:pStyle w:val="null3"/>
            </w:pPr>
            <w:r>
              <w:rPr/>
              <w:t>报价表</w:t>
            </w:r>
          </w:p>
          <w:p>
            <w:pPr>
              <w:pStyle w:val="null3"/>
            </w:pPr>
            <w:r>
              <w:rPr/>
              <w:t>标的清单</w:t>
            </w:r>
          </w:p>
          <w:p>
            <w:pPr>
              <w:pStyle w:val="null3"/>
            </w:pPr>
            <w:r>
              <w:rPr/>
              <w:t>服务方案</w:t>
            </w:r>
          </w:p>
          <w:p>
            <w:pPr>
              <w:pStyle w:val="null3"/>
            </w:pPr>
            <w:r>
              <w:rPr/>
              <w:t>开标一览表</w:t>
            </w:r>
          </w:p>
          <w:p>
            <w:pPr>
              <w:pStyle w:val="null3"/>
            </w:pPr>
            <w:r>
              <w:rPr/>
              <w:t>相关附件</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供应商针对本项目具体情况提出的合理化建议。 内容科学可行，有针对性且内容丰富，得7分； 内容较为科学可行，有针对性，得5分； 内容简单，得3分； 未提供不得分。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商务应答表</w:t>
            </w:r>
          </w:p>
          <w:p>
            <w:pPr>
              <w:pStyle w:val="null3"/>
            </w:pPr>
            <w:r>
              <w:rPr/>
              <w:t>报价表</w:t>
            </w:r>
          </w:p>
          <w:p>
            <w:pPr>
              <w:pStyle w:val="null3"/>
            </w:pPr>
            <w:r>
              <w:rPr/>
              <w:t>标的清单</w:t>
            </w:r>
          </w:p>
          <w:p>
            <w:pPr>
              <w:pStyle w:val="null3"/>
            </w:pPr>
            <w:r>
              <w:rPr/>
              <w:t>服务方案</w:t>
            </w:r>
          </w:p>
          <w:p>
            <w:pPr>
              <w:pStyle w:val="null3"/>
            </w:pPr>
            <w:r>
              <w:rPr/>
              <w:t>开标一览表</w:t>
            </w:r>
          </w:p>
          <w:p>
            <w:pPr>
              <w:pStyle w:val="null3"/>
            </w:pPr>
            <w:r>
              <w:rPr/>
              <w:t>相关附件</w:t>
            </w:r>
          </w:p>
        </w:tc>
      </w:tr>
      <w:tr>
        <w:tc>
          <w:tcPr>
            <w:tcW w:type="dxa" w:w="831"/>
            <w:vMerge/>
          </w:tcPr>
          <w:p/>
        </w:tc>
        <w:tc>
          <w:tcPr>
            <w:tcW w:type="dxa" w:w="1661"/>
          </w:tcPr>
          <w:p>
            <w:pPr>
              <w:pStyle w:val="null3"/>
            </w:pPr>
            <w:r>
              <w:rPr/>
              <w:t>项目进度安排</w:t>
            </w:r>
          </w:p>
        </w:tc>
        <w:tc>
          <w:tcPr>
            <w:tcW w:type="dxa" w:w="2492"/>
          </w:tcPr>
          <w:p>
            <w:pPr>
              <w:pStyle w:val="null3"/>
            </w:pPr>
            <w:r>
              <w:rPr/>
              <w:t>供应商对本项目的工作进度安排： 1、工作进度安排详细、科学、合理、切实可行，计9分； 2、工作进度安排较详细、较科学、较合理、较切实可行，计6分； 3、工作进度安排详细性一般、科学性一般、合理性一般、可行性一般，计3分。 未提供不得分。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商务应答表</w:t>
            </w:r>
          </w:p>
          <w:p>
            <w:pPr>
              <w:pStyle w:val="null3"/>
            </w:pPr>
            <w:r>
              <w:rPr/>
              <w:t>报价表</w:t>
            </w:r>
          </w:p>
          <w:p>
            <w:pPr>
              <w:pStyle w:val="null3"/>
            </w:pPr>
            <w:r>
              <w:rPr/>
              <w:t>标的清单</w:t>
            </w:r>
          </w:p>
          <w:p>
            <w:pPr>
              <w:pStyle w:val="null3"/>
            </w:pPr>
            <w:r>
              <w:rPr/>
              <w:t>服务方案</w:t>
            </w:r>
          </w:p>
          <w:p>
            <w:pPr>
              <w:pStyle w:val="null3"/>
            </w:pPr>
            <w:r>
              <w:rPr/>
              <w:t>开标一览表</w:t>
            </w:r>
          </w:p>
          <w:p>
            <w:pPr>
              <w:pStyle w:val="null3"/>
            </w:pPr>
            <w:r>
              <w:rPr/>
              <w:t>相关附件</w:t>
            </w:r>
          </w:p>
        </w:tc>
      </w:tr>
      <w:tr>
        <w:tc>
          <w:tcPr>
            <w:tcW w:type="dxa" w:w="831"/>
            <w:vMerge/>
          </w:tcPr>
          <w:p/>
        </w:tc>
        <w:tc>
          <w:tcPr>
            <w:tcW w:type="dxa" w:w="1661"/>
          </w:tcPr>
          <w:p>
            <w:pPr>
              <w:pStyle w:val="null3"/>
            </w:pPr>
            <w:r>
              <w:rPr/>
              <w:t>预期成果</w:t>
            </w:r>
          </w:p>
        </w:tc>
        <w:tc>
          <w:tcPr>
            <w:tcW w:type="dxa" w:w="2492"/>
          </w:tcPr>
          <w:p>
            <w:pPr>
              <w:pStyle w:val="null3"/>
            </w:pPr>
            <w:r>
              <w:rPr/>
              <w:t>1、预期成果分类合理、内容齐全、成果描述具体详实，计5分； 2、预期成果分类基本合理、内容基本齐全，并对成果进行相关描述；计3分； 3、预期成果分类不合理、内容缺失的计1分； 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商务应答表</w:t>
            </w:r>
          </w:p>
          <w:p>
            <w:pPr>
              <w:pStyle w:val="null3"/>
            </w:pPr>
            <w:r>
              <w:rPr/>
              <w:t>报价表</w:t>
            </w:r>
          </w:p>
          <w:p>
            <w:pPr>
              <w:pStyle w:val="null3"/>
            </w:pPr>
            <w:r>
              <w:rPr/>
              <w:t>标的清单</w:t>
            </w:r>
          </w:p>
          <w:p>
            <w:pPr>
              <w:pStyle w:val="null3"/>
            </w:pPr>
            <w:r>
              <w:rPr/>
              <w:t>服务方案</w:t>
            </w:r>
          </w:p>
          <w:p>
            <w:pPr>
              <w:pStyle w:val="null3"/>
            </w:pPr>
            <w:r>
              <w:rPr/>
              <w:t>开标一览表</w:t>
            </w:r>
          </w:p>
          <w:p>
            <w:pPr>
              <w:pStyle w:val="null3"/>
            </w:pPr>
            <w:r>
              <w:rPr/>
              <w:t>相关附件</w:t>
            </w:r>
          </w:p>
        </w:tc>
      </w:tr>
      <w:tr>
        <w:tc>
          <w:tcPr>
            <w:tcW w:type="dxa" w:w="831"/>
            <w:vMerge/>
          </w:tcPr>
          <w:p/>
        </w:tc>
        <w:tc>
          <w:tcPr>
            <w:tcW w:type="dxa" w:w="1661"/>
          </w:tcPr>
          <w:p>
            <w:pPr>
              <w:pStyle w:val="null3"/>
            </w:pPr>
            <w:r>
              <w:rPr/>
              <w:t>服务承诺</w:t>
            </w:r>
          </w:p>
        </w:tc>
        <w:tc>
          <w:tcPr>
            <w:tcW w:type="dxa" w:w="2492"/>
          </w:tcPr>
          <w:p>
            <w:pPr>
              <w:pStyle w:val="null3"/>
            </w:pPr>
            <w:r>
              <w:rPr/>
              <w:t>针对采购人实际需求提供保证服务质量的承诺： 1、承诺详细、具体，可行性强，得7分； 2、承诺较为详细，有可行性，得5分； 3、承诺可行性不足，内容简单，得3分； 未提供不得分。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商务应答表</w:t>
            </w:r>
          </w:p>
          <w:p>
            <w:pPr>
              <w:pStyle w:val="null3"/>
            </w:pPr>
            <w:r>
              <w:rPr/>
              <w:t>报价表</w:t>
            </w:r>
          </w:p>
          <w:p>
            <w:pPr>
              <w:pStyle w:val="null3"/>
            </w:pPr>
            <w:r>
              <w:rPr/>
              <w:t>标的清单</w:t>
            </w:r>
          </w:p>
          <w:p>
            <w:pPr>
              <w:pStyle w:val="null3"/>
            </w:pPr>
            <w:r>
              <w:rPr/>
              <w:t>服务方案</w:t>
            </w:r>
          </w:p>
          <w:p>
            <w:pPr>
              <w:pStyle w:val="null3"/>
            </w:pPr>
            <w:r>
              <w:rPr/>
              <w:t>开标一览表</w:t>
            </w:r>
          </w:p>
          <w:p>
            <w:pPr>
              <w:pStyle w:val="null3"/>
            </w:pPr>
            <w:r>
              <w:rPr/>
              <w:t>相关附件</w:t>
            </w:r>
          </w:p>
        </w:tc>
      </w:tr>
      <w:tr>
        <w:tc>
          <w:tcPr>
            <w:tcW w:type="dxa" w:w="831"/>
            <w:vMerge/>
          </w:tcPr>
          <w:p/>
        </w:tc>
        <w:tc>
          <w:tcPr>
            <w:tcW w:type="dxa" w:w="1661"/>
          </w:tcPr>
          <w:p>
            <w:pPr>
              <w:pStyle w:val="null3"/>
            </w:pPr>
            <w:r>
              <w:rPr/>
              <w:t>数据保密与安全措施</w:t>
            </w:r>
          </w:p>
        </w:tc>
        <w:tc>
          <w:tcPr>
            <w:tcW w:type="dxa" w:w="2492"/>
          </w:tcPr>
          <w:p>
            <w:pPr>
              <w:pStyle w:val="null3"/>
            </w:pPr>
            <w:r>
              <w:rPr/>
              <w:t>对数据安全保障方案安排合理性进行评分。 数据安全保障方案科学详尽可行得5分；数据安全保障方案完善，有可行性得3分；数据安全保障方案不足，不符合实际情况得1分； 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商务应答表</w:t>
            </w:r>
          </w:p>
          <w:p>
            <w:pPr>
              <w:pStyle w:val="null3"/>
            </w:pPr>
            <w:r>
              <w:rPr/>
              <w:t>报价表</w:t>
            </w:r>
          </w:p>
          <w:p>
            <w:pPr>
              <w:pStyle w:val="null3"/>
            </w:pPr>
            <w:r>
              <w:rPr/>
              <w:t>标的清单</w:t>
            </w:r>
          </w:p>
          <w:p>
            <w:pPr>
              <w:pStyle w:val="null3"/>
            </w:pPr>
            <w:r>
              <w:rPr/>
              <w:t>服务方案</w:t>
            </w:r>
          </w:p>
          <w:p>
            <w:pPr>
              <w:pStyle w:val="null3"/>
            </w:pPr>
            <w:r>
              <w:rPr/>
              <w:t>开标一览表</w:t>
            </w:r>
          </w:p>
          <w:p>
            <w:pPr>
              <w:pStyle w:val="null3"/>
            </w:pPr>
            <w:r>
              <w:rPr/>
              <w:t>相关附件</w:t>
            </w:r>
          </w:p>
        </w:tc>
      </w:tr>
      <w:tr>
        <w:tc>
          <w:tcPr>
            <w:tcW w:type="dxa" w:w="831"/>
            <w:vMerge/>
          </w:tcPr>
          <w:p/>
        </w:tc>
        <w:tc>
          <w:tcPr>
            <w:tcW w:type="dxa" w:w="1661"/>
          </w:tcPr>
          <w:p>
            <w:pPr>
              <w:pStyle w:val="null3"/>
            </w:pPr>
            <w:r>
              <w:rPr/>
              <w:t>业绩</w:t>
            </w:r>
          </w:p>
        </w:tc>
        <w:tc>
          <w:tcPr>
            <w:tcW w:type="dxa" w:w="2492"/>
          </w:tcPr>
          <w:p>
            <w:pPr>
              <w:pStyle w:val="null3"/>
            </w:pPr>
            <w:r>
              <w:rPr/>
              <w:t>1、供应商以合同形式提供自2020年1月1日以来同类项目业绩，每提供一个得1分，最高得5分； 2、供应商具有市级及以上国土业务方面核查汇总项目业绩，每提供一个得1分，最高不超过5分，未提供不得分。（提供合同复印件并加盖供应商公章）。未提供不得分。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商务应答表</w:t>
            </w:r>
          </w:p>
          <w:p>
            <w:pPr>
              <w:pStyle w:val="null3"/>
            </w:pPr>
            <w:r>
              <w:rPr/>
              <w:t>报价表</w:t>
            </w:r>
          </w:p>
          <w:p>
            <w:pPr>
              <w:pStyle w:val="null3"/>
            </w:pPr>
            <w:r>
              <w:rPr/>
              <w:t>标的清单</w:t>
            </w:r>
          </w:p>
          <w:p>
            <w:pPr>
              <w:pStyle w:val="null3"/>
            </w:pPr>
            <w:r>
              <w:rPr/>
              <w:t>服务方案</w:t>
            </w:r>
          </w:p>
          <w:p>
            <w:pPr>
              <w:pStyle w:val="null3"/>
            </w:pPr>
            <w:r>
              <w:rPr/>
              <w:t>开标一览表</w:t>
            </w:r>
          </w:p>
          <w:p>
            <w:pPr>
              <w:pStyle w:val="null3"/>
            </w:pPr>
            <w:r>
              <w:rPr/>
              <w:t>相关附件</w:t>
            </w:r>
          </w:p>
        </w:tc>
      </w:tr>
      <w:tr>
        <w:tc>
          <w:tcPr>
            <w:tcW w:type="dxa" w:w="831"/>
            <w:vMerge/>
          </w:tcPr>
          <w:p/>
        </w:tc>
        <w:tc>
          <w:tcPr>
            <w:tcW w:type="dxa" w:w="1661"/>
          </w:tcPr>
          <w:p>
            <w:pPr>
              <w:pStyle w:val="null3"/>
            </w:pPr>
            <w:r>
              <w:rPr/>
              <w:t>价格分</w:t>
            </w:r>
          </w:p>
        </w:tc>
        <w:tc>
          <w:tcPr>
            <w:tcW w:type="dxa" w:w="2492"/>
          </w:tcPr>
          <w:p>
            <w:pPr>
              <w:pStyle w:val="null3"/>
            </w:pPr>
            <w:r>
              <w:rPr/>
              <w:t>以满足磋商文件要求且投标价格最低的投标报价为评标基准价，其价格分为满分10分，其他供应商的价格分按照下列公式计算： 投标报价得分=（评标基准价/投标报价）×10。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响应文件封面</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供应商应提交的相关资格证明材料</w:t>
            </w:r>
          </w:p>
          <w:p>
            <w:pPr>
              <w:pStyle w:val="null3"/>
            </w:pPr>
            <w:r>
              <w:rPr/>
              <w:t>服务内容及服务邀请应答表</w:t>
            </w:r>
          </w:p>
          <w:p>
            <w:pPr>
              <w:pStyle w:val="null3"/>
            </w:pPr>
            <w:r>
              <w:rPr/>
              <w:t>商务应答表</w:t>
            </w:r>
          </w:p>
          <w:p>
            <w:pPr>
              <w:pStyle w:val="null3"/>
            </w:pPr>
            <w:r>
              <w:rPr/>
              <w:t>报价表</w:t>
            </w:r>
          </w:p>
          <w:p>
            <w:pPr>
              <w:pStyle w:val="null3"/>
            </w:pPr>
            <w:r>
              <w:rPr/>
              <w:t>标的清单</w:t>
            </w:r>
          </w:p>
          <w:p>
            <w:pPr>
              <w:pStyle w:val="null3"/>
            </w:pPr>
            <w:r>
              <w:rPr/>
              <w:t>服务方案</w:t>
            </w:r>
          </w:p>
          <w:p>
            <w:pPr>
              <w:pStyle w:val="null3"/>
            </w:pPr>
            <w:r>
              <w:rPr/>
              <w:t>开标一览表</w:t>
            </w:r>
          </w:p>
          <w:p>
            <w:pPr>
              <w:pStyle w:val="null3"/>
            </w:pPr>
            <w:r>
              <w:rPr/>
              <w:t>相关附件</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详见附件：开标一览表</w:t>
      </w:r>
    </w:p>
    <w:p>
      <w:pPr>
        <w:pStyle w:val="null3"/>
        <w:ind w:firstLine="960"/>
      </w:pPr>
      <w:r>
        <w:rPr/>
        <w:t>详见附件：相关附件</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