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28" w:rsidRDefault="00882628" w:rsidP="00882628">
      <w:pPr>
        <w:pStyle w:val="1"/>
        <w:jc w:val="center"/>
        <w:rPr>
          <w:rFonts w:hint="eastAsia"/>
        </w:rPr>
      </w:pPr>
      <w:r>
        <w:t>技术参数</w:t>
      </w:r>
    </w:p>
    <w:p w:rsidR="00882628" w:rsidRDefault="00882628" w:rsidP="00882628">
      <w:pPr>
        <w:pStyle w:val="null3"/>
        <w:rPr>
          <w:rFonts w:hint="default"/>
        </w:rPr>
      </w:pP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709"/>
        <w:gridCol w:w="6888"/>
      </w:tblGrid>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参数性质</w:t>
            </w:r>
          </w:p>
        </w:tc>
        <w:tc>
          <w:tcPr>
            <w:tcW w:w="709" w:type="dxa"/>
            <w:vAlign w:val="center"/>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序号</w:t>
            </w:r>
          </w:p>
        </w:tc>
        <w:tc>
          <w:tcPr>
            <w:tcW w:w="6888" w:type="dxa"/>
            <w:vAlign w:val="center"/>
          </w:tcPr>
          <w:p w:rsidR="00882628" w:rsidRPr="004D3466" w:rsidRDefault="00882628" w:rsidP="004D3466">
            <w:pPr>
              <w:pStyle w:val="null3"/>
              <w:jc w:val="center"/>
              <w:rPr>
                <w:rFonts w:ascii="宋体" w:eastAsia="宋体" w:hAnsi="宋体" w:hint="default"/>
                <w:sz w:val="24"/>
                <w:szCs w:val="24"/>
              </w:rPr>
            </w:pPr>
            <w:bookmarkStart w:id="0" w:name="_GoBack"/>
            <w:bookmarkEnd w:id="0"/>
            <w:r w:rsidRPr="004D3466">
              <w:rPr>
                <w:rFonts w:ascii="宋体" w:eastAsia="宋体" w:hAnsi="宋体"/>
                <w:sz w:val="24"/>
                <w:szCs w:val="24"/>
              </w:rPr>
              <w:t>技术参数与性能指标</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一、结核病智能电子药盒参数</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1.外壳采用食品级材料（PP）；密封防潮设计：盒盖与盒体之间有一层嵌合式密封胶圈；</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2.药盒模块化设计,模组块可循环使用，患者信息可由使用单位重复写入；内置4G通信卡，采用GSM通信网络；实现服药数据实时上传；</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3.装填药量：一个月（FDC复合制剂及散装药药量为例）；</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4.电压输入：100-240V~50/60Hz；</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5.内置锂电池，断电后可持续使用；</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6.与后台服务器数据交互认证符合标准网络协议；</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7.具备自动记录药盒开盖功能,自动检测患者服药动作功能，自动记录患者服药数据，实时上传后台服务器；</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8.具备人工语音功能提示（例如：祝您早日康复，网络已连接等）功能</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9.具备服药时间LED灯光服药提醒功能；</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10.具备随访确认键功能；</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11.具备复诊提醒灯功能；</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12.网络信号指示灯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二、配套结核病管理云平台总体要求</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信息平台部署在承担全市结核病防治工作的结核病定点医院、乡镇卫生院/社区卫生服务中心和村卫生室/社区卫生服务站。对于工作机构，具备电脑端和手机终端相关业务操作；对于患者，支持手机端和电子药盒终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2.手机端支持安卓、苹果操作系统。</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3.支持各级机构用户查看患者推介、追踪、健康管理等数据；</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4.支持基层工作人员使用手机微信小程序管理患者；</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5.支持患者使用微信小程序和结核病智能电子药盒，辅助患者服药、复诊、访视；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6.支持管理员对云平台内结核病药品种类配置管理；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lastRenderedPageBreak/>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19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7.支持管理员对云平台内结核病治疗方案配置管理；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8.支持管理员对健康教育推送信息管理；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9.支持管理员对资讯消息的管理；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10.云平台信息系统符合国家三级等保要求。</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11.云平台软件部署要求：电脑端CPU：≥4vCPUs；内存：≥16G；硬盘：≥100G；带宽：≥10M。</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12.本项目工期1个月内完成项目建设，质保期2年，质保期内提供软件各模块下优化升级；电子药盒GSM卡支持4G网络；支持手机端远程在线版本更新；中标人提供服务端云环境资源租用费用，若系统后续需要迁移，中标人技术人员提供相应技术服务。</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13.支持所投软件产品结核病管理云平台与其他系统平台对接，中标人提供技术人员，配合采购方完成相关对接工作。本项对接工作不得额未收费。</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三、市、区县医疗管理机构PC端功能</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1.支持疾控管理员对患者推介记录的查询、导出；</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2.支持疾控管理员对患者追踪记录的发起、查询、导出</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3.支持疾控管理员对患者就医管理业务的查询、导出，即通知单管理、访视管理、服药管理、复诊管理、停止治疗、分级诊疗；</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29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4.支持疾控管理员批量导入结核病专报系统病案基本信息；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5.支持疾控管理员对密接者管理数据的查询、导出；</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6.支持疾控管理员对辖区内患者社区化疗异常报告数据进行查询、导出；</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7.支持疾控管理员对重点人群（耐药患者、老年人、糖尿病患者、HIV患者）登记数据进行查询、导出；</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8.支持疾控管理员进行系统设置，即区划管理、机构维护、用户管理、角色管理；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9.支持疾控管理员批量导入机构和用户信息，批量创建账号</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10.支持疾控管理员对健康教育计划配置；</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11.支持疾控管理员对权限内数据的统计监测；</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12.支持疾控管理员对权限内数据的统计分析和GIS展示，包括推介、追踪、患者管理、主动筛查、预防管理、等核心业务指标；GIS展示支持统计数据图表展示，支持按年度、季度进行统计，支持电子地图数据钻探。</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四、与省级平台参数对接功能</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1.本次采购结核病智能电子药盒须和上述陕西省结核病防治信息化平台相匹配；</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39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2.支持陕西省结核病防治信息化平台试点项目电子药盒服药数据与本项目结核病管理云平台对接。</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五、市、区县定点医院医生PC端功能</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1.支持定点医院医生对患者推介的管理；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2.支持定点医院医生对患者追踪的管理；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3.支持定点医院医生对患者的治疗管理通知单的管理；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4.支持定点医院医生批量导入结核病专报系统病案基本信息；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5.支持定点医院医生对患者的服药管理；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6.支持定点医院医生对患者的分级诊疗管理；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7.支持定点医院医生对患者的停止治疗管理；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8.支持定点医院医生对患者的预约复诊管理。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9.支持定点医院医生对患者添加复诊领药量，并自动生成对应服药计划；</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49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10.支持定点医院医生对辖区内患者社区化疗异常报告的查询；</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六、市、区县定点医院医生移动端功能</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1.支持患者推介消息提醒；</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2.支持患者追踪预约提醒；</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3.支持患者追踪失败提醒（常驻外地、信息有误）；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4.支持患者管理失败提醒（常驻外地、信息有误）；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5.支持远程在线版本更新；</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6.支持接收、查看患者管理不良反应提醒。</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七、基层工作人员（督导员）PC端功能</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1.支持基层工作人员对患者推介记录的管理；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2.支持基层工作人员对患者追踪的信息接收、反馈追踪结果；</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3.支持基层工作人员对患者治疗管理通知单记录的查询、导出、修改督导机构、修改现住址和导入结核病专报系统病案基本信息；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59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4.支持基层工作人员对患者访视记录管理；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5.支持基层工作人员对患者服药记录管理和服药数据补录；</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6.支持基层工作人员对患者复诊记录的查看；</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7.支持基层工作人员对结核病确诊患者添加其密接者，并进行管理；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8.支持基层工作人员对添加辖区内患者社区化疗异常报告，并可进行的查询；</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9.支持基层工作人员对按季度新增健康教育报表；</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10.支持基层工作人员对按季度新增专项督导报表；</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11.支持基层工作人员对重点人群（老年人、糖尿病患者）进行登记管理；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12.支持基层工作人员对辖区内人口数进行维护</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八、基层工作人员（督导员）移动端功能</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 xml:space="preserve"> 1、支持基层工作人员微信小程序账号绑定；</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69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2.支持基层工作人员新增患者推介，接收推介患者未就诊提醒，反馈未就诊原因；</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3.支持基层工作人员接收患者追踪通知，追踪结果反馈；</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4.基层工作人员待办事项列表：支持系统智能推送辖区患者首次访视、日常访视、结案访视、漏服药、复诊等工作通知提醒，点击对应通知即可进行工作任务处理；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5. 支持基层工作人员使用多种访视验证方式，如短信码验证、小程序动态二维码验证、智能药盒二维码验证；</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6.支持基层工作人员查看患者基本信息、访视记录、复诊记录、服药记录；</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7.支持基层工作人员一键拨号联系患者，进行漏服药、复诊、访视提醒；</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8.支持基层工作人员对患者留言咨询进行查看、回复；</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9.支持基层工作人员查看患者远程视频申请沟通，并可进行视频通话；</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10.支持远程在线版本更新</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九、患者移动端功能（手机端）</w:t>
            </w:r>
          </w:p>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 xml:space="preserve"> 1、支持患者微信小程序账号登录；</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79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2.支持患者接收服药消息提醒，并上传服药记录；</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w:t>
            </w: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3.服药记录采用种植健康树的形式，完成每月服药量生成兑换码，用于兑换奖励。</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81</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4.支持患者接收复诊消息提醒；</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82</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5.支持患者接收访视消息提醒；</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83</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6.支持患者联系责任医生、基层督导员进行留言咨询；</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84</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7.支持患者联系责任医生、基层督导员预约远程视频咨询；</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85</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8.支持患者查看治疗信息、复诊记录、服药记录</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86</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9.支持动态访视二维码验证；</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87</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10.支持患者查看已绑定的智能电子药盒信息；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88</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11.支持患者接收、查看健康资讯；</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89</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12.支持系统按患者服药治疗阶段推送患者健康教育知识；</w:t>
            </w:r>
          </w:p>
        </w:tc>
      </w:tr>
      <w:tr w:rsidR="00882628" w:rsidRPr="004D3466" w:rsidTr="004D3466">
        <w:tc>
          <w:tcPr>
            <w:tcW w:w="709" w:type="dxa"/>
          </w:tcPr>
          <w:p w:rsidR="00882628" w:rsidRPr="004D3466" w:rsidRDefault="00882628" w:rsidP="004D3466">
            <w:pPr>
              <w:spacing w:line="360" w:lineRule="auto"/>
              <w:jc w:val="center"/>
              <w:rPr>
                <w:rFonts w:ascii="宋体" w:eastAsia="宋体" w:hAnsi="宋体"/>
                <w:sz w:val="24"/>
              </w:rPr>
            </w:pPr>
          </w:p>
        </w:tc>
        <w:tc>
          <w:tcPr>
            <w:tcW w:w="709" w:type="dxa"/>
          </w:tcPr>
          <w:p w:rsidR="00882628" w:rsidRPr="004D3466" w:rsidRDefault="00882628" w:rsidP="004D3466">
            <w:pPr>
              <w:spacing w:line="360" w:lineRule="auto"/>
              <w:jc w:val="center"/>
              <w:rPr>
                <w:rFonts w:ascii="宋体" w:eastAsia="宋体" w:hAnsi="宋体"/>
                <w:sz w:val="24"/>
              </w:rPr>
            </w:pPr>
            <w:r w:rsidRPr="004D3466">
              <w:rPr>
                <w:rFonts w:ascii="宋体" w:eastAsia="宋体" w:hAnsi="宋体"/>
                <w:sz w:val="24"/>
              </w:rPr>
              <w:t>90</w:t>
            </w:r>
          </w:p>
        </w:tc>
        <w:tc>
          <w:tcPr>
            <w:tcW w:w="6888" w:type="dxa"/>
          </w:tcPr>
          <w:p w:rsidR="00882628" w:rsidRPr="004D3466" w:rsidRDefault="00882628" w:rsidP="00644183">
            <w:pPr>
              <w:pStyle w:val="null3"/>
              <w:rPr>
                <w:rFonts w:ascii="宋体" w:eastAsia="宋体" w:hAnsi="宋体" w:hint="default"/>
                <w:sz w:val="24"/>
                <w:szCs w:val="24"/>
              </w:rPr>
            </w:pPr>
            <w:r w:rsidRPr="004D3466">
              <w:rPr>
                <w:rFonts w:ascii="宋体" w:eastAsia="宋体" w:hAnsi="宋体"/>
                <w:sz w:val="24"/>
                <w:szCs w:val="24"/>
              </w:rPr>
              <w:t>13.远程在线版本更新。</w:t>
            </w:r>
          </w:p>
        </w:tc>
      </w:tr>
    </w:tbl>
    <w:p w:rsidR="00243E9B" w:rsidRDefault="00243E9B"/>
    <w:sectPr w:rsidR="00243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54C" w:rsidRDefault="0049154C" w:rsidP="00882628">
      <w:r>
        <w:separator/>
      </w:r>
    </w:p>
  </w:endnote>
  <w:endnote w:type="continuationSeparator" w:id="0">
    <w:p w:rsidR="0049154C" w:rsidRDefault="0049154C" w:rsidP="0088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54C" w:rsidRDefault="0049154C" w:rsidP="00882628">
      <w:r>
        <w:separator/>
      </w:r>
    </w:p>
  </w:footnote>
  <w:footnote w:type="continuationSeparator" w:id="0">
    <w:p w:rsidR="0049154C" w:rsidRDefault="0049154C" w:rsidP="00882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8C"/>
    <w:rsid w:val="00243E9B"/>
    <w:rsid w:val="0049154C"/>
    <w:rsid w:val="004D3466"/>
    <w:rsid w:val="00882628"/>
    <w:rsid w:val="0094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AA77B"/>
  <w15:chartTrackingRefBased/>
  <w15:docId w15:val="{703E6719-AE01-4475-9557-5D90AEE2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28"/>
    <w:pPr>
      <w:widowControl w:val="0"/>
      <w:jc w:val="both"/>
    </w:pPr>
    <w:rPr>
      <w:szCs w:val="24"/>
    </w:rPr>
  </w:style>
  <w:style w:type="paragraph" w:styleId="1">
    <w:name w:val="heading 1"/>
    <w:basedOn w:val="a"/>
    <w:next w:val="a"/>
    <w:link w:val="10"/>
    <w:uiPriority w:val="9"/>
    <w:qFormat/>
    <w:rsid w:val="0088262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2628"/>
    <w:rPr>
      <w:sz w:val="18"/>
      <w:szCs w:val="18"/>
    </w:rPr>
  </w:style>
  <w:style w:type="paragraph" w:styleId="a5">
    <w:name w:val="footer"/>
    <w:basedOn w:val="a"/>
    <w:link w:val="a6"/>
    <w:uiPriority w:val="99"/>
    <w:unhideWhenUsed/>
    <w:rsid w:val="00882628"/>
    <w:pPr>
      <w:tabs>
        <w:tab w:val="center" w:pos="4153"/>
        <w:tab w:val="right" w:pos="8306"/>
      </w:tabs>
      <w:snapToGrid w:val="0"/>
      <w:jc w:val="left"/>
    </w:pPr>
    <w:rPr>
      <w:sz w:val="18"/>
      <w:szCs w:val="18"/>
    </w:rPr>
  </w:style>
  <w:style w:type="character" w:customStyle="1" w:styleId="a6">
    <w:name w:val="页脚 字符"/>
    <w:basedOn w:val="a0"/>
    <w:link w:val="a5"/>
    <w:uiPriority w:val="99"/>
    <w:rsid w:val="00882628"/>
    <w:rPr>
      <w:sz w:val="18"/>
      <w:szCs w:val="18"/>
    </w:rPr>
  </w:style>
  <w:style w:type="paragraph" w:customStyle="1" w:styleId="null3">
    <w:name w:val="null3"/>
    <w:hidden/>
    <w:rsid w:val="00882628"/>
    <w:rPr>
      <w:rFonts w:hint="eastAsia"/>
      <w:kern w:val="0"/>
      <w:sz w:val="20"/>
      <w:szCs w:val="20"/>
      <w:lang w:eastAsia="zh-Hans"/>
    </w:rPr>
  </w:style>
  <w:style w:type="character" w:customStyle="1" w:styleId="10">
    <w:name w:val="标题 1 字符"/>
    <w:basedOn w:val="a0"/>
    <w:link w:val="1"/>
    <w:uiPriority w:val="9"/>
    <w:rsid w:val="0088262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510</Words>
  <Characters>2910</Characters>
  <Application>Microsoft Office Word</Application>
  <DocSecurity>0</DocSecurity>
  <Lines>24</Lines>
  <Paragraphs>6</Paragraphs>
  <ScaleCrop>false</ScaleCrop>
  <Company>DoubleOX</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2024-03-27T05:59:00Z</dcterms:created>
  <dcterms:modified xsi:type="dcterms:W3CDTF">2024-03-27T06:00:00Z</dcterms:modified>
</cp:coreProperties>
</file>