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b/>
          <w:bCs/>
          <w:sz w:val="32"/>
          <w:szCs w:val="32"/>
          <w:lang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SXWZ2024ZB-XAXZ--015</w:t>
      </w:r>
    </w:p>
    <w:p>
      <w:pPr>
        <w:jc w:val="center"/>
        <w:rPr>
          <w:rFonts w:ascii="宋体" w:hAnsi="宋体" w:eastAsia="宋体" w:cs="宋体"/>
          <w:sz w:val="44"/>
          <w:szCs w:val="44"/>
        </w:rPr>
      </w:pPr>
    </w:p>
    <w:p>
      <w:pPr>
        <w:jc w:val="both"/>
        <w:rPr>
          <w:rFonts w:ascii="宋体" w:hAnsi="宋体" w:eastAsia="宋体" w:cs="宋体"/>
          <w:sz w:val="52"/>
          <w:szCs w:val="52"/>
        </w:rPr>
      </w:pPr>
    </w:p>
    <w:p>
      <w:pPr>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西安市中心血站2024年</w:t>
      </w:r>
    </w:p>
    <w:p>
      <w:pPr>
        <w:jc w:val="center"/>
        <w:rPr>
          <w:rFonts w:hint="eastAsia" w:ascii="宋体" w:hAnsi="宋体" w:eastAsia="宋体" w:cs="宋体"/>
          <w:b/>
          <w:bCs/>
          <w:sz w:val="56"/>
          <w:szCs w:val="56"/>
          <w:lang w:val="en-US" w:eastAsia="zh-CN"/>
        </w:rPr>
      </w:pPr>
      <w:r>
        <w:rPr>
          <w:rFonts w:hint="eastAsia" w:ascii="宋体" w:hAnsi="宋体" w:eastAsia="宋体" w:cs="宋体"/>
          <w:b/>
          <w:bCs/>
          <w:sz w:val="56"/>
          <w:szCs w:val="56"/>
          <w:lang w:eastAsia="zh-CN"/>
        </w:rPr>
        <w:t>无偿献血食品类采购项目</w:t>
      </w:r>
      <w:r>
        <w:rPr>
          <w:rFonts w:hint="eastAsia" w:ascii="宋体" w:hAnsi="宋体" w:eastAsia="宋体" w:cs="宋体"/>
          <w:b/>
          <w:bCs/>
          <w:sz w:val="56"/>
          <w:szCs w:val="56"/>
          <w:lang w:val="en-US" w:eastAsia="zh-CN"/>
        </w:rPr>
        <w:t>(二次）</w:t>
      </w:r>
    </w:p>
    <w:p>
      <w:pPr>
        <w:pStyle w:val="11"/>
        <w:rPr>
          <w:rFonts w:hint="eastAsia" w:ascii="宋体" w:hAnsi="宋体" w:eastAsia="宋体" w:cs="宋体"/>
          <w:b/>
          <w:bCs/>
          <w:sz w:val="56"/>
          <w:szCs w:val="56"/>
          <w:lang w:eastAsia="zh-CN"/>
        </w:rPr>
      </w:pPr>
    </w:p>
    <w:p>
      <w:pPr>
        <w:pStyle w:val="12"/>
        <w:rPr>
          <w:rFonts w:hint="eastAsia" w:ascii="宋体" w:hAnsi="宋体" w:eastAsia="宋体" w:cs="宋体"/>
          <w:b/>
          <w:bCs/>
          <w:sz w:val="56"/>
          <w:szCs w:val="56"/>
          <w:lang w:eastAsia="zh-CN"/>
        </w:rPr>
      </w:pPr>
    </w:p>
    <w:p>
      <w:pPr>
        <w:rPr>
          <w:rFonts w:hint="eastAsia"/>
          <w:lang w:eastAsia="zh-CN"/>
        </w:rPr>
      </w:pPr>
    </w:p>
    <w:p/>
    <w:p>
      <w:pPr>
        <w:jc w:val="center"/>
        <w:rPr>
          <w:rFonts w:ascii="宋体" w:hAnsi="宋体" w:eastAsia="宋体" w:cs="宋体"/>
          <w:b/>
          <w:bCs/>
          <w:sz w:val="72"/>
          <w:szCs w:val="72"/>
        </w:rPr>
      </w:pPr>
      <w:r>
        <w:rPr>
          <w:rFonts w:hint="eastAsia" w:ascii="宋体" w:hAnsi="宋体" w:eastAsia="宋体" w:cs="宋体"/>
          <w:b/>
          <w:bCs/>
          <w:sz w:val="56"/>
          <w:szCs w:val="56"/>
        </w:rPr>
        <w:t>招标文件</w:t>
      </w: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ind w:firstLine="803" w:firstLineChars="200"/>
        <w:jc w:val="both"/>
        <w:rPr>
          <w:rFonts w:ascii="宋体" w:hAnsi="宋体" w:eastAsia="宋体" w:cs="宋体"/>
          <w:b/>
          <w:bCs/>
          <w:sz w:val="40"/>
          <w:szCs w:val="40"/>
        </w:rPr>
      </w:pPr>
    </w:p>
    <w:p>
      <w:pPr>
        <w:spacing w:line="560" w:lineRule="exact"/>
        <w:jc w:val="both"/>
        <w:rPr>
          <w:rFonts w:ascii="宋体" w:hAnsi="宋体" w:eastAsia="宋体" w:cs="宋体"/>
          <w:sz w:val="32"/>
          <w:szCs w:val="32"/>
        </w:rPr>
      </w:pPr>
    </w:p>
    <w:p>
      <w:pPr>
        <w:spacing w:line="560" w:lineRule="exact"/>
        <w:ind w:firstLine="640" w:firstLineChars="200"/>
        <w:jc w:val="center"/>
        <w:rPr>
          <w:rFonts w:ascii="宋体" w:hAnsi="宋体" w:eastAsia="宋体" w:cs="宋体"/>
          <w:sz w:val="32"/>
          <w:szCs w:val="32"/>
        </w:rPr>
      </w:pPr>
    </w:p>
    <w:p>
      <w:pPr>
        <w:spacing w:line="560" w:lineRule="exact"/>
        <w:jc w:val="center"/>
        <w:rPr>
          <w:rFonts w:ascii="宋体" w:hAnsi="宋体" w:eastAsia="宋体" w:cs="宋体"/>
          <w:sz w:val="32"/>
          <w:szCs w:val="32"/>
        </w:rPr>
      </w:pPr>
      <w:r>
        <w:rPr>
          <w:rFonts w:hint="eastAsia" w:ascii="宋体" w:hAnsi="宋体" w:eastAsia="宋体" w:cs="宋体"/>
          <w:sz w:val="32"/>
          <w:szCs w:val="32"/>
        </w:rPr>
        <w:t>陕西万泽招标有限公司</w:t>
      </w:r>
    </w:p>
    <w:p>
      <w:pPr>
        <w:spacing w:line="560" w:lineRule="exact"/>
        <w:jc w:val="center"/>
        <w:rPr>
          <w:rFonts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TIME \@ "yyyy年M月" </w:instrText>
      </w:r>
      <w:r>
        <w:rPr>
          <w:rFonts w:hint="eastAsia" w:ascii="宋体" w:hAnsi="宋体" w:eastAsia="宋体" w:cs="宋体"/>
          <w:sz w:val="32"/>
          <w:szCs w:val="32"/>
        </w:rPr>
        <w:fldChar w:fldCharType="separate"/>
      </w:r>
      <w:r>
        <w:rPr>
          <w:rFonts w:hint="eastAsia" w:ascii="宋体" w:hAnsi="宋体" w:eastAsia="宋体" w:cs="宋体"/>
          <w:sz w:val="32"/>
          <w:szCs w:val="32"/>
        </w:rPr>
        <w:t>2024年3月</w:t>
      </w:r>
      <w:r>
        <w:rPr>
          <w:rFonts w:hint="eastAsia" w:ascii="宋体" w:hAnsi="宋体" w:eastAsia="宋体" w:cs="宋体"/>
          <w:sz w:val="32"/>
          <w:szCs w:val="32"/>
        </w:rPr>
        <w:fldChar w:fldCharType="end"/>
      </w:r>
      <w:r>
        <w:rPr>
          <w:rFonts w:hint="eastAsia" w:ascii="宋体" w:hAnsi="宋体" w:eastAsia="宋体" w:cs="宋体"/>
          <w:sz w:val="32"/>
          <w:szCs w:val="32"/>
        </w:rPr>
        <w:br w:type="page"/>
      </w:r>
    </w:p>
    <w:p>
      <w:pPr>
        <w:pStyle w:val="25"/>
        <w:tabs>
          <w:tab w:val="right" w:leader="dot" w:pos="8300"/>
        </w:tabs>
        <w:spacing w:before="395" w:after="395"/>
        <w:jc w:val="center"/>
      </w:pPr>
      <w:bookmarkStart w:id="0" w:name="_Toc100219612"/>
      <w:r>
        <w:rPr>
          <w:rFonts w:hint="eastAsia"/>
        </w:rPr>
        <w:t>目  录</w:t>
      </w:r>
    </w:p>
    <w:p>
      <w:pPr>
        <w:pStyle w:val="25"/>
        <w:tabs>
          <w:tab w:val="right" w:leader="dot" w:pos="8800"/>
        </w:tabs>
      </w:pPr>
      <w:r>
        <w:fldChar w:fldCharType="begin"/>
      </w:r>
      <w:r>
        <w:instrText xml:space="preserve">TOC \o "1-2" \h \u </w:instrText>
      </w:r>
      <w:r>
        <w:fldChar w:fldCharType="separate"/>
      </w:r>
      <w:r>
        <w:fldChar w:fldCharType="begin"/>
      </w:r>
      <w:r>
        <w:instrText xml:space="preserve"> HYPERLINK \l _Toc19271 </w:instrText>
      </w:r>
      <w:r>
        <w:fldChar w:fldCharType="separate"/>
      </w:r>
      <w:r>
        <w:rPr>
          <w:rFonts w:hint="eastAsia" w:ascii="宋体" w:hAnsi="宋体" w:eastAsia="宋体" w:cs="宋体"/>
        </w:rPr>
        <w:t>第一章  投标邀请函</w:t>
      </w:r>
      <w:r>
        <w:tab/>
      </w:r>
      <w:r>
        <w:fldChar w:fldCharType="begin"/>
      </w:r>
      <w:r>
        <w:instrText xml:space="preserve"> PAGEREF _Toc19271 \h </w:instrText>
      </w:r>
      <w:r>
        <w:fldChar w:fldCharType="separate"/>
      </w:r>
      <w:r>
        <w:t>3</w:t>
      </w:r>
      <w:r>
        <w:fldChar w:fldCharType="end"/>
      </w:r>
      <w:r>
        <w:fldChar w:fldCharType="end"/>
      </w:r>
    </w:p>
    <w:p>
      <w:pPr>
        <w:pStyle w:val="25"/>
        <w:tabs>
          <w:tab w:val="right" w:leader="dot" w:pos="8800"/>
        </w:tabs>
      </w:pPr>
      <w:r>
        <w:fldChar w:fldCharType="begin"/>
      </w:r>
      <w:r>
        <w:instrText xml:space="preserve"> HYPERLINK \l _Toc30601 </w:instrText>
      </w:r>
      <w:r>
        <w:fldChar w:fldCharType="separate"/>
      </w:r>
      <w:r>
        <w:rPr>
          <w:rFonts w:hint="eastAsia" w:ascii="宋体" w:hAnsi="宋体" w:eastAsia="宋体" w:cs="宋体"/>
        </w:rPr>
        <w:t>第二章  供应商须知</w:t>
      </w:r>
      <w:r>
        <w:tab/>
      </w:r>
      <w:r>
        <w:fldChar w:fldCharType="begin"/>
      </w:r>
      <w:r>
        <w:instrText xml:space="preserve"> PAGEREF _Toc30601 \h </w:instrText>
      </w:r>
      <w:r>
        <w:fldChar w:fldCharType="separate"/>
      </w:r>
      <w:r>
        <w:t>9</w:t>
      </w:r>
      <w:r>
        <w:fldChar w:fldCharType="end"/>
      </w:r>
      <w:r>
        <w:fldChar w:fldCharType="end"/>
      </w:r>
    </w:p>
    <w:p>
      <w:pPr>
        <w:pStyle w:val="25"/>
        <w:tabs>
          <w:tab w:val="right" w:leader="dot" w:pos="8800"/>
        </w:tabs>
      </w:pPr>
      <w:r>
        <w:fldChar w:fldCharType="begin"/>
      </w:r>
      <w:r>
        <w:instrText xml:space="preserve"> HYPERLINK \l _Toc29767 </w:instrText>
      </w:r>
      <w:r>
        <w:fldChar w:fldCharType="separate"/>
      </w:r>
      <w:r>
        <w:rPr>
          <w:rFonts w:hint="eastAsia" w:ascii="宋体" w:hAnsi="宋体" w:eastAsia="宋体" w:cs="宋体"/>
        </w:rPr>
        <w:t>第三章  招标内容及要求</w:t>
      </w:r>
      <w:r>
        <w:tab/>
      </w:r>
      <w:r>
        <w:fldChar w:fldCharType="begin"/>
      </w:r>
      <w:r>
        <w:instrText xml:space="preserve"> PAGEREF _Toc29767 \h </w:instrText>
      </w:r>
      <w:r>
        <w:fldChar w:fldCharType="separate"/>
      </w:r>
      <w:r>
        <w:t>51</w:t>
      </w:r>
      <w:r>
        <w:fldChar w:fldCharType="end"/>
      </w:r>
      <w:r>
        <w:fldChar w:fldCharType="end"/>
      </w:r>
    </w:p>
    <w:p>
      <w:pPr>
        <w:pStyle w:val="25"/>
        <w:tabs>
          <w:tab w:val="right" w:leader="dot" w:pos="8800"/>
        </w:tabs>
      </w:pPr>
      <w:r>
        <w:fldChar w:fldCharType="begin"/>
      </w:r>
      <w:r>
        <w:instrText xml:space="preserve"> HYPERLINK \l _Toc16940 </w:instrText>
      </w:r>
      <w:r>
        <w:fldChar w:fldCharType="separate"/>
      </w:r>
      <w:r>
        <w:rPr>
          <w:rFonts w:hint="eastAsia" w:ascii="宋体" w:hAnsi="宋体" w:eastAsia="宋体" w:cs="宋体"/>
        </w:rPr>
        <w:t>第四章 合同文本</w:t>
      </w:r>
      <w:r>
        <w:tab/>
      </w:r>
      <w:r>
        <w:fldChar w:fldCharType="begin"/>
      </w:r>
      <w:r>
        <w:instrText xml:space="preserve"> PAGEREF _Toc16940 \h </w:instrText>
      </w:r>
      <w:r>
        <w:fldChar w:fldCharType="separate"/>
      </w:r>
      <w:r>
        <w:t>55</w:t>
      </w:r>
      <w:r>
        <w:fldChar w:fldCharType="end"/>
      </w:r>
      <w:r>
        <w:fldChar w:fldCharType="end"/>
      </w:r>
    </w:p>
    <w:p>
      <w:pPr>
        <w:pStyle w:val="25"/>
        <w:tabs>
          <w:tab w:val="right" w:leader="dot" w:pos="8800"/>
        </w:tabs>
      </w:pPr>
      <w:r>
        <w:fldChar w:fldCharType="begin"/>
      </w:r>
      <w:r>
        <w:instrText xml:space="preserve"> HYPERLINK \l _Toc7444 </w:instrText>
      </w:r>
      <w:r>
        <w:fldChar w:fldCharType="separate"/>
      </w:r>
      <w:r>
        <w:rPr>
          <w:rFonts w:hint="eastAsia" w:ascii="宋体" w:hAnsi="宋体" w:eastAsia="宋体" w:cs="宋体"/>
        </w:rPr>
        <w:t>第五章  投标文件构成及格式</w:t>
      </w:r>
      <w:r>
        <w:tab/>
      </w:r>
      <w:r>
        <w:fldChar w:fldCharType="begin"/>
      </w:r>
      <w:r>
        <w:instrText xml:space="preserve"> PAGEREF _Toc7444 \h </w:instrText>
      </w:r>
      <w:r>
        <w:fldChar w:fldCharType="separate"/>
      </w:r>
      <w:r>
        <w:t>62</w:t>
      </w:r>
      <w:r>
        <w:fldChar w:fldCharType="end"/>
      </w:r>
      <w:r>
        <w:fldChar w:fldCharType="end"/>
      </w:r>
    </w:p>
    <w:p>
      <w:pPr>
        <w:pStyle w:val="27"/>
        <w:tabs>
          <w:tab w:val="right" w:leader="dot" w:pos="8800"/>
        </w:tabs>
      </w:pPr>
      <w:r>
        <w:fldChar w:fldCharType="begin"/>
      </w:r>
      <w:r>
        <w:instrText xml:space="preserve"> HYPERLINK \l _Toc25583 </w:instrText>
      </w:r>
      <w:r>
        <w:fldChar w:fldCharType="separate"/>
      </w:r>
      <w:r>
        <w:rPr>
          <w:rFonts w:hint="eastAsia" w:ascii="宋体" w:hAnsi="宋体" w:eastAsia="宋体" w:cs="宋体"/>
        </w:rPr>
        <w:t>第一部分  投标函</w:t>
      </w:r>
      <w:r>
        <w:tab/>
      </w:r>
      <w:r>
        <w:fldChar w:fldCharType="begin"/>
      </w:r>
      <w:r>
        <w:instrText xml:space="preserve"> PAGEREF _Toc25583 \h </w:instrText>
      </w:r>
      <w:r>
        <w:fldChar w:fldCharType="separate"/>
      </w:r>
      <w:r>
        <w:t>64</w:t>
      </w:r>
      <w:r>
        <w:fldChar w:fldCharType="end"/>
      </w:r>
      <w:r>
        <w:fldChar w:fldCharType="end"/>
      </w:r>
    </w:p>
    <w:p>
      <w:pPr>
        <w:pStyle w:val="27"/>
        <w:tabs>
          <w:tab w:val="right" w:leader="dot" w:pos="8800"/>
        </w:tabs>
      </w:pPr>
      <w:r>
        <w:fldChar w:fldCharType="begin"/>
      </w:r>
      <w:r>
        <w:instrText xml:space="preserve"> HYPERLINK \l _Toc11758 </w:instrText>
      </w:r>
      <w:r>
        <w:fldChar w:fldCharType="separate"/>
      </w:r>
      <w:r>
        <w:rPr>
          <w:rFonts w:hint="eastAsia" w:ascii="宋体" w:hAnsi="宋体" w:eastAsia="宋体" w:cs="宋体"/>
        </w:rPr>
        <w:t>第二部分 开标一览表</w:t>
      </w:r>
      <w:r>
        <w:tab/>
      </w:r>
      <w:r>
        <w:fldChar w:fldCharType="begin"/>
      </w:r>
      <w:r>
        <w:instrText xml:space="preserve"> PAGEREF _Toc11758 \h </w:instrText>
      </w:r>
      <w:r>
        <w:fldChar w:fldCharType="separate"/>
      </w:r>
      <w:r>
        <w:t>66</w:t>
      </w:r>
      <w:r>
        <w:fldChar w:fldCharType="end"/>
      </w:r>
      <w:r>
        <w:fldChar w:fldCharType="end"/>
      </w:r>
    </w:p>
    <w:p>
      <w:pPr>
        <w:pStyle w:val="27"/>
        <w:tabs>
          <w:tab w:val="right" w:leader="dot" w:pos="8800"/>
        </w:tabs>
      </w:pPr>
      <w:r>
        <w:fldChar w:fldCharType="begin"/>
      </w:r>
      <w:r>
        <w:instrText xml:space="preserve"> HYPERLINK \l _Toc23259 </w:instrText>
      </w:r>
      <w:r>
        <w:fldChar w:fldCharType="separate"/>
      </w:r>
      <w:r>
        <w:rPr>
          <w:rFonts w:hint="eastAsia" w:ascii="宋体" w:hAnsi="宋体" w:eastAsia="宋体" w:cs="宋体"/>
        </w:rPr>
        <w:t>第三部分  资格证明文件</w:t>
      </w:r>
      <w:r>
        <w:tab/>
      </w:r>
      <w:r>
        <w:fldChar w:fldCharType="begin"/>
      </w:r>
      <w:r>
        <w:instrText xml:space="preserve"> PAGEREF _Toc23259 \h </w:instrText>
      </w:r>
      <w:r>
        <w:fldChar w:fldCharType="separate"/>
      </w:r>
      <w:r>
        <w:t>69</w:t>
      </w:r>
      <w:r>
        <w:fldChar w:fldCharType="end"/>
      </w:r>
      <w:r>
        <w:fldChar w:fldCharType="end"/>
      </w:r>
    </w:p>
    <w:p>
      <w:pPr>
        <w:pStyle w:val="27"/>
        <w:tabs>
          <w:tab w:val="right" w:leader="dot" w:pos="8800"/>
        </w:tabs>
      </w:pPr>
      <w:r>
        <w:fldChar w:fldCharType="begin"/>
      </w:r>
      <w:r>
        <w:instrText xml:space="preserve"> HYPERLINK \l _Toc4676 </w:instrText>
      </w:r>
      <w:r>
        <w:fldChar w:fldCharType="separate"/>
      </w:r>
      <w:r>
        <w:rPr>
          <w:rFonts w:hint="eastAsia" w:ascii="宋体" w:hAnsi="宋体" w:eastAsia="宋体" w:cs="宋体"/>
        </w:rPr>
        <w:t xml:space="preserve">第四部分  </w:t>
      </w:r>
      <w:r>
        <w:rPr>
          <w:rFonts w:hint="eastAsia" w:eastAsia="宋体"/>
        </w:rPr>
        <w:t>供应商概况</w:t>
      </w:r>
      <w:r>
        <w:tab/>
      </w:r>
      <w:r>
        <w:fldChar w:fldCharType="begin"/>
      </w:r>
      <w:r>
        <w:instrText xml:space="preserve"> PAGEREF _Toc4676 \h </w:instrText>
      </w:r>
      <w:r>
        <w:fldChar w:fldCharType="separate"/>
      </w:r>
      <w:r>
        <w:t>73</w:t>
      </w:r>
      <w:r>
        <w:fldChar w:fldCharType="end"/>
      </w:r>
      <w:r>
        <w:fldChar w:fldCharType="end"/>
      </w:r>
    </w:p>
    <w:p>
      <w:pPr>
        <w:pStyle w:val="27"/>
        <w:tabs>
          <w:tab w:val="right" w:leader="dot" w:pos="8800"/>
        </w:tabs>
      </w:pPr>
      <w:r>
        <w:fldChar w:fldCharType="begin"/>
      </w:r>
      <w:r>
        <w:instrText xml:space="preserve"> HYPERLINK \l _Toc21677 </w:instrText>
      </w:r>
      <w:r>
        <w:fldChar w:fldCharType="separate"/>
      </w:r>
      <w:r>
        <w:rPr>
          <w:rFonts w:hint="eastAsia" w:ascii="宋体" w:hAnsi="宋体" w:eastAsia="宋体" w:cs="宋体"/>
        </w:rPr>
        <w:t>第五部分  商务和需求响应偏离表</w:t>
      </w:r>
      <w:r>
        <w:tab/>
      </w:r>
      <w:r>
        <w:fldChar w:fldCharType="begin"/>
      </w:r>
      <w:r>
        <w:instrText xml:space="preserve"> PAGEREF _Toc21677 \h </w:instrText>
      </w:r>
      <w:r>
        <w:fldChar w:fldCharType="separate"/>
      </w:r>
      <w:r>
        <w:t>74</w:t>
      </w:r>
      <w:r>
        <w:fldChar w:fldCharType="end"/>
      </w:r>
      <w:r>
        <w:fldChar w:fldCharType="end"/>
      </w:r>
    </w:p>
    <w:p>
      <w:pPr>
        <w:pStyle w:val="27"/>
        <w:tabs>
          <w:tab w:val="right" w:leader="dot" w:pos="8800"/>
        </w:tabs>
      </w:pPr>
      <w:r>
        <w:fldChar w:fldCharType="begin"/>
      </w:r>
      <w:r>
        <w:instrText xml:space="preserve"> HYPERLINK \l _Toc10746 </w:instrText>
      </w:r>
      <w:r>
        <w:fldChar w:fldCharType="separate"/>
      </w:r>
      <w:r>
        <w:rPr>
          <w:rFonts w:hint="eastAsia" w:asciiTheme="minorEastAsia" w:hAnsiTheme="minorEastAsia" w:eastAsiaTheme="minorEastAsia" w:cstheme="minorEastAsia"/>
        </w:rPr>
        <w:t xml:space="preserve">第六部分  </w:t>
      </w:r>
      <w:r>
        <w:rPr>
          <w:rFonts w:hint="eastAsia" w:asciiTheme="minorEastAsia" w:hAnsiTheme="minorEastAsia" w:eastAsiaTheme="minorEastAsia" w:cstheme="minorEastAsia"/>
          <w:lang w:val="en-US" w:eastAsia="zh-CN"/>
        </w:rPr>
        <w:t>技术方案</w:t>
      </w:r>
      <w:r>
        <w:tab/>
      </w:r>
      <w:r>
        <w:fldChar w:fldCharType="begin"/>
      </w:r>
      <w:r>
        <w:instrText xml:space="preserve"> PAGEREF _Toc10746 \h </w:instrText>
      </w:r>
      <w:r>
        <w:fldChar w:fldCharType="separate"/>
      </w:r>
      <w:r>
        <w:t>77</w:t>
      </w:r>
      <w:r>
        <w:fldChar w:fldCharType="end"/>
      </w:r>
      <w:r>
        <w:fldChar w:fldCharType="end"/>
      </w:r>
    </w:p>
    <w:p>
      <w:pPr>
        <w:pStyle w:val="27"/>
        <w:tabs>
          <w:tab w:val="right" w:leader="dot" w:pos="8800"/>
        </w:tabs>
      </w:pPr>
      <w:r>
        <w:fldChar w:fldCharType="begin"/>
      </w:r>
      <w:r>
        <w:instrText xml:space="preserve"> HYPERLINK \l _Toc4396 </w:instrText>
      </w:r>
      <w:r>
        <w:fldChar w:fldCharType="separate"/>
      </w:r>
      <w:r>
        <w:rPr>
          <w:rFonts w:hint="eastAsia" w:ascii="宋体" w:hAnsi="宋体" w:eastAsia="宋体" w:cs="宋体"/>
        </w:rPr>
        <w:t>第</w:t>
      </w:r>
      <w:r>
        <w:rPr>
          <w:rFonts w:hint="eastAsia" w:ascii="宋体" w:hAnsi="宋体" w:eastAsia="宋体" w:cs="宋体"/>
          <w:lang w:eastAsia="zh-CN"/>
        </w:rPr>
        <w:t>七</w:t>
      </w:r>
      <w:r>
        <w:rPr>
          <w:rFonts w:hint="eastAsia" w:ascii="宋体" w:hAnsi="宋体" w:eastAsia="宋体" w:cs="宋体"/>
        </w:rPr>
        <w:t>部分  供应商业绩一览表</w:t>
      </w:r>
      <w:r>
        <w:tab/>
      </w:r>
      <w:r>
        <w:fldChar w:fldCharType="begin"/>
      </w:r>
      <w:r>
        <w:instrText xml:space="preserve"> PAGEREF _Toc4396 \h </w:instrText>
      </w:r>
      <w:r>
        <w:fldChar w:fldCharType="separate"/>
      </w:r>
      <w:r>
        <w:t>78</w:t>
      </w:r>
      <w:r>
        <w:fldChar w:fldCharType="end"/>
      </w:r>
      <w:r>
        <w:fldChar w:fldCharType="end"/>
      </w:r>
    </w:p>
    <w:p>
      <w:pPr>
        <w:pStyle w:val="27"/>
        <w:tabs>
          <w:tab w:val="right" w:leader="dot" w:pos="8800"/>
        </w:tabs>
      </w:pPr>
      <w:r>
        <w:fldChar w:fldCharType="begin"/>
      </w:r>
      <w:r>
        <w:instrText xml:space="preserve"> HYPERLINK \l _Toc12344 </w:instrText>
      </w:r>
      <w:r>
        <w:fldChar w:fldCharType="separate"/>
      </w:r>
      <w:r>
        <w:rPr>
          <w:rFonts w:hint="eastAsia" w:ascii="宋体" w:hAnsi="宋体" w:eastAsia="宋体" w:cs="宋体"/>
        </w:rPr>
        <w:t>第</w:t>
      </w:r>
      <w:r>
        <w:rPr>
          <w:rFonts w:hint="eastAsia" w:ascii="宋体" w:hAnsi="宋体" w:eastAsia="宋体" w:cs="宋体"/>
          <w:lang w:eastAsia="zh-CN"/>
        </w:rPr>
        <w:t>八</w:t>
      </w:r>
      <w:r>
        <w:rPr>
          <w:rFonts w:hint="eastAsia" w:ascii="宋体" w:hAnsi="宋体" w:eastAsia="宋体" w:cs="宋体"/>
        </w:rPr>
        <w:t>部分  供应商认为有必要说明的其他问题</w:t>
      </w:r>
      <w:r>
        <w:tab/>
      </w:r>
      <w:r>
        <w:fldChar w:fldCharType="begin"/>
      </w:r>
      <w:r>
        <w:instrText xml:space="preserve"> PAGEREF _Toc12344 \h </w:instrText>
      </w:r>
      <w:r>
        <w:fldChar w:fldCharType="separate"/>
      </w:r>
      <w:r>
        <w:t>79</w:t>
      </w:r>
      <w:r>
        <w:fldChar w:fldCharType="end"/>
      </w:r>
      <w:r>
        <w:fldChar w:fldCharType="end"/>
      </w:r>
    </w:p>
    <w:p>
      <w:pPr>
        <w:pStyle w:val="27"/>
        <w:tabs>
          <w:tab w:val="right" w:leader="dot" w:pos="8800"/>
        </w:tabs>
      </w:pPr>
      <w:r>
        <w:fldChar w:fldCharType="begin"/>
      </w:r>
      <w:r>
        <w:instrText xml:space="preserve"> HYPERLINK \l _Toc30556 </w:instrText>
      </w:r>
      <w:r>
        <w:fldChar w:fldCharType="separate"/>
      </w:r>
      <w:r>
        <w:rPr>
          <w:rFonts w:hint="eastAsia" w:ascii="宋体" w:hAnsi="宋体" w:eastAsia="宋体" w:cs="宋体"/>
          <w:bCs/>
        </w:rPr>
        <w:t>第</w:t>
      </w:r>
      <w:r>
        <w:rPr>
          <w:rFonts w:hint="eastAsia" w:ascii="宋体" w:hAnsi="宋体" w:eastAsia="宋体" w:cs="宋体"/>
          <w:bCs/>
          <w:lang w:eastAsia="zh-CN"/>
        </w:rPr>
        <w:t>九</w:t>
      </w:r>
      <w:r>
        <w:rPr>
          <w:rFonts w:hint="eastAsia" w:ascii="宋体" w:hAnsi="宋体" w:eastAsia="宋体" w:cs="宋体"/>
          <w:bCs/>
        </w:rPr>
        <w:t>部分  供应商参加政府采购活动承诺书</w:t>
      </w:r>
      <w:r>
        <w:tab/>
      </w:r>
      <w:r>
        <w:fldChar w:fldCharType="begin"/>
      </w:r>
      <w:r>
        <w:instrText xml:space="preserve"> PAGEREF _Toc30556 \h </w:instrText>
      </w:r>
      <w:r>
        <w:fldChar w:fldCharType="separate"/>
      </w:r>
      <w:r>
        <w:t>81</w:t>
      </w:r>
      <w:r>
        <w:fldChar w:fldCharType="end"/>
      </w:r>
      <w:r>
        <w:fldChar w:fldCharType="end"/>
      </w:r>
    </w:p>
    <w:p>
      <w:r>
        <w:fldChar w:fldCharType="end"/>
      </w:r>
    </w:p>
    <w:p>
      <w:pPr>
        <w:pStyle w:val="2"/>
        <w:rPr>
          <w:rFonts w:hint="eastAsia" w:ascii="宋体" w:hAnsi="宋体" w:eastAsia="宋体" w:cs="宋体"/>
        </w:rPr>
        <w:sectPr>
          <w:headerReference r:id="rId4" w:type="first"/>
          <w:headerReference r:id="rId3" w:type="default"/>
          <w:pgSz w:w="12240" w:h="15840"/>
          <w:pgMar w:top="1380" w:right="1720" w:bottom="1418" w:left="1720" w:header="1134" w:footer="721" w:gutter="0"/>
          <w:pgNumType w:start="1"/>
          <w:cols w:space="720" w:num="1"/>
          <w:titlePg/>
          <w:docGrid w:linePitch="286" w:charSpace="0"/>
        </w:sectPr>
      </w:pPr>
      <w:bookmarkStart w:id="1" w:name="_Toc2628"/>
    </w:p>
    <w:p>
      <w:pPr>
        <w:pStyle w:val="2"/>
        <w:rPr>
          <w:rFonts w:ascii="宋体" w:hAnsi="宋体" w:eastAsia="宋体" w:cs="宋体"/>
        </w:rPr>
      </w:pPr>
      <w:bookmarkStart w:id="2" w:name="_Toc19271"/>
      <w:r>
        <w:rPr>
          <w:rFonts w:hint="eastAsia" w:ascii="宋体" w:hAnsi="宋体" w:eastAsia="宋体" w:cs="宋体"/>
        </w:rPr>
        <w:t>第一章  投标邀请函</w:t>
      </w:r>
      <w:bookmarkEnd w:id="0"/>
      <w:bookmarkEnd w:id="1"/>
      <w:bookmarkEnd w:id="2"/>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陕西万泽招标有限公司受</w:t>
      </w:r>
      <w:r>
        <w:rPr>
          <w:rFonts w:hint="eastAsia" w:ascii="宋体" w:hAnsi="宋体" w:eastAsia="宋体" w:cs="宋体"/>
          <w:sz w:val="28"/>
          <w:szCs w:val="28"/>
          <w:lang w:eastAsia="zh-CN"/>
        </w:rPr>
        <w:t>西安市中心血站</w:t>
      </w:r>
      <w:r>
        <w:rPr>
          <w:rFonts w:hint="eastAsia" w:ascii="宋体" w:hAnsi="宋体" w:eastAsia="宋体" w:cs="宋体"/>
          <w:sz w:val="28"/>
          <w:szCs w:val="28"/>
        </w:rPr>
        <w:t>的委托，经政府采购监管部门批准，按照政府采购程序，对</w:t>
      </w:r>
      <w:r>
        <w:rPr>
          <w:rFonts w:hint="eastAsia" w:ascii="宋体" w:hAnsi="宋体" w:eastAsia="宋体" w:cs="宋体"/>
          <w:sz w:val="28"/>
          <w:szCs w:val="28"/>
          <w:lang w:eastAsia="zh-CN"/>
        </w:rPr>
        <w:t>西安市中心血站2024年无偿献血食品类采购项目</w:t>
      </w:r>
      <w:r>
        <w:rPr>
          <w:rFonts w:hint="eastAsia" w:ascii="宋体" w:hAnsi="宋体" w:eastAsia="宋体" w:cs="宋体"/>
          <w:sz w:val="28"/>
          <w:szCs w:val="28"/>
          <w:lang w:val="en-US" w:eastAsia="zh-CN"/>
        </w:rPr>
        <w:t>(二次)</w:t>
      </w:r>
      <w:r>
        <w:rPr>
          <w:rFonts w:hint="eastAsia" w:ascii="宋体" w:hAnsi="宋体" w:eastAsia="宋体" w:cs="宋体"/>
          <w:sz w:val="28"/>
          <w:szCs w:val="28"/>
        </w:rPr>
        <w:t>进行公开招标，欢迎符合资格条件的、有能力提供本项目所需货物和服务的供应商参加投标。</w:t>
      </w:r>
    </w:p>
    <w:p>
      <w:pPr>
        <w:spacing w:line="360" w:lineRule="auto"/>
        <w:rPr>
          <w:rFonts w:ascii="宋体" w:hAnsi="宋体" w:eastAsia="宋体" w:cs="宋体"/>
          <w:sz w:val="28"/>
          <w:szCs w:val="28"/>
        </w:rPr>
      </w:pPr>
      <w:r>
        <w:rPr>
          <w:rFonts w:hint="eastAsia" w:ascii="宋体" w:hAnsi="宋体" w:eastAsia="宋体" w:cs="宋体"/>
          <w:sz w:val="28"/>
          <w:szCs w:val="28"/>
        </w:rPr>
        <w:t>一、项目基本信息：</w:t>
      </w:r>
    </w:p>
    <w:p>
      <w:pPr>
        <w:spacing w:line="360" w:lineRule="auto"/>
        <w:ind w:left="2015" w:leftChars="232" w:hanging="1440" w:hangingChars="500"/>
        <w:jc w:val="both"/>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西安市中心血站2024年无偿献血食品类采购项目</w:t>
      </w:r>
      <w:r>
        <w:rPr>
          <w:rFonts w:hint="eastAsia" w:ascii="宋体" w:hAnsi="宋体" w:eastAsia="宋体" w:cs="宋体"/>
          <w:sz w:val="28"/>
          <w:szCs w:val="28"/>
          <w:lang w:val="en-US" w:eastAsia="zh-CN"/>
        </w:rPr>
        <w:t>(二次)</w:t>
      </w:r>
    </w:p>
    <w:p>
      <w:pPr>
        <w:spacing w:line="360" w:lineRule="auto"/>
        <w:ind w:firstLine="576" w:firstLineChars="200"/>
        <w:jc w:val="both"/>
        <w:rPr>
          <w:rFonts w:hint="eastAsia" w:ascii="宋体" w:hAnsi="宋体" w:eastAsia="宋体" w:cs="宋体"/>
          <w:sz w:val="28"/>
          <w:szCs w:val="28"/>
          <w:lang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SXWZ2024ZB-XA</w:t>
      </w:r>
      <w:bookmarkStart w:id="173" w:name="_GoBack"/>
      <w:bookmarkEnd w:id="173"/>
      <w:r>
        <w:rPr>
          <w:rFonts w:hint="eastAsia" w:ascii="宋体" w:hAnsi="宋体" w:eastAsia="宋体" w:cs="宋体"/>
          <w:sz w:val="28"/>
          <w:szCs w:val="28"/>
          <w:lang w:eastAsia="zh-CN"/>
        </w:rPr>
        <w:t>XZ--015</w:t>
      </w:r>
    </w:p>
    <w:p>
      <w:pPr>
        <w:spacing w:line="360" w:lineRule="auto"/>
        <w:ind w:firstLine="576" w:firstLineChars="200"/>
        <w:jc w:val="both"/>
        <w:rPr>
          <w:rFonts w:hint="default" w:ascii="宋体" w:hAnsi="宋体" w:eastAsia="宋体" w:cs="宋体"/>
          <w:sz w:val="28"/>
          <w:szCs w:val="28"/>
          <w:highlight w:val="yellow"/>
          <w:lang w:val="en-US" w:eastAsia="zh-CN"/>
        </w:rPr>
      </w:pPr>
      <w:r>
        <w:rPr>
          <w:rFonts w:hint="eastAsia" w:ascii="宋体" w:hAnsi="宋体" w:eastAsia="宋体" w:cs="宋体"/>
          <w:sz w:val="28"/>
          <w:szCs w:val="28"/>
        </w:rPr>
        <w:t>预算执行书编号：</w:t>
      </w:r>
      <w:r>
        <w:rPr>
          <w:rFonts w:hint="default" w:ascii="宋体" w:hAnsi="宋体" w:eastAsia="宋体" w:cs="宋体"/>
          <w:sz w:val="28"/>
          <w:szCs w:val="28"/>
          <w:lang w:val="en-US" w:eastAsia="zh-CN"/>
        </w:rPr>
        <w:t>ZCBN-西安市-2024-00081</w:t>
      </w:r>
    </w:p>
    <w:p>
      <w:pPr>
        <w:numPr>
          <w:ilvl w:val="0"/>
          <w:numId w:val="2"/>
        </w:numPr>
        <w:spacing w:line="360" w:lineRule="auto"/>
        <w:rPr>
          <w:rFonts w:ascii="宋体" w:hAnsi="宋体" w:eastAsia="宋体" w:cs="宋体"/>
          <w:sz w:val="28"/>
          <w:szCs w:val="28"/>
          <w:highlight w:val="yellow"/>
        </w:rPr>
      </w:pPr>
      <w:r>
        <w:rPr>
          <w:rFonts w:hint="eastAsia" w:ascii="宋体" w:hAnsi="宋体" w:eastAsia="宋体" w:cs="宋体"/>
          <w:sz w:val="28"/>
          <w:szCs w:val="28"/>
        </w:rPr>
        <w:t>项目性质：</w:t>
      </w:r>
      <w:r>
        <w:rPr>
          <w:rFonts w:hint="eastAsia" w:ascii="宋体" w:hAnsi="宋体" w:eastAsia="宋体" w:cs="宋体"/>
          <w:sz w:val="28"/>
          <w:szCs w:val="28"/>
          <w:highlight w:val="none"/>
          <w:lang w:val="en-US" w:eastAsia="zh-CN"/>
        </w:rPr>
        <w:t>本项目非</w:t>
      </w:r>
      <w:r>
        <w:rPr>
          <w:rFonts w:hint="eastAsia" w:ascii="宋体" w:hAnsi="宋体" w:eastAsia="宋体" w:cs="宋体"/>
          <w:sz w:val="28"/>
          <w:szCs w:val="28"/>
          <w:highlight w:val="none"/>
        </w:rPr>
        <w:t>专门面向中小企业的采购</w:t>
      </w:r>
    </w:p>
    <w:p>
      <w:pPr>
        <w:widowControl/>
        <w:numPr>
          <w:ilvl w:val="0"/>
          <w:numId w:val="2"/>
        </w:numPr>
        <w:wordWrap w:val="0"/>
        <w:snapToGrid w:val="0"/>
        <w:spacing w:line="360" w:lineRule="auto"/>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采购内容和要求：</w:t>
      </w:r>
    </w:p>
    <w:p>
      <w:pPr>
        <w:widowControl/>
        <w:numPr>
          <w:ilvl w:val="0"/>
          <w:numId w:val="0"/>
        </w:numPr>
        <w:wordWrap w:val="0"/>
        <w:snapToGrid w:val="0"/>
        <w:spacing w:line="360" w:lineRule="auto"/>
        <w:ind w:leftChars="0"/>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eastAsia="zh-CN"/>
        </w:rPr>
        <w:t>第一包：采购预算：</w:t>
      </w:r>
      <w:r>
        <w:rPr>
          <w:rFonts w:hint="eastAsia" w:ascii="宋体" w:hAnsi="宋体" w:cs="宋体"/>
          <w:b/>
          <w:bCs/>
          <w:kern w:val="0"/>
          <w:sz w:val="24"/>
          <w:szCs w:val="24"/>
          <w:lang w:val="en-US" w:eastAsia="zh-CN"/>
        </w:rPr>
        <w:t>95.5万元</w:t>
      </w:r>
    </w:p>
    <w:tbl>
      <w:tblPr>
        <w:tblStyle w:val="3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971"/>
        <w:gridCol w:w="2536"/>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36" w:type="dxa"/>
            <w:tcBorders>
              <w:top w:val="single" w:color="auto" w:sz="4" w:space="0"/>
              <w:left w:val="single" w:color="auto" w:sz="4" w:space="0"/>
              <w:bottom w:val="single" w:color="auto" w:sz="4" w:space="0"/>
              <w:right w:val="single" w:color="auto" w:sz="4" w:space="0"/>
            </w:tcBorders>
          </w:tcPr>
          <w:p>
            <w:pPr>
              <w:widowControl/>
              <w:numPr>
                <w:ilvl w:val="0"/>
                <w:numId w:val="0"/>
              </w:numPr>
              <w:wordWrap w:val="0"/>
              <w:snapToGrid w:val="0"/>
              <w:spacing w:line="360" w:lineRule="auto"/>
              <w:jc w:val="center"/>
              <w:rPr>
                <w:rFonts w:hint="eastAsia" w:ascii="宋体" w:hAnsi="宋体" w:cs="宋体"/>
                <w:kern w:val="0"/>
                <w:sz w:val="24"/>
                <w:szCs w:val="24"/>
                <w:lang w:eastAsia="zh-CN"/>
              </w:rPr>
            </w:pPr>
            <w:r>
              <w:rPr>
                <w:rFonts w:hint="eastAsia" w:ascii="宋体" w:hAnsi="宋体" w:cs="宋体"/>
                <w:kern w:val="0"/>
                <w:sz w:val="24"/>
                <w:szCs w:val="24"/>
                <w:lang w:eastAsia="zh-CN"/>
              </w:rPr>
              <w:t>序号</w:t>
            </w:r>
          </w:p>
        </w:tc>
        <w:tc>
          <w:tcPr>
            <w:tcW w:w="1971" w:type="dxa"/>
            <w:tcBorders>
              <w:top w:val="single" w:color="auto" w:sz="4" w:space="0"/>
              <w:left w:val="single" w:color="auto" w:sz="4" w:space="0"/>
              <w:bottom w:val="single" w:color="auto" w:sz="4" w:space="0"/>
              <w:right w:val="single" w:color="auto" w:sz="4" w:space="0"/>
            </w:tcBorders>
          </w:tcPr>
          <w:p>
            <w:pPr>
              <w:widowControl/>
              <w:numPr>
                <w:ilvl w:val="0"/>
                <w:numId w:val="0"/>
              </w:numPr>
              <w:wordWrap w:val="0"/>
              <w:snapToGrid w:val="0"/>
              <w:spacing w:line="240" w:lineRule="auto"/>
              <w:jc w:val="center"/>
              <w:rPr>
                <w:rFonts w:hint="eastAsia" w:ascii="宋体" w:hAnsi="宋体" w:cs="宋体"/>
                <w:kern w:val="0"/>
                <w:sz w:val="24"/>
                <w:szCs w:val="24"/>
                <w:lang w:eastAsia="zh-CN"/>
              </w:rPr>
            </w:pPr>
            <w:r>
              <w:rPr>
                <w:rFonts w:hint="eastAsia" w:ascii="宋体" w:hAnsi="宋体" w:cs="宋体"/>
                <w:kern w:val="0"/>
                <w:sz w:val="24"/>
                <w:szCs w:val="24"/>
                <w:lang w:eastAsia="zh-CN"/>
              </w:rPr>
              <w:t>品名</w:t>
            </w:r>
          </w:p>
        </w:tc>
        <w:tc>
          <w:tcPr>
            <w:tcW w:w="2536" w:type="dxa"/>
            <w:tcBorders>
              <w:top w:val="single" w:color="auto" w:sz="4" w:space="0"/>
              <w:left w:val="single" w:color="auto" w:sz="4" w:space="0"/>
              <w:bottom w:val="single" w:color="auto" w:sz="4" w:space="0"/>
              <w:right w:val="single" w:color="auto" w:sz="4" w:space="0"/>
            </w:tcBorders>
          </w:tcPr>
          <w:p>
            <w:pPr>
              <w:widowControl/>
              <w:numPr>
                <w:ilvl w:val="0"/>
                <w:numId w:val="0"/>
              </w:numPr>
              <w:wordWrap w:val="0"/>
              <w:snapToGrid w:val="0"/>
              <w:spacing w:line="240" w:lineRule="auto"/>
              <w:jc w:val="center"/>
              <w:rPr>
                <w:rFonts w:hint="default" w:ascii="宋体" w:hAnsi="宋体" w:cs="宋体"/>
                <w:kern w:val="0"/>
                <w:sz w:val="24"/>
                <w:szCs w:val="24"/>
                <w:lang w:val="en-US" w:eastAsia="zh-CN"/>
              </w:rPr>
            </w:pPr>
            <w:r>
              <w:rPr>
                <w:rFonts w:hint="eastAsia" w:ascii="宋体" w:hAnsi="宋体" w:cs="宋体"/>
                <w:kern w:val="0"/>
                <w:sz w:val="24"/>
                <w:szCs w:val="24"/>
                <w:lang w:eastAsia="zh-CN"/>
              </w:rPr>
              <w:t>价格</w:t>
            </w:r>
            <w:r>
              <w:rPr>
                <w:rFonts w:hint="eastAsia" w:ascii="宋体" w:hAnsi="宋体" w:cs="宋体"/>
                <w:kern w:val="0"/>
                <w:sz w:val="24"/>
                <w:szCs w:val="24"/>
                <w:lang w:val="en-US" w:eastAsia="zh-CN"/>
              </w:rPr>
              <w:t>限价</w:t>
            </w:r>
          </w:p>
        </w:tc>
        <w:tc>
          <w:tcPr>
            <w:tcW w:w="2816" w:type="dxa"/>
            <w:tcBorders>
              <w:top w:val="single" w:color="auto" w:sz="4" w:space="0"/>
              <w:left w:val="single" w:color="auto" w:sz="4" w:space="0"/>
              <w:bottom w:val="single" w:color="auto" w:sz="4" w:space="0"/>
              <w:right w:val="single" w:color="auto" w:sz="4" w:space="0"/>
            </w:tcBorders>
          </w:tcPr>
          <w:p>
            <w:pPr>
              <w:widowControl/>
              <w:numPr>
                <w:ilvl w:val="0"/>
                <w:numId w:val="0"/>
              </w:numPr>
              <w:wordWrap w:val="0"/>
              <w:snapToGrid w:val="0"/>
              <w:spacing w:line="240" w:lineRule="auto"/>
              <w:jc w:val="center"/>
              <w:rPr>
                <w:rFonts w:hint="eastAsia" w:ascii="宋体" w:hAnsi="宋体" w:cs="宋体"/>
                <w:kern w:val="0"/>
                <w:sz w:val="24"/>
                <w:szCs w:val="24"/>
                <w:lang w:eastAsia="zh-CN"/>
              </w:rPr>
            </w:pPr>
            <w:r>
              <w:rPr>
                <w:rFonts w:hint="eastAsia" w:ascii="宋体" w:hAnsi="宋体" w:cs="宋体"/>
                <w:kern w:val="0"/>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36" w:type="dxa"/>
            <w:tcBorders>
              <w:top w:val="single" w:color="auto" w:sz="4" w:space="0"/>
              <w:left w:val="single" w:color="auto" w:sz="4" w:space="0"/>
              <w:right w:val="single" w:color="auto" w:sz="4" w:space="0"/>
            </w:tcBorders>
          </w:tcPr>
          <w:p>
            <w:pPr>
              <w:widowControl/>
              <w:numPr>
                <w:ilvl w:val="0"/>
                <w:numId w:val="0"/>
              </w:numPr>
              <w:wordWrap w:val="0"/>
              <w:snapToGrid w:val="0"/>
              <w:spacing w:line="360" w:lineRule="auto"/>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p>
        </w:tc>
        <w:tc>
          <w:tcPr>
            <w:tcW w:w="1971"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运动饮料</w:t>
            </w:r>
          </w:p>
        </w:tc>
        <w:tc>
          <w:tcPr>
            <w:tcW w:w="2536"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≤3.4元/瓶</w:t>
            </w:r>
          </w:p>
        </w:tc>
        <w:tc>
          <w:tcPr>
            <w:tcW w:w="2816"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175000瓶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36" w:type="dxa"/>
            <w:tcBorders>
              <w:left w:val="single" w:color="auto" w:sz="4" w:space="0"/>
              <w:bottom w:val="single" w:color="auto" w:sz="4" w:space="0"/>
              <w:right w:val="single" w:color="auto" w:sz="4" w:space="0"/>
            </w:tcBorders>
          </w:tcPr>
          <w:p>
            <w:pPr>
              <w:widowControl/>
              <w:numPr>
                <w:ilvl w:val="0"/>
                <w:numId w:val="0"/>
              </w:numPr>
              <w:wordWrap w:val="0"/>
              <w:snapToGrid w:val="0"/>
              <w:spacing w:line="360" w:lineRule="auto"/>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p>
        </w:tc>
        <w:tc>
          <w:tcPr>
            <w:tcW w:w="1971"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纯牛奶</w:t>
            </w:r>
          </w:p>
        </w:tc>
        <w:tc>
          <w:tcPr>
            <w:tcW w:w="2536"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每盒≤3.6元</w:t>
            </w:r>
          </w:p>
        </w:tc>
        <w:tc>
          <w:tcPr>
            <w:tcW w:w="2816"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100000</w:t>
            </w:r>
            <w:r>
              <w:rPr>
                <w:rFonts w:hint="eastAsia" w:ascii="宋体" w:hAnsi="宋体" w:cs="宋体"/>
                <w:kern w:val="0"/>
                <w:sz w:val="24"/>
                <w:szCs w:val="24"/>
                <w:highlight w:val="none"/>
                <w:lang w:val="en-US" w:eastAsia="zh-CN" w:bidi="ar-SA"/>
              </w:rPr>
              <w:t>瓶</w:t>
            </w:r>
          </w:p>
        </w:tc>
      </w:tr>
    </w:tbl>
    <w:p>
      <w:pPr>
        <w:widowControl/>
        <w:wordWrap w:val="0"/>
        <w:snapToGrid w:val="0"/>
        <w:spacing w:line="360" w:lineRule="auto"/>
        <w:jc w:val="left"/>
        <w:rPr>
          <w:rFonts w:hint="eastAsia" w:ascii="宋体" w:hAnsi="宋体" w:cs="宋体"/>
          <w:kern w:val="0"/>
          <w:sz w:val="24"/>
          <w:szCs w:val="24"/>
          <w:lang w:eastAsia="zh-CN"/>
        </w:rPr>
      </w:pPr>
    </w:p>
    <w:p>
      <w:pPr>
        <w:widowControl/>
        <w:wordWrap w:val="0"/>
        <w:snapToGrid w:val="0"/>
        <w:spacing w:line="360" w:lineRule="auto"/>
        <w:jc w:val="left"/>
        <w:rPr>
          <w:rFonts w:hint="eastAsia" w:ascii="宋体" w:hAnsi="宋体" w:cs="宋体"/>
          <w:b/>
          <w:bCs/>
          <w:kern w:val="0"/>
          <w:sz w:val="24"/>
          <w:szCs w:val="24"/>
          <w:lang w:val="en-US" w:eastAsia="zh-CN"/>
        </w:rPr>
      </w:pPr>
      <w:r>
        <w:rPr>
          <w:rFonts w:hint="eastAsia" w:ascii="宋体" w:hAnsi="宋体" w:cs="宋体"/>
          <w:b/>
          <w:bCs/>
          <w:kern w:val="0"/>
          <w:sz w:val="24"/>
          <w:szCs w:val="24"/>
          <w:lang w:eastAsia="zh-CN"/>
        </w:rPr>
        <w:t>第二包：采购预算：</w:t>
      </w:r>
      <w:r>
        <w:rPr>
          <w:rFonts w:hint="eastAsia" w:ascii="宋体" w:hAnsi="宋体" w:cs="宋体"/>
          <w:b/>
          <w:bCs/>
          <w:kern w:val="0"/>
          <w:sz w:val="24"/>
          <w:szCs w:val="24"/>
          <w:lang w:val="en-US" w:eastAsia="zh-CN"/>
        </w:rPr>
        <w:t>104.5万元</w:t>
      </w:r>
    </w:p>
    <w:tbl>
      <w:tblPr>
        <w:tblStyle w:val="33"/>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011"/>
        <w:gridCol w:w="2588"/>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编号</w:t>
            </w:r>
          </w:p>
        </w:tc>
        <w:tc>
          <w:tcPr>
            <w:tcW w:w="2011"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品名</w:t>
            </w:r>
          </w:p>
        </w:tc>
        <w:tc>
          <w:tcPr>
            <w:tcW w:w="2588"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价格限价</w:t>
            </w:r>
          </w:p>
        </w:tc>
        <w:tc>
          <w:tcPr>
            <w:tcW w:w="2874"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p>
        </w:tc>
        <w:tc>
          <w:tcPr>
            <w:tcW w:w="2011"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饼干</w:t>
            </w:r>
          </w:p>
        </w:tc>
        <w:tc>
          <w:tcPr>
            <w:tcW w:w="2588"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≤2.2元/包</w:t>
            </w:r>
          </w:p>
        </w:tc>
        <w:tc>
          <w:tcPr>
            <w:tcW w:w="2874"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275000袋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p>
        </w:tc>
        <w:tc>
          <w:tcPr>
            <w:tcW w:w="2011"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巧克力</w:t>
            </w:r>
          </w:p>
        </w:tc>
        <w:tc>
          <w:tcPr>
            <w:tcW w:w="2588"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≤35元/盒</w:t>
            </w:r>
          </w:p>
        </w:tc>
        <w:tc>
          <w:tcPr>
            <w:tcW w:w="2874"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300盒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vMerge w:val="restart"/>
            <w:tcBorders>
              <w:top w:val="single" w:color="auto" w:sz="4" w:space="0"/>
              <w:left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w:t>
            </w:r>
          </w:p>
        </w:tc>
        <w:tc>
          <w:tcPr>
            <w:tcW w:w="2011" w:type="dxa"/>
            <w:vMerge w:val="restart"/>
            <w:tcBorders>
              <w:top w:val="single" w:color="auto" w:sz="4" w:space="0"/>
              <w:left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食用油</w:t>
            </w:r>
          </w:p>
        </w:tc>
        <w:tc>
          <w:tcPr>
            <w:tcW w:w="2588"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5L/桶≤65元/桶</w:t>
            </w:r>
          </w:p>
        </w:tc>
        <w:tc>
          <w:tcPr>
            <w:tcW w:w="2874"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3000桶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vMerge w:val="continue"/>
            <w:tcBorders>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p>
        </w:tc>
        <w:tc>
          <w:tcPr>
            <w:tcW w:w="2011" w:type="dxa"/>
            <w:vMerge w:val="continue"/>
            <w:tcBorders>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p>
        </w:tc>
        <w:tc>
          <w:tcPr>
            <w:tcW w:w="2588"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1.8L/桶≤35元/桶</w:t>
            </w:r>
          </w:p>
        </w:tc>
        <w:tc>
          <w:tcPr>
            <w:tcW w:w="2874"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4145桶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p>
        </w:tc>
        <w:tc>
          <w:tcPr>
            <w:tcW w:w="2011"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什锦糖</w:t>
            </w:r>
          </w:p>
        </w:tc>
        <w:tc>
          <w:tcPr>
            <w:tcW w:w="2588"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每斤≤35元</w:t>
            </w:r>
          </w:p>
        </w:tc>
        <w:tc>
          <w:tcPr>
            <w:tcW w:w="2874"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400斤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w:t>
            </w:r>
          </w:p>
        </w:tc>
        <w:tc>
          <w:tcPr>
            <w:tcW w:w="2011"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桂圆莲子八宝粥</w:t>
            </w:r>
          </w:p>
        </w:tc>
        <w:tc>
          <w:tcPr>
            <w:tcW w:w="2588"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每听≤3.5元</w:t>
            </w:r>
          </w:p>
        </w:tc>
        <w:tc>
          <w:tcPr>
            <w:tcW w:w="2874"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2000听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w:t>
            </w:r>
          </w:p>
        </w:tc>
        <w:tc>
          <w:tcPr>
            <w:tcW w:w="2011"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方糖</w:t>
            </w:r>
          </w:p>
        </w:tc>
        <w:tc>
          <w:tcPr>
            <w:tcW w:w="2588"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每袋≤10元</w:t>
            </w:r>
          </w:p>
        </w:tc>
        <w:tc>
          <w:tcPr>
            <w:tcW w:w="2874"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6000 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5"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w:t>
            </w:r>
          </w:p>
        </w:tc>
        <w:tc>
          <w:tcPr>
            <w:tcW w:w="2011"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手撕面包</w:t>
            </w:r>
          </w:p>
        </w:tc>
        <w:tc>
          <w:tcPr>
            <w:tcW w:w="2588"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每个≤7元</w:t>
            </w:r>
          </w:p>
        </w:tc>
        <w:tc>
          <w:tcPr>
            <w:tcW w:w="2874" w:type="dxa"/>
            <w:tcBorders>
              <w:top w:val="single" w:color="auto" w:sz="4" w:space="0"/>
              <w:left w:val="single" w:color="auto" w:sz="4" w:space="0"/>
              <w:bottom w:val="single" w:color="auto" w:sz="4" w:space="0"/>
              <w:right w:val="single" w:color="auto" w:sz="4" w:space="0"/>
            </w:tcBorders>
          </w:tcPr>
          <w:p>
            <w:pPr>
              <w:pStyle w:val="86"/>
              <w:widowControl/>
              <w:snapToGrid w:val="0"/>
              <w:spacing w:line="360" w:lineRule="auto"/>
              <w:ind w:left="0" w:firstLine="0" w:firstLineChars="0"/>
              <w:contextualSpacing/>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1200个</w:t>
            </w:r>
          </w:p>
        </w:tc>
      </w:tr>
    </w:tbl>
    <w:p>
      <w:pPr>
        <w:spacing w:line="360" w:lineRule="auto"/>
        <w:jc w:val="both"/>
        <w:rPr>
          <w:rFonts w:ascii="宋体" w:hAnsi="宋体" w:eastAsia="宋体" w:cs="宋体"/>
          <w:sz w:val="28"/>
          <w:szCs w:val="28"/>
        </w:rPr>
      </w:pPr>
      <w:r>
        <w:rPr>
          <w:rFonts w:hint="eastAsia" w:ascii="宋体" w:hAnsi="宋体" w:eastAsia="宋体" w:cs="宋体"/>
          <w:sz w:val="28"/>
          <w:szCs w:val="28"/>
        </w:rPr>
        <w:t>（详见招标文件第三章〈招标内容及要求〉）</w:t>
      </w:r>
    </w:p>
    <w:p>
      <w:pPr>
        <w:spacing w:line="360" w:lineRule="auto"/>
        <w:rPr>
          <w:rFonts w:ascii="宋体" w:hAnsi="宋体" w:eastAsia="宋体" w:cs="宋体"/>
          <w:sz w:val="28"/>
          <w:szCs w:val="28"/>
          <w:highlight w:val="yellow"/>
        </w:rPr>
      </w:pPr>
      <w:r>
        <w:rPr>
          <w:rFonts w:hint="eastAsia" w:ascii="宋体" w:hAnsi="宋体" w:eastAsia="宋体" w:cs="宋体"/>
          <w:sz w:val="28"/>
          <w:szCs w:val="28"/>
        </w:rPr>
        <w:t>四、采购预算：</w:t>
      </w:r>
      <w:r>
        <w:rPr>
          <w:rFonts w:hint="eastAsia" w:ascii="宋体" w:hAnsi="宋体" w:eastAsia="宋体" w:cs="宋体"/>
          <w:sz w:val="28"/>
          <w:szCs w:val="28"/>
          <w:highlight w:val="none"/>
          <w:lang w:val="en-US" w:eastAsia="zh-CN"/>
        </w:rPr>
        <w:t>200</w:t>
      </w:r>
      <w:r>
        <w:rPr>
          <w:rFonts w:hint="eastAsia" w:ascii="宋体" w:hAnsi="宋体" w:eastAsia="宋体" w:cs="宋体"/>
          <w:sz w:val="28"/>
          <w:szCs w:val="28"/>
          <w:highlight w:val="none"/>
        </w:rPr>
        <w:t>0000.00元</w:t>
      </w:r>
    </w:p>
    <w:p>
      <w:pPr>
        <w:rPr>
          <w:rFonts w:ascii="宋体" w:hAnsi="宋体" w:eastAsia="宋体" w:cs="宋体"/>
          <w:sz w:val="28"/>
          <w:szCs w:val="28"/>
        </w:rPr>
      </w:pPr>
      <w:r>
        <w:rPr>
          <w:rFonts w:hint="eastAsia" w:ascii="宋体" w:hAnsi="宋体" w:eastAsia="宋体" w:cs="宋体"/>
          <w:sz w:val="28"/>
          <w:szCs w:val="28"/>
        </w:rPr>
        <w:t>五、供应商资格要求：</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1．基本资格条件</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满足《中华人民共和国政府釆购法》第二十二条规定。</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2．特定资格条件</w:t>
      </w:r>
    </w:p>
    <w:p>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(1)具有独立承担民事责任能力的法人、其他组织或自然人，并出具合法有效的营业执照或事业单位法人证书等国家规定的相关证明，自然人参与的提供其身份证明；</w:t>
      </w:r>
    </w:p>
    <w:p>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(2)社会保障资金缴纳证明：供应商提供本单位202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(3)税收缴纳证明：供应商提供本单位202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月至今已缴纳的至少一个月纳税证明或完税证明，依法免税的单位应提供相关证明材料； </w:t>
      </w:r>
    </w:p>
    <w:p>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(4)财务状况证明：提供本单位经会计师事务所审计的202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eastAsia="zh-CN"/>
        </w:rPr>
        <w:t>或</w:t>
      </w:r>
      <w:r>
        <w:rPr>
          <w:rFonts w:hint="eastAsia" w:ascii="宋体" w:hAnsi="宋体" w:eastAsia="宋体" w:cs="宋体"/>
          <w:sz w:val="28"/>
          <w:szCs w:val="28"/>
          <w:lang w:val="en-US" w:eastAsia="zh-CN"/>
        </w:rPr>
        <w:t>2023年</w:t>
      </w:r>
      <w:r>
        <w:rPr>
          <w:rFonts w:hint="eastAsia" w:ascii="宋体" w:hAnsi="宋体" w:eastAsia="宋体" w:cs="宋体"/>
          <w:sz w:val="28"/>
          <w:szCs w:val="28"/>
        </w:rPr>
        <w:t xml:space="preserve">财务审计报告或在开标日期前六个月内其基本开户银行出具的资信证明；  </w:t>
      </w:r>
    </w:p>
    <w:p>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(5)供应商应出具参加本次政府采购活动前3年内在经营活动中没有重大违法违纪，以及未被列入失信被执行人、重大税收违法案件当事人名单、政府采购严重违法失信行为记录名单的书面声明；</w:t>
      </w:r>
    </w:p>
    <w:p>
      <w:pPr>
        <w:spacing w:line="360" w:lineRule="auto"/>
        <w:ind w:firstLine="576" w:firstLineChars="200"/>
        <w:rPr>
          <w:rFonts w:hint="eastAsia" w:ascii="宋体" w:hAnsi="宋体" w:eastAsia="宋体" w:cs="宋体"/>
          <w:sz w:val="28"/>
          <w:szCs w:val="28"/>
        </w:rPr>
      </w:pPr>
      <w:r>
        <w:rPr>
          <w:rFonts w:hint="eastAsia" w:ascii="宋体" w:hAnsi="宋体" w:eastAsia="宋体" w:cs="宋体"/>
          <w:sz w:val="28"/>
          <w:szCs w:val="28"/>
        </w:rPr>
        <w:t>(6)非法定代表人参加投标，须提供法定代表人授权委托书及被授权人身份证；法定代表人参加投标时,只须提供法定代表人身份证；</w:t>
      </w:r>
    </w:p>
    <w:p>
      <w:pPr>
        <w:pStyle w:val="11"/>
        <w:spacing w:line="360" w:lineRule="auto"/>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（7）供应商为代理商须提供食品经营许可证及生产商的食品生产许可证；供应商为厂家的须提供食品经营许可证及食品生产许可证；</w:t>
      </w:r>
    </w:p>
    <w:p>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w:t>
      </w:r>
      <w:r>
        <w:rPr>
          <w:rFonts w:hint="eastAsia" w:ascii="宋体" w:hAnsi="宋体" w:eastAsia="宋体" w:cs="宋体"/>
          <w:sz w:val="28"/>
          <w:szCs w:val="28"/>
        </w:rPr>
        <w:t>本项目不接受联合体投标。</w:t>
      </w:r>
    </w:p>
    <w:p>
      <w:pPr>
        <w:rPr>
          <w:rFonts w:ascii="宋体" w:hAnsi="宋体" w:eastAsia="宋体" w:cs="宋体"/>
          <w:sz w:val="28"/>
          <w:szCs w:val="28"/>
        </w:rPr>
      </w:pPr>
      <w:r>
        <w:rPr>
          <w:rFonts w:hint="eastAsia" w:ascii="宋体" w:hAnsi="宋体" w:eastAsia="宋体" w:cs="宋体"/>
          <w:sz w:val="28"/>
          <w:szCs w:val="28"/>
        </w:rPr>
        <w:t>六、执行的其他政府采购政策：</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政府采购促进中小企业发展管理办法》（财库〔2020〕46号）、《关于政府采购支持监狱企业发展有关问题的通知》（财库〔2014〕68号）以及《关于促进残疾人就业政府采购政策的通知》（财库〔2017〕141号）。</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3．陕西省财政厅关于印发《陕西省中小企业政府采购信用融资办法》（陕财办采〔2018〕23号）。</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4．详见招标文件第二章相关事项。</w:t>
      </w:r>
    </w:p>
    <w:p>
      <w:pPr>
        <w:rPr>
          <w:rFonts w:ascii="宋体" w:hAnsi="宋体" w:eastAsia="宋体" w:cs="宋体"/>
          <w:sz w:val="28"/>
          <w:szCs w:val="28"/>
        </w:rPr>
      </w:pPr>
      <w:r>
        <w:rPr>
          <w:rFonts w:hint="eastAsia" w:ascii="宋体" w:hAnsi="宋体" w:eastAsia="宋体" w:cs="宋体"/>
          <w:sz w:val="28"/>
          <w:szCs w:val="28"/>
        </w:rPr>
        <w:t>七、招标文件获取方式及公告期限：</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1．获取方式：</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1.1打开【全国公共资源交易平台（陕西省·西安市）】网站（简称西安市公共资源交易平台，官网地址：</w:t>
      </w:r>
      <w:r>
        <w:fldChar w:fldCharType="begin"/>
      </w:r>
      <w:r>
        <w:instrText xml:space="preserve"> HYPERLINK "http://sxggzyjy.xa.gov.cn/" </w:instrText>
      </w:r>
      <w:r>
        <w:fldChar w:fldCharType="separate"/>
      </w:r>
      <w:r>
        <w:rPr>
          <w:rStyle w:val="44"/>
          <w:rFonts w:hint="eastAsia" w:ascii="宋体" w:hAnsi="宋体" w:eastAsia="宋体" w:cs="宋体"/>
          <w:color w:val="auto"/>
          <w:sz w:val="28"/>
          <w:szCs w:val="28"/>
          <w:u w:val="none"/>
        </w:rPr>
        <w:t>http://sxggzyjy.xa.gov.cn/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keepNext/>
        <w:numPr>
          <w:ilvl w:val="3"/>
          <w:numId w:val="0"/>
        </w:num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1.2供应商于文件发售时间内登录全国公共资源交易平台（陕西省·西安市）系统 （http://sxggzyjy.xa.gov.cn/），选择本项目点击“我要投标”，参与投标活动；网上报名。</w:t>
      </w:r>
    </w:p>
    <w:p>
      <w:pPr>
        <w:numPr>
          <w:ilvl w:val="0"/>
          <w:numId w:val="3"/>
        </w:numPr>
        <w:spacing w:line="560" w:lineRule="exact"/>
        <w:ind w:firstLine="576" w:firstLineChars="200"/>
        <w:jc w:val="both"/>
        <w:rPr>
          <w:rFonts w:hint="eastAsia" w:ascii="宋体" w:hAnsi="宋体" w:eastAsia="宋体" w:cs="宋体"/>
          <w:sz w:val="28"/>
          <w:szCs w:val="28"/>
          <w:highlight w:val="none"/>
        </w:rPr>
      </w:pPr>
      <w:r>
        <w:rPr>
          <w:rFonts w:hint="eastAsia" w:ascii="宋体" w:hAnsi="宋体" w:eastAsia="宋体" w:cs="宋体"/>
          <w:sz w:val="28"/>
          <w:szCs w:val="28"/>
        </w:rPr>
        <w:t>获</w:t>
      </w:r>
      <w:r>
        <w:rPr>
          <w:rFonts w:hint="eastAsia" w:ascii="宋体" w:hAnsi="宋体" w:eastAsia="宋体" w:cs="宋体"/>
          <w:sz w:val="28"/>
          <w:szCs w:val="28"/>
          <w:highlight w:val="none"/>
        </w:rPr>
        <w:t>取时间：202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03</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22</w:t>
      </w:r>
      <w:r>
        <w:rPr>
          <w:rFonts w:hint="eastAsia" w:ascii="宋体" w:hAnsi="宋体" w:eastAsia="宋体" w:cs="宋体"/>
          <w:sz w:val="28"/>
          <w:szCs w:val="28"/>
          <w:highlight w:val="none"/>
        </w:rPr>
        <w:t>日起至202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03</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29</w:t>
      </w:r>
      <w:r>
        <w:rPr>
          <w:rFonts w:hint="eastAsia" w:ascii="宋体" w:hAnsi="宋体" w:eastAsia="宋体" w:cs="宋体"/>
          <w:sz w:val="28"/>
          <w:szCs w:val="28"/>
          <w:highlight w:val="none"/>
        </w:rPr>
        <w:t>日止</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每天上午00:00:00至12:00:00，下午12:00:00至23:59:59</w:t>
      </w:r>
      <w:r>
        <w:rPr>
          <w:rFonts w:hint="eastAsia" w:ascii="宋体" w:hAnsi="宋体" w:eastAsia="宋体" w:cs="宋体"/>
          <w:sz w:val="28"/>
          <w:szCs w:val="28"/>
          <w:highlight w:val="none"/>
          <w:lang w:eastAsia="zh-CN"/>
        </w:rPr>
        <w:t>。</w:t>
      </w:r>
    </w:p>
    <w:p>
      <w:pPr>
        <w:numPr>
          <w:ilvl w:val="0"/>
          <w:numId w:val="3"/>
        </w:num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公告期自公告发布之日起5个工作日</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4.友情提示：</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本项目为电子化政府采购项目，供应商初次使用电子交易平台时，请先阅读【全国公共资源交易平台（陕西省.西安市）】（http://sxggzyjy.xa.gov,cn/）网站【首页&gt;服务指南&gt;下载专区】中的《西安市市级单位电子化政府采购项目投标指南》，并按要求完成诚信入库登记、CA认证及企业信息绑定。</w:t>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2）办理CA认证：电子交易平台已接入陕西CA、深圳CA、西部CA、北京CA四家数字认证公司，各供应商在交易过程中登录系统、加密/解密投标文件、文件签章等均可使用上述四家CA公司签发的数字。办理须知及所需资料详见：</w:t>
      </w:r>
      <w:r>
        <w:fldChar w:fldCharType="begin"/>
      </w:r>
      <w:r>
        <w:instrText xml:space="preserve"> HYPERLINK "http://www.sxggzyjy.cn/fwzn/004003/20220701/6972fe02-f996-4928-951e-545dab02e53c.html" </w:instrText>
      </w:r>
      <w:r>
        <w:fldChar w:fldCharType="separate"/>
      </w:r>
      <w:r>
        <w:rPr>
          <w:rStyle w:val="38"/>
          <w:rFonts w:hint="eastAsia" w:ascii="宋体" w:hAnsi="宋体" w:eastAsia="宋体" w:cs="宋体"/>
          <w:color w:val="auto"/>
          <w:sz w:val="28"/>
          <w:szCs w:val="28"/>
        </w:rPr>
        <w:t>http://www.sxggzyjy.cn/fwzn/004003/20220701/6972fe02-f996-4928-951e-545dab02e53c.html</w:t>
      </w:r>
      <w:r>
        <w:rPr>
          <w:rStyle w:val="38"/>
          <w:rFonts w:hint="eastAsia" w:ascii="宋体" w:hAnsi="宋体" w:eastAsia="宋体" w:cs="宋体"/>
          <w:color w:val="auto"/>
          <w:sz w:val="28"/>
          <w:szCs w:val="28"/>
        </w:rPr>
        <w:fldChar w:fldCharType="end"/>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（3）请供应商务必及时下载项目招标文件并做好备份，否则会影响投标文件编制及后续投标活动。</w:t>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（4）本项目采用“不见面开标”形式，供应商可登录全国公共资源交易平台（陕西省.西安市）网站</w:t>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【首页&gt;不见面开标】系统，在线参加开标过程。操作手册详见【首页&gt;服务指南&gt;下载专区】中的《西安公共资源交易不见面开标大厅供应商操作手册》</w:t>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（5）按照陕西省财政厅《关于政府采购供应商注册登记有关事项的通知》中的要求，供应商通过陕西省政府采购网（http://www.ccgp-shannxi.gov.cn/）注册登记，加入陕西省政府采购供应商库。</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（6）制作电子投标文件（*.SXSTF）需要使用专用制作工具。软件下载及操作说明详见西安市公共资源交易平台〖首页·〉服务指南·〉下载专区〗中的《政府采购项目投标文件制作软件及操作手册》。</w:t>
      </w:r>
    </w:p>
    <w:p>
      <w:pPr>
        <w:spacing w:line="360" w:lineRule="auto"/>
        <w:ind w:firstLine="576" w:firstLineChars="200"/>
        <w:jc w:val="both"/>
        <w:rPr>
          <w:rFonts w:ascii="宋体" w:hAnsi="宋体" w:eastAsia="宋体" w:cs="宋体"/>
        </w:rPr>
      </w:pPr>
      <w:r>
        <w:rPr>
          <w:rFonts w:hint="eastAsia" w:ascii="宋体" w:hAnsi="宋体" w:eastAsia="宋体" w:cs="宋体"/>
          <w:sz w:val="28"/>
          <w:szCs w:val="28"/>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spacing w:line="360" w:lineRule="auto"/>
        <w:rPr>
          <w:rFonts w:ascii="宋体" w:hAnsi="宋体" w:eastAsia="宋体" w:cs="宋体"/>
          <w:sz w:val="28"/>
          <w:szCs w:val="28"/>
        </w:rPr>
      </w:pPr>
      <w:r>
        <w:rPr>
          <w:rFonts w:hint="eastAsia" w:ascii="宋体" w:hAnsi="宋体" w:eastAsia="宋体" w:cs="宋体"/>
          <w:sz w:val="28"/>
          <w:szCs w:val="28"/>
        </w:rPr>
        <w:t>八、提交投标文件方式、截止时间及开标时间、形式：</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560" w:lineRule="exact"/>
        <w:ind w:firstLine="576" w:firstLineChars="200"/>
        <w:jc w:val="both"/>
        <w:rPr>
          <w:rFonts w:ascii="宋体" w:hAnsi="宋体" w:eastAsia="宋体" w:cs="宋体"/>
          <w:sz w:val="28"/>
          <w:szCs w:val="28"/>
          <w:highlight w:val="none"/>
        </w:rPr>
      </w:pPr>
      <w:r>
        <w:rPr>
          <w:rFonts w:hint="eastAsia" w:ascii="宋体" w:hAnsi="宋体" w:eastAsia="宋体" w:cs="宋体"/>
          <w:sz w:val="28"/>
          <w:szCs w:val="28"/>
        </w:rPr>
        <w:t>2．提交投标文件截止时间及开标</w:t>
      </w:r>
      <w:r>
        <w:rPr>
          <w:rFonts w:hint="eastAsia" w:ascii="宋体" w:hAnsi="宋体" w:eastAsia="宋体" w:cs="宋体"/>
          <w:sz w:val="28"/>
          <w:szCs w:val="28"/>
          <w:highlight w:val="none"/>
        </w:rPr>
        <w:t>时间：202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04</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15</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09</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rPr>
        <w:t>，逾期提交的，系统将拒绝接收。</w:t>
      </w:r>
    </w:p>
    <w:p>
      <w:pPr>
        <w:ind w:firstLine="576" w:firstLineChars="200"/>
        <w:rPr>
          <w:sz w:val="28"/>
          <w:szCs w:val="28"/>
          <w:highlight w:val="none"/>
        </w:rPr>
      </w:pPr>
      <w:r>
        <w:rPr>
          <w:rFonts w:hint="eastAsia" w:ascii="宋体" w:hAnsi="宋体" w:eastAsia="宋体" w:cs="宋体"/>
          <w:sz w:val="28"/>
          <w:szCs w:val="28"/>
          <w:highlight w:val="none"/>
        </w:rPr>
        <w:t>3.开标地址：西安市公共资源交易中心</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楼开标室</w:t>
      </w:r>
      <w:r>
        <w:rPr>
          <w:rFonts w:hint="eastAsia" w:ascii="宋体" w:hAnsi="宋体" w:eastAsia="宋体" w:cs="宋体"/>
          <w:sz w:val="28"/>
          <w:szCs w:val="28"/>
          <w:highlight w:val="none"/>
          <w:lang w:val="en-US" w:eastAsia="zh-CN"/>
        </w:rPr>
        <w:t>509</w:t>
      </w:r>
      <w:r>
        <w:rPr>
          <w:rFonts w:hint="eastAsia" w:ascii="宋体" w:hAnsi="宋体" w:eastAsia="宋体" w:cs="宋体"/>
          <w:sz w:val="28"/>
          <w:szCs w:val="28"/>
          <w:highlight w:val="none"/>
        </w:rPr>
        <w:t>。</w:t>
      </w:r>
    </w:p>
    <w:p>
      <w:pPr>
        <w:spacing w:line="360" w:lineRule="auto"/>
        <w:ind w:firstLine="576" w:firstLineChars="200"/>
        <w:jc w:val="both"/>
        <w:rPr>
          <w:rFonts w:ascii="宋体" w:hAnsi="宋体" w:eastAsia="宋体" w:cs="宋体"/>
          <w:sz w:val="28"/>
          <w:szCs w:val="28"/>
        </w:rPr>
      </w:pPr>
      <w:r>
        <w:rPr>
          <w:rFonts w:hint="eastAsia" w:ascii="宋体" w:hAnsi="宋体" w:eastAsia="宋体" w:cs="宋体"/>
          <w:sz w:val="28"/>
          <w:szCs w:val="28"/>
        </w:rPr>
        <w:t>4．开标形式：本项目将采用“不见面开标”形式。操作说明详见平台〖首页·〉服务指南·〉下载专区〗中的《西安公共资源交易不见面开标大厅供应商操作手册》。</w:t>
      </w:r>
    </w:p>
    <w:p>
      <w:pPr>
        <w:spacing w:line="360" w:lineRule="auto"/>
        <w:rPr>
          <w:rFonts w:ascii="宋体" w:hAnsi="宋体" w:eastAsia="宋体" w:cs="宋体"/>
          <w:sz w:val="28"/>
          <w:szCs w:val="28"/>
        </w:rPr>
      </w:pPr>
      <w:r>
        <w:rPr>
          <w:rFonts w:hint="eastAsia" w:ascii="宋体" w:hAnsi="宋体" w:eastAsia="宋体" w:cs="宋体"/>
          <w:sz w:val="28"/>
          <w:szCs w:val="28"/>
        </w:rPr>
        <w:t>九、联系方式</w:t>
      </w:r>
    </w:p>
    <w:p>
      <w:pPr>
        <w:spacing w:line="560" w:lineRule="exact"/>
        <w:ind w:firstLine="576" w:firstLineChars="200"/>
        <w:jc w:val="both"/>
        <w:rPr>
          <w:rFonts w:hint="eastAsia" w:ascii="宋体" w:hAnsi="宋体" w:eastAsia="宋体" w:cs="宋体"/>
          <w:sz w:val="28"/>
          <w:szCs w:val="28"/>
          <w:lang w:eastAsia="zh-CN"/>
        </w:rPr>
      </w:pPr>
      <w:r>
        <w:rPr>
          <w:rFonts w:hint="eastAsia" w:ascii="宋体" w:hAnsi="宋体" w:eastAsia="宋体" w:cs="宋体"/>
          <w:sz w:val="28"/>
          <w:szCs w:val="28"/>
        </w:rPr>
        <w:t>1．采购人：</w:t>
      </w:r>
      <w:r>
        <w:rPr>
          <w:rFonts w:hint="eastAsia" w:ascii="宋体" w:hAnsi="宋体" w:eastAsia="宋体" w:cs="宋体"/>
          <w:sz w:val="28"/>
          <w:szCs w:val="28"/>
          <w:lang w:eastAsia="zh-CN"/>
        </w:rPr>
        <w:t>西安市中心血站</w:t>
      </w:r>
    </w:p>
    <w:p>
      <w:pPr>
        <w:spacing w:line="560" w:lineRule="exact"/>
        <w:ind w:firstLine="576" w:firstLineChars="200"/>
        <w:jc w:val="both"/>
        <w:rPr>
          <w:rFonts w:ascii="宋体" w:hAnsi="宋体" w:eastAsia="宋体" w:cs="宋体"/>
          <w:sz w:val="28"/>
          <w:szCs w:val="28"/>
          <w:highlight w:val="none"/>
        </w:rPr>
      </w:pPr>
      <w:r>
        <w:rPr>
          <w:rFonts w:hint="eastAsia" w:ascii="宋体" w:hAnsi="宋体" w:eastAsia="宋体" w:cs="宋体"/>
          <w:sz w:val="28"/>
          <w:szCs w:val="28"/>
          <w:highlight w:val="none"/>
        </w:rPr>
        <w:t>地址：西安市朱雀大街407号</w:t>
      </w:r>
    </w:p>
    <w:p>
      <w:pPr>
        <w:spacing w:line="560" w:lineRule="exact"/>
        <w:ind w:firstLine="576" w:firstLineChars="200"/>
        <w:jc w:val="both"/>
        <w:rPr>
          <w:rFonts w:ascii="宋体" w:hAnsi="宋体" w:eastAsia="宋体" w:cs="宋体"/>
          <w:sz w:val="28"/>
          <w:szCs w:val="28"/>
          <w:highlight w:val="yellow"/>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lang w:val="en-US" w:eastAsia="zh-CN"/>
        </w:rPr>
        <w:t>靳老师</w:t>
      </w:r>
    </w:p>
    <w:p>
      <w:pPr>
        <w:spacing w:line="560" w:lineRule="exact"/>
        <w:ind w:firstLine="576" w:firstLineChars="200"/>
        <w:jc w:val="both"/>
        <w:rPr>
          <w:rFonts w:ascii="宋体" w:hAnsi="宋体" w:eastAsia="宋体" w:cs="宋体"/>
          <w:sz w:val="28"/>
          <w:szCs w:val="28"/>
          <w:highlight w:val="yellow"/>
        </w:rPr>
      </w:pPr>
      <w:r>
        <w:rPr>
          <w:rFonts w:hint="eastAsia" w:ascii="宋体" w:hAnsi="宋体" w:eastAsia="宋体" w:cs="宋体"/>
          <w:sz w:val="28"/>
          <w:szCs w:val="28"/>
          <w:highlight w:val="none"/>
        </w:rPr>
        <w:t>联系方式：029</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85212746</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2．采购代理机构：陕西万泽招标有限公司</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地址：西安市莲湖区西关正街英达大厦150</w:t>
      </w:r>
      <w:r>
        <w:rPr>
          <w:rFonts w:hint="eastAsia" w:ascii="宋体" w:hAnsi="宋体" w:eastAsia="宋体" w:cs="宋体"/>
          <w:sz w:val="28"/>
          <w:szCs w:val="28"/>
          <w:lang w:val="en-US" w:eastAsia="zh-CN"/>
        </w:rPr>
        <w:t>6</w:t>
      </w:r>
      <w:r>
        <w:rPr>
          <w:rFonts w:hint="eastAsia" w:ascii="宋体" w:hAnsi="宋体" w:eastAsia="宋体" w:cs="宋体"/>
          <w:sz w:val="28"/>
          <w:szCs w:val="28"/>
        </w:rPr>
        <w:t>室</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总机：029-88319689</w:t>
      </w:r>
    </w:p>
    <w:p>
      <w:pPr>
        <w:spacing w:line="560" w:lineRule="exact"/>
        <w:ind w:firstLine="576" w:firstLineChars="200"/>
        <w:jc w:val="both"/>
        <w:rPr>
          <w:rFonts w:hint="eastAsia" w:ascii="宋体" w:hAnsi="宋体" w:eastAsia="宋体" w:cs="宋体"/>
          <w:sz w:val="28"/>
          <w:szCs w:val="28"/>
          <w:lang w:eastAsia="zh-CN"/>
        </w:rPr>
      </w:pPr>
      <w:r>
        <w:rPr>
          <w:rFonts w:hint="eastAsia" w:ascii="宋体" w:hAnsi="宋体" w:eastAsia="宋体" w:cs="宋体"/>
          <w:sz w:val="28"/>
          <w:szCs w:val="28"/>
        </w:rPr>
        <w:t xml:space="preserve">联系人：崔方明  </w:t>
      </w:r>
      <w:r>
        <w:rPr>
          <w:rFonts w:hint="eastAsia" w:ascii="宋体" w:hAnsi="宋体" w:eastAsia="宋体" w:cs="宋体"/>
          <w:sz w:val="28"/>
          <w:szCs w:val="28"/>
          <w:lang w:val="en-US" w:eastAsia="zh-CN"/>
        </w:rPr>
        <w:t>许芳芳</w:t>
      </w:r>
      <w:r>
        <w:rPr>
          <w:rFonts w:hint="eastAsia" w:ascii="宋体" w:hAnsi="宋体" w:eastAsia="宋体" w:cs="宋体"/>
          <w:sz w:val="28"/>
          <w:szCs w:val="28"/>
        </w:rPr>
        <w:t xml:space="preserve">  </w:t>
      </w:r>
      <w:r>
        <w:rPr>
          <w:rFonts w:hint="eastAsia" w:ascii="宋体" w:hAnsi="宋体" w:eastAsia="宋体" w:cs="宋体"/>
          <w:sz w:val="28"/>
          <w:szCs w:val="28"/>
          <w:lang w:eastAsia="zh-CN"/>
        </w:rPr>
        <w:t>刘嘉辉</w:t>
      </w:r>
      <w:r>
        <w:rPr>
          <w:rFonts w:hint="eastAsia" w:ascii="宋体" w:hAnsi="宋体" w:eastAsia="宋体" w:cs="宋体"/>
          <w:sz w:val="28"/>
          <w:szCs w:val="28"/>
          <w:lang w:val="en-US" w:eastAsia="zh-CN"/>
        </w:rPr>
        <w:t xml:space="preserve">  陈晓航</w:t>
      </w:r>
    </w:p>
    <w:p>
      <w:pPr>
        <w:spacing w:line="560" w:lineRule="exact"/>
        <w:ind w:firstLine="576"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rPr>
        <w:t>联系电话：029-88319689-80</w:t>
      </w:r>
      <w:r>
        <w:rPr>
          <w:rFonts w:hint="eastAsia" w:ascii="宋体" w:hAnsi="宋体" w:eastAsia="宋体" w:cs="宋体"/>
          <w:sz w:val="28"/>
          <w:szCs w:val="28"/>
          <w:lang w:val="en-US" w:eastAsia="zh-CN"/>
        </w:rPr>
        <w:t>0</w:t>
      </w:r>
      <w:r>
        <w:rPr>
          <w:rFonts w:hint="eastAsia" w:ascii="宋体" w:hAnsi="宋体" w:eastAsia="宋体" w:cs="宋体"/>
          <w:sz w:val="28"/>
          <w:szCs w:val="28"/>
        </w:rPr>
        <w:t>4/8</w:t>
      </w:r>
      <w:r>
        <w:rPr>
          <w:rFonts w:hint="eastAsia" w:ascii="宋体" w:hAnsi="宋体" w:eastAsia="宋体" w:cs="宋体"/>
          <w:sz w:val="28"/>
          <w:szCs w:val="28"/>
          <w:lang w:val="en-US" w:eastAsia="zh-CN"/>
        </w:rPr>
        <w:t>009</w:t>
      </w:r>
    </w:p>
    <w:p>
      <w:pPr>
        <w:spacing w:line="560" w:lineRule="exact"/>
        <w:ind w:firstLine="576" w:firstLineChars="200"/>
        <w:jc w:val="right"/>
        <w:rPr>
          <w:rFonts w:ascii="宋体" w:hAnsi="宋体" w:eastAsia="宋体" w:cs="宋体"/>
          <w:sz w:val="28"/>
          <w:szCs w:val="28"/>
        </w:rPr>
      </w:pPr>
      <w:r>
        <w:rPr>
          <w:rFonts w:hint="eastAsia" w:ascii="宋体" w:hAnsi="宋体" w:eastAsia="宋体" w:cs="宋体"/>
          <w:sz w:val="28"/>
          <w:szCs w:val="28"/>
        </w:rPr>
        <w:t>陕西万泽招标有限公司</w:t>
      </w:r>
    </w:p>
    <w:p>
      <w:pPr>
        <w:spacing w:line="560" w:lineRule="exact"/>
        <w:ind w:firstLine="576" w:firstLineChars="200"/>
        <w:jc w:val="right"/>
        <w:rPr>
          <w:rFonts w:ascii="宋体" w:hAnsi="宋体" w:eastAsia="宋体" w:cs="宋体"/>
          <w:sz w:val="28"/>
          <w:szCs w:val="28"/>
          <w:highlight w:val="yellow"/>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03</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22</w:t>
      </w:r>
      <w:r>
        <w:rPr>
          <w:rFonts w:hint="eastAsia" w:ascii="宋体" w:hAnsi="宋体" w:eastAsia="宋体" w:cs="宋体"/>
          <w:sz w:val="28"/>
          <w:szCs w:val="28"/>
          <w:highlight w:val="none"/>
        </w:rPr>
        <w:t>日</w:t>
      </w:r>
    </w:p>
    <w:p>
      <w:pPr>
        <w:spacing w:line="560" w:lineRule="exact"/>
        <w:ind w:firstLine="656" w:firstLineChars="200"/>
        <w:jc w:val="both"/>
        <w:rPr>
          <w:rFonts w:ascii="宋体" w:hAnsi="宋体" w:eastAsia="宋体" w:cs="宋体"/>
          <w:sz w:val="32"/>
          <w:szCs w:val="32"/>
          <w:highlight w:val="none"/>
        </w:rPr>
      </w:pPr>
      <w:bookmarkStart w:id="3" w:name="_Toc445407251"/>
      <w:bookmarkStart w:id="4" w:name="_Toc534656409"/>
      <w:bookmarkStart w:id="5" w:name="_Toc533363262"/>
      <w:bookmarkStart w:id="6" w:name="_Toc100219613"/>
      <w:bookmarkStart w:id="7" w:name="_Toc97563329"/>
      <w:bookmarkStart w:id="8" w:name="_Toc498349068"/>
      <w:bookmarkStart w:id="9" w:name="_Toc534656414"/>
      <w:bookmarkStart w:id="10" w:name="_Toc533363235"/>
      <w:r>
        <w:rPr>
          <w:rFonts w:hint="eastAsia" w:ascii="宋体" w:hAnsi="宋体" w:eastAsia="宋体" w:cs="宋体"/>
          <w:sz w:val="32"/>
          <w:szCs w:val="32"/>
          <w:highlight w:val="none"/>
        </w:rPr>
        <w:br w:type="page"/>
      </w:r>
    </w:p>
    <w:p>
      <w:pPr>
        <w:pStyle w:val="2"/>
        <w:spacing w:line="240" w:lineRule="auto"/>
        <w:rPr>
          <w:rFonts w:ascii="宋体" w:hAnsi="宋体" w:eastAsia="宋体" w:cs="宋体"/>
        </w:rPr>
      </w:pPr>
      <w:bookmarkStart w:id="11" w:name="_Toc7320"/>
      <w:bookmarkStart w:id="12" w:name="_Toc30601"/>
      <w:r>
        <w:rPr>
          <w:rFonts w:hint="eastAsia" w:ascii="宋体" w:hAnsi="宋体" w:eastAsia="宋体" w:cs="宋体"/>
        </w:rPr>
        <w:t>第二章  供应商须知</w:t>
      </w:r>
      <w:bookmarkEnd w:id="3"/>
      <w:bookmarkEnd w:id="4"/>
      <w:bookmarkEnd w:id="5"/>
      <w:bookmarkEnd w:id="6"/>
      <w:bookmarkEnd w:id="7"/>
      <w:bookmarkEnd w:id="8"/>
      <w:bookmarkEnd w:id="9"/>
      <w:bookmarkEnd w:id="10"/>
      <w:bookmarkEnd w:id="11"/>
      <w:bookmarkEnd w:id="12"/>
    </w:p>
    <w:p>
      <w:pPr>
        <w:pStyle w:val="3"/>
        <w:spacing w:line="240" w:lineRule="auto"/>
        <w:ind w:firstLine="577"/>
        <w:jc w:val="left"/>
        <w:rPr>
          <w:rFonts w:ascii="宋体" w:hAnsi="宋体" w:eastAsia="宋体" w:cs="宋体"/>
          <w:sz w:val="28"/>
          <w:szCs w:val="28"/>
        </w:rPr>
      </w:pPr>
      <w:bookmarkStart w:id="13" w:name="_Toc31682"/>
      <w:bookmarkStart w:id="14" w:name="_Toc30517"/>
      <w:bookmarkStart w:id="15" w:name="_Toc21968"/>
      <w:bookmarkStart w:id="16" w:name="_Toc6544"/>
      <w:r>
        <w:rPr>
          <w:rFonts w:hint="eastAsia" w:ascii="宋体" w:hAnsi="宋体" w:eastAsia="宋体" w:cs="宋体"/>
          <w:sz w:val="28"/>
          <w:szCs w:val="28"/>
        </w:rPr>
        <w:t>〖前附表〗</w:t>
      </w:r>
      <w:bookmarkEnd w:id="13"/>
      <w:bookmarkEnd w:id="14"/>
      <w:bookmarkEnd w:id="15"/>
      <w:bookmarkEnd w:id="16"/>
    </w:p>
    <w:tbl>
      <w:tblPr>
        <w:tblStyle w:val="34"/>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402"/>
        <w:gridCol w:w="44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3402"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sz w:val="28"/>
                <w:szCs w:val="28"/>
              </w:rPr>
            </w:pPr>
            <w:r>
              <w:rPr>
                <w:rFonts w:hint="eastAsia" w:ascii="宋体" w:hAnsi="宋体" w:eastAsia="宋体" w:cs="宋体"/>
                <w:b/>
                <w:bCs/>
                <w:sz w:val="28"/>
                <w:szCs w:val="28"/>
              </w:rPr>
              <w:t>内容</w:t>
            </w:r>
          </w:p>
        </w:tc>
        <w:tc>
          <w:tcPr>
            <w:tcW w:w="4490"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sz w:val="28"/>
                <w:szCs w:val="28"/>
              </w:rPr>
            </w:pPr>
            <w:r>
              <w:rPr>
                <w:rFonts w:hint="eastAsia" w:ascii="宋体" w:hAnsi="宋体" w:eastAsia="宋体" w:cs="宋体"/>
                <w:b/>
                <w:bCs/>
                <w:sz w:val="28"/>
                <w:szCs w:val="28"/>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1</w:t>
            </w:r>
          </w:p>
        </w:tc>
        <w:tc>
          <w:tcPr>
            <w:tcW w:w="3402" w:type="dxa"/>
            <w:tcBorders>
              <w:top w:val="single" w:color="auto" w:sz="2"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项目名称</w:t>
            </w:r>
          </w:p>
        </w:tc>
        <w:tc>
          <w:tcPr>
            <w:tcW w:w="4490" w:type="dxa"/>
            <w:tcBorders>
              <w:top w:val="single" w:color="auto" w:sz="2" w:space="0"/>
            </w:tcBorders>
            <w:shd w:val="clear" w:color="auto" w:fill="auto"/>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西安市中心血站2024年无偿献血食品类采购项目（二次）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2</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项目编号</w:t>
            </w:r>
          </w:p>
        </w:tc>
        <w:tc>
          <w:tcPr>
            <w:tcW w:w="4490" w:type="dxa"/>
            <w:shd w:val="clear" w:color="auto" w:fill="auto"/>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SXWZ2024ZB-XAXZ--015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3</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highlight w:val="none"/>
              </w:rPr>
              <w:t>预算执行书编号</w:t>
            </w:r>
          </w:p>
        </w:tc>
        <w:tc>
          <w:tcPr>
            <w:tcW w:w="4490" w:type="dxa"/>
            <w:shd w:val="clear" w:color="auto" w:fill="auto"/>
            <w:vAlign w:val="center"/>
          </w:tcPr>
          <w:p>
            <w:pPr>
              <w:jc w:val="cente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ZCBN-西安市-2024-00081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4</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是否预留份额</w:t>
            </w:r>
          </w:p>
          <w:p>
            <w:pPr>
              <w:jc w:val="center"/>
              <w:rPr>
                <w:rFonts w:ascii="宋体" w:hAnsi="宋体" w:eastAsia="宋体" w:cs="宋体"/>
                <w:sz w:val="28"/>
                <w:szCs w:val="28"/>
              </w:rPr>
            </w:pPr>
            <w:r>
              <w:rPr>
                <w:rFonts w:hint="eastAsia" w:ascii="宋体" w:hAnsi="宋体" w:eastAsia="宋体" w:cs="宋体"/>
                <w:sz w:val="28"/>
                <w:szCs w:val="28"/>
              </w:rPr>
              <w:t>专门面向中小企业采购</w:t>
            </w:r>
          </w:p>
        </w:tc>
        <w:tc>
          <w:tcPr>
            <w:tcW w:w="4490" w:type="dxa"/>
            <w:shd w:val="clear" w:color="auto" w:fill="auto"/>
            <w:vAlign w:val="center"/>
          </w:tcPr>
          <w:p>
            <w:pPr>
              <w:jc w:val="center"/>
              <w:rPr>
                <w:rFonts w:ascii="宋体" w:hAnsi="宋体" w:eastAsia="宋体" w:cs="宋体"/>
                <w:sz w:val="28"/>
                <w:szCs w:val="28"/>
              </w:rPr>
            </w:pPr>
            <w:sdt>
              <w:sdtPr>
                <w:rPr>
                  <w:rFonts w:hint="eastAsia" w:ascii="宋体" w:hAnsi="宋体" w:eastAsia="宋体" w:cs="宋体"/>
                  <w:sz w:val="28"/>
                  <w:szCs w:val="28"/>
                  <w:highlight w:val="none"/>
                </w:rPr>
                <w:id w:val="2139916130"/>
                <w14:checkbox>
                  <w14:checked w14:val="0"/>
                  <w14:checkedState w14:val="2611" w14:font="MS Gothic"/>
                  <w14:uncheckedState w14:val="2610" w14:font="MS Gothic"/>
                </w14:checkbox>
              </w:sdtPr>
              <w:sdtEndPr>
                <w:rPr>
                  <w:rFonts w:hint="eastAsia" w:ascii="宋体" w:hAnsi="宋体" w:eastAsia="宋体" w:cs="宋体"/>
                  <w:sz w:val="28"/>
                  <w:szCs w:val="28"/>
                  <w:highlight w:val="none"/>
                </w:rPr>
              </w:sdtEndPr>
              <w:sdtContent>
                <w:r>
                  <w:rPr>
                    <w:rFonts w:hint="eastAsia" w:ascii="MS Gothic" w:hAnsi="MS Gothic" w:eastAsia="宋体" w:cs="宋体"/>
                    <w:sz w:val="28"/>
                    <w:szCs w:val="28"/>
                    <w:highlight w:val="none"/>
                    <w:lang w:val="en-US" w:eastAsia="zh-CN" w:bidi="ar-SA"/>
                  </w:rPr>
                  <w:t>☐</w:t>
                </w:r>
              </w:sdtContent>
            </w:sdt>
            <w:r>
              <w:rPr>
                <w:rFonts w:hint="eastAsia" w:ascii="宋体" w:hAnsi="宋体" w:eastAsia="宋体" w:cs="宋体"/>
                <w:sz w:val="28"/>
                <w:szCs w:val="28"/>
                <w:highlight w:val="none"/>
              </w:rPr>
              <w:t xml:space="preserve">是  </w:t>
            </w:r>
            <w:sdt>
              <w:sdtPr>
                <w:rPr>
                  <w:rFonts w:hint="eastAsia" w:ascii="宋体" w:hAnsi="宋体" w:eastAsia="宋体" w:cs="宋体"/>
                  <w:sz w:val="28"/>
                  <w:szCs w:val="28"/>
                  <w:highlight w:val="none"/>
                </w:rPr>
                <w:id w:val="-2072024220"/>
                <w14:checkbox>
                  <w14:checked w14:val="1"/>
                  <w14:checkedState w14:val="2611" w14:font="MS Gothic"/>
                  <w14:uncheckedState w14:val="2610" w14:font="MS Gothic"/>
                </w14:checkbox>
              </w:sdtPr>
              <w:sdtEndPr>
                <w:rPr>
                  <w:rFonts w:hint="eastAsia" w:ascii="宋体" w:hAnsi="宋体" w:eastAsia="宋体" w:cs="宋体"/>
                  <w:sz w:val="28"/>
                  <w:szCs w:val="28"/>
                  <w:highlight w:val="none"/>
                </w:rPr>
              </w:sdtEndPr>
              <w:sdtContent>
                <w:r>
                  <w:rPr>
                    <w:rFonts w:hint="eastAsia" w:ascii="MS Gothic" w:hAnsi="MS Gothic" w:eastAsia="宋体" w:cs="宋体"/>
                    <w:sz w:val="28"/>
                    <w:szCs w:val="28"/>
                    <w:highlight w:val="none"/>
                    <w:lang w:val="en-US" w:eastAsia="zh-CN" w:bidi="ar-SA"/>
                  </w:rPr>
                  <w:t>☑</w:t>
                </w:r>
              </w:sdtContent>
            </w:sdt>
            <w:r>
              <w:rPr>
                <w:rFonts w:hint="eastAsia" w:ascii="宋体" w:hAnsi="宋体" w:eastAsia="宋体" w:cs="宋体"/>
                <w:sz w:val="28"/>
                <w:szCs w:val="28"/>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5</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预算金额</w:t>
            </w:r>
          </w:p>
        </w:tc>
        <w:tc>
          <w:tcPr>
            <w:tcW w:w="4490"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lang w:val="en-US" w:eastAsia="zh-CN"/>
              </w:rPr>
              <w:t>200</w:t>
            </w:r>
            <w:r>
              <w:rPr>
                <w:rFonts w:hint="eastAsia" w:ascii="宋体" w:hAnsi="宋体" w:eastAsia="宋体" w:cs="宋体"/>
                <w:sz w:val="28"/>
                <w:szCs w:val="28"/>
              </w:rPr>
              <w:t>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pPr>
              <w:jc w:val="center"/>
              <w:rPr>
                <w:rFonts w:ascii="宋体" w:hAnsi="宋体" w:eastAsia="宋体" w:cs="宋体"/>
                <w:sz w:val="28"/>
                <w:szCs w:val="28"/>
              </w:rPr>
            </w:pP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最高限价</w:t>
            </w:r>
          </w:p>
        </w:tc>
        <w:tc>
          <w:tcPr>
            <w:tcW w:w="4490" w:type="dxa"/>
            <w:shd w:val="clear" w:color="auto" w:fill="auto"/>
            <w:vAlign w:val="center"/>
          </w:tcPr>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第一包：955000.00元</w:t>
            </w:r>
          </w:p>
          <w:p>
            <w:pPr>
              <w:pStyle w:val="11"/>
              <w:ind w:left="0" w:leftChars="0" w:firstLine="0" w:firstLineChars="0"/>
              <w:rPr>
                <w:rFonts w:hint="default"/>
                <w:lang w:val="en-US"/>
              </w:rPr>
            </w:pPr>
            <w:r>
              <w:rPr>
                <w:rFonts w:hint="eastAsia" w:ascii="宋体" w:hAnsi="宋体" w:eastAsia="宋体" w:cs="宋体"/>
                <w:sz w:val="28"/>
                <w:szCs w:val="28"/>
                <w:lang w:val="en-US" w:eastAsia="zh-CN"/>
              </w:rPr>
              <w:t>第二包：1045000.00元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6</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是否接受联合体</w:t>
            </w:r>
          </w:p>
        </w:tc>
        <w:tc>
          <w:tcPr>
            <w:tcW w:w="4490" w:type="dxa"/>
            <w:shd w:val="clear" w:color="auto" w:fill="auto"/>
            <w:vAlign w:val="center"/>
          </w:tcPr>
          <w:p>
            <w:pPr>
              <w:jc w:val="center"/>
              <w:rPr>
                <w:rFonts w:ascii="宋体" w:hAnsi="宋体" w:eastAsia="宋体" w:cs="宋体"/>
                <w:sz w:val="28"/>
                <w:szCs w:val="28"/>
              </w:rPr>
            </w:pPr>
            <w:sdt>
              <w:sdtPr>
                <w:rPr>
                  <w:rFonts w:hint="eastAsia" w:ascii="宋体" w:hAnsi="宋体" w:eastAsia="宋体" w:cs="宋体"/>
                  <w:sz w:val="28"/>
                  <w:szCs w:val="28"/>
                </w:rPr>
                <w:id w:val="60816019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1317929335"/>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7</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是否允许进口产品</w:t>
            </w:r>
          </w:p>
        </w:tc>
        <w:tc>
          <w:tcPr>
            <w:tcW w:w="4490" w:type="dxa"/>
            <w:shd w:val="clear" w:color="auto" w:fill="auto"/>
            <w:vAlign w:val="center"/>
          </w:tcPr>
          <w:p>
            <w:pPr>
              <w:jc w:val="center"/>
              <w:rPr>
                <w:rFonts w:ascii="宋体" w:hAnsi="宋体" w:eastAsia="宋体" w:cs="宋体"/>
                <w:sz w:val="28"/>
                <w:szCs w:val="28"/>
              </w:rPr>
            </w:pPr>
            <w:sdt>
              <w:sdtPr>
                <w:rPr>
                  <w:rFonts w:hint="eastAsia" w:ascii="宋体" w:hAnsi="宋体" w:eastAsia="宋体" w:cs="宋体"/>
                  <w:sz w:val="28"/>
                  <w:szCs w:val="28"/>
                </w:rPr>
                <w:id w:val="148570254"/>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1689594843"/>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8</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投标保证金</w:t>
            </w:r>
          </w:p>
        </w:tc>
        <w:tc>
          <w:tcPr>
            <w:tcW w:w="4490"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9</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履约保证金</w:t>
            </w:r>
          </w:p>
        </w:tc>
        <w:tc>
          <w:tcPr>
            <w:tcW w:w="4490"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10</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投标文件份数</w:t>
            </w:r>
          </w:p>
        </w:tc>
        <w:tc>
          <w:tcPr>
            <w:tcW w:w="4490" w:type="dxa"/>
            <w:shd w:val="clear" w:color="auto" w:fill="auto"/>
            <w:vAlign w:val="center"/>
          </w:tcPr>
          <w:p>
            <w:pPr>
              <w:jc w:val="both"/>
              <w:rPr>
                <w:rFonts w:ascii="宋体" w:hAnsi="宋体" w:eastAsia="宋体" w:cs="宋体"/>
                <w:sz w:val="28"/>
                <w:szCs w:val="28"/>
              </w:rPr>
            </w:pPr>
            <w:r>
              <w:rPr>
                <w:rFonts w:hint="eastAsia" w:ascii="宋体" w:hAnsi="宋体" w:eastAsia="宋体" w:cs="宋体"/>
                <w:sz w:val="28"/>
                <w:szCs w:val="28"/>
              </w:rPr>
              <w:t>如纸质版文件与电子版文件不一致，以上传平台电子版文件为准；供应商需提供纸质版投标文件（密封一正两副）于开标当日11点-12点将标书邮寄或送至西安市莲湖区西关正街英达大厦150</w:t>
            </w:r>
            <w:r>
              <w:rPr>
                <w:rFonts w:hint="eastAsia" w:ascii="宋体" w:hAnsi="宋体" w:eastAsia="宋体" w:cs="宋体"/>
                <w:sz w:val="28"/>
                <w:szCs w:val="28"/>
                <w:lang w:val="en-US" w:eastAsia="zh-CN"/>
              </w:rPr>
              <w:t>6</w:t>
            </w:r>
            <w:r>
              <w:rPr>
                <w:rFonts w:hint="eastAsia" w:ascii="宋体" w:hAnsi="宋体" w:eastAsia="宋体" w:cs="宋体"/>
                <w:sz w:val="28"/>
                <w:szCs w:val="28"/>
              </w:rPr>
              <w:t>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11</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现场踏勘和集中答疑</w:t>
            </w:r>
          </w:p>
        </w:tc>
        <w:tc>
          <w:tcPr>
            <w:tcW w:w="4490"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12</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政府采购信息发布媒体</w:t>
            </w:r>
          </w:p>
          <w:p>
            <w:pPr>
              <w:jc w:val="center"/>
              <w:rPr>
                <w:rFonts w:ascii="宋体" w:hAnsi="宋体" w:eastAsia="宋体" w:cs="宋体"/>
                <w:sz w:val="28"/>
                <w:szCs w:val="28"/>
              </w:rPr>
            </w:pPr>
            <w:r>
              <w:rPr>
                <w:rFonts w:hint="eastAsia" w:ascii="宋体" w:hAnsi="宋体" w:eastAsia="宋体" w:cs="宋体"/>
                <w:sz w:val="28"/>
                <w:szCs w:val="28"/>
              </w:rPr>
              <w:t>（采购公告、采购结果公告、变更公告）</w:t>
            </w:r>
          </w:p>
        </w:tc>
        <w:tc>
          <w:tcPr>
            <w:tcW w:w="4490" w:type="dxa"/>
            <w:shd w:val="clear" w:color="auto" w:fill="auto"/>
            <w:vAlign w:val="center"/>
          </w:tcPr>
          <w:p>
            <w:pPr>
              <w:rPr>
                <w:rFonts w:ascii="宋体" w:hAnsi="宋体" w:eastAsia="宋体" w:cs="宋体"/>
                <w:sz w:val="28"/>
                <w:szCs w:val="28"/>
              </w:rPr>
            </w:pPr>
            <w:r>
              <w:rPr>
                <w:rFonts w:hint="eastAsia" w:ascii="宋体" w:hAnsi="宋体" w:eastAsia="宋体" w:cs="宋体"/>
                <w:sz w:val="28"/>
                <w:szCs w:val="28"/>
              </w:rPr>
              <w:t>1．陕西省政府采购网：仅提供项目公告，官网地址：http://ccgp-shaanxi.gov.cn/。</w:t>
            </w:r>
          </w:p>
          <w:p>
            <w:pPr>
              <w:rPr>
                <w:rFonts w:ascii="宋体" w:hAnsi="宋体" w:eastAsia="宋体" w:cs="宋体"/>
                <w:sz w:val="28"/>
                <w:szCs w:val="28"/>
              </w:rPr>
            </w:pPr>
            <w:r>
              <w:rPr>
                <w:rFonts w:hint="eastAsia" w:ascii="宋体" w:hAnsi="宋体" w:eastAsia="宋体" w:cs="宋体"/>
                <w:sz w:val="28"/>
                <w:szCs w:val="28"/>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13</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询问和质疑</w:t>
            </w:r>
          </w:p>
        </w:tc>
        <w:tc>
          <w:tcPr>
            <w:tcW w:w="4490" w:type="dxa"/>
            <w:shd w:val="clear" w:color="auto" w:fill="auto"/>
            <w:vAlign w:val="center"/>
          </w:tcPr>
          <w:p>
            <w:pPr>
              <w:jc w:val="both"/>
              <w:rPr>
                <w:rFonts w:ascii="宋体" w:hAnsi="宋体" w:eastAsia="宋体" w:cs="宋体"/>
                <w:sz w:val="28"/>
                <w:szCs w:val="28"/>
              </w:rPr>
            </w:pPr>
            <w:r>
              <w:rPr>
                <w:rFonts w:hint="eastAsia" w:ascii="宋体" w:hAnsi="宋体" w:eastAsia="宋体" w:cs="宋体"/>
                <w:sz w:val="28"/>
                <w:szCs w:val="28"/>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14</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投诉受理</w:t>
            </w:r>
          </w:p>
        </w:tc>
        <w:tc>
          <w:tcPr>
            <w:tcW w:w="4490" w:type="dxa"/>
            <w:shd w:val="clear" w:color="auto" w:fill="auto"/>
            <w:vAlign w:val="center"/>
          </w:tcPr>
          <w:p>
            <w:pPr>
              <w:jc w:val="both"/>
              <w:rPr>
                <w:rFonts w:ascii="宋体" w:hAnsi="宋体" w:eastAsia="宋体" w:cs="宋体"/>
                <w:sz w:val="28"/>
                <w:szCs w:val="28"/>
              </w:rPr>
            </w:pPr>
            <w:r>
              <w:rPr>
                <w:rFonts w:hint="eastAsia" w:ascii="宋体" w:hAnsi="宋体" w:eastAsia="宋体" w:cs="宋体"/>
                <w:sz w:val="28"/>
                <w:szCs w:val="28"/>
              </w:rPr>
              <w:t>1．受理单位：西安市财政局政府采购管理处</w:t>
            </w:r>
          </w:p>
          <w:p>
            <w:pPr>
              <w:jc w:val="both"/>
              <w:rPr>
                <w:rFonts w:ascii="宋体" w:hAnsi="宋体" w:eastAsia="宋体" w:cs="宋体"/>
                <w:sz w:val="28"/>
                <w:szCs w:val="28"/>
              </w:rPr>
            </w:pPr>
            <w:r>
              <w:rPr>
                <w:rFonts w:hint="eastAsia" w:ascii="宋体" w:hAnsi="宋体" w:eastAsia="宋体" w:cs="宋体"/>
                <w:sz w:val="28"/>
                <w:szCs w:val="28"/>
              </w:rPr>
              <w:t>2．联系电话：029-89821846</w:t>
            </w:r>
          </w:p>
          <w:p>
            <w:pPr>
              <w:jc w:val="both"/>
              <w:rPr>
                <w:rFonts w:ascii="宋体" w:hAnsi="宋体" w:eastAsia="宋体" w:cs="宋体"/>
                <w:sz w:val="28"/>
                <w:szCs w:val="28"/>
              </w:rPr>
            </w:pPr>
            <w:r>
              <w:rPr>
                <w:rFonts w:hint="eastAsia" w:ascii="宋体" w:hAnsi="宋体" w:eastAsia="宋体" w:cs="宋体"/>
                <w:sz w:val="28"/>
                <w:szCs w:val="28"/>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15</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信用信息查询截至时点</w:t>
            </w:r>
          </w:p>
        </w:tc>
        <w:tc>
          <w:tcPr>
            <w:tcW w:w="4490" w:type="dxa"/>
            <w:shd w:val="clear" w:color="auto" w:fill="auto"/>
            <w:vAlign w:val="center"/>
          </w:tcPr>
          <w:p>
            <w:pPr>
              <w:jc w:val="both"/>
              <w:rPr>
                <w:rFonts w:ascii="宋体" w:hAnsi="宋体" w:eastAsia="宋体" w:cs="宋体"/>
                <w:sz w:val="28"/>
                <w:szCs w:val="28"/>
              </w:rPr>
            </w:pPr>
            <w:r>
              <w:rPr>
                <w:rFonts w:hint="eastAsia" w:ascii="宋体" w:hAnsi="宋体" w:eastAsia="宋体" w:cs="宋体"/>
                <w:sz w:val="28"/>
                <w:szCs w:val="28"/>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16</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开标形式</w:t>
            </w:r>
          </w:p>
        </w:tc>
        <w:tc>
          <w:tcPr>
            <w:tcW w:w="4490" w:type="dxa"/>
            <w:shd w:val="clear" w:color="auto" w:fill="auto"/>
            <w:vAlign w:val="center"/>
          </w:tcPr>
          <w:p>
            <w:pPr>
              <w:jc w:val="both"/>
              <w:rPr>
                <w:rFonts w:ascii="宋体" w:hAnsi="宋体" w:eastAsia="宋体" w:cs="宋体"/>
                <w:sz w:val="28"/>
                <w:szCs w:val="28"/>
              </w:rPr>
            </w:pPr>
            <w:sdt>
              <w:sdtPr>
                <w:rPr>
                  <w:rFonts w:hint="eastAsia" w:ascii="宋体" w:hAnsi="宋体" w:eastAsia="宋体" w:cs="宋体"/>
                  <w:sz w:val="28"/>
                  <w:szCs w:val="28"/>
                </w:rPr>
                <w:id w:val="1077786224"/>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不见面开标  </w:t>
            </w:r>
            <w:sdt>
              <w:sdtPr>
                <w:rPr>
                  <w:rFonts w:hint="eastAsia" w:ascii="宋体" w:hAnsi="宋体" w:eastAsia="宋体" w:cs="宋体"/>
                  <w:sz w:val="28"/>
                  <w:szCs w:val="28"/>
                </w:rPr>
                <w:id w:val="1553575034"/>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见面开标</w:t>
            </w:r>
          </w:p>
          <w:p>
            <w:pPr>
              <w:jc w:val="both"/>
              <w:rPr>
                <w:rFonts w:ascii="宋体" w:hAnsi="宋体" w:eastAsia="宋体" w:cs="宋体"/>
                <w:sz w:val="28"/>
                <w:szCs w:val="28"/>
              </w:rPr>
            </w:pPr>
            <w:r>
              <w:rPr>
                <w:rFonts w:hint="eastAsia" w:ascii="宋体" w:hAnsi="宋体" w:eastAsia="宋体" w:cs="宋体"/>
                <w:sz w:val="28"/>
                <w:szCs w:val="28"/>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17</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是否允许递交多个备选投标方案</w:t>
            </w:r>
          </w:p>
        </w:tc>
        <w:tc>
          <w:tcPr>
            <w:tcW w:w="4490" w:type="dxa"/>
            <w:shd w:val="clear" w:color="auto" w:fill="auto"/>
            <w:vAlign w:val="center"/>
          </w:tcPr>
          <w:p>
            <w:pPr>
              <w:jc w:val="both"/>
              <w:rPr>
                <w:rFonts w:ascii="宋体" w:hAnsi="宋体" w:eastAsia="宋体" w:cs="宋体"/>
                <w:sz w:val="28"/>
                <w:szCs w:val="28"/>
              </w:rPr>
            </w:pPr>
            <w:sdt>
              <w:sdtPr>
                <w:rPr>
                  <w:rFonts w:hint="eastAsia" w:ascii="宋体" w:hAnsi="宋体" w:eastAsia="宋体" w:cs="宋体"/>
                  <w:sz w:val="28"/>
                  <w:szCs w:val="28"/>
                </w:rPr>
                <w:id w:val="160885784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618331253"/>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18</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中标通知书</w:t>
            </w:r>
          </w:p>
        </w:tc>
        <w:tc>
          <w:tcPr>
            <w:tcW w:w="4490" w:type="dxa"/>
            <w:shd w:val="clear" w:color="auto" w:fill="auto"/>
            <w:vAlign w:val="center"/>
          </w:tcPr>
          <w:p>
            <w:pPr>
              <w:jc w:val="both"/>
              <w:rPr>
                <w:rFonts w:ascii="宋体" w:hAnsi="宋体" w:eastAsia="宋体" w:cs="宋体"/>
                <w:sz w:val="28"/>
                <w:szCs w:val="28"/>
              </w:rPr>
            </w:pPr>
            <w:r>
              <w:rPr>
                <w:rFonts w:hint="eastAsia" w:ascii="宋体" w:hAnsi="宋体" w:eastAsia="宋体" w:cs="宋体"/>
                <w:sz w:val="28"/>
                <w:szCs w:val="28"/>
              </w:rPr>
              <w:t>1．领取地点：西安市莲湖区西关正街英达大厦150</w:t>
            </w:r>
            <w:r>
              <w:rPr>
                <w:rFonts w:hint="eastAsia" w:ascii="宋体" w:hAnsi="宋体" w:eastAsia="宋体" w:cs="宋体"/>
                <w:sz w:val="28"/>
                <w:szCs w:val="28"/>
                <w:lang w:val="en-US" w:eastAsia="zh-CN"/>
              </w:rPr>
              <w:t>6</w:t>
            </w:r>
            <w:r>
              <w:rPr>
                <w:rFonts w:hint="eastAsia" w:ascii="宋体" w:hAnsi="宋体" w:eastAsia="宋体" w:cs="宋体"/>
                <w:sz w:val="28"/>
                <w:szCs w:val="28"/>
              </w:rPr>
              <w:t>室</w:t>
            </w:r>
          </w:p>
          <w:p>
            <w:pPr>
              <w:rPr>
                <w:rFonts w:hint="default" w:ascii="宋体" w:hAnsi="宋体" w:eastAsia="宋体" w:cs="宋体"/>
                <w:sz w:val="28"/>
                <w:szCs w:val="28"/>
                <w:lang w:val="en-US" w:eastAsia="zh-CN"/>
              </w:rPr>
            </w:pPr>
            <w:r>
              <w:rPr>
                <w:rFonts w:hint="eastAsia" w:ascii="宋体" w:hAnsi="宋体" w:eastAsia="宋体" w:cs="宋体"/>
                <w:sz w:val="28"/>
                <w:szCs w:val="28"/>
              </w:rPr>
              <w:t>2．联系电话：029-88319689-80</w:t>
            </w:r>
            <w:r>
              <w:rPr>
                <w:rFonts w:hint="eastAsia" w:ascii="宋体" w:hAnsi="宋体" w:eastAsia="宋体" w:cs="宋体"/>
                <w:sz w:val="28"/>
                <w:szCs w:val="28"/>
                <w:lang w:val="en-US" w:eastAsia="zh-CN"/>
              </w:rPr>
              <w:t>0</w:t>
            </w:r>
            <w:r>
              <w:rPr>
                <w:rFonts w:hint="eastAsia" w:ascii="宋体" w:hAnsi="宋体" w:eastAsia="宋体" w:cs="宋体"/>
                <w:sz w:val="28"/>
                <w:szCs w:val="28"/>
              </w:rPr>
              <w:t>4/</w:t>
            </w:r>
            <w:r>
              <w:rPr>
                <w:rFonts w:hint="eastAsia" w:ascii="宋体" w:hAnsi="宋体" w:eastAsia="宋体" w:cs="宋体"/>
                <w:sz w:val="28"/>
                <w:szCs w:val="28"/>
                <w:lang w:val="en-US" w:eastAsia="zh-CN"/>
              </w:rPr>
              <w:t>8009</w:t>
            </w:r>
          </w:p>
          <w:p>
            <w:pPr>
              <w:jc w:val="both"/>
              <w:rPr>
                <w:rFonts w:ascii="宋体" w:hAnsi="宋体" w:eastAsia="宋体" w:cs="宋体"/>
                <w:sz w:val="28"/>
                <w:szCs w:val="28"/>
              </w:rPr>
            </w:pPr>
            <w:r>
              <w:rPr>
                <w:rFonts w:hint="eastAsia" w:ascii="宋体" w:hAnsi="宋体" w:eastAsia="宋体" w:cs="宋体"/>
                <w:sz w:val="28"/>
                <w:szCs w:val="28"/>
              </w:rPr>
              <w:t xml:space="preserve">3．联系人：崔方明  </w:t>
            </w:r>
            <w:r>
              <w:rPr>
                <w:rFonts w:hint="eastAsia" w:ascii="宋体" w:hAnsi="宋体" w:eastAsia="宋体" w:cs="宋体"/>
                <w:sz w:val="28"/>
                <w:szCs w:val="28"/>
                <w:lang w:val="en-US" w:eastAsia="zh-CN"/>
              </w:rPr>
              <w:t>许芳芳</w:t>
            </w:r>
            <w:r>
              <w:rPr>
                <w:rFonts w:hint="eastAsia" w:ascii="宋体" w:hAnsi="宋体" w:eastAsia="宋体" w:cs="宋体"/>
                <w:sz w:val="28"/>
                <w:szCs w:val="28"/>
              </w:rPr>
              <w:t xml:space="preserve">  </w:t>
            </w:r>
            <w:r>
              <w:rPr>
                <w:rFonts w:hint="eastAsia" w:ascii="宋体" w:hAnsi="宋体" w:eastAsia="宋体" w:cs="宋体"/>
                <w:sz w:val="28"/>
                <w:szCs w:val="28"/>
                <w:lang w:eastAsia="zh-CN"/>
              </w:rPr>
              <w:t>刘嘉辉</w:t>
            </w:r>
            <w:r>
              <w:rPr>
                <w:rFonts w:hint="eastAsia" w:ascii="宋体" w:hAnsi="宋体" w:eastAsia="宋体" w:cs="宋体"/>
                <w:sz w:val="28"/>
                <w:szCs w:val="28"/>
                <w:lang w:val="en-US" w:eastAsia="zh-CN"/>
              </w:rPr>
              <w:t xml:space="preserve">  陈晓航</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19</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西安市公共资源交易中心电子化政府采购系统技术支持（软件开发商）</w:t>
            </w:r>
          </w:p>
        </w:tc>
        <w:tc>
          <w:tcPr>
            <w:tcW w:w="4490" w:type="dxa"/>
            <w:shd w:val="clear" w:color="auto" w:fill="auto"/>
            <w:vAlign w:val="center"/>
          </w:tcPr>
          <w:p>
            <w:pPr>
              <w:jc w:val="both"/>
              <w:rPr>
                <w:rFonts w:ascii="宋体" w:hAnsi="宋体" w:eastAsia="宋体" w:cs="宋体"/>
                <w:sz w:val="28"/>
                <w:szCs w:val="28"/>
              </w:rPr>
            </w:pPr>
            <w:r>
              <w:rPr>
                <w:rFonts w:hint="eastAsia" w:ascii="宋体" w:hAnsi="宋体" w:eastAsia="宋体" w:cs="宋体"/>
                <w:sz w:val="28"/>
                <w:szCs w:val="28"/>
              </w:rPr>
              <w:t>国泰新点软件股份有限公司</w:t>
            </w:r>
          </w:p>
          <w:p>
            <w:pPr>
              <w:rPr>
                <w:rFonts w:ascii="宋体" w:hAnsi="宋体" w:eastAsia="宋体" w:cs="宋体"/>
                <w:sz w:val="28"/>
                <w:szCs w:val="28"/>
              </w:rPr>
            </w:pPr>
            <w:r>
              <w:rPr>
                <w:rFonts w:hint="eastAsia" w:ascii="宋体" w:hAnsi="宋体" w:eastAsia="宋体" w:cs="宋体"/>
                <w:sz w:val="28"/>
                <w:szCs w:val="28"/>
              </w:rPr>
              <w:t>1．技术支持热线：400-998-0000/400-928-0095</w:t>
            </w:r>
          </w:p>
          <w:p>
            <w:pPr>
              <w:rPr>
                <w:rFonts w:ascii="宋体" w:hAnsi="宋体" w:eastAsia="宋体" w:cs="宋体"/>
                <w:sz w:val="28"/>
                <w:szCs w:val="28"/>
              </w:rPr>
            </w:pPr>
            <w:r>
              <w:rPr>
                <w:rFonts w:hint="eastAsia" w:ascii="宋体" w:hAnsi="宋体" w:eastAsia="宋体" w:cs="宋体"/>
                <w:sz w:val="28"/>
                <w:szCs w:val="28"/>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20</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CA业务网点</w:t>
            </w:r>
          </w:p>
        </w:tc>
        <w:tc>
          <w:tcPr>
            <w:tcW w:w="4490" w:type="dxa"/>
            <w:shd w:val="clear" w:color="auto" w:fill="auto"/>
            <w:vAlign w:val="center"/>
          </w:tcPr>
          <w:p>
            <w:pPr>
              <w:jc w:val="both"/>
              <w:rPr>
                <w:rFonts w:ascii="宋体" w:hAnsi="宋体" w:eastAsia="宋体" w:cs="宋体"/>
                <w:sz w:val="28"/>
                <w:szCs w:val="28"/>
              </w:rPr>
            </w:pPr>
            <w:r>
              <w:rPr>
                <w:rFonts w:hint="eastAsia" w:ascii="宋体" w:hAnsi="宋体" w:eastAsia="宋体" w:cs="宋体"/>
                <w:sz w:val="28"/>
                <w:szCs w:val="28"/>
              </w:rPr>
              <w:t>陕西省数字证书认证中心股份有限公司</w:t>
            </w:r>
          </w:p>
          <w:p>
            <w:pPr>
              <w:jc w:val="both"/>
              <w:rPr>
                <w:rFonts w:ascii="宋体" w:hAnsi="宋体" w:eastAsia="宋体" w:cs="宋体"/>
                <w:sz w:val="28"/>
                <w:szCs w:val="28"/>
              </w:rPr>
            </w:pPr>
            <w:r>
              <w:rPr>
                <w:rFonts w:hint="eastAsia" w:ascii="宋体" w:hAnsi="宋体" w:eastAsia="宋体" w:cs="宋体"/>
                <w:sz w:val="28"/>
                <w:szCs w:val="28"/>
              </w:rPr>
              <w:t>网点1：西安市高新三路信息港大厦1楼客服中心</w:t>
            </w:r>
          </w:p>
          <w:p>
            <w:pPr>
              <w:jc w:val="both"/>
              <w:rPr>
                <w:rFonts w:ascii="宋体" w:hAnsi="宋体" w:eastAsia="宋体" w:cs="宋体"/>
                <w:sz w:val="28"/>
                <w:szCs w:val="28"/>
              </w:rPr>
            </w:pPr>
            <w:r>
              <w:rPr>
                <w:rFonts w:hint="eastAsia" w:ascii="宋体" w:hAnsi="宋体" w:eastAsia="宋体" w:cs="宋体"/>
                <w:sz w:val="28"/>
                <w:szCs w:val="28"/>
              </w:rPr>
              <w:t>客服电话：4006-369-888</w:t>
            </w:r>
          </w:p>
          <w:p>
            <w:pPr>
              <w:jc w:val="both"/>
              <w:rPr>
                <w:rFonts w:ascii="宋体" w:hAnsi="宋体" w:eastAsia="宋体" w:cs="宋体"/>
                <w:sz w:val="28"/>
                <w:szCs w:val="28"/>
              </w:rPr>
            </w:pPr>
            <w:r>
              <w:rPr>
                <w:rFonts w:hint="eastAsia" w:ascii="宋体" w:hAnsi="宋体" w:eastAsia="宋体" w:cs="宋体"/>
                <w:sz w:val="28"/>
                <w:szCs w:val="28"/>
              </w:rPr>
              <w:t>网点2：西安市长安北路14号省体育公寓B座一楼</w:t>
            </w:r>
          </w:p>
          <w:p>
            <w:pPr>
              <w:jc w:val="both"/>
              <w:rPr>
                <w:rFonts w:ascii="宋体" w:hAnsi="宋体" w:eastAsia="宋体" w:cs="宋体"/>
                <w:sz w:val="28"/>
                <w:szCs w:val="28"/>
              </w:rPr>
            </w:pPr>
            <w:r>
              <w:rPr>
                <w:rFonts w:hint="eastAsia" w:ascii="宋体" w:hAnsi="宋体" w:eastAsia="宋体" w:cs="宋体"/>
                <w:sz w:val="28"/>
                <w:szCs w:val="28"/>
              </w:rPr>
              <w:t>咨询电话：029-88661241</w:t>
            </w:r>
          </w:p>
          <w:p>
            <w:pPr>
              <w:jc w:val="both"/>
              <w:rPr>
                <w:rFonts w:ascii="宋体" w:hAnsi="宋体" w:eastAsia="宋体" w:cs="宋体"/>
                <w:sz w:val="28"/>
                <w:szCs w:val="28"/>
              </w:rPr>
            </w:pPr>
            <w:r>
              <w:rPr>
                <w:rFonts w:hint="eastAsia" w:ascii="宋体" w:hAnsi="宋体" w:eastAsia="宋体" w:cs="宋体"/>
                <w:sz w:val="28"/>
                <w:szCs w:val="28"/>
              </w:rPr>
              <w:t>网点3：西安市文景北路16号白桦林国际B座2楼11#窗口</w:t>
            </w:r>
          </w:p>
          <w:p>
            <w:pPr>
              <w:jc w:val="both"/>
              <w:rPr>
                <w:rFonts w:ascii="宋体" w:hAnsi="宋体" w:eastAsia="宋体" w:cs="宋体"/>
                <w:sz w:val="28"/>
                <w:szCs w:val="28"/>
              </w:rPr>
            </w:pPr>
            <w:r>
              <w:rPr>
                <w:rFonts w:hint="eastAsia" w:ascii="宋体" w:hAnsi="宋体" w:eastAsia="宋体" w:cs="宋体"/>
                <w:sz w:val="28"/>
                <w:szCs w:val="28"/>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21</w:t>
            </w:r>
          </w:p>
        </w:tc>
        <w:tc>
          <w:tcPr>
            <w:tcW w:w="3402" w:type="dxa"/>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代理服务费</w:t>
            </w:r>
          </w:p>
        </w:tc>
        <w:tc>
          <w:tcPr>
            <w:tcW w:w="4490" w:type="dxa"/>
            <w:shd w:val="clear" w:color="auto" w:fill="auto"/>
            <w:vAlign w:val="center"/>
          </w:tcPr>
          <w:p>
            <w:pPr>
              <w:jc w:val="both"/>
              <w:rPr>
                <w:rFonts w:ascii="宋体" w:hAnsi="宋体" w:eastAsia="宋体" w:cs="宋体"/>
                <w:sz w:val="28"/>
                <w:szCs w:val="28"/>
              </w:rPr>
            </w:pPr>
            <w:r>
              <w:rPr>
                <w:rFonts w:hint="eastAsia" w:ascii="宋体" w:hAnsi="宋体" w:eastAsia="宋体" w:cs="宋体"/>
                <w:sz w:val="28"/>
                <w:szCs w:val="28"/>
              </w:rPr>
              <w:t>1、参照国家计委颁发的《招标代理服务收费管理暂行办法》（计价格[2002]1980号）和国家发展改革委员会办公厅颁发的《关于招标代理服务收费有关问题的通知》（发改办价格[2003]857号）的标准收取。</w:t>
            </w:r>
          </w:p>
          <w:p>
            <w:pPr>
              <w:jc w:val="both"/>
              <w:rPr>
                <w:rFonts w:ascii="宋体" w:hAnsi="宋体" w:eastAsia="宋体" w:cs="宋体"/>
                <w:sz w:val="28"/>
                <w:szCs w:val="28"/>
              </w:rPr>
            </w:pPr>
            <w:r>
              <w:rPr>
                <w:rFonts w:hint="eastAsia" w:ascii="宋体" w:hAnsi="宋体" w:eastAsia="宋体" w:cs="宋体"/>
                <w:sz w:val="28"/>
                <w:szCs w:val="28"/>
              </w:rPr>
              <w:t>2、供应商将招标代理服务费计入投标报价但不单独列明，中标单位在领取中标通知书前，须向采购代理机构一次性支付招标代理服务费；代理服务费以转账、电汇或现金等形式交纳。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22</w:t>
            </w:r>
          </w:p>
        </w:tc>
        <w:tc>
          <w:tcPr>
            <w:tcW w:w="3402" w:type="dxa"/>
            <w:shd w:val="clear" w:color="auto" w:fill="auto"/>
            <w:vAlign w:val="center"/>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核心产品</w:t>
            </w:r>
          </w:p>
        </w:tc>
        <w:tc>
          <w:tcPr>
            <w:tcW w:w="4490" w:type="dxa"/>
            <w:shd w:val="clear" w:color="auto" w:fill="auto"/>
            <w:vAlign w:val="center"/>
          </w:tcPr>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第一包：运动饮料</w:t>
            </w:r>
          </w:p>
          <w:p>
            <w:pPr>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第二包：食用油，</w:t>
            </w:r>
            <w:r>
              <w:rPr>
                <w:rFonts w:hint="eastAsia" w:ascii="宋体" w:hAnsi="宋体" w:eastAsia="宋体" w:cs="宋体"/>
                <w:b/>
                <w:bCs/>
                <w:color w:val="000000" w:themeColor="text1"/>
                <w:sz w:val="28"/>
                <w:szCs w:val="28"/>
                <w14:textFill>
                  <w14:solidFill>
                    <w14:schemeClr w14:val="tx1"/>
                  </w14:solidFill>
                </w14:textFill>
              </w:rPr>
              <w:t>5L/桶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23</w:t>
            </w:r>
          </w:p>
        </w:tc>
        <w:tc>
          <w:tcPr>
            <w:tcW w:w="3402" w:type="dxa"/>
            <w:shd w:val="clear" w:color="auto" w:fill="auto"/>
            <w:vAlign w:val="center"/>
          </w:tcPr>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样品递交</w:t>
            </w:r>
          </w:p>
        </w:tc>
        <w:tc>
          <w:tcPr>
            <w:tcW w:w="4490" w:type="dxa"/>
            <w:shd w:val="clear" w:color="auto" w:fill="auto"/>
            <w:vAlign w:val="center"/>
          </w:tcPr>
          <w:p>
            <w:pPr>
              <w:spacing w:line="360" w:lineRule="exact"/>
              <w:ind w:left="60"/>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（1）样品递交地点：西安市公共资源交易中心一楼指定地点（密封递交）。</w:t>
            </w:r>
          </w:p>
          <w:p>
            <w:pPr>
              <w:spacing w:line="360" w:lineRule="exact"/>
              <w:ind w:left="60"/>
              <w:rPr>
                <w:rFonts w:hint="eastAsia" w:ascii="宋体" w:hAnsi="宋体" w:eastAsia="宋体" w:cs="宋体"/>
                <w:b/>
                <w:bCs/>
                <w:sz w:val="28"/>
                <w:szCs w:val="28"/>
                <w:lang w:val="en-US" w:eastAsia="zh-CN"/>
              </w:rPr>
            </w:pPr>
            <w:r>
              <w:rPr>
                <w:rFonts w:hint="eastAsia" w:ascii="宋体" w:hAnsi="宋体" w:eastAsia="宋体" w:cs="宋体"/>
                <w:b/>
                <w:bCs/>
                <w:color w:val="000000"/>
                <w:sz w:val="28"/>
                <w:szCs w:val="28"/>
                <w:highlight w:val="none"/>
                <w:lang w:val="en-US" w:eastAsia="zh-CN"/>
              </w:rPr>
              <w:t>（2）样品递交时间：同投标文件递交截止时间一致，逾期递交的不予接收。</w:t>
            </w:r>
          </w:p>
        </w:tc>
      </w:tr>
    </w:tbl>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br w:type="page"/>
      </w:r>
    </w:p>
    <w:p>
      <w:pPr>
        <w:pStyle w:val="4"/>
        <w:rPr>
          <w:rFonts w:ascii="宋体" w:hAnsi="宋体" w:eastAsia="宋体" w:cs="宋体"/>
          <w:sz w:val="28"/>
          <w:szCs w:val="28"/>
        </w:rPr>
      </w:pPr>
      <w:bookmarkStart w:id="17" w:name="_Toc18626"/>
      <w:r>
        <w:rPr>
          <w:rFonts w:hint="eastAsia" w:ascii="宋体" w:hAnsi="宋体" w:eastAsia="宋体" w:cs="宋体"/>
          <w:sz w:val="28"/>
          <w:szCs w:val="28"/>
        </w:rPr>
        <w:t>一、有关定义</w:t>
      </w:r>
      <w:bookmarkEnd w:id="17"/>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1．采购人：依法进行政府采购的西安市市级机关、事业单位或团体组织。</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2．供应商：指向采购人提供货物、工程或者服务的法人、其他组织或者自然人。</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3．同级政府采购监管部门：西安市财政局政府采购管理处。</w:t>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4．西安市公共资源交易平台：即【全国公共资源交易平台（陕西省·西安市）】的简称，官网地址</w:t>
      </w:r>
      <w:r>
        <w:fldChar w:fldCharType="begin"/>
      </w:r>
      <w:r>
        <w:instrText xml:space="preserve"> HYPERLINK "http://sxggzyjy.xa.gov.cn/" </w:instrText>
      </w:r>
      <w:r>
        <w:fldChar w:fldCharType="separate"/>
      </w:r>
      <w:r>
        <w:rPr>
          <w:rStyle w:val="44"/>
          <w:rFonts w:hint="eastAsia" w:ascii="宋体" w:hAnsi="宋体" w:eastAsia="宋体" w:cs="宋体"/>
          <w:color w:val="auto"/>
          <w:sz w:val="28"/>
          <w:szCs w:val="28"/>
          <w:u w:val="none"/>
        </w:rPr>
        <w:t>http://sxggzyjy.xa.gov.cn/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44"/>
          <w:rFonts w:hint="eastAsia" w:ascii="宋体" w:hAnsi="宋体" w:eastAsia="宋体" w:cs="宋体"/>
          <w:color w:val="auto"/>
          <w:sz w:val="28"/>
          <w:szCs w:val="28"/>
          <w:u w:val="none"/>
        </w:rPr>
        <w:t>http://www.sxggzyjy.cn:9002/TPBidder/memberLogin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pPr>
        <w:pStyle w:val="4"/>
        <w:rPr>
          <w:rFonts w:ascii="宋体" w:hAnsi="宋体" w:eastAsia="宋体" w:cs="宋体"/>
          <w:sz w:val="28"/>
          <w:szCs w:val="28"/>
        </w:rPr>
      </w:pPr>
      <w:bookmarkStart w:id="18" w:name="_Toc1677"/>
      <w:r>
        <w:rPr>
          <w:rFonts w:hint="eastAsia" w:ascii="宋体" w:hAnsi="宋体" w:eastAsia="宋体" w:cs="宋体"/>
          <w:sz w:val="28"/>
          <w:szCs w:val="28"/>
        </w:rPr>
        <w:t>二、供应商注意事项</w:t>
      </w:r>
      <w:bookmarkEnd w:id="18"/>
    </w:p>
    <w:p>
      <w:pPr>
        <w:pStyle w:val="99"/>
        <w:ind w:firstLine="579"/>
        <w:rPr>
          <w:b/>
          <w:bCs/>
          <w:color w:val="auto"/>
          <w:sz w:val="28"/>
          <w:szCs w:val="28"/>
        </w:rPr>
      </w:pPr>
      <w:bookmarkStart w:id="19" w:name="_Toc21146"/>
      <w:r>
        <w:rPr>
          <w:rFonts w:hint="eastAsia"/>
          <w:b/>
          <w:bCs/>
          <w:color w:val="auto"/>
          <w:sz w:val="28"/>
          <w:szCs w:val="28"/>
        </w:rPr>
        <w:t>（一）供应商投标流程</w:t>
      </w:r>
      <w:bookmarkEnd w:id="19"/>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使用电子交易系统的采购项目（即线上项目），将同时提供WORD\PDF格式（仅用于预览）和SXSZF格式（用于制作电子投标文件）两个版本，文件内容一致。</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1．预览采购文件：打开西安市公共资源交易平台〖首页·〉交易大厅·〉政府采购〗栏目，下载和阅读本项目采购文件的预览版本（WORD\PDF格式）；</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2．办理注册登记（针对初次使用电子交易系统的用户）：</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（1）办理诚信入库注册：在决定参加本项目采购活动后，供应商应先在西安市公共资源交易平台上完成“诚信入库登记”；</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val="0"/>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办理须知：</w:t>
      </w:r>
    </w:p>
    <w:p>
      <w:pPr>
        <w:widowControl w:val="0"/>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http://</w:t>
      </w:r>
      <w:r>
        <w:fldChar w:fldCharType="begin"/>
      </w:r>
      <w:r>
        <w:instrText xml:space="preserve"> HYPERLINK "http://www.snca.com.cn/channel/show/27.html" </w:instrText>
      </w:r>
      <w:r>
        <w:fldChar w:fldCharType="separate"/>
      </w:r>
      <w:r>
        <w:rPr>
          <w:rStyle w:val="44"/>
          <w:rFonts w:hint="eastAsia" w:ascii="宋体" w:hAnsi="宋体" w:eastAsia="宋体" w:cs="宋体"/>
          <w:color w:val="auto"/>
          <w:sz w:val="28"/>
          <w:szCs w:val="28"/>
          <w:u w:val="none"/>
        </w:rPr>
        <w:t>www.snca.com.cn/channel/show/27.html</w:t>
      </w:r>
      <w:r>
        <w:rPr>
          <w:rStyle w:val="44"/>
          <w:rFonts w:hint="eastAsia" w:ascii="宋体" w:hAnsi="宋体" w:eastAsia="宋体" w:cs="宋体"/>
          <w:color w:val="auto"/>
          <w:sz w:val="28"/>
          <w:szCs w:val="28"/>
          <w:u w:val="none"/>
        </w:rPr>
        <w:fldChar w:fldCharType="end"/>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（3）绑定和激活CA：将数字证书与诚信库中的供应商账户进行绑定。</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4．制作电子投标文件：需要使用专用制作软件“新点投标文件制作软件（陕西公共资源）”进行编制，编制完成后使用CA锁对电子投标文件进行签章、加密。详见本章中的“投标文件”相关内容。</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5．提交电子投标文件：在提交投标文件截止时间前及时提交加密后电子投标文件，逾期提交的，系统将会拒收；</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7．等待专家评审：评审期间，可能需要对评审专家提出的问题进行澄清或答复。在主持人宣布评审结束前，供应商请勿擅自离席，否则由此造成的不利后果，由供应商自行承担。</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8．中标供应商注册：按照陕西省政府采购监管部门的要求，采购代理机构在发布中标公告前，应由中标供应商在陕西省政府采购网上完成注册。</w:t>
      </w:r>
    </w:p>
    <w:p>
      <w:pPr>
        <w:pStyle w:val="99"/>
        <w:ind w:firstLine="579"/>
        <w:rPr>
          <w:b/>
          <w:bCs/>
          <w:color w:val="auto"/>
          <w:sz w:val="28"/>
          <w:szCs w:val="28"/>
        </w:rPr>
      </w:pPr>
      <w:bookmarkStart w:id="20" w:name="_Toc18855"/>
      <w:r>
        <w:rPr>
          <w:rFonts w:hint="eastAsia"/>
          <w:b/>
          <w:bCs/>
          <w:color w:val="auto"/>
          <w:sz w:val="28"/>
          <w:szCs w:val="28"/>
        </w:rPr>
        <w:t>（二）关于询问、质疑和投诉</w:t>
      </w:r>
      <w:bookmarkEnd w:id="20"/>
    </w:p>
    <w:p>
      <w:pPr>
        <w:pStyle w:val="99"/>
        <w:ind w:firstLine="577"/>
        <w:rPr>
          <w:rFonts w:ascii="宋体" w:hAnsi="宋体" w:cs="宋体"/>
          <w:color w:val="auto"/>
          <w:sz w:val="28"/>
          <w:szCs w:val="28"/>
        </w:rPr>
      </w:pPr>
      <w:bookmarkStart w:id="21" w:name="_Toc25855"/>
      <w:r>
        <w:rPr>
          <w:rFonts w:hint="eastAsia" w:ascii="宋体" w:hAnsi="宋体" w:cs="宋体"/>
          <w:color w:val="auto"/>
          <w:sz w:val="28"/>
          <w:szCs w:val="28"/>
        </w:rPr>
        <w:t>1．询问</w:t>
      </w:r>
      <w:bookmarkEnd w:id="21"/>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供应商对政府采购活动事项有疑问的，可以向采购人或采购代理机构提出询问。采购人或采购代理机构将在3个工作日内对供应商依法提出的询问作出答复。</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根据采购人和采购代理机构签订的《政府采购委托代理协议》，针对采购需求（包括采购内容、技术或服务要求、商务要求、合同条款、供应商资格条件、评审要素及分值一览表）的询问请向采购人提出。</w:t>
      </w:r>
    </w:p>
    <w:p>
      <w:pPr>
        <w:pStyle w:val="99"/>
        <w:ind w:firstLine="577"/>
        <w:rPr>
          <w:color w:val="auto"/>
          <w:sz w:val="28"/>
          <w:szCs w:val="28"/>
        </w:rPr>
      </w:pPr>
      <w:bookmarkStart w:id="22" w:name="_Toc7787"/>
      <w:r>
        <w:rPr>
          <w:rFonts w:hint="eastAsia"/>
          <w:color w:val="auto"/>
          <w:sz w:val="28"/>
          <w:szCs w:val="28"/>
        </w:rPr>
        <w:t>2．质疑</w:t>
      </w:r>
      <w:bookmarkEnd w:id="22"/>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（1）供应商认为采购文件、采购过程、成交结果使自己的权益受到损害的，可以在知道或应知其权益受到损害之日起7个工作日内以书面形式向采购人、采购代理机构提出。</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（2）质疑方式：</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在线质疑：</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登录西安市公共资源交易平台〖首页·〉电子交易平台·〉企业端〗，在〖我的项目〗中点击“项目流程·〉提出质疑”，填写表单并提交质疑。</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书面质疑：</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书面质疑函应按照财政部国库司制定的《政府采购供应商质疑函范本》（见下方链接）进行填写，签字、盖章后提交至采购人、采购代理机构。</w:t>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质疑函范本地址：</w:t>
      </w:r>
      <w:r>
        <w:fldChar w:fldCharType="begin"/>
      </w:r>
      <w:r>
        <w:instrText xml:space="preserve"> HYPERLINK "http://download.ccgp.gov.cn/2018/zhiyihanfanben.zip" </w:instrText>
      </w:r>
      <w:r>
        <w:fldChar w:fldCharType="separate"/>
      </w:r>
      <w:r>
        <w:rPr>
          <w:rStyle w:val="44"/>
          <w:rFonts w:hint="eastAsia" w:ascii="宋体" w:hAnsi="宋体" w:eastAsia="宋体" w:cs="宋体"/>
          <w:color w:val="auto"/>
          <w:sz w:val="28"/>
          <w:szCs w:val="28"/>
          <w:u w:val="none"/>
        </w:rPr>
        <w:t>http://download.ccgp.gov.cn/2018/zhiyihanfanben.zip</w:t>
      </w:r>
      <w:r>
        <w:rPr>
          <w:rStyle w:val="44"/>
          <w:rFonts w:hint="eastAsia" w:ascii="宋体" w:hAnsi="宋体" w:eastAsia="宋体" w:cs="宋体"/>
          <w:color w:val="auto"/>
          <w:sz w:val="28"/>
          <w:szCs w:val="28"/>
          <w:u w:val="none"/>
        </w:rPr>
        <w:fldChar w:fldCharType="end"/>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（4）在法定质疑期内，针对同一采购程序环节的质疑应当一次性提出。采购人、采购代理机构将在收到书面质疑后7个工作日内做出答复，并以书面形式通知质疑人和其他有关供应商。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（5）有下列情形之一的，属于无效质疑：</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对采购文件提出质疑的质疑人不是依法获取采购文件的潜在供应商；对采购过程、中标结果提出质疑的质疑人不是参与本次政府采购项目的供应商；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超过法定期限或未以书面形式提出的；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③ 缺乏必要的证明材料，或捏造事实、提供虚假材料，或以非法手段取得证明材料的；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④ 质疑函没有合法有效的签字、盖章或委托授权书的（代理人提出质疑和投诉，应当提交供应商签署的授权委托书）；</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⑤ 针对同一采购程序环节又提出其他质疑事项的，或质疑答复后就同一事项再次提出质疑的；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⑥ 不符合法律、法规、规章和政府采购监管机构规定的其他条件的。</w:t>
      </w:r>
    </w:p>
    <w:p>
      <w:pPr>
        <w:pStyle w:val="99"/>
        <w:ind w:firstLine="577"/>
        <w:rPr>
          <w:rFonts w:ascii="宋体" w:hAnsi="宋体" w:cs="宋体"/>
          <w:color w:val="auto"/>
          <w:sz w:val="28"/>
          <w:szCs w:val="28"/>
        </w:rPr>
      </w:pPr>
      <w:bookmarkStart w:id="23" w:name="_Toc26875"/>
      <w:r>
        <w:rPr>
          <w:rFonts w:hint="eastAsia" w:ascii="宋体" w:hAnsi="宋体" w:cs="宋体"/>
          <w:color w:val="auto"/>
          <w:sz w:val="28"/>
          <w:szCs w:val="28"/>
        </w:rPr>
        <w:t>3．投诉</w:t>
      </w:r>
      <w:bookmarkEnd w:id="23"/>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（2）供应商投诉的事项不得超出已质疑事项的范围。供应商提出投诉时，应当提交投诉书和必要的证明材料，并按财政部《投诉书范本》给定的格式进行填写。</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投诉书范本地址：</w:t>
      </w:r>
    </w:p>
    <w:p>
      <w:pPr>
        <w:spacing w:line="560" w:lineRule="exact"/>
        <w:ind w:firstLine="496" w:firstLineChars="200"/>
        <w:jc w:val="both"/>
        <w:rPr>
          <w:rFonts w:ascii="宋体" w:hAnsi="宋体" w:eastAsia="宋体" w:cs="宋体"/>
          <w:sz w:val="28"/>
          <w:szCs w:val="28"/>
        </w:rPr>
      </w:pPr>
      <w:r>
        <w:fldChar w:fldCharType="begin"/>
      </w:r>
      <w:r>
        <w:instrText xml:space="preserve"> HYPERLINK "http://download.ccgp.gov.cn/2018/tousushufanben.zip" </w:instrText>
      </w:r>
      <w:r>
        <w:fldChar w:fldCharType="separate"/>
      </w:r>
      <w:r>
        <w:rPr>
          <w:rStyle w:val="44"/>
          <w:rFonts w:hint="eastAsia" w:ascii="宋体" w:hAnsi="宋体" w:eastAsia="宋体" w:cs="宋体"/>
          <w:color w:val="auto"/>
          <w:sz w:val="28"/>
          <w:szCs w:val="28"/>
        </w:rPr>
        <w:t>http://download.ccgp.gov.cn/2018/tousushufanben.zip</w:t>
      </w:r>
      <w:r>
        <w:rPr>
          <w:rStyle w:val="44"/>
          <w:rFonts w:hint="eastAsia" w:ascii="宋体" w:hAnsi="宋体" w:eastAsia="宋体" w:cs="宋体"/>
          <w:color w:val="auto"/>
          <w:sz w:val="28"/>
          <w:szCs w:val="28"/>
        </w:rPr>
        <w:fldChar w:fldCharType="end"/>
      </w:r>
    </w:p>
    <w:p>
      <w:pPr>
        <w:pStyle w:val="99"/>
        <w:ind w:firstLine="577"/>
        <w:rPr>
          <w:rFonts w:ascii="宋体" w:hAnsi="宋体" w:cs="宋体"/>
          <w:color w:val="auto"/>
          <w:sz w:val="28"/>
          <w:szCs w:val="28"/>
        </w:rPr>
      </w:pPr>
      <w:bookmarkStart w:id="24" w:name="_Toc6468"/>
      <w:r>
        <w:rPr>
          <w:rFonts w:hint="eastAsia" w:ascii="宋体" w:hAnsi="宋体" w:cs="宋体"/>
          <w:color w:val="auto"/>
          <w:sz w:val="28"/>
          <w:szCs w:val="28"/>
        </w:rPr>
        <w:t>4．恶意质疑、投诉的法律后果</w:t>
      </w:r>
      <w:bookmarkEnd w:id="24"/>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（1）对捏造事实、提供虚假材料进行质疑、投诉的行为予以严肃处理：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（2）对捏造事实诬告陷害他人、诽谤他人的法律适用：</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《中华人民共和国刑法》第243条【诬告陷害罪】捏造事实诬告陷害他人，意图使他人受刑事追究，情节严重的，处三年以下有期徒刑、拘役或者管制；造成严重后果的，处三年以上十年以下有期徒刑。</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《中华人民共和国刑法》第246条【侮辱罪、诽谤罪】以暴力或者其他方法公然侮辱他人或者捏造事实诽谤他人，情节严重的，处三年以下有期徒刑、拘役、管制或者剥夺政治权利。</w:t>
      </w:r>
    </w:p>
    <w:p>
      <w:pPr>
        <w:pStyle w:val="99"/>
        <w:ind w:firstLine="579"/>
        <w:rPr>
          <w:b/>
          <w:bCs/>
          <w:color w:val="auto"/>
          <w:sz w:val="28"/>
          <w:szCs w:val="28"/>
        </w:rPr>
      </w:pPr>
      <w:bookmarkStart w:id="25" w:name="_Toc15150"/>
      <w:r>
        <w:rPr>
          <w:rFonts w:hint="eastAsia"/>
          <w:b/>
          <w:bCs/>
          <w:color w:val="auto"/>
          <w:sz w:val="28"/>
          <w:szCs w:val="28"/>
        </w:rPr>
        <w:t>（三）关于保证金</w:t>
      </w:r>
      <w:bookmarkEnd w:id="25"/>
    </w:p>
    <w:p>
      <w:pPr>
        <w:pStyle w:val="99"/>
        <w:ind w:firstLine="577"/>
        <w:rPr>
          <w:color w:val="auto"/>
          <w:sz w:val="28"/>
          <w:szCs w:val="28"/>
        </w:rPr>
      </w:pPr>
      <w:bookmarkStart w:id="26" w:name="_Toc21776"/>
      <w:r>
        <w:rPr>
          <w:rFonts w:hint="eastAsia"/>
          <w:color w:val="auto"/>
          <w:sz w:val="28"/>
          <w:szCs w:val="28"/>
        </w:rPr>
        <w:t>1．西安市政府采购信用担保及信用融资政策</w:t>
      </w:r>
      <w:bookmarkEnd w:id="26"/>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《实施方案》链接地址：</w:t>
      </w:r>
    </w:p>
    <w:p>
      <w:pPr>
        <w:spacing w:line="560" w:lineRule="exact"/>
        <w:ind w:firstLine="496" w:firstLineChars="200"/>
        <w:jc w:val="both"/>
        <w:rPr>
          <w:rFonts w:ascii="宋体" w:hAnsi="宋体" w:eastAsia="宋体" w:cs="宋体"/>
          <w:sz w:val="28"/>
          <w:szCs w:val="28"/>
        </w:rPr>
      </w:pPr>
      <w:r>
        <w:fldChar w:fldCharType="begin"/>
      </w:r>
      <w:r>
        <w:instrText xml:space="preserve"> HYPERLINK "http://xaczj.xa.gov.cn/zfcg/cgfg/5db90552fd850863a9e4594d.html" </w:instrText>
      </w:r>
      <w:r>
        <w:fldChar w:fldCharType="separate"/>
      </w:r>
      <w:r>
        <w:rPr>
          <w:rStyle w:val="44"/>
          <w:rFonts w:hint="eastAsia" w:ascii="宋体" w:hAnsi="宋体" w:eastAsia="宋体" w:cs="宋体"/>
          <w:color w:val="auto"/>
          <w:sz w:val="28"/>
          <w:szCs w:val="28"/>
          <w:u w:val="none"/>
        </w:rPr>
        <w:t>http://xaczj.xa.gov.cn/zfcg/cgfg/5db90552fd850863a9e4594d.html</w:t>
      </w:r>
      <w:r>
        <w:rPr>
          <w:rStyle w:val="44"/>
          <w:rFonts w:hint="eastAsia" w:ascii="宋体" w:hAnsi="宋体" w:eastAsia="宋体" w:cs="宋体"/>
          <w:color w:val="auto"/>
          <w:sz w:val="28"/>
          <w:szCs w:val="28"/>
          <w:u w:val="none"/>
        </w:rPr>
        <w:fldChar w:fldCharType="end"/>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《合作机构名单》链接地址：</w:t>
      </w:r>
    </w:p>
    <w:p>
      <w:pPr>
        <w:spacing w:line="560" w:lineRule="exact"/>
        <w:ind w:firstLine="496" w:firstLineChars="200"/>
        <w:jc w:val="both"/>
        <w:rPr>
          <w:rFonts w:ascii="宋体" w:hAnsi="宋体" w:eastAsia="宋体" w:cs="宋体"/>
          <w:sz w:val="28"/>
          <w:szCs w:val="28"/>
        </w:rPr>
      </w:pPr>
      <w:r>
        <w:fldChar w:fldCharType="begin"/>
      </w:r>
      <w:r>
        <w:instrText xml:space="preserve"> HYPERLINK "http://xaczj.xa.gov.cn/zfcg/cgfg/5db9054565cbd804f69e97e0.html" </w:instrText>
      </w:r>
      <w:r>
        <w:fldChar w:fldCharType="separate"/>
      </w:r>
      <w:r>
        <w:rPr>
          <w:rStyle w:val="44"/>
          <w:rFonts w:hint="eastAsia" w:ascii="宋体" w:hAnsi="宋体" w:eastAsia="宋体" w:cs="宋体"/>
          <w:color w:val="auto"/>
          <w:sz w:val="28"/>
          <w:szCs w:val="28"/>
          <w:u w:val="none"/>
        </w:rPr>
        <w:t>http://xaczj.xa.gov.cn/zfcg/cgfg/5db9054565cbd804f69e97e0.html</w:t>
      </w:r>
      <w:r>
        <w:rPr>
          <w:rStyle w:val="44"/>
          <w:rFonts w:hint="eastAsia" w:ascii="宋体" w:hAnsi="宋体" w:eastAsia="宋体" w:cs="宋体"/>
          <w:color w:val="auto"/>
          <w:sz w:val="28"/>
          <w:szCs w:val="28"/>
          <w:u w:val="none"/>
        </w:rPr>
        <w:fldChar w:fldCharType="end"/>
      </w:r>
    </w:p>
    <w:p>
      <w:pPr>
        <w:pStyle w:val="99"/>
        <w:ind w:firstLine="577"/>
        <w:rPr>
          <w:color w:val="auto"/>
          <w:sz w:val="28"/>
          <w:szCs w:val="28"/>
        </w:rPr>
      </w:pPr>
      <w:bookmarkStart w:id="27" w:name="_Toc184"/>
      <w:r>
        <w:rPr>
          <w:rFonts w:hint="eastAsia"/>
          <w:color w:val="auto"/>
          <w:sz w:val="28"/>
          <w:szCs w:val="28"/>
        </w:rPr>
        <w:t>2．投标保证金</w:t>
      </w:r>
      <w:bookmarkEnd w:id="27"/>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按照西安市财政局《关于促进政府采购公平竞争优化营商环境的通知》第三条规定，供应商参与西安市政府采购活动时，免交投标保证金。</w:t>
      </w:r>
    </w:p>
    <w:p>
      <w:pPr>
        <w:pStyle w:val="99"/>
        <w:ind w:firstLine="577"/>
        <w:rPr>
          <w:color w:val="auto"/>
          <w:sz w:val="28"/>
          <w:szCs w:val="28"/>
        </w:rPr>
      </w:pPr>
      <w:bookmarkStart w:id="28" w:name="_Toc26947"/>
      <w:r>
        <w:rPr>
          <w:rFonts w:hint="eastAsia"/>
          <w:color w:val="auto"/>
          <w:sz w:val="28"/>
          <w:szCs w:val="28"/>
        </w:rPr>
        <w:t>3．履约保证金</w:t>
      </w:r>
      <w:bookmarkEnd w:id="28"/>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无</w:t>
      </w:r>
    </w:p>
    <w:p>
      <w:pPr>
        <w:pStyle w:val="99"/>
        <w:ind w:firstLine="579"/>
        <w:rPr>
          <w:b/>
          <w:bCs/>
          <w:color w:val="auto"/>
          <w:sz w:val="28"/>
          <w:szCs w:val="28"/>
        </w:rPr>
      </w:pPr>
      <w:bookmarkStart w:id="29" w:name="_Toc9929"/>
      <w:r>
        <w:rPr>
          <w:rFonts w:hint="eastAsia"/>
          <w:b/>
          <w:bCs/>
          <w:color w:val="auto"/>
          <w:sz w:val="28"/>
          <w:szCs w:val="28"/>
        </w:rPr>
        <w:t>（四）关于联合体</w:t>
      </w:r>
      <w:bookmarkEnd w:id="29"/>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4．供应商以联合体形式参加政府采购活动时，遵循以下规则：</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③ 采用资格前审的项目，联合体应当在提交资格前审申请文件前组成。资格前审后联合体不得增减、更换成员。</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④ 资格审查阶段，采购人将对所有联合体成员进行信用记录查询，联合体成员存在不良信用记录的，视同联合体存在不良信用记录。</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⑤ 招标文件要求供应商交纳保证金的，可以由联合体中的一方或者多方共同交纳保证金，其交纳的保证金对联合体各方均具有约束力。</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⑥ 招标文件要求供应商提供履约人员和设备情况的，联合体各方均应提供，以说明其作为独立供应商所具有的能有效执行合同的能力和资源。</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⑦ 招标文件要求供应商提供同类或类似项目业绩的，联合体各方符合招标文件要求的同类或类似业绩可以累计，但联合体一方或多方共同参与的同一业绩不重复计算。</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⑨ 对采购项目提出投诉时，应当由组成联合体的所有供应商共同提出。</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（5）联合体出现下列情形之一的，联合体投标无效：</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没有提交有效的联合体协议的；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组成联合体的大中型企业和其他自然人、法人或者其他组织，与小型、微型企业之间存在投资关系的；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③ 联合体协议签订后，联合体成员单独参加或者与其他供应商另外组成联合体参加同一合同项下的政府采购活动的；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④ 资格前审后联合体增减、更换成员的；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⑤ 联合体成员因存在不良信用记录，被拒绝其参与政府采购活动的。</w:t>
      </w:r>
    </w:p>
    <w:p>
      <w:pPr>
        <w:pStyle w:val="99"/>
        <w:ind w:firstLine="579"/>
        <w:rPr>
          <w:b/>
          <w:bCs/>
          <w:color w:val="auto"/>
          <w:sz w:val="28"/>
          <w:szCs w:val="28"/>
        </w:rPr>
      </w:pPr>
      <w:bookmarkStart w:id="30" w:name="_Toc7087"/>
      <w:r>
        <w:rPr>
          <w:rFonts w:hint="eastAsia"/>
          <w:b/>
          <w:bCs/>
          <w:color w:val="auto"/>
          <w:sz w:val="28"/>
          <w:szCs w:val="28"/>
        </w:rPr>
        <w:t>（五）关于进口产品</w:t>
      </w:r>
      <w:bookmarkEnd w:id="30"/>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pStyle w:val="99"/>
        <w:ind w:firstLine="579"/>
        <w:rPr>
          <w:b/>
          <w:bCs/>
          <w:color w:val="auto"/>
          <w:sz w:val="28"/>
          <w:szCs w:val="28"/>
        </w:rPr>
      </w:pPr>
      <w:bookmarkStart w:id="31" w:name="_Toc15301"/>
      <w:r>
        <w:rPr>
          <w:rFonts w:hint="eastAsia"/>
          <w:b/>
          <w:bCs/>
          <w:color w:val="auto"/>
          <w:sz w:val="28"/>
          <w:szCs w:val="28"/>
        </w:rPr>
        <w:t>（六）关于政府采购政策</w:t>
      </w:r>
      <w:bookmarkEnd w:id="31"/>
    </w:p>
    <w:p>
      <w:pPr>
        <w:pStyle w:val="99"/>
        <w:ind w:firstLine="0" w:firstLineChars="0"/>
        <w:rPr>
          <w:color w:val="auto"/>
          <w:sz w:val="28"/>
          <w:szCs w:val="28"/>
        </w:rPr>
      </w:pPr>
      <w:bookmarkStart w:id="32" w:name="_Toc2460"/>
      <w:r>
        <w:rPr>
          <w:rFonts w:hint="eastAsia"/>
          <w:color w:val="auto"/>
          <w:sz w:val="28"/>
          <w:szCs w:val="28"/>
        </w:rPr>
        <w:t>1．对中小企业、监狱企业、残疾人福利性单位的优惠政策</w:t>
      </w:r>
      <w:bookmarkEnd w:id="32"/>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政府采购促进中小企业发展管理办法》（财库〔2020〕46号）及《财政部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（2）根据财政部、司法部联合下发的《关于政府采购支持监狱企业发展有关问题的通知》（财库〔2014〕68号）的规定，监狱企业视同小型、微型企业。</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99"/>
        <w:ind w:firstLine="0" w:firstLineChars="0"/>
        <w:rPr>
          <w:color w:val="auto"/>
          <w:sz w:val="28"/>
          <w:szCs w:val="28"/>
        </w:rPr>
      </w:pPr>
      <w:bookmarkStart w:id="33" w:name="_Toc22143"/>
      <w:r>
        <w:rPr>
          <w:rFonts w:hint="eastAsia"/>
          <w:color w:val="auto"/>
          <w:sz w:val="28"/>
          <w:szCs w:val="28"/>
        </w:rPr>
        <w:t>2．节能、环保产品采购政策</w:t>
      </w:r>
      <w:bookmarkEnd w:id="33"/>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（3）《节能产品政府采购品目清单》见财政部、发展改革委《关于印发节能产品政府采购品目清单的通知》（财库〔2019〕19号）附件。</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（4）《环境标志产品政府采购品目清单》见财政部、生态环境部《关于印发环境标志产品政府采购品目清单的通知》（财库〔2019〕18号）附件。</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（5）“国家确定的认证机构”名单见市场监管总局《关于发布参与实施政府采购节能产品、环境标志产品认证机构名录的公告》（2019年第16号）。</w:t>
      </w:r>
    </w:p>
    <w:p>
      <w:pPr>
        <w:pStyle w:val="99"/>
        <w:ind w:firstLine="577"/>
        <w:rPr>
          <w:color w:val="auto"/>
          <w:sz w:val="28"/>
          <w:szCs w:val="28"/>
        </w:rPr>
      </w:pPr>
      <w:bookmarkStart w:id="34" w:name="_Toc19090"/>
      <w:r>
        <w:rPr>
          <w:rFonts w:hint="eastAsia"/>
          <w:color w:val="auto"/>
          <w:sz w:val="28"/>
          <w:szCs w:val="28"/>
        </w:rPr>
        <w:t>3．陕西省中小企业政府采购信用融资办法</w:t>
      </w:r>
      <w:bookmarkEnd w:id="34"/>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链接地址：</w:t>
      </w:r>
      <w:r>
        <w:fldChar w:fldCharType="begin"/>
      </w:r>
      <w:r>
        <w:instrText xml:space="preserve"> HYPERLINK "http://www.ccgp-shaanxi.gov.cn/zcdservice/zcd/shanxi/article/zcdt/1390497710741917696" </w:instrText>
      </w:r>
      <w:r>
        <w:fldChar w:fldCharType="separate"/>
      </w:r>
      <w:r>
        <w:rPr>
          <w:rStyle w:val="44"/>
          <w:rFonts w:hint="eastAsia" w:ascii="宋体" w:hAnsi="宋体" w:eastAsia="宋体" w:cs="宋体"/>
          <w:color w:val="auto"/>
          <w:sz w:val="28"/>
          <w:szCs w:val="28"/>
          <w:u w:val="none"/>
        </w:rPr>
        <w:t>http://www.ccgp-shaanxi.gov.cn/zcdservice/zcd/shanxi/article/zcdt/1390497710741917696</w:t>
      </w:r>
      <w:r>
        <w:rPr>
          <w:rStyle w:val="44"/>
          <w:rFonts w:hint="eastAsia" w:ascii="宋体" w:hAnsi="宋体" w:eastAsia="宋体" w:cs="宋体"/>
          <w:color w:val="auto"/>
          <w:sz w:val="28"/>
          <w:szCs w:val="28"/>
          <w:u w:val="none"/>
        </w:rPr>
        <w:fldChar w:fldCharType="end"/>
      </w:r>
    </w:p>
    <w:p>
      <w:pPr>
        <w:pStyle w:val="99"/>
        <w:ind w:firstLine="579"/>
        <w:rPr>
          <w:b/>
          <w:bCs/>
          <w:color w:val="auto"/>
          <w:sz w:val="28"/>
          <w:szCs w:val="28"/>
        </w:rPr>
      </w:pPr>
      <w:bookmarkStart w:id="35" w:name="_Toc9302"/>
      <w:r>
        <w:rPr>
          <w:rFonts w:hint="eastAsia"/>
          <w:b/>
          <w:bCs/>
          <w:color w:val="auto"/>
          <w:sz w:val="28"/>
          <w:szCs w:val="28"/>
        </w:rPr>
        <w:t>（七）关于现场踏勘和集中答疑</w:t>
      </w:r>
      <w:bookmarkEnd w:id="35"/>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采购人可以根据项目实际情况决定是否组织现场踏勘\标前集中答疑。投标邀请函中明确载明安排上述活动的，各供应商应派出技术、预算等相关人员，在招标文件约定的时间、地点参加现场踏勘\标前集中答疑。</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凡未参加现场踏勘和集中答疑的供应商，由此带来的不利后果由该供应商自行承担。</w:t>
      </w:r>
    </w:p>
    <w:p>
      <w:pPr>
        <w:pStyle w:val="99"/>
        <w:ind w:firstLine="579"/>
        <w:rPr>
          <w:b/>
          <w:bCs/>
          <w:color w:val="auto"/>
          <w:sz w:val="28"/>
          <w:szCs w:val="28"/>
        </w:rPr>
      </w:pPr>
      <w:bookmarkStart w:id="36" w:name="_Toc25219"/>
      <w:r>
        <w:rPr>
          <w:rFonts w:hint="eastAsia"/>
          <w:b/>
          <w:bCs/>
          <w:color w:val="auto"/>
          <w:sz w:val="28"/>
          <w:szCs w:val="28"/>
        </w:rPr>
        <w:t>（八）关于同一品牌产品的处理</w:t>
      </w:r>
      <w:bookmarkEnd w:id="36"/>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99"/>
        <w:ind w:firstLine="579"/>
        <w:rPr>
          <w:b/>
          <w:bCs/>
          <w:color w:val="auto"/>
          <w:sz w:val="28"/>
          <w:szCs w:val="28"/>
        </w:rPr>
      </w:pPr>
      <w:bookmarkStart w:id="37" w:name="_Toc15678"/>
      <w:r>
        <w:rPr>
          <w:rFonts w:hint="eastAsia"/>
          <w:b/>
          <w:bCs/>
          <w:color w:val="auto"/>
          <w:sz w:val="28"/>
          <w:szCs w:val="28"/>
        </w:rPr>
        <w:t>（九）关于知识产权和保密事项</w:t>
      </w:r>
      <w:bookmarkEnd w:id="37"/>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1．所有涉及知识产权的产品及设计，供应商必须确保委托人、采购人拥有其合法的、不受限制的无偿使用权，并免受任何侵权诉讼或索偿；否则，由此产生的一切经济损失和法律责任由供应商承担。</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pPr>
        <w:pStyle w:val="99"/>
        <w:ind w:firstLine="579"/>
        <w:rPr>
          <w:b/>
          <w:bCs/>
          <w:color w:val="auto"/>
          <w:sz w:val="28"/>
          <w:szCs w:val="28"/>
        </w:rPr>
      </w:pPr>
      <w:bookmarkStart w:id="38" w:name="_Toc17978"/>
      <w:r>
        <w:rPr>
          <w:rFonts w:hint="eastAsia"/>
          <w:b/>
          <w:bCs/>
          <w:color w:val="auto"/>
          <w:sz w:val="28"/>
          <w:szCs w:val="28"/>
        </w:rPr>
        <w:t>（十）关于信用记录的查询和使用</w:t>
      </w:r>
      <w:bookmarkEnd w:id="38"/>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44"/>
          <w:rFonts w:hint="eastAsia" w:ascii="宋体" w:hAnsi="宋体" w:eastAsia="宋体" w:cs="宋体"/>
          <w:color w:val="auto"/>
          <w:sz w:val="28"/>
          <w:szCs w:val="28"/>
          <w:u w:val="none"/>
        </w:rPr>
        <w:t>https://www.creditchina.gov.cn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/）和【中国政府采购网】（</w:t>
      </w:r>
      <w:r>
        <w:fldChar w:fldCharType="begin"/>
      </w:r>
      <w:r>
        <w:instrText xml:space="preserve"> HYPERLINK "http://www.ccgp.gov.cn/" </w:instrText>
      </w:r>
      <w:r>
        <w:fldChar w:fldCharType="separate"/>
      </w:r>
      <w:r>
        <w:rPr>
          <w:rStyle w:val="44"/>
          <w:rFonts w:hint="eastAsia" w:ascii="宋体" w:hAnsi="宋体" w:eastAsia="宋体" w:cs="宋体"/>
          <w:color w:val="auto"/>
          <w:sz w:val="28"/>
          <w:szCs w:val="28"/>
          <w:u w:val="none"/>
        </w:rPr>
        <w:t>http://www.ccgp.gov.cn/）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对供应商的信用情况进行甄别。</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2．对列入失信被执行人、重大税收违法案件当事人名单、政府采购严重违法失信行为记录名单及其他不符合《中华人民共和国政府采购法》第二十二条规定条件的供应商，将拒绝其参与政府采购活动。</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3．供应商在参加政府采购活动前3年内因违法经营被禁止在一定期限内参加政府采购活动，期限届满的，可以参加政府采购活动的，但供应商应提供相关证明材料。</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4．信用记录查询结果打印后，将与其他采购文件一并保存。</w:t>
      </w:r>
    </w:p>
    <w:p>
      <w:pPr>
        <w:pStyle w:val="99"/>
        <w:ind w:firstLine="579"/>
        <w:rPr>
          <w:b/>
          <w:bCs/>
          <w:color w:val="auto"/>
          <w:sz w:val="28"/>
          <w:szCs w:val="28"/>
        </w:rPr>
      </w:pPr>
      <w:bookmarkStart w:id="39" w:name="_Toc5362"/>
      <w:r>
        <w:rPr>
          <w:rFonts w:hint="eastAsia"/>
          <w:b/>
          <w:bCs/>
          <w:color w:val="auto"/>
          <w:sz w:val="28"/>
          <w:szCs w:val="28"/>
        </w:rPr>
        <w:t>（十一）其他重要事项</w:t>
      </w:r>
      <w:bookmarkEnd w:id="39"/>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1．招标文件内所附网络链接仅供参考，不保证其长期有效性。</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2．供应商的投标费用自理。</w:t>
      </w:r>
    </w:p>
    <w:p>
      <w:pPr>
        <w:pStyle w:val="4"/>
        <w:rPr>
          <w:rFonts w:ascii="宋体" w:hAnsi="宋体" w:eastAsia="宋体" w:cs="宋体"/>
          <w:sz w:val="28"/>
          <w:szCs w:val="28"/>
        </w:rPr>
      </w:pPr>
      <w:bookmarkStart w:id="40" w:name="_Toc29173"/>
      <w:r>
        <w:rPr>
          <w:rFonts w:hint="eastAsia" w:ascii="宋体" w:hAnsi="宋体" w:eastAsia="宋体" w:cs="宋体"/>
          <w:sz w:val="28"/>
          <w:szCs w:val="28"/>
        </w:rPr>
        <w:t>三、招标文件</w:t>
      </w:r>
      <w:bookmarkEnd w:id="40"/>
    </w:p>
    <w:p>
      <w:pPr>
        <w:pStyle w:val="99"/>
        <w:ind w:firstLine="579"/>
        <w:rPr>
          <w:b/>
          <w:bCs/>
          <w:color w:val="auto"/>
          <w:sz w:val="28"/>
          <w:szCs w:val="28"/>
        </w:rPr>
      </w:pPr>
      <w:bookmarkStart w:id="41" w:name="_Toc23274"/>
      <w:r>
        <w:rPr>
          <w:rFonts w:hint="eastAsia"/>
          <w:b/>
          <w:bCs/>
          <w:color w:val="auto"/>
          <w:sz w:val="28"/>
          <w:szCs w:val="28"/>
        </w:rPr>
        <w:t>（一）招标文件的解释权</w:t>
      </w:r>
      <w:bookmarkEnd w:id="41"/>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本项目招标文件的解释权归采购代理机构，评标委员会成员应根据政府采购法律法规和招标文件所载明的评审方法、标准进行评审。</w:t>
      </w:r>
    </w:p>
    <w:p>
      <w:pPr>
        <w:pStyle w:val="99"/>
        <w:ind w:firstLine="579"/>
        <w:rPr>
          <w:b/>
          <w:bCs/>
          <w:color w:val="auto"/>
          <w:sz w:val="28"/>
          <w:szCs w:val="28"/>
        </w:rPr>
      </w:pPr>
      <w:bookmarkStart w:id="42" w:name="_Toc30024"/>
      <w:r>
        <w:rPr>
          <w:rFonts w:hint="eastAsia"/>
          <w:b/>
          <w:bCs/>
          <w:color w:val="auto"/>
          <w:sz w:val="28"/>
          <w:szCs w:val="28"/>
        </w:rPr>
        <w:t>（二）招标文件主要内容</w:t>
      </w:r>
      <w:bookmarkEnd w:id="42"/>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第1章  投标邀请函</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第2章  供应商须知</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第3章  招标内容及要求</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第4章  合同文本</w:t>
      </w:r>
    </w:p>
    <w:p>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第5章  投标文件构成及格式</w:t>
      </w:r>
    </w:p>
    <w:p>
      <w:pPr>
        <w:pStyle w:val="99"/>
        <w:ind w:firstLine="579"/>
        <w:rPr>
          <w:b/>
          <w:bCs/>
          <w:color w:val="auto"/>
          <w:sz w:val="28"/>
          <w:szCs w:val="28"/>
        </w:rPr>
      </w:pPr>
      <w:bookmarkStart w:id="43" w:name="_Toc26313"/>
      <w:r>
        <w:rPr>
          <w:rFonts w:hint="eastAsia"/>
          <w:b/>
          <w:bCs/>
          <w:color w:val="auto"/>
          <w:sz w:val="28"/>
          <w:szCs w:val="28"/>
        </w:rPr>
        <w:t>（三）招标文件的检查及阅读</w:t>
      </w:r>
      <w:bookmarkEnd w:id="43"/>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供应商应认真阅读和充分理解招标文件中所有的事项、格式条款和规范要求，在投标文件中对招标文件做出全面响 应，并按招标文件的要求提交全部资料。</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项目废标后重新组织招标的，采购代理机构将重新编制、发布新版招标文件，供应商应按新版招标文件重新编制投标文件。原招标文件及投标文件失效。</w:t>
      </w:r>
    </w:p>
    <w:p>
      <w:pPr>
        <w:pStyle w:val="99"/>
        <w:ind w:firstLine="579"/>
        <w:rPr>
          <w:b/>
          <w:bCs/>
          <w:color w:val="auto"/>
          <w:sz w:val="28"/>
          <w:szCs w:val="28"/>
        </w:rPr>
      </w:pPr>
      <w:bookmarkStart w:id="44" w:name="_Toc5096"/>
      <w:r>
        <w:rPr>
          <w:rFonts w:hint="eastAsia"/>
          <w:b/>
          <w:bCs/>
          <w:color w:val="auto"/>
          <w:sz w:val="28"/>
          <w:szCs w:val="28"/>
        </w:rPr>
        <w:t>（四）招标文件的修改、澄清</w:t>
      </w:r>
      <w:bookmarkEnd w:id="44"/>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1．提交投标文件截止之日前，采购人或采购代理机构可能对已发出的招标文件进行澄清或者修改，澄清或者修改的内容为招标文件的组成部分。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2．当需要澄清或修改时，采购代理机构将在提交投标文件截止之日15日前，在财政部门指定的“政府采购信息发布媒体”上发布变更公告；不足15日的，将顺延提交投标文件截止时间。</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4．请各供应商在提交投标文件截止时间之前，务必随时关注“政府采购信息发布媒体”上发布的变更公告，采购代理机构不再另行通知，因供应商未及时关注所造成的一切后果由供应商自行承担：</w:t>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（1）【</w:t>
      </w:r>
      <w:r>
        <w:fldChar w:fldCharType="begin"/>
      </w:r>
      <w:r>
        <w:instrText xml:space="preserve"> HYPERLINK "http://www.ccgp-shaanxi.gov.cn" </w:instrText>
      </w:r>
      <w:r>
        <w:fldChar w:fldCharType="separate"/>
      </w:r>
      <w:r>
        <w:rPr>
          <w:rStyle w:val="44"/>
          <w:rFonts w:hint="eastAsia" w:ascii="宋体" w:hAnsi="宋体" w:eastAsia="宋体" w:cs="宋体"/>
          <w:color w:val="auto"/>
          <w:sz w:val="28"/>
          <w:szCs w:val="28"/>
          <w:u w:val="none"/>
        </w:rPr>
        <w:t>陕西省政府采购网</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"http://www.ccgp-shaanxi.gov.cn/" </w:instrText>
      </w:r>
      <w:r>
        <w:fldChar w:fldCharType="separate"/>
      </w:r>
      <w:r>
        <w:rPr>
          <w:rStyle w:val="44"/>
          <w:rFonts w:hint="eastAsia" w:ascii="宋体" w:hAnsi="宋体" w:eastAsia="宋体" w:cs="宋体"/>
          <w:color w:val="auto"/>
          <w:sz w:val="28"/>
          <w:szCs w:val="28"/>
          <w:u w:val="none"/>
        </w:rPr>
        <w:t>http://www.ccgp-shaanxi.gov.cn/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）中的〖首页·〉信息公告·〉市级·〉西安市〗；</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w:t>
      </w:r>
      <w:r>
        <w:fldChar w:fldCharType="begin"/>
      </w:r>
      <w:r>
        <w:instrText xml:space="preserve"> HYPERLINK "http://xa.sxggzyjy.cn/" </w:instrText>
      </w:r>
      <w:r>
        <w:fldChar w:fldCharType="separate"/>
      </w:r>
      <w:r>
        <w:rPr>
          <w:rStyle w:val="44"/>
          <w:rFonts w:hint="eastAsia" w:ascii="宋体" w:hAnsi="宋体" w:eastAsia="宋体" w:cs="宋体"/>
          <w:color w:val="auto"/>
          <w:sz w:val="28"/>
          <w:szCs w:val="28"/>
          <w:u w:val="none"/>
        </w:rPr>
        <w:t>全国公共资源交易网（陕西省·西安市）</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"http://sxggzyjy.xa.gov.cn/" </w:instrText>
      </w:r>
      <w:r>
        <w:fldChar w:fldCharType="separate"/>
      </w:r>
      <w:r>
        <w:rPr>
          <w:rStyle w:val="44"/>
          <w:rFonts w:hint="eastAsia" w:ascii="宋体" w:hAnsi="宋体" w:eastAsia="宋体" w:cs="宋体"/>
          <w:color w:val="auto"/>
          <w:sz w:val="28"/>
          <w:szCs w:val="28"/>
          <w:u w:val="none"/>
        </w:rPr>
        <w:t>http://sxggzyjy.xa.gov.cn/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）中的〖首页·〉交易大厅·〉政府采购〗。</w:t>
      </w:r>
    </w:p>
    <w:p>
      <w:pPr>
        <w:pStyle w:val="4"/>
        <w:rPr>
          <w:rFonts w:ascii="宋体" w:hAnsi="宋体" w:eastAsia="宋体" w:cs="宋体"/>
          <w:sz w:val="28"/>
          <w:szCs w:val="28"/>
        </w:rPr>
      </w:pPr>
      <w:bookmarkStart w:id="45" w:name="_Toc18258"/>
      <w:r>
        <w:rPr>
          <w:rFonts w:hint="eastAsia" w:ascii="宋体" w:hAnsi="宋体" w:eastAsia="宋体" w:cs="宋体"/>
          <w:sz w:val="28"/>
          <w:szCs w:val="28"/>
        </w:rPr>
        <w:t>四、投标文件</w:t>
      </w:r>
      <w:bookmarkEnd w:id="45"/>
    </w:p>
    <w:p>
      <w:pPr>
        <w:pStyle w:val="99"/>
        <w:ind w:firstLine="579"/>
        <w:rPr>
          <w:b/>
          <w:bCs/>
          <w:color w:val="auto"/>
          <w:sz w:val="28"/>
          <w:szCs w:val="28"/>
        </w:rPr>
      </w:pPr>
      <w:bookmarkStart w:id="46" w:name="_Toc19870"/>
      <w:r>
        <w:rPr>
          <w:rFonts w:hint="eastAsia"/>
          <w:b/>
          <w:bCs/>
          <w:color w:val="auto"/>
          <w:sz w:val="28"/>
          <w:szCs w:val="28"/>
        </w:rPr>
        <w:t>（一）投标文件的式样</w:t>
      </w:r>
      <w:bookmarkEnd w:id="46"/>
    </w:p>
    <w:p>
      <w:pPr>
        <w:pStyle w:val="99"/>
        <w:ind w:firstLine="0" w:firstLineChars="0"/>
        <w:rPr>
          <w:color w:val="auto"/>
          <w:sz w:val="28"/>
          <w:szCs w:val="28"/>
        </w:rPr>
      </w:pPr>
      <w:bookmarkStart w:id="47" w:name="_Toc23111"/>
      <w:r>
        <w:rPr>
          <w:rFonts w:hint="eastAsia"/>
          <w:color w:val="auto"/>
          <w:sz w:val="28"/>
          <w:szCs w:val="28"/>
        </w:rPr>
        <w:t>1．组成及格式</w:t>
      </w:r>
      <w:bookmarkEnd w:id="47"/>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供应商依照招标文件第五章《投标文件构成及格式》给定形式进行编制投标文件。</w:t>
      </w:r>
    </w:p>
    <w:p>
      <w:pPr>
        <w:pStyle w:val="99"/>
        <w:ind w:firstLine="0" w:firstLineChars="0"/>
        <w:rPr>
          <w:color w:val="auto"/>
          <w:sz w:val="28"/>
          <w:szCs w:val="28"/>
        </w:rPr>
      </w:pPr>
      <w:bookmarkStart w:id="48" w:name="_Toc4658"/>
      <w:r>
        <w:rPr>
          <w:rFonts w:hint="eastAsia"/>
          <w:color w:val="auto"/>
          <w:sz w:val="28"/>
          <w:szCs w:val="28"/>
        </w:rPr>
        <w:t>2．语言</w:t>
      </w:r>
      <w:bookmarkEnd w:id="48"/>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招标活动的所有文件、资料、函电文字均使用简体中文，确需提交用其他语言形成的资料，必须翻译成简体中文，如有差异，以简体中文为准。</w:t>
      </w:r>
    </w:p>
    <w:p>
      <w:pPr>
        <w:pStyle w:val="99"/>
        <w:ind w:firstLine="0" w:firstLineChars="0"/>
        <w:rPr>
          <w:color w:val="auto"/>
          <w:sz w:val="28"/>
          <w:szCs w:val="28"/>
        </w:rPr>
      </w:pPr>
      <w:bookmarkStart w:id="49" w:name="_Toc3436"/>
      <w:r>
        <w:rPr>
          <w:rFonts w:hint="eastAsia"/>
          <w:color w:val="auto"/>
          <w:sz w:val="28"/>
          <w:szCs w:val="28"/>
        </w:rPr>
        <w:t>3．计量单位</w:t>
      </w:r>
      <w:bookmarkEnd w:id="49"/>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投标文件的计量单位应使用中华人民共和国法定计量单位，但招标文件另有规定的除外。</w:t>
      </w:r>
    </w:p>
    <w:p>
      <w:pPr>
        <w:pStyle w:val="99"/>
        <w:ind w:firstLine="579"/>
        <w:rPr>
          <w:b/>
          <w:bCs/>
          <w:color w:val="auto"/>
          <w:sz w:val="28"/>
          <w:szCs w:val="28"/>
        </w:rPr>
      </w:pPr>
      <w:bookmarkStart w:id="50" w:name="_Toc15553"/>
      <w:r>
        <w:rPr>
          <w:rFonts w:hint="eastAsia"/>
          <w:b/>
          <w:bCs/>
          <w:color w:val="auto"/>
          <w:sz w:val="28"/>
          <w:szCs w:val="28"/>
        </w:rPr>
        <w:t>（二）投标文件的有效期</w:t>
      </w:r>
      <w:bookmarkEnd w:id="50"/>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投标文件有效期为自开标之日起不少于90个日历日。如中标，延长至合同执行完毕时止。</w:t>
      </w:r>
    </w:p>
    <w:p>
      <w:pPr>
        <w:pStyle w:val="99"/>
        <w:ind w:firstLine="579"/>
        <w:rPr>
          <w:b/>
          <w:bCs/>
          <w:color w:val="auto"/>
          <w:sz w:val="28"/>
          <w:szCs w:val="28"/>
        </w:rPr>
      </w:pPr>
      <w:bookmarkStart w:id="51" w:name="_Toc28137"/>
      <w:r>
        <w:rPr>
          <w:rFonts w:hint="eastAsia"/>
          <w:b/>
          <w:bCs/>
          <w:color w:val="auto"/>
          <w:sz w:val="28"/>
          <w:szCs w:val="28"/>
        </w:rPr>
        <w:t>（三）投标报价</w:t>
      </w:r>
      <w:bookmarkEnd w:id="51"/>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投标报价是供应商响应采购项目要求的全部工作内容的价格体现，包括完成采购内容所需的直接费、间接费、利润、税金及其它相关的一切费用。</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1．供应商在报价时应充分考虑所有可能发生的费用，招标文件未列明，而供应商认为应当计取的费用均应列入报价中。报价时不论是否计取，采购人均按已计取对待。</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2．供应商应严格按照《投标文件构成及格式》第二部分《开标一览表》中的相关要求填写分类报价及其他需要响应的内容。投标报价只能提交唯一报价，任何有选择的报价将不予接受，按无效投标处理。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3．投标报价货币：人民币；单位：元。</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4．投标文件报价出现前后不一致的，除招标文件另有规定外，按照下列规则修正：</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（1）投标文件中开标一览表内容与投标文件中其他位置相应内容表述不一致的，以开标一览表为准；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（2）大写金额和小写金额不一致的，以大写金额为准；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（3）单价金额小数点或者百分比有明显错位的，以开标一览表的总价为准，并修改单价；</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同时出现两种以上不一致的，按照前款规定的顺序修正。修正后的报价经供应商确认后产生约束力，供应商不确认的，其投标无效。</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5．因供应商对招标文件理解不透、误解、疏漏或对市场行情了解不清造成的后果和风险，均由供应商自己负责。</w:t>
      </w:r>
    </w:p>
    <w:p>
      <w:pPr>
        <w:pStyle w:val="99"/>
        <w:ind w:firstLine="579"/>
        <w:rPr>
          <w:b/>
          <w:bCs/>
          <w:color w:val="auto"/>
          <w:sz w:val="28"/>
          <w:szCs w:val="28"/>
        </w:rPr>
      </w:pPr>
      <w:bookmarkStart w:id="52" w:name="_Toc30313"/>
      <w:r>
        <w:rPr>
          <w:rFonts w:hint="eastAsia"/>
          <w:b/>
          <w:bCs/>
          <w:color w:val="auto"/>
          <w:sz w:val="28"/>
          <w:szCs w:val="28"/>
        </w:rPr>
        <w:t>（四）投标文件的制作和签章</w:t>
      </w:r>
      <w:bookmarkEnd w:id="52"/>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链接地址：</w:t>
      </w:r>
    </w:p>
    <w:p>
      <w:pPr>
        <w:spacing w:line="560" w:lineRule="exact"/>
        <w:ind w:firstLine="496" w:firstLineChars="200"/>
        <w:jc w:val="both"/>
        <w:rPr>
          <w:rFonts w:ascii="宋体" w:hAnsi="宋体" w:eastAsia="宋体" w:cs="宋体"/>
          <w:sz w:val="28"/>
          <w:szCs w:val="28"/>
        </w:rPr>
      </w:pPr>
      <w:r>
        <w:fldChar w:fldCharType="begin"/>
      </w:r>
      <w:r>
        <w:instrText xml:space="preserve"> HYPERLINK "http://sxggzyjy.xa.gov.cn/fwzn/004003/20181115/4d59c184-e8f6-4d5a-a416-c2f6b0601e66.html" </w:instrText>
      </w:r>
      <w:r>
        <w:fldChar w:fldCharType="separate"/>
      </w:r>
      <w:r>
        <w:rPr>
          <w:rStyle w:val="44"/>
          <w:rFonts w:hint="eastAsia" w:ascii="宋体" w:hAnsi="宋体" w:eastAsia="宋体" w:cs="宋体"/>
          <w:color w:val="auto"/>
          <w:sz w:val="28"/>
          <w:szCs w:val="28"/>
        </w:rPr>
        <w:t>http://sxggzyjy.xa.gov.cn/fwzn/004003/20181115/4d59c184-e8f6-4d5a-a416-c2f6b0601e66.html</w:t>
      </w:r>
      <w:r>
        <w:rPr>
          <w:rStyle w:val="44"/>
          <w:rFonts w:hint="eastAsia" w:ascii="宋体" w:hAnsi="宋体" w:eastAsia="宋体" w:cs="宋体"/>
          <w:color w:val="auto"/>
          <w:sz w:val="28"/>
          <w:szCs w:val="28"/>
        </w:rPr>
        <w:fldChar w:fldCharType="end"/>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3．电子投标文件制作过程中，需要法定代表人签字或盖章的地方，请使用“法人CA锁”进行签章；需要加盖供应商公章的地方，请使用“企业CA锁”进行签章。</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99"/>
        <w:ind w:firstLine="579"/>
        <w:rPr>
          <w:b/>
          <w:bCs/>
          <w:color w:val="auto"/>
          <w:sz w:val="28"/>
          <w:szCs w:val="28"/>
        </w:rPr>
      </w:pPr>
      <w:bookmarkStart w:id="53" w:name="_Toc15534"/>
      <w:r>
        <w:rPr>
          <w:rFonts w:hint="eastAsia"/>
          <w:b/>
          <w:bCs/>
          <w:color w:val="auto"/>
          <w:sz w:val="28"/>
          <w:szCs w:val="28"/>
        </w:rPr>
        <w:t>（五）投标文件的加密和提交</w:t>
      </w:r>
      <w:bookmarkEnd w:id="53"/>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1．在生成电子投标文件时，需要使用CA锁对投标文件进行加密。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注意：加密投标文件和开标时解密投标文件应当使用同一CA，否则将会导致解密失败。</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3．上传文件有误或需要重新提交的，可先撤销已经上传的文件，然后重新上传新文件。</w:t>
      </w:r>
    </w:p>
    <w:p>
      <w:pPr>
        <w:pStyle w:val="99"/>
        <w:ind w:firstLine="579"/>
        <w:rPr>
          <w:b/>
          <w:bCs/>
          <w:color w:val="auto"/>
          <w:sz w:val="28"/>
          <w:szCs w:val="28"/>
        </w:rPr>
      </w:pPr>
      <w:bookmarkStart w:id="54" w:name="_Toc28545"/>
      <w:r>
        <w:rPr>
          <w:rFonts w:hint="eastAsia"/>
          <w:b/>
          <w:bCs/>
          <w:color w:val="auto"/>
          <w:sz w:val="28"/>
          <w:szCs w:val="28"/>
        </w:rPr>
        <w:t>（六）投标文件的补充、修改和撤回</w:t>
      </w:r>
      <w:bookmarkEnd w:id="54"/>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2．供应商在提交投标文件截止时间后，撤回投标文件的，投标保证金不予退还。</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99"/>
        <w:ind w:firstLine="579"/>
        <w:rPr>
          <w:b/>
          <w:bCs/>
          <w:color w:val="auto"/>
          <w:sz w:val="28"/>
          <w:szCs w:val="28"/>
        </w:rPr>
      </w:pPr>
      <w:bookmarkStart w:id="55" w:name="_Toc5968"/>
      <w:r>
        <w:rPr>
          <w:rFonts w:hint="eastAsia"/>
          <w:b/>
          <w:bCs/>
          <w:color w:val="auto"/>
          <w:sz w:val="28"/>
          <w:szCs w:val="28"/>
        </w:rPr>
        <w:t>（七）关于投标文件的雷同性分析</w:t>
      </w:r>
      <w:bookmarkEnd w:id="55"/>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若“文件创建标识码”一致，则表示不同投标供应商使用投标文件制作软件时，使用同一源工程文件，该情形建议由评标委员会结合项目情况综合判定。</w:t>
      </w:r>
    </w:p>
    <w:p>
      <w:pPr>
        <w:pStyle w:val="99"/>
        <w:ind w:firstLine="579"/>
        <w:rPr>
          <w:b/>
          <w:bCs/>
          <w:color w:val="auto"/>
          <w:sz w:val="28"/>
          <w:szCs w:val="28"/>
        </w:rPr>
      </w:pPr>
      <w:bookmarkStart w:id="56" w:name="_Toc11132"/>
      <w:r>
        <w:rPr>
          <w:rFonts w:hint="eastAsia"/>
          <w:b/>
          <w:bCs/>
          <w:color w:val="auto"/>
          <w:sz w:val="28"/>
          <w:szCs w:val="28"/>
        </w:rPr>
        <w:t>（八）投标文件被拒绝接收的情形</w:t>
      </w:r>
      <w:bookmarkEnd w:id="56"/>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1．误投的或采用旧版电子招标文件制作的；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2．逾期提交电子投标文件的。</w:t>
      </w:r>
    </w:p>
    <w:p>
      <w:pPr>
        <w:pStyle w:val="4"/>
        <w:rPr>
          <w:rFonts w:ascii="宋体" w:hAnsi="宋体" w:eastAsia="宋体" w:cs="宋体"/>
          <w:sz w:val="28"/>
          <w:szCs w:val="28"/>
        </w:rPr>
      </w:pPr>
      <w:bookmarkStart w:id="57" w:name="_Toc11947"/>
      <w:r>
        <w:rPr>
          <w:rFonts w:hint="eastAsia" w:ascii="宋体" w:hAnsi="宋体" w:eastAsia="宋体" w:cs="宋体"/>
          <w:sz w:val="28"/>
          <w:szCs w:val="28"/>
        </w:rPr>
        <w:t>五、开标程序</w:t>
      </w:r>
      <w:bookmarkEnd w:id="57"/>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开标工作由采购代理机构组织实施，整个过程受同级政府采购监管机构的监督、管理。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“不见面开标”是依托政府采购云平台实现的供应商在线参与开标的一种组织形式。供应商无需抵达开标现场，即可在线实现开标、解密、澄清等操作。</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1．供应商登录：开标前，请各供应商至少提前半小时登录西安市公共资源交易平台〖首页·〉不见面开标〗系统。</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2．主持人宣布开标：提交投标文件截止时间过后，系统将不再接收任何投标文件。</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4．唱标：对于公开招标项目，“不见面开标”系统将自动展示供应商名单及其投标报价。</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5．开标结束：进入评审环节。供应商请保持在线，评审期间评标委员会可能会要求供应商做相应的澄清。因供应商擅自离席造成的不利后果，由供应商自行承担。</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“不见面开标”系统操作说明：详见西安市公共资源交易平台〖首页·〉服务指南·〉下载专区〗中的《西安公共资源交易不见面开标大厅供应商操作手册》。</w:t>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链接地址：</w:t>
      </w:r>
      <w:r>
        <w:fldChar w:fldCharType="begin"/>
      </w:r>
      <w:r>
        <w:instrText xml:space="preserve"> HYPERLINK "http://sxggzyjy.xa.gov.cn/fwzn/004003/20200426/bc8b2c1e-abe2-4168-913c-68ff93345faf.html" </w:instrText>
      </w:r>
      <w:r>
        <w:fldChar w:fldCharType="separate"/>
      </w:r>
      <w:r>
        <w:rPr>
          <w:rStyle w:val="44"/>
          <w:rFonts w:hint="eastAsia" w:ascii="宋体" w:hAnsi="宋体" w:eastAsia="宋体" w:cs="宋体"/>
          <w:color w:val="auto"/>
          <w:sz w:val="28"/>
          <w:szCs w:val="28"/>
          <w:u w:val="none"/>
        </w:rPr>
        <w:t>http://sxggzyjy.xa.gov.cn/fwzn/004003/20200426/bc8b2c1e-abe2-4168-913c-68ff93345faf.html</w:t>
      </w:r>
      <w:r>
        <w:rPr>
          <w:rStyle w:val="44"/>
          <w:rFonts w:hint="eastAsia" w:ascii="宋体" w:hAnsi="宋体" w:eastAsia="宋体" w:cs="宋体"/>
          <w:color w:val="auto"/>
          <w:sz w:val="28"/>
          <w:szCs w:val="28"/>
          <w:u w:val="none"/>
        </w:rPr>
        <w:fldChar w:fldCharType="end"/>
      </w:r>
    </w:p>
    <w:p>
      <w:pPr>
        <w:pStyle w:val="99"/>
        <w:ind w:firstLine="579"/>
        <w:rPr>
          <w:b/>
          <w:bCs/>
          <w:color w:val="auto"/>
          <w:sz w:val="28"/>
          <w:szCs w:val="28"/>
        </w:rPr>
      </w:pPr>
      <w:bookmarkStart w:id="58" w:name="_Toc15581"/>
      <w:r>
        <w:rPr>
          <w:rFonts w:hint="eastAsia"/>
          <w:b/>
          <w:bCs/>
          <w:color w:val="auto"/>
          <w:sz w:val="28"/>
          <w:szCs w:val="28"/>
        </w:rPr>
        <w:t>（一）开标环节投标文件视为无效的情形</w:t>
      </w:r>
      <w:bookmarkEnd w:id="58"/>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1．供应商放弃或拒绝对电子投标文件进行解密的；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2．因供应商自身原因，导致未在规定的解密时限内完整解密的，如忘带CA锁、或携带的CA锁与加密文件的CA锁不同、或使用旧版招标文件编制投标文件等情形；</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3．上传的电子投标文件无法正常打开的；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4．政府采购法律法规规定的其他无效情形。</w:t>
      </w:r>
    </w:p>
    <w:p>
      <w:pPr>
        <w:pStyle w:val="99"/>
        <w:ind w:firstLine="579"/>
        <w:rPr>
          <w:b/>
          <w:bCs/>
          <w:color w:val="auto"/>
          <w:sz w:val="28"/>
          <w:szCs w:val="28"/>
        </w:rPr>
      </w:pPr>
      <w:bookmarkStart w:id="59" w:name="_Toc4756"/>
      <w:r>
        <w:rPr>
          <w:rFonts w:hint="eastAsia"/>
          <w:b/>
          <w:bCs/>
          <w:color w:val="auto"/>
          <w:sz w:val="28"/>
          <w:szCs w:val="28"/>
        </w:rPr>
        <w:t>（二）突发状况的应急处置</w:t>
      </w:r>
      <w:bookmarkEnd w:id="59"/>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在开评标过程中，如因停电、断网、电子化系统故障等特殊原因导致电子化开、评标工作无法正常进行时，采购代理机构将及时汇报政府采购监管部门，并等待或中止后续活动。</w:t>
      </w:r>
    </w:p>
    <w:p>
      <w:pPr>
        <w:pStyle w:val="4"/>
        <w:rPr>
          <w:rFonts w:ascii="宋体" w:hAnsi="宋体" w:eastAsia="宋体" w:cs="宋体"/>
          <w:sz w:val="28"/>
          <w:szCs w:val="28"/>
        </w:rPr>
      </w:pPr>
      <w:bookmarkStart w:id="60" w:name="_Toc30660"/>
      <w:r>
        <w:rPr>
          <w:rFonts w:hint="eastAsia" w:ascii="宋体" w:hAnsi="宋体" w:eastAsia="宋体" w:cs="宋体"/>
          <w:sz w:val="28"/>
          <w:szCs w:val="28"/>
        </w:rPr>
        <w:t>六、资格审查</w:t>
      </w:r>
      <w:bookmarkEnd w:id="60"/>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开标结束后，依据法律法规和招标文件的规定，对投标文件中的资格证明文件等进行审查，以确保供应商是否具备相应资格。</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供应商提供的资格证明文件缺少任何一项或有任何一项不满足，都将被视为无效投标。供应商所提供的资格证明文件应图文清晰、易于辨识，否则由此带来的不利后果由供应商自行承担。</w:t>
      </w:r>
    </w:p>
    <w:p>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合格供应商不足3家的，不得评标。</w:t>
      </w:r>
    </w:p>
    <w:p>
      <w:pPr>
        <w:rPr>
          <w:rFonts w:ascii="宋体" w:hAnsi="宋体" w:eastAsia="宋体" w:cs="宋体"/>
          <w:sz w:val="32"/>
          <w:szCs w:val="32"/>
        </w:rPr>
      </w:pPr>
      <w:r>
        <w:rPr>
          <w:rFonts w:hint="eastAsia" w:ascii="宋体" w:hAnsi="宋体" w:eastAsia="宋体" w:cs="宋体"/>
          <w:sz w:val="32"/>
          <w:szCs w:val="32"/>
        </w:rPr>
        <w:br w:type="page"/>
      </w:r>
    </w:p>
    <w:p>
      <w:pPr>
        <w:spacing w:line="560" w:lineRule="exact"/>
        <w:rPr>
          <w:rFonts w:ascii="宋体" w:hAnsi="宋体" w:eastAsia="宋体" w:cs="宋体"/>
          <w:sz w:val="28"/>
          <w:szCs w:val="28"/>
        </w:rPr>
      </w:pPr>
      <w:r>
        <w:rPr>
          <w:rFonts w:hint="eastAsia" w:ascii="宋体" w:hAnsi="宋体" w:eastAsia="宋体" w:cs="宋体"/>
          <w:sz w:val="28"/>
          <w:szCs w:val="28"/>
        </w:rPr>
        <w:t>〖资格性审查表〗</w:t>
      </w:r>
    </w:p>
    <w:tbl>
      <w:tblPr>
        <w:tblStyle w:val="33"/>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56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336"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sz w:val="28"/>
                <w:szCs w:val="28"/>
              </w:rPr>
            </w:pPr>
            <w:r>
              <w:rPr>
                <w:rFonts w:hint="eastAsia" w:ascii="宋体" w:hAnsi="宋体" w:eastAsia="宋体" w:cs="宋体"/>
                <w:b/>
                <w:bCs/>
                <w:sz w:val="28"/>
                <w:szCs w:val="28"/>
              </w:rPr>
              <w:t>资格项</w:t>
            </w:r>
          </w:p>
        </w:tc>
        <w:tc>
          <w:tcPr>
            <w:tcW w:w="5696" w:type="dxa"/>
            <w:tcBorders>
              <w:top w:val="single" w:color="auto" w:sz="12" w:space="0"/>
              <w:bottom w:val="single" w:color="auto" w:sz="2" w:space="0"/>
            </w:tcBorders>
            <w:shd w:val="clear" w:color="auto" w:fill="F1F1F1" w:themeFill="background1" w:themeFillShade="F2"/>
            <w:vAlign w:val="center"/>
          </w:tcPr>
          <w:p>
            <w:pPr>
              <w:jc w:val="center"/>
              <w:rPr>
                <w:rFonts w:ascii="宋体" w:hAnsi="宋体" w:eastAsia="宋体" w:cs="宋体"/>
                <w:b/>
                <w:bCs/>
                <w:sz w:val="28"/>
                <w:szCs w:val="28"/>
              </w:rPr>
            </w:pPr>
            <w:r>
              <w:rPr>
                <w:rFonts w:hint="eastAsia" w:ascii="宋体" w:hAnsi="宋体" w:eastAsia="宋体" w:cs="宋体"/>
                <w:b/>
                <w:bCs/>
                <w:sz w:val="28"/>
                <w:szCs w:val="28"/>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一</w:t>
            </w:r>
          </w:p>
        </w:tc>
        <w:tc>
          <w:tcPr>
            <w:tcW w:w="8032" w:type="dxa"/>
            <w:gridSpan w:val="2"/>
            <w:tcBorders>
              <w:top w:val="single" w:color="auto" w:sz="2"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sz w:val="28"/>
                <w:szCs w:val="28"/>
              </w:rPr>
            </w:pPr>
            <w:r>
              <w:rPr>
                <w:rFonts w:hint="eastAsia" w:ascii="宋体" w:hAnsi="宋体" w:eastAsia="宋体" w:cs="宋体"/>
                <w:sz w:val="28"/>
                <w:szCs w:val="28"/>
              </w:rPr>
              <w:t>1</w:t>
            </w:r>
          </w:p>
        </w:tc>
        <w:tc>
          <w:tcPr>
            <w:tcW w:w="2336" w:type="dxa"/>
            <w:vAlign w:val="center"/>
          </w:tcPr>
          <w:p>
            <w:pPr>
              <w:jc w:val="center"/>
              <w:rPr>
                <w:rFonts w:ascii="宋体" w:hAnsi="宋体" w:eastAsia="宋体" w:cs="宋体"/>
                <w:sz w:val="28"/>
                <w:szCs w:val="28"/>
              </w:rPr>
            </w:pPr>
            <w:r>
              <w:rPr>
                <w:rFonts w:hint="eastAsia" w:ascii="宋体" w:hAnsi="宋体" w:eastAsia="宋体" w:cs="宋体"/>
                <w:sz w:val="28"/>
                <w:szCs w:val="28"/>
              </w:rPr>
              <w:t>有效的主体资格证明</w:t>
            </w:r>
          </w:p>
        </w:tc>
        <w:tc>
          <w:tcPr>
            <w:tcW w:w="5696" w:type="dxa"/>
            <w:vAlign w:val="center"/>
          </w:tcPr>
          <w:p>
            <w:pPr>
              <w:jc w:val="both"/>
              <w:rPr>
                <w:rFonts w:ascii="宋体" w:hAnsi="宋体" w:eastAsia="宋体" w:cs="宋体"/>
                <w:sz w:val="28"/>
                <w:szCs w:val="28"/>
              </w:rPr>
            </w:pPr>
            <w:r>
              <w:rPr>
                <w:rFonts w:hint="eastAsia" w:ascii="宋体" w:hAnsi="宋体" w:eastAsia="宋体" w:cs="宋体"/>
                <w:sz w:val="28"/>
                <w:szCs w:val="28"/>
              </w:rPr>
              <w:t>具有独立承担民事责任能力的法人、其他组织或自然人，并出具合法有效的营业执照或事业单位法人证书等国家规定的相关证明，自然人参与的提供其身份证明。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sz w:val="28"/>
                <w:szCs w:val="28"/>
              </w:rPr>
            </w:pPr>
            <w:r>
              <w:rPr>
                <w:rFonts w:hint="eastAsia" w:ascii="宋体" w:hAnsi="宋体" w:eastAsia="宋体" w:cs="宋体"/>
                <w:sz w:val="28"/>
                <w:szCs w:val="28"/>
              </w:rPr>
              <w:t>2</w:t>
            </w:r>
          </w:p>
        </w:tc>
        <w:tc>
          <w:tcPr>
            <w:tcW w:w="2336" w:type="dxa"/>
            <w:vAlign w:val="center"/>
          </w:tcPr>
          <w:p>
            <w:pPr>
              <w:jc w:val="center"/>
              <w:rPr>
                <w:rFonts w:ascii="宋体" w:hAnsi="宋体" w:eastAsia="宋体" w:cs="宋体"/>
                <w:sz w:val="28"/>
                <w:szCs w:val="28"/>
              </w:rPr>
            </w:pPr>
            <w:r>
              <w:rPr>
                <w:rFonts w:hint="eastAsia" w:ascii="宋体" w:hAnsi="宋体" w:eastAsia="宋体" w:cs="宋体"/>
                <w:sz w:val="28"/>
                <w:szCs w:val="28"/>
              </w:rPr>
              <w:t>社会保障资金缴纳证明</w:t>
            </w:r>
          </w:p>
        </w:tc>
        <w:tc>
          <w:tcPr>
            <w:tcW w:w="5696" w:type="dxa"/>
            <w:vAlign w:val="center"/>
          </w:tcPr>
          <w:p>
            <w:pPr>
              <w:jc w:val="both"/>
              <w:rPr>
                <w:rFonts w:ascii="宋体" w:hAnsi="宋体" w:eastAsia="宋体" w:cs="宋体"/>
                <w:sz w:val="28"/>
                <w:szCs w:val="28"/>
              </w:rPr>
            </w:pPr>
            <w:r>
              <w:rPr>
                <w:rFonts w:hint="eastAsia" w:ascii="宋体" w:hAnsi="宋体" w:eastAsia="宋体" w:cs="宋体"/>
                <w:sz w:val="28"/>
                <w:szCs w:val="28"/>
              </w:rPr>
              <w:t>供应商提供本单位202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月至今已缴纳的至少一个月的社会保障资金缴存单据或社保机构开具的社会保险参保缴费情况证明，单据或证明上应有社保机构或代收机构的公章。依法不需要缴纳社会保障资金的供应商应提供相关文件证明。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sz w:val="28"/>
                <w:szCs w:val="28"/>
              </w:rPr>
            </w:pPr>
            <w:r>
              <w:rPr>
                <w:rFonts w:hint="eastAsia" w:ascii="宋体" w:hAnsi="宋体" w:eastAsia="宋体" w:cs="宋体"/>
                <w:sz w:val="28"/>
                <w:szCs w:val="28"/>
              </w:rPr>
              <w:t>3</w:t>
            </w:r>
          </w:p>
        </w:tc>
        <w:tc>
          <w:tcPr>
            <w:tcW w:w="2336" w:type="dxa"/>
            <w:vAlign w:val="center"/>
          </w:tcPr>
          <w:p>
            <w:pPr>
              <w:jc w:val="center"/>
              <w:rPr>
                <w:rFonts w:ascii="宋体" w:hAnsi="宋体" w:eastAsia="宋体" w:cs="宋体"/>
                <w:sz w:val="28"/>
                <w:szCs w:val="28"/>
              </w:rPr>
            </w:pPr>
            <w:r>
              <w:rPr>
                <w:rFonts w:hint="eastAsia" w:ascii="宋体" w:hAnsi="宋体" w:eastAsia="宋体" w:cs="宋体"/>
                <w:sz w:val="28"/>
                <w:szCs w:val="28"/>
              </w:rPr>
              <w:t>税收缴纳证明</w:t>
            </w:r>
          </w:p>
        </w:tc>
        <w:tc>
          <w:tcPr>
            <w:tcW w:w="5696" w:type="dxa"/>
            <w:vAlign w:val="center"/>
          </w:tcPr>
          <w:p>
            <w:pPr>
              <w:jc w:val="both"/>
              <w:rPr>
                <w:rFonts w:ascii="宋体" w:hAnsi="宋体" w:eastAsia="宋体" w:cs="宋体"/>
                <w:sz w:val="28"/>
                <w:szCs w:val="28"/>
              </w:rPr>
            </w:pPr>
            <w:r>
              <w:rPr>
                <w:rFonts w:hint="eastAsia" w:ascii="宋体" w:hAnsi="宋体" w:eastAsia="宋体" w:cs="宋体"/>
                <w:sz w:val="28"/>
                <w:szCs w:val="28"/>
              </w:rPr>
              <w:t>供应商提供本单位202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月至今已缴纳的至少一个月纳税证明或完税证明，依法免税的单位应提供相关证明材料。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sz w:val="28"/>
                <w:szCs w:val="28"/>
              </w:rPr>
            </w:pPr>
            <w:r>
              <w:rPr>
                <w:rFonts w:hint="eastAsia" w:ascii="宋体" w:hAnsi="宋体" w:eastAsia="宋体" w:cs="宋体"/>
                <w:sz w:val="28"/>
                <w:szCs w:val="28"/>
              </w:rPr>
              <w:t>4</w:t>
            </w:r>
          </w:p>
        </w:tc>
        <w:tc>
          <w:tcPr>
            <w:tcW w:w="2336" w:type="dxa"/>
            <w:vAlign w:val="center"/>
          </w:tcPr>
          <w:p>
            <w:pPr>
              <w:jc w:val="center"/>
              <w:rPr>
                <w:rFonts w:ascii="宋体" w:hAnsi="宋体" w:eastAsia="宋体" w:cs="宋体"/>
                <w:sz w:val="28"/>
                <w:szCs w:val="28"/>
              </w:rPr>
            </w:pPr>
            <w:r>
              <w:rPr>
                <w:rFonts w:hint="eastAsia" w:ascii="宋体" w:hAnsi="宋体" w:eastAsia="宋体" w:cs="宋体"/>
                <w:sz w:val="28"/>
                <w:szCs w:val="28"/>
              </w:rPr>
              <w:t>财务状况证明</w:t>
            </w:r>
          </w:p>
        </w:tc>
        <w:tc>
          <w:tcPr>
            <w:tcW w:w="5696" w:type="dxa"/>
            <w:vAlign w:val="center"/>
          </w:tcPr>
          <w:p>
            <w:pPr>
              <w:jc w:val="both"/>
              <w:rPr>
                <w:rFonts w:ascii="宋体" w:hAnsi="宋体" w:eastAsia="宋体" w:cs="宋体"/>
                <w:sz w:val="28"/>
                <w:szCs w:val="28"/>
              </w:rPr>
            </w:pPr>
            <w:r>
              <w:rPr>
                <w:rFonts w:hint="eastAsia" w:ascii="宋体" w:hAnsi="宋体" w:eastAsia="宋体" w:cs="宋体"/>
                <w:sz w:val="28"/>
                <w:szCs w:val="28"/>
              </w:rPr>
              <w:t>提供本单位经会计师事务所审计的202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eastAsia="zh-CN"/>
              </w:rPr>
              <w:t>或</w:t>
            </w:r>
            <w:r>
              <w:rPr>
                <w:rFonts w:hint="eastAsia" w:ascii="宋体" w:hAnsi="宋体" w:eastAsia="宋体" w:cs="宋体"/>
                <w:sz w:val="28"/>
                <w:szCs w:val="28"/>
                <w:lang w:val="en-US" w:eastAsia="zh-CN"/>
              </w:rPr>
              <w:t>2023年</w:t>
            </w:r>
            <w:r>
              <w:rPr>
                <w:rFonts w:hint="eastAsia" w:ascii="宋体" w:hAnsi="宋体" w:eastAsia="宋体" w:cs="宋体"/>
                <w:sz w:val="28"/>
                <w:szCs w:val="28"/>
              </w:rPr>
              <w:t>财务审计报告或在开标日期前六个月内其基本开户银行出具的资信证明。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宋体" w:hAnsi="宋体" w:eastAsia="宋体" w:cs="宋体"/>
                <w:sz w:val="28"/>
                <w:szCs w:val="28"/>
              </w:rPr>
            </w:pPr>
            <w:r>
              <w:rPr>
                <w:rFonts w:hint="eastAsia" w:ascii="宋体" w:hAnsi="宋体" w:eastAsia="宋体" w:cs="宋体"/>
                <w:sz w:val="28"/>
                <w:szCs w:val="28"/>
              </w:rPr>
              <w:t>5</w:t>
            </w:r>
          </w:p>
        </w:tc>
        <w:tc>
          <w:tcPr>
            <w:tcW w:w="2336" w:type="dxa"/>
            <w:vAlign w:val="center"/>
          </w:tcPr>
          <w:p>
            <w:pPr>
              <w:jc w:val="center"/>
              <w:rPr>
                <w:rFonts w:ascii="宋体" w:hAnsi="宋体" w:eastAsia="宋体" w:cs="宋体"/>
                <w:sz w:val="28"/>
                <w:szCs w:val="28"/>
              </w:rPr>
            </w:pPr>
            <w:r>
              <w:rPr>
                <w:rFonts w:hint="eastAsia" w:ascii="宋体" w:hAnsi="宋体" w:eastAsia="宋体" w:cs="宋体"/>
                <w:sz w:val="28"/>
                <w:szCs w:val="28"/>
              </w:rPr>
              <w:t>无重大违法记录声明</w:t>
            </w:r>
          </w:p>
        </w:tc>
        <w:tc>
          <w:tcPr>
            <w:tcW w:w="5696" w:type="dxa"/>
            <w:vAlign w:val="center"/>
          </w:tcPr>
          <w:p>
            <w:pPr>
              <w:jc w:val="both"/>
              <w:rPr>
                <w:rFonts w:ascii="宋体" w:hAnsi="宋体" w:eastAsia="宋体" w:cs="宋体"/>
                <w:sz w:val="28"/>
                <w:szCs w:val="28"/>
              </w:rPr>
            </w:pPr>
            <w:r>
              <w:rPr>
                <w:rFonts w:hint="eastAsia" w:ascii="宋体" w:hAnsi="宋体" w:eastAsia="宋体" w:cs="宋体"/>
                <w:sz w:val="28"/>
                <w:szCs w:val="28"/>
              </w:rPr>
              <w:t>供应商应出具参加本次政府采购活动前3年内在经营活动中没有重大违法违纪，以及未被列入失信被执行人、重大税收违法案件当事人名单、政府采购严重违法失信行为记录名单的书面声明。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1" w:hRule="atLeast"/>
          <w:jc w:val="center"/>
        </w:trPr>
        <w:tc>
          <w:tcPr>
            <w:tcW w:w="836" w:type="dxa"/>
            <w:vAlign w:val="center"/>
          </w:tcPr>
          <w:p>
            <w:pPr>
              <w:jc w:val="center"/>
              <w:rPr>
                <w:rFonts w:ascii="宋体" w:hAnsi="宋体" w:eastAsia="宋体" w:cs="宋体"/>
                <w:sz w:val="28"/>
                <w:szCs w:val="28"/>
              </w:rPr>
            </w:pPr>
            <w:r>
              <w:rPr>
                <w:rFonts w:hint="eastAsia" w:ascii="宋体" w:hAnsi="宋体" w:eastAsia="宋体" w:cs="宋体"/>
                <w:sz w:val="28"/>
                <w:szCs w:val="28"/>
              </w:rPr>
              <w:t>6</w:t>
            </w:r>
          </w:p>
        </w:tc>
        <w:tc>
          <w:tcPr>
            <w:tcW w:w="2336" w:type="dxa"/>
            <w:vAlign w:val="center"/>
          </w:tcPr>
          <w:p>
            <w:pPr>
              <w:jc w:val="center"/>
              <w:rPr>
                <w:rFonts w:ascii="宋体" w:hAnsi="宋体" w:eastAsia="宋体" w:cs="宋体"/>
                <w:sz w:val="28"/>
                <w:szCs w:val="28"/>
              </w:rPr>
            </w:pPr>
            <w:r>
              <w:rPr>
                <w:rFonts w:hint="eastAsia" w:ascii="宋体" w:hAnsi="宋体" w:eastAsia="宋体" w:cs="宋体"/>
                <w:sz w:val="28"/>
                <w:szCs w:val="28"/>
              </w:rPr>
              <w:t>法定代表人委托授权书或身份证明</w:t>
            </w:r>
          </w:p>
        </w:tc>
        <w:tc>
          <w:tcPr>
            <w:tcW w:w="5696" w:type="dxa"/>
            <w:vAlign w:val="center"/>
          </w:tcPr>
          <w:p>
            <w:pPr>
              <w:jc w:val="both"/>
              <w:rPr>
                <w:rFonts w:ascii="宋体" w:hAnsi="宋体" w:eastAsia="宋体" w:cs="宋体"/>
                <w:sz w:val="28"/>
                <w:szCs w:val="28"/>
              </w:rPr>
            </w:pPr>
            <w:r>
              <w:rPr>
                <w:rFonts w:hint="eastAsia" w:ascii="宋体" w:hAnsi="宋体" w:eastAsia="宋体" w:cs="宋体"/>
                <w:sz w:val="28"/>
                <w:szCs w:val="28"/>
              </w:rPr>
              <w:t>非法定代表人参加投标，须提供法定代表人授权委托书及被授权人身份证；法定代表人参加投标时,只须提供法定代表人身份证。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1" w:hRule="atLeast"/>
          <w:jc w:val="center"/>
        </w:trPr>
        <w:tc>
          <w:tcPr>
            <w:tcW w:w="836"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2336" w:type="dxa"/>
            <w:vAlign w:val="center"/>
          </w:tcPr>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相关证明材料</w:t>
            </w:r>
          </w:p>
        </w:tc>
        <w:tc>
          <w:tcPr>
            <w:tcW w:w="5696" w:type="dxa"/>
            <w:vAlign w:val="center"/>
          </w:tcPr>
          <w:p>
            <w:pPr>
              <w:jc w:val="both"/>
              <w:rPr>
                <w:rFonts w:hint="eastAsia" w:ascii="宋体" w:hAnsi="宋体" w:eastAsia="宋体" w:cs="宋体"/>
                <w:sz w:val="28"/>
                <w:szCs w:val="28"/>
              </w:rPr>
            </w:pPr>
            <w:r>
              <w:rPr>
                <w:rFonts w:hint="eastAsia" w:ascii="宋体" w:hAnsi="宋体" w:eastAsia="宋体" w:cs="宋体"/>
                <w:sz w:val="28"/>
                <w:szCs w:val="28"/>
                <w:lang w:val="en-US" w:eastAsia="zh-CN" w:bidi="ar-SA"/>
              </w:rPr>
              <w:t>供应商为代理商须提供食品经营许可证及生产商的食品生产许可证；供应商为厂家的须提供食品经营许可证及食品生产许可证。</w:t>
            </w:r>
          </w:p>
        </w:tc>
      </w:tr>
    </w:tbl>
    <w:p>
      <w:pPr>
        <w:rPr>
          <w:rFonts w:ascii="宋体" w:hAnsi="宋体" w:eastAsia="宋体" w:cs="宋体"/>
          <w:sz w:val="28"/>
          <w:szCs w:val="28"/>
        </w:rPr>
      </w:pPr>
    </w:p>
    <w:p>
      <w:pPr>
        <w:rPr>
          <w:rFonts w:hint="eastAsia" w:ascii="宋体" w:hAnsi="宋体" w:eastAsia="宋体" w:cs="宋体"/>
          <w:sz w:val="28"/>
          <w:szCs w:val="28"/>
        </w:rPr>
      </w:pPr>
      <w:bookmarkStart w:id="61" w:name="_Toc16062"/>
      <w:r>
        <w:rPr>
          <w:rFonts w:hint="eastAsia" w:ascii="宋体" w:hAnsi="宋体" w:eastAsia="宋体" w:cs="宋体"/>
          <w:sz w:val="28"/>
          <w:szCs w:val="28"/>
        </w:rPr>
        <w:br w:type="page"/>
      </w:r>
    </w:p>
    <w:p>
      <w:pPr>
        <w:pStyle w:val="4"/>
        <w:rPr>
          <w:rFonts w:ascii="宋体" w:hAnsi="宋体" w:eastAsia="宋体" w:cs="宋体"/>
          <w:sz w:val="28"/>
          <w:szCs w:val="28"/>
        </w:rPr>
      </w:pPr>
      <w:r>
        <w:rPr>
          <w:rFonts w:hint="eastAsia" w:ascii="宋体" w:hAnsi="宋体" w:eastAsia="宋体" w:cs="宋体"/>
          <w:sz w:val="28"/>
          <w:szCs w:val="28"/>
        </w:rPr>
        <w:t>七、评审方法和程序</w:t>
      </w:r>
      <w:bookmarkEnd w:id="61"/>
    </w:p>
    <w:p>
      <w:pPr>
        <w:pStyle w:val="99"/>
        <w:ind w:firstLine="579"/>
        <w:rPr>
          <w:b/>
          <w:bCs/>
          <w:color w:val="auto"/>
          <w:sz w:val="28"/>
          <w:szCs w:val="28"/>
        </w:rPr>
      </w:pPr>
      <w:bookmarkStart w:id="62" w:name="_Toc14369"/>
      <w:r>
        <w:rPr>
          <w:rFonts w:hint="eastAsia"/>
          <w:b/>
          <w:bCs/>
          <w:color w:val="auto"/>
          <w:sz w:val="28"/>
          <w:szCs w:val="28"/>
        </w:rPr>
        <w:t>（一）评标方法</w:t>
      </w:r>
      <w:bookmarkEnd w:id="62"/>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本项目采用综合评分法，即投标文件满足招标文件全部实质性要求，且按照评审因素的量化指标评审得分最高的供应商为中标候选人。</w:t>
      </w:r>
    </w:p>
    <w:p>
      <w:pPr>
        <w:pStyle w:val="99"/>
        <w:ind w:firstLine="579"/>
        <w:rPr>
          <w:b/>
          <w:bCs/>
          <w:color w:val="auto"/>
          <w:sz w:val="28"/>
          <w:szCs w:val="28"/>
        </w:rPr>
      </w:pPr>
      <w:bookmarkStart w:id="63" w:name="_Toc15322"/>
      <w:r>
        <w:rPr>
          <w:rFonts w:hint="eastAsia"/>
          <w:b/>
          <w:bCs/>
          <w:color w:val="auto"/>
          <w:sz w:val="28"/>
          <w:szCs w:val="28"/>
        </w:rPr>
        <w:t>（二）评标程序</w:t>
      </w:r>
      <w:bookmarkEnd w:id="63"/>
    </w:p>
    <w:p>
      <w:pPr>
        <w:pStyle w:val="99"/>
        <w:ind w:firstLine="577"/>
        <w:rPr>
          <w:color w:val="auto"/>
          <w:sz w:val="28"/>
          <w:szCs w:val="28"/>
        </w:rPr>
      </w:pPr>
      <w:bookmarkStart w:id="64" w:name="_Toc19236"/>
      <w:r>
        <w:rPr>
          <w:rFonts w:hint="eastAsia"/>
          <w:color w:val="auto"/>
          <w:sz w:val="28"/>
          <w:szCs w:val="28"/>
        </w:rPr>
        <w:t>1．组建评标委员会</w:t>
      </w:r>
      <w:bookmarkEnd w:id="64"/>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由采购代理机构组织评标委员会推选评标组长，采购人代表不得担任组长。</w:t>
      </w:r>
    </w:p>
    <w:p>
      <w:pPr>
        <w:pStyle w:val="99"/>
        <w:ind w:firstLine="577"/>
        <w:rPr>
          <w:color w:val="auto"/>
          <w:sz w:val="28"/>
          <w:szCs w:val="28"/>
        </w:rPr>
      </w:pPr>
      <w:bookmarkStart w:id="65" w:name="_Toc1683"/>
      <w:r>
        <w:rPr>
          <w:rFonts w:hint="eastAsia"/>
          <w:color w:val="auto"/>
          <w:sz w:val="28"/>
          <w:szCs w:val="28"/>
        </w:rPr>
        <w:t>2．投标文件的符合性审查</w:t>
      </w:r>
      <w:bookmarkEnd w:id="65"/>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供应商资格性审查通过后，评标委员会对符合资格的投标人的投标文件进行符合性审查，以确定其是否满足招标文件的实质性要求。</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对于投标文件中含义不明确、同类问题表述不一致或者有明显文字和计算错误的内容，评标委员会应当以书面形式要求投标人作出必要的澄清、说明或者补正。</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pPr>
        <w:spacing w:line="560" w:lineRule="exact"/>
        <w:jc w:val="both"/>
        <w:rPr>
          <w:rFonts w:ascii="宋体" w:hAnsi="宋体" w:eastAsia="宋体" w:cs="宋体"/>
          <w:sz w:val="28"/>
          <w:szCs w:val="28"/>
        </w:rPr>
      </w:pPr>
      <w:r>
        <w:rPr>
          <w:rFonts w:hint="eastAsia" w:ascii="宋体" w:hAnsi="宋体" w:eastAsia="宋体" w:cs="宋体"/>
          <w:sz w:val="28"/>
          <w:szCs w:val="28"/>
        </w:rPr>
        <w:t>〖符合性审查表〗</w:t>
      </w:r>
    </w:p>
    <w:tbl>
      <w:tblPr>
        <w:tblStyle w:val="33"/>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392"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1</w:t>
            </w:r>
          </w:p>
        </w:tc>
        <w:tc>
          <w:tcPr>
            <w:tcW w:w="2392" w:type="dxa"/>
            <w:tcBorders>
              <w:top w:val="single" w:color="auto" w:sz="2" w:space="0"/>
            </w:tcBorders>
            <w:vAlign w:val="center"/>
          </w:tcPr>
          <w:p>
            <w:pPr>
              <w:jc w:val="both"/>
              <w:rPr>
                <w:rFonts w:ascii="宋体" w:hAnsi="宋体" w:eastAsia="宋体" w:cs="宋体"/>
                <w:sz w:val="28"/>
                <w:szCs w:val="28"/>
              </w:rPr>
            </w:pPr>
            <w:r>
              <w:rPr>
                <w:rFonts w:hint="eastAsia" w:ascii="宋体" w:hAnsi="宋体" w:eastAsia="宋体" w:cs="宋体"/>
                <w:sz w:val="28"/>
                <w:szCs w:val="28"/>
              </w:rPr>
              <w:t>投标人名称是否与营业执照、资质证书一致</w:t>
            </w:r>
          </w:p>
        </w:tc>
        <w:tc>
          <w:tcPr>
            <w:tcW w:w="5498" w:type="dxa"/>
            <w:tcBorders>
              <w:top w:val="single" w:color="auto" w:sz="2" w:space="0"/>
            </w:tcBorders>
            <w:vAlign w:val="center"/>
          </w:tcPr>
          <w:p>
            <w:pPr>
              <w:jc w:val="both"/>
              <w:rPr>
                <w:rFonts w:ascii="宋体" w:hAnsi="宋体" w:eastAsia="宋体" w:cs="宋体"/>
                <w:sz w:val="28"/>
                <w:szCs w:val="28"/>
              </w:rPr>
            </w:pPr>
            <w:r>
              <w:rPr>
                <w:rFonts w:hint="eastAsia" w:ascii="宋体" w:hAnsi="宋体" w:eastAsia="宋体" w:cs="宋体"/>
                <w:sz w:val="28"/>
                <w:szCs w:val="28"/>
              </w:rPr>
              <w:t>投标人名称与营业执照、资质证书一致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2</w:t>
            </w:r>
          </w:p>
        </w:tc>
        <w:tc>
          <w:tcPr>
            <w:tcW w:w="2392" w:type="dxa"/>
            <w:tcBorders>
              <w:top w:val="single" w:color="auto" w:sz="2"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投标报价是否超过预算或最高限价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单价限价</w:t>
            </w:r>
            <w:r>
              <w:rPr>
                <w:rFonts w:hint="eastAsia" w:ascii="宋体" w:hAnsi="宋体" w:eastAsia="宋体" w:cs="宋体"/>
                <w:sz w:val="28"/>
                <w:szCs w:val="28"/>
                <w:lang w:eastAsia="zh-CN"/>
              </w:rPr>
              <w:t>）</w:t>
            </w:r>
          </w:p>
        </w:tc>
        <w:tc>
          <w:tcPr>
            <w:tcW w:w="5498" w:type="dxa"/>
            <w:tcBorders>
              <w:top w:val="single" w:color="auto" w:sz="2" w:space="0"/>
            </w:tcBorders>
            <w:vAlign w:val="center"/>
          </w:tcPr>
          <w:p>
            <w:pPr>
              <w:jc w:val="both"/>
              <w:rPr>
                <w:rFonts w:hint="eastAsia" w:ascii="宋体" w:hAnsi="宋体" w:eastAsia="宋体" w:cs="宋体"/>
                <w:sz w:val="28"/>
                <w:szCs w:val="28"/>
                <w:lang w:eastAsia="zh-CN"/>
              </w:rPr>
            </w:pPr>
            <w:r>
              <w:rPr>
                <w:rFonts w:hint="eastAsia" w:ascii="宋体" w:hAnsi="宋体" w:eastAsia="宋体" w:cs="宋体"/>
                <w:sz w:val="28"/>
                <w:szCs w:val="28"/>
              </w:rPr>
              <w:t>投标报价未超过预算或最高限价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单价限价</w:t>
            </w:r>
            <w:r>
              <w:rPr>
                <w:rFonts w:hint="eastAsia" w:ascii="宋体" w:hAnsi="宋体" w:eastAsia="宋体" w:cs="宋体"/>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3</w:t>
            </w:r>
          </w:p>
        </w:tc>
        <w:tc>
          <w:tcPr>
            <w:tcW w:w="2392" w:type="dxa"/>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lang w:val="en-US" w:eastAsia="zh-CN"/>
              </w:rPr>
              <w:t>交货期、质保期</w:t>
            </w:r>
            <w:r>
              <w:rPr>
                <w:rFonts w:hint="eastAsia" w:ascii="宋体" w:hAnsi="宋体" w:eastAsia="宋体" w:cs="宋体"/>
                <w:sz w:val="28"/>
                <w:szCs w:val="28"/>
              </w:rPr>
              <w:t>是否满足招标文件要求</w:t>
            </w:r>
          </w:p>
        </w:tc>
        <w:tc>
          <w:tcPr>
            <w:tcW w:w="5498" w:type="dxa"/>
            <w:vAlign w:val="center"/>
          </w:tcPr>
          <w:p>
            <w:pPr>
              <w:jc w:val="both"/>
              <w:rPr>
                <w:rFonts w:ascii="宋体" w:hAnsi="宋体" w:eastAsia="宋体" w:cs="宋体"/>
                <w:sz w:val="28"/>
                <w:szCs w:val="28"/>
              </w:rPr>
            </w:pPr>
            <w:r>
              <w:rPr>
                <w:rFonts w:hint="eastAsia" w:ascii="宋体" w:hAnsi="宋体" w:eastAsia="宋体" w:cs="宋体"/>
                <w:sz w:val="28"/>
                <w:szCs w:val="28"/>
                <w:lang w:val="en-US" w:eastAsia="zh-CN"/>
              </w:rPr>
              <w:t>交货期、质保期</w:t>
            </w:r>
            <w:r>
              <w:rPr>
                <w:rFonts w:hint="eastAsia" w:ascii="宋体" w:hAnsi="宋体" w:eastAsia="宋体" w:cs="宋体"/>
                <w:sz w:val="28"/>
                <w:szCs w:val="28"/>
              </w:rPr>
              <w:t>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4</w:t>
            </w:r>
          </w:p>
        </w:tc>
        <w:tc>
          <w:tcPr>
            <w:tcW w:w="2392" w:type="dxa"/>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签字盖章是否满足招标文件要求</w:t>
            </w:r>
          </w:p>
        </w:tc>
        <w:tc>
          <w:tcPr>
            <w:tcW w:w="5498" w:type="dxa"/>
            <w:vAlign w:val="center"/>
          </w:tcPr>
          <w:p>
            <w:pPr>
              <w:jc w:val="both"/>
              <w:rPr>
                <w:rFonts w:ascii="宋体" w:hAnsi="宋体" w:eastAsia="宋体" w:cs="宋体"/>
                <w:sz w:val="28"/>
                <w:szCs w:val="28"/>
              </w:rPr>
            </w:pPr>
            <w:r>
              <w:rPr>
                <w:rFonts w:hint="eastAsia" w:ascii="宋体" w:hAnsi="宋体" w:eastAsia="宋体" w:cs="宋体"/>
                <w:sz w:val="28"/>
                <w:szCs w:val="28"/>
              </w:rPr>
              <w:t>签字盖章均符合招标文件要求，且无遗漏。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5</w:t>
            </w:r>
          </w:p>
        </w:tc>
        <w:tc>
          <w:tcPr>
            <w:tcW w:w="2392" w:type="dxa"/>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投标文件有效期</w:t>
            </w:r>
          </w:p>
        </w:tc>
        <w:tc>
          <w:tcPr>
            <w:tcW w:w="5498" w:type="dxa"/>
            <w:vAlign w:val="center"/>
          </w:tcPr>
          <w:p>
            <w:pPr>
              <w:jc w:val="both"/>
              <w:rPr>
                <w:rFonts w:ascii="宋体" w:hAnsi="宋体" w:eastAsia="宋体" w:cs="宋体"/>
                <w:sz w:val="28"/>
                <w:szCs w:val="28"/>
              </w:rPr>
            </w:pPr>
            <w:r>
              <w:rPr>
                <w:rFonts w:hint="eastAsia" w:ascii="宋体" w:hAnsi="宋体" w:eastAsia="宋体" w:cs="宋体"/>
                <w:sz w:val="28"/>
                <w:szCs w:val="28"/>
              </w:rPr>
              <w:t>符合招标文件的要求</w:t>
            </w:r>
          </w:p>
        </w:tc>
      </w:tr>
    </w:tbl>
    <w:p>
      <w:pPr>
        <w:pStyle w:val="99"/>
        <w:ind w:firstLine="577"/>
        <w:rPr>
          <w:color w:val="auto"/>
          <w:sz w:val="28"/>
          <w:szCs w:val="28"/>
        </w:rPr>
      </w:pPr>
      <w:bookmarkStart w:id="66" w:name="_Toc11857"/>
      <w:r>
        <w:rPr>
          <w:rFonts w:hint="eastAsia"/>
          <w:color w:val="auto"/>
          <w:sz w:val="28"/>
          <w:szCs w:val="28"/>
        </w:rPr>
        <w:t>3．综合比较与评价</w:t>
      </w:r>
      <w:bookmarkEnd w:id="66"/>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评标委员会按《评审要素及分值一览表》中规定的评标方法和标准，对通过符合性审查的投标文件进行商务和技术评估，综合比较与评价。</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出现下列情形的，供应商投标无效：</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（1）投标文件报价出现本章第五小节“投标报价”所列需要修正情形，但供应商对修正后的报价不予确认的；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ascii="宋体" w:hAnsi="宋体" w:eastAsia="宋体" w:cs="宋体"/>
          <w:sz w:val="28"/>
          <w:szCs w:val="28"/>
        </w:rPr>
      </w:pPr>
      <w:r>
        <w:rPr>
          <w:rFonts w:hint="eastAsia" w:ascii="宋体" w:hAnsi="宋体" w:eastAsia="宋体" w:cs="宋体"/>
          <w:sz w:val="28"/>
          <w:szCs w:val="28"/>
        </w:rPr>
        <w:br w:type="page"/>
      </w:r>
    </w:p>
    <w:p>
      <w:pPr>
        <w:spacing w:line="560" w:lineRule="exact"/>
        <w:jc w:val="both"/>
        <w:rPr>
          <w:rFonts w:hint="eastAsia" w:ascii="宋体" w:hAnsi="宋体" w:eastAsia="宋体" w:cs="宋体"/>
          <w:sz w:val="28"/>
          <w:szCs w:val="28"/>
        </w:rPr>
      </w:pPr>
      <w:r>
        <w:rPr>
          <w:rFonts w:hint="eastAsia" w:ascii="宋体" w:hAnsi="宋体" w:eastAsia="宋体" w:cs="宋体"/>
          <w:sz w:val="28"/>
          <w:szCs w:val="28"/>
        </w:rPr>
        <w:t>〖评审要素及分值一览表〗</w:t>
      </w:r>
    </w:p>
    <w:p>
      <w:pPr>
        <w:pStyle w:val="11"/>
        <w:spacing w:line="360" w:lineRule="auto"/>
        <w:ind w:left="0" w:leftChars="0" w:firstLine="0" w:firstLineChars="0"/>
        <w:rPr>
          <w:rFonts w:hint="eastAsia" w:eastAsia="宋体"/>
          <w:b/>
          <w:bCs/>
          <w:lang w:eastAsia="zh-CN"/>
        </w:rPr>
      </w:pPr>
      <w:r>
        <w:rPr>
          <w:rFonts w:hint="eastAsia" w:ascii="宋体" w:hAnsi="宋体" w:eastAsia="宋体" w:cs="宋体"/>
          <w:b/>
          <w:bCs/>
          <w:sz w:val="28"/>
          <w:szCs w:val="28"/>
          <w:lang w:eastAsia="zh-CN"/>
        </w:rPr>
        <w:t>第一包：</w:t>
      </w:r>
    </w:p>
    <w:tbl>
      <w:tblPr>
        <w:tblStyle w:val="3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600"/>
        <w:gridCol w:w="1396"/>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1021" w:type="dxa"/>
            <w:noWrap w:val="0"/>
            <w:vAlign w:val="center"/>
          </w:tcPr>
          <w:p>
            <w:pPr>
              <w:spacing w:line="360" w:lineRule="auto"/>
              <w:jc w:val="left"/>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类别</w:t>
            </w:r>
          </w:p>
        </w:tc>
        <w:tc>
          <w:tcPr>
            <w:tcW w:w="8266" w:type="dxa"/>
            <w:gridSpan w:val="3"/>
            <w:noWrap w:val="0"/>
            <w:vAlign w:val="center"/>
          </w:tcPr>
          <w:p>
            <w:pPr>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评审要素</w:t>
            </w:r>
            <w:r>
              <w:rPr>
                <w:rFonts w:hint="eastAsia" w:ascii="宋体" w:hAnsi="宋体" w:eastAsia="宋体" w:cs="宋体"/>
                <w:bCs/>
                <w:color w:val="auto"/>
                <w:sz w:val="28"/>
                <w:szCs w:val="28"/>
                <w:lang w:val="en-US" w:eastAsia="zh-CN"/>
              </w:rPr>
              <w:t>及</w:t>
            </w:r>
            <w:r>
              <w:rPr>
                <w:rFonts w:hint="eastAsia" w:ascii="宋体" w:hAnsi="宋体" w:eastAsia="宋体" w:cs="宋体"/>
                <w:bCs/>
                <w:color w:val="auto"/>
                <w:sz w:val="28"/>
                <w:szCs w:val="28"/>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1021" w:type="dxa"/>
            <w:noWrap w:val="0"/>
            <w:vAlign w:val="center"/>
          </w:tcPr>
          <w:p>
            <w:pPr>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w:t>
            </w:r>
          </w:p>
          <w:p>
            <w:pPr>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价格</w:t>
            </w:r>
          </w:p>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(30分)</w:t>
            </w:r>
          </w:p>
        </w:tc>
        <w:tc>
          <w:tcPr>
            <w:tcW w:w="8266" w:type="dxa"/>
            <w:gridSpan w:val="3"/>
            <w:noWrap w:val="0"/>
            <w:vAlign w:val="center"/>
          </w:tcPr>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经初审合格的投标文件，</w:t>
            </w:r>
            <w:r>
              <w:rPr>
                <w:rFonts w:hint="eastAsia" w:ascii="宋体" w:hAnsi="宋体" w:eastAsia="宋体" w:cs="宋体"/>
                <w:bCs/>
                <w:color w:val="auto"/>
                <w:sz w:val="28"/>
                <w:szCs w:val="28"/>
                <w:lang w:eastAsia="zh-CN"/>
              </w:rPr>
              <w:t>通过符合性审查的</w:t>
            </w:r>
            <w:r>
              <w:rPr>
                <w:rFonts w:hint="eastAsia" w:ascii="宋体" w:hAnsi="宋体" w:eastAsia="宋体" w:cs="宋体"/>
                <w:bCs/>
                <w:color w:val="auto"/>
                <w:sz w:val="28"/>
                <w:szCs w:val="28"/>
              </w:rPr>
              <w:t>投标报价为有效投标价。对符合政策性扣减的有效投标报价进行政策性扣减，并依据扣减后的价格（评审价格）进行价格评审。</w:t>
            </w:r>
          </w:p>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2</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有效最低报价为基准价得30分。</w:t>
            </w:r>
          </w:p>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3</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按（有效最低报价/有效投标报价）×30的公式计算</w:t>
            </w:r>
            <w:r>
              <w:rPr>
                <w:rFonts w:hint="eastAsia" w:ascii="宋体" w:hAnsi="宋体" w:eastAsia="宋体" w:cs="宋体"/>
                <w:bCs/>
                <w:color w:val="auto"/>
                <w:sz w:val="28"/>
                <w:szCs w:val="28"/>
                <w:lang w:eastAsia="zh-CN"/>
              </w:rPr>
              <w:t>报价</w:t>
            </w:r>
            <w:r>
              <w:rPr>
                <w:rFonts w:hint="eastAsia" w:ascii="宋体" w:hAnsi="宋体" w:eastAsia="宋体" w:cs="宋体"/>
                <w:bCs/>
                <w:color w:val="auto"/>
                <w:sz w:val="28"/>
                <w:szCs w:val="28"/>
              </w:rPr>
              <w:t>得分。</w:t>
            </w:r>
          </w:p>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投标报价不完整的，不进入评标</w:t>
            </w:r>
            <w:r>
              <w:rPr>
                <w:rFonts w:hint="eastAsia" w:ascii="宋体" w:hAnsi="宋体" w:eastAsia="宋体" w:cs="宋体"/>
                <w:bCs/>
                <w:color w:val="auto"/>
                <w:sz w:val="28"/>
                <w:szCs w:val="28"/>
                <w:lang w:eastAsia="zh-CN"/>
              </w:rPr>
              <w:t>基</w:t>
            </w:r>
            <w:r>
              <w:rPr>
                <w:rFonts w:hint="eastAsia" w:ascii="宋体" w:hAnsi="宋体" w:eastAsia="宋体" w:cs="宋体"/>
                <w:bCs/>
                <w:color w:val="auto"/>
                <w:sz w:val="28"/>
                <w:szCs w:val="28"/>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021" w:type="dxa"/>
            <w:vMerge w:val="restart"/>
            <w:noWrap w:val="0"/>
            <w:vAlign w:val="center"/>
          </w:tcPr>
          <w:p>
            <w:pPr>
              <w:spacing w:line="560" w:lineRule="exact"/>
              <w:rPr>
                <w:rFonts w:hint="eastAsia" w:ascii="宋体" w:hAnsi="宋体" w:eastAsia="宋体" w:cs="宋体"/>
                <w:b/>
                <w:color w:val="FF0000"/>
                <w:sz w:val="28"/>
                <w:szCs w:val="28"/>
                <w:lang w:eastAsia="zh-CN"/>
              </w:rPr>
            </w:pPr>
            <w:r>
              <w:rPr>
                <w:rFonts w:hint="eastAsia" w:ascii="宋体" w:hAnsi="宋体" w:eastAsia="宋体" w:cs="宋体"/>
                <w:bCs/>
                <w:color w:val="auto"/>
                <w:sz w:val="28"/>
                <w:szCs w:val="28"/>
                <w:lang w:eastAsia="zh-CN"/>
              </w:rPr>
              <w:t>技术评审（</w:t>
            </w:r>
            <w:r>
              <w:rPr>
                <w:rFonts w:hint="eastAsia" w:ascii="宋体" w:hAnsi="宋体" w:eastAsia="宋体" w:cs="宋体"/>
                <w:bCs/>
                <w:color w:val="auto"/>
                <w:sz w:val="28"/>
                <w:szCs w:val="28"/>
                <w:lang w:val="en-US" w:eastAsia="zh-CN"/>
              </w:rPr>
              <w:t>60分</w:t>
            </w:r>
            <w:r>
              <w:rPr>
                <w:rFonts w:hint="eastAsia" w:ascii="宋体" w:hAnsi="宋体" w:eastAsia="宋体" w:cs="宋体"/>
                <w:bCs/>
                <w:color w:val="auto"/>
                <w:sz w:val="28"/>
                <w:szCs w:val="28"/>
                <w:lang w:eastAsia="zh-CN"/>
              </w:rPr>
              <w:t>）</w:t>
            </w: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①</w:t>
            </w:r>
          </w:p>
        </w:tc>
        <w:tc>
          <w:tcPr>
            <w:tcW w:w="1396" w:type="dxa"/>
            <w:noWrap w:val="0"/>
            <w:vAlign w:val="center"/>
          </w:tcPr>
          <w:p>
            <w:pPr>
              <w:spacing w:line="36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技术指标（10分）</w:t>
            </w:r>
          </w:p>
        </w:tc>
        <w:tc>
          <w:tcPr>
            <w:tcW w:w="6270" w:type="dxa"/>
            <w:noWrap w:val="0"/>
            <w:vAlign w:val="center"/>
          </w:tcPr>
          <w:p>
            <w:pPr>
              <w:spacing w:line="360" w:lineRule="auto"/>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根据供应商提供所投产品的主要技术指标（参数）的相应的证明材料（包括但不限于产品彩页、检验报告、官网和截图等产品支持性文件（资料），完全符合、响应招标文件要求得</w:t>
            </w:r>
            <w:r>
              <w:rPr>
                <w:rFonts w:hint="eastAsia" w:ascii="宋体" w:hAnsi="宋体" w:eastAsia="宋体" w:cs="宋体"/>
                <w:bCs/>
                <w:color w:val="auto"/>
                <w:sz w:val="28"/>
                <w:szCs w:val="28"/>
                <w:highlight w:val="none"/>
                <w:lang w:val="en-US" w:eastAsia="zh-CN"/>
              </w:rPr>
              <w:t>10</w:t>
            </w:r>
            <w:r>
              <w:rPr>
                <w:rFonts w:hint="eastAsia" w:ascii="宋体" w:hAnsi="宋体" w:eastAsia="宋体" w:cs="宋体"/>
                <w:bCs/>
                <w:color w:val="auto"/>
                <w:sz w:val="28"/>
                <w:szCs w:val="28"/>
                <w:highlight w:val="none"/>
              </w:rPr>
              <w:t>分；参数负偏离一项扣</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②</w:t>
            </w:r>
          </w:p>
        </w:tc>
        <w:tc>
          <w:tcPr>
            <w:tcW w:w="1396" w:type="dxa"/>
            <w:noWrap w:val="0"/>
            <w:vAlign w:val="center"/>
          </w:tcPr>
          <w:p>
            <w:pPr>
              <w:spacing w:line="360" w:lineRule="auto"/>
              <w:jc w:val="center"/>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rPr>
              <w:t>质量保证方案（7分）</w:t>
            </w:r>
          </w:p>
        </w:tc>
        <w:tc>
          <w:tcPr>
            <w:tcW w:w="6270" w:type="dxa"/>
            <w:noWrap w:val="0"/>
            <w:vAlign w:val="center"/>
          </w:tcPr>
          <w:p>
            <w:pPr>
              <w:spacing w:line="24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对投标人提供的质量保证方案（内容包括但不限于质量安全保证具体措施、采购环节控制、加工包装保存等环节）</w:t>
            </w:r>
            <w:r>
              <w:rPr>
                <w:rFonts w:hint="eastAsia" w:ascii="宋体" w:hAnsi="宋体" w:eastAsia="宋体" w:cs="宋体"/>
                <w:bCs/>
                <w:color w:val="auto"/>
                <w:sz w:val="28"/>
                <w:szCs w:val="28"/>
                <w:lang w:eastAsia="zh-CN"/>
              </w:rPr>
              <w:t>，生产企业有良好的经营管理制度和质量保证体系，按其响应程度</w:t>
            </w:r>
            <w:r>
              <w:rPr>
                <w:rFonts w:hint="eastAsia" w:ascii="宋体" w:hAnsi="宋体" w:eastAsia="宋体" w:cs="宋体"/>
                <w:bCs/>
                <w:color w:val="auto"/>
                <w:sz w:val="28"/>
                <w:szCs w:val="28"/>
              </w:rPr>
              <w:t>进行评审，</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sz w:val="28"/>
                <w:szCs w:val="28"/>
                <w:lang w:eastAsia="zh-CN"/>
              </w:rPr>
              <w:t>经营管理制度合理，质量保证体系完善</w:t>
            </w:r>
            <w:r>
              <w:rPr>
                <w:rFonts w:hint="eastAsia" w:ascii="宋体" w:hAnsi="宋体" w:eastAsia="宋体" w:cs="宋体"/>
                <w:bCs/>
                <w:color w:val="auto"/>
                <w:kern w:val="0"/>
                <w:sz w:val="28"/>
                <w:szCs w:val="28"/>
                <w:lang w:val="en-US" w:eastAsia="zh-CN" w:bidi="ar-SA"/>
              </w:rPr>
              <w:t>得5.1-7分；</w:t>
            </w:r>
          </w:p>
          <w:p>
            <w:pPr>
              <w:pStyle w:val="11"/>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sz w:val="28"/>
                <w:szCs w:val="28"/>
                <w:lang w:eastAsia="zh-CN"/>
              </w:rPr>
              <w:t>经营管理制度合理性一般，质量保证体系较完善</w:t>
            </w:r>
            <w:r>
              <w:rPr>
                <w:rFonts w:hint="eastAsia" w:ascii="宋体" w:hAnsi="宋体" w:eastAsia="宋体" w:cs="宋体"/>
                <w:bCs/>
                <w:color w:val="auto"/>
                <w:kern w:val="0"/>
                <w:sz w:val="28"/>
                <w:szCs w:val="28"/>
                <w:lang w:val="en-US" w:eastAsia="zh-CN" w:bidi="ar-SA"/>
              </w:rPr>
              <w:t>得3.1-5分；</w:t>
            </w:r>
          </w:p>
          <w:p>
            <w:pPr>
              <w:pStyle w:val="32"/>
              <w:spacing w:line="240" w:lineRule="auto"/>
              <w:ind w:left="0" w:leftChars="0"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经营管理制度合理性较差，质量保证体系较不完善</w:t>
            </w:r>
            <w:r>
              <w:rPr>
                <w:rFonts w:hint="eastAsia" w:ascii="宋体" w:hAnsi="宋体" w:eastAsia="宋体" w:cs="宋体"/>
                <w:bCs/>
                <w:color w:val="auto"/>
                <w:kern w:val="0"/>
                <w:sz w:val="28"/>
                <w:szCs w:val="28"/>
                <w:lang w:val="en-US" w:eastAsia="zh-CN" w:bidi="ar-SA"/>
              </w:rPr>
              <w:t>得0-3分</w:t>
            </w:r>
          </w:p>
          <w:p>
            <w:pPr>
              <w:spacing w:line="240" w:lineRule="auto"/>
              <w:jc w:val="left"/>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rPr>
              <w:t>提供必要的证明材料复印件或扫描件（如销售协议、代理商授权、检测报告等）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③</w:t>
            </w:r>
          </w:p>
        </w:tc>
        <w:tc>
          <w:tcPr>
            <w:tcW w:w="1396" w:type="dxa"/>
            <w:noWrap w:val="0"/>
            <w:vAlign w:val="center"/>
          </w:tcPr>
          <w:p>
            <w:pPr>
              <w:pStyle w:val="16"/>
              <w:jc w:val="center"/>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配送服务方案（7分）</w:t>
            </w:r>
          </w:p>
        </w:tc>
        <w:tc>
          <w:tcPr>
            <w:tcW w:w="6270" w:type="dxa"/>
            <w:noWrap w:val="0"/>
            <w:vAlign w:val="center"/>
          </w:tcPr>
          <w:p>
            <w:pPr>
              <w:spacing w:line="36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按投标人针对本项目的配送服务方案，方案合理、详细、周到，具有科学性、可操作、实用性等，有食品配送服务应急方案，保证食品的正常食用。</w:t>
            </w:r>
          </w:p>
          <w:p>
            <w:pPr>
              <w:spacing w:line="36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方案详细合理得5.1-7分；</w:t>
            </w:r>
          </w:p>
          <w:p>
            <w:pPr>
              <w:pStyle w:val="11"/>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方案较详细，合理性一般得3.1-5分；</w:t>
            </w:r>
          </w:p>
          <w:p>
            <w:pPr>
              <w:pStyle w:val="32"/>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方案不详细，合理性较差得0-3分</w:t>
            </w:r>
          </w:p>
          <w:p>
            <w:pPr>
              <w:pStyle w:val="32"/>
              <w:ind w:left="0" w:leftChars="0" w:firstLine="0" w:firstLineChars="0"/>
              <w:rPr>
                <w:rFonts w:hint="default"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④</w:t>
            </w:r>
          </w:p>
        </w:tc>
        <w:tc>
          <w:tcPr>
            <w:tcW w:w="1396" w:type="dxa"/>
            <w:noWrap w:val="0"/>
            <w:vAlign w:val="center"/>
          </w:tcPr>
          <w:p>
            <w:pPr>
              <w:pStyle w:val="16"/>
              <w:jc w:val="both"/>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卫生管理制度（7分）</w:t>
            </w:r>
          </w:p>
        </w:tc>
        <w:tc>
          <w:tcPr>
            <w:tcW w:w="6270" w:type="dxa"/>
            <w:noWrap w:val="0"/>
            <w:vAlign w:val="center"/>
          </w:tcPr>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根据投标人提供的生产厂家的卫生管理制度，生产过程卫生质量的保证措施，</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卫生管理制度内容完整、合理、可行、保障措施完善得5.1-7分；</w:t>
            </w:r>
          </w:p>
          <w:p>
            <w:pPr>
              <w:pStyle w:val="11"/>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卫生管理制度内容较完整，可行性一般，保障措施较完善得3.1-5分；</w:t>
            </w:r>
          </w:p>
          <w:p>
            <w:pPr>
              <w:pStyle w:val="32"/>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卫生管理制度内容不完整，可行性较差，保障措施不完善得0-3分</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rPr>
              <w:t>⑤</w:t>
            </w:r>
          </w:p>
        </w:tc>
        <w:tc>
          <w:tcPr>
            <w:tcW w:w="1396" w:type="dxa"/>
            <w:noWrap w:val="0"/>
            <w:vAlign w:val="center"/>
          </w:tcPr>
          <w:p>
            <w:pPr>
              <w:spacing w:line="36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样品</w:t>
            </w:r>
          </w:p>
          <w:p>
            <w:pPr>
              <w:spacing w:line="360" w:lineRule="auto"/>
              <w:jc w:val="center"/>
              <w:rPr>
                <w:rFonts w:hint="eastAsia" w:ascii="宋体" w:hAnsi="宋体" w:eastAsia="宋体" w:cs="宋体"/>
                <w:bCs/>
                <w:color w:val="auto"/>
                <w:sz w:val="28"/>
                <w:szCs w:val="28"/>
                <w:highlight w:val="none"/>
                <w:lang w:val="en-US" w:eastAsia="zh-CN" w:bidi="ar-SA"/>
              </w:rPr>
            </w:pPr>
            <w:r>
              <w:rPr>
                <w:rFonts w:hint="eastAsia" w:ascii="宋体" w:hAnsi="宋体" w:eastAsia="宋体" w:cs="宋体"/>
                <w:bCs/>
                <w:color w:val="auto"/>
                <w:sz w:val="28"/>
                <w:szCs w:val="28"/>
                <w:highlight w:val="none"/>
                <w:lang w:val="en-US" w:eastAsia="zh-CN"/>
              </w:rPr>
              <w:t>（10分）</w:t>
            </w:r>
          </w:p>
        </w:tc>
        <w:tc>
          <w:tcPr>
            <w:tcW w:w="6270" w:type="dxa"/>
            <w:noWrap w:val="0"/>
            <w:vAlign w:val="center"/>
          </w:tcPr>
          <w:p>
            <w:pPr>
              <w:spacing w:line="240" w:lineRule="auto"/>
              <w:jc w:val="left"/>
              <w:rPr>
                <w:rFonts w:hint="eastAsia" w:ascii="宋体" w:hAnsi="宋体" w:eastAsia="宋体" w:cs="宋体"/>
                <w:bCs/>
                <w:color w:val="auto"/>
                <w:sz w:val="28"/>
                <w:szCs w:val="28"/>
                <w:highlight w:val="none"/>
                <w:lang w:val="en-US" w:eastAsia="zh-CN" w:bidi="ar-SA"/>
              </w:rPr>
            </w:pPr>
            <w:r>
              <w:rPr>
                <w:rFonts w:hint="eastAsia" w:ascii="宋体" w:hAnsi="宋体" w:eastAsia="宋体" w:cs="宋体"/>
                <w:bCs/>
                <w:color w:val="auto"/>
                <w:sz w:val="28"/>
                <w:szCs w:val="28"/>
                <w:highlight w:val="none"/>
                <w:lang w:val="en-US" w:eastAsia="zh-CN" w:bidi="ar-SA"/>
              </w:rPr>
              <w:t>根据供应商提供样品品牌、种类、样品的外观（包装，产品品相）、气味、口感、保质期、批次检验资料进行横向比较，每份样品按0-5分计分，</w:t>
            </w:r>
          </w:p>
          <w:p>
            <w:pPr>
              <w:spacing w:line="240" w:lineRule="auto"/>
              <w:jc w:val="left"/>
              <w:rPr>
                <w:rFonts w:hint="eastAsia" w:ascii="宋体" w:hAnsi="宋体" w:eastAsia="宋体" w:cs="宋体"/>
                <w:bCs/>
                <w:color w:val="auto"/>
                <w:sz w:val="28"/>
                <w:szCs w:val="28"/>
                <w:highlight w:val="none"/>
                <w:lang w:val="en-US" w:eastAsia="zh-CN" w:bidi="ar-SA"/>
              </w:rPr>
            </w:pPr>
            <w:r>
              <w:rPr>
                <w:rFonts w:hint="eastAsia" w:ascii="宋体" w:hAnsi="宋体" w:eastAsia="宋体" w:cs="宋体"/>
                <w:bCs/>
                <w:color w:val="auto"/>
                <w:sz w:val="28"/>
                <w:szCs w:val="28"/>
                <w:highlight w:val="none"/>
                <w:lang w:val="en-US" w:eastAsia="zh-CN" w:bidi="ar-SA"/>
              </w:rPr>
              <w:t>投标人须提供以下样品：每个品目产品提供一份样品，每个产品的样品带独立包装，共计10分，分别为：运动饮料、纯牛奶。</w:t>
            </w:r>
          </w:p>
          <w:p>
            <w:pPr>
              <w:spacing w:line="240" w:lineRule="auto"/>
              <w:jc w:val="left"/>
              <w:rPr>
                <w:rFonts w:hint="default" w:ascii="宋体" w:hAnsi="宋体" w:eastAsia="宋体" w:cs="宋体"/>
                <w:bCs/>
                <w:color w:val="auto"/>
                <w:sz w:val="28"/>
                <w:szCs w:val="28"/>
                <w:highlight w:val="none"/>
                <w:lang w:val="en-US" w:eastAsia="zh-CN" w:bidi="ar-SA"/>
              </w:rPr>
            </w:pPr>
            <w:r>
              <w:rPr>
                <w:rFonts w:hint="eastAsia" w:ascii="宋体" w:hAnsi="宋体" w:eastAsia="宋体" w:cs="宋体"/>
                <w:bCs/>
                <w:color w:val="auto"/>
                <w:sz w:val="28"/>
                <w:szCs w:val="28"/>
                <w:highlight w:val="none"/>
                <w:lang w:val="en-US" w:eastAsia="zh-CN" w:bidi="ar-SA"/>
              </w:rPr>
              <w:t>未提供不得分。</w:t>
            </w:r>
          </w:p>
          <w:p>
            <w:pPr>
              <w:spacing w:line="360" w:lineRule="exact"/>
              <w:ind w:left="60"/>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注：</w:t>
            </w:r>
          </w:p>
          <w:p>
            <w:pPr>
              <w:spacing w:line="360" w:lineRule="exact"/>
              <w:ind w:left="60"/>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000000"/>
                <w:sz w:val="28"/>
                <w:szCs w:val="28"/>
                <w:highlight w:val="none"/>
                <w:lang w:val="en-US" w:eastAsia="zh-CN"/>
              </w:rPr>
              <w:t>1）样品递交地点：西安市公共资源交易中心一楼指定地点（密封递交）。</w:t>
            </w:r>
          </w:p>
          <w:p>
            <w:pPr>
              <w:spacing w:line="360" w:lineRule="exact"/>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（2）样品递交时间：同投标文件递交截止时间一致，逾期递交的不予接收。</w:t>
            </w:r>
          </w:p>
          <w:p>
            <w:pPr>
              <w:spacing w:line="240" w:lineRule="auto"/>
              <w:jc w:val="left"/>
              <w:rPr>
                <w:rFonts w:hint="eastAsia" w:ascii="宋体" w:hAnsi="宋体" w:eastAsia="宋体" w:cs="宋体"/>
                <w:bCs/>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3）因样品需打开后进行质量等鉴定，供应商须免费提供样品，无偿供评标专家品尝，鉴别商品质量；已启封样品不退。中标（成交）供应商样品作为验收依据转采购人接收，未中标（未成交）供应商样品采购结果公示后五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⑥</w:t>
            </w:r>
          </w:p>
        </w:tc>
        <w:tc>
          <w:tcPr>
            <w:tcW w:w="1396" w:type="dxa"/>
            <w:noWrap w:val="0"/>
            <w:vAlign w:val="center"/>
          </w:tcPr>
          <w:p>
            <w:pPr>
              <w:pStyle w:val="16"/>
              <w:jc w:val="center"/>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人员配置（7分）</w:t>
            </w:r>
          </w:p>
        </w:tc>
        <w:tc>
          <w:tcPr>
            <w:tcW w:w="6270" w:type="dxa"/>
            <w:noWrap w:val="0"/>
            <w:vAlign w:val="center"/>
          </w:tcPr>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针对本项目的生产、管理、质检、配送实施组建架构齐全，岗位管理制度明确，不少于10人的专职服务团队，所有人员需具备有效的健康证、身份证及劳务合同。</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架构齐全，岗位管理制度明确得5.1-7分；</w:t>
            </w:r>
          </w:p>
          <w:p>
            <w:pPr>
              <w:pStyle w:val="11"/>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架构较齐全，岗位管理制度较明确得3.1-5分；</w:t>
            </w:r>
          </w:p>
          <w:p>
            <w:pPr>
              <w:pStyle w:val="32"/>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架构不齐全，岗位管理制度不明确得0-3分</w:t>
            </w:r>
          </w:p>
          <w:p>
            <w:pPr>
              <w:spacing w:line="240" w:lineRule="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⑦</w:t>
            </w:r>
          </w:p>
        </w:tc>
        <w:tc>
          <w:tcPr>
            <w:tcW w:w="1396" w:type="dxa"/>
            <w:noWrap w:val="0"/>
            <w:vAlign w:val="center"/>
          </w:tcPr>
          <w:p>
            <w:pPr>
              <w:pStyle w:val="16"/>
              <w:jc w:val="center"/>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应急方案（7分）</w:t>
            </w:r>
          </w:p>
        </w:tc>
        <w:tc>
          <w:tcPr>
            <w:tcW w:w="6270" w:type="dxa"/>
            <w:noWrap w:val="0"/>
            <w:vAlign w:val="center"/>
          </w:tcPr>
          <w:p>
            <w:pPr>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提供应急保障措施，对于各类突发事件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如供货时间紧张、货物品目不全</w:t>
            </w:r>
            <w:r>
              <w:rPr>
                <w:rFonts w:hint="eastAsia" w:ascii="宋体" w:hAnsi="宋体" w:eastAsia="宋体" w:cs="宋体"/>
                <w:color w:val="auto"/>
                <w:sz w:val="28"/>
                <w:szCs w:val="28"/>
                <w:lang w:eastAsia="zh-CN"/>
              </w:rPr>
              <w:t>等方面）</w:t>
            </w:r>
            <w:r>
              <w:rPr>
                <w:rFonts w:hint="eastAsia" w:ascii="宋体" w:hAnsi="宋体" w:eastAsia="宋体" w:cs="宋体"/>
                <w:color w:val="auto"/>
                <w:sz w:val="28"/>
                <w:szCs w:val="28"/>
              </w:rPr>
              <w:t>制定具有可操作性的处理应急预案，</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方案详细合理得5.1-7分；</w:t>
            </w:r>
          </w:p>
          <w:p>
            <w:pPr>
              <w:pStyle w:val="11"/>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方案较详细，合理性一般得3.1-5分；</w:t>
            </w:r>
          </w:p>
          <w:p>
            <w:pPr>
              <w:pStyle w:val="32"/>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方案不详细，合理性较差得0-3分</w:t>
            </w:r>
          </w:p>
          <w:p>
            <w:pPr>
              <w:spacing w:line="240" w:lineRule="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⑧</w:t>
            </w:r>
          </w:p>
        </w:tc>
        <w:tc>
          <w:tcPr>
            <w:tcW w:w="1396" w:type="dxa"/>
            <w:noWrap w:val="0"/>
            <w:vAlign w:val="center"/>
          </w:tcPr>
          <w:p>
            <w:pPr>
              <w:pStyle w:val="16"/>
              <w:jc w:val="center"/>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储存店面及仓库</w:t>
            </w:r>
          </w:p>
          <w:p>
            <w:pPr>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（5分）</w:t>
            </w:r>
          </w:p>
        </w:tc>
        <w:tc>
          <w:tcPr>
            <w:tcW w:w="6270" w:type="dxa"/>
            <w:noWrap w:val="0"/>
            <w:vAlign w:val="center"/>
          </w:tcPr>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供应商须具有可靠的产品储藏和储存场所，空间能够保证空气良好的流通性、适宜的储藏温度等进行评审</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储存空间空气流通性好得4.1-5分；</w:t>
            </w:r>
          </w:p>
          <w:p>
            <w:pPr>
              <w:pStyle w:val="11"/>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储存空间空气流通性较好得2.1-4分；</w:t>
            </w:r>
          </w:p>
          <w:p>
            <w:pPr>
              <w:pStyle w:val="32"/>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储存空间空气流通性较差得0-2分</w:t>
            </w:r>
          </w:p>
          <w:p>
            <w:pPr>
              <w:spacing w:line="240" w:lineRule="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p>
            <w:pPr>
              <w:spacing w:line="240" w:lineRule="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提供相关证明文件（包括但不限于租赁合同或购房合同、储存店面及仓库照片、设备购置发票等）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restart"/>
            <w:noWrap w:val="0"/>
            <w:vAlign w:val="center"/>
          </w:tcPr>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履约能</w:t>
            </w:r>
          </w:p>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力及服</w:t>
            </w:r>
          </w:p>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务承诺</w:t>
            </w:r>
          </w:p>
          <w:p>
            <w:pPr>
              <w:spacing w:line="360" w:lineRule="auto"/>
              <w:jc w:val="lef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(10分)</w:t>
            </w: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①</w:t>
            </w:r>
          </w:p>
        </w:tc>
        <w:tc>
          <w:tcPr>
            <w:tcW w:w="1396" w:type="dxa"/>
            <w:noWrap w:val="0"/>
            <w:vAlign w:val="center"/>
          </w:tcPr>
          <w:p>
            <w:pPr>
              <w:spacing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业绩</w:t>
            </w:r>
          </w:p>
          <w:p>
            <w:pPr>
              <w:spacing w:line="360" w:lineRule="auto"/>
              <w:jc w:val="center"/>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rPr>
              <w:t>（5分）</w:t>
            </w:r>
          </w:p>
        </w:tc>
        <w:tc>
          <w:tcPr>
            <w:tcW w:w="6270" w:type="dxa"/>
            <w:noWrap w:val="0"/>
            <w:vAlign w:val="center"/>
          </w:tcPr>
          <w:p>
            <w:pPr>
              <w:spacing w:line="360" w:lineRule="auto"/>
              <w:jc w:val="left"/>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提供投标人2021年1月1日至今所投类似供货业绩合同（以合同签订时间为准），一个业绩计1分，最高5分。</w:t>
            </w:r>
          </w:p>
          <w:p>
            <w:pPr>
              <w:spacing w:line="360" w:lineRule="auto"/>
              <w:jc w:val="left"/>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评审依据：投标文件中须提供业绩合同证明材料复印件加盖公章，含合同关键页（即合同首页、合同标的物、合同金额页及双方签字盖章页），以合同签订时间为准。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21" w:type="dxa"/>
            <w:vMerge w:val="continue"/>
            <w:noWrap w:val="0"/>
            <w:vAlign w:val="center"/>
          </w:tcPr>
          <w:p>
            <w:pPr>
              <w:spacing w:line="360" w:lineRule="auto"/>
              <w:jc w:val="left"/>
              <w:rPr>
                <w:rFonts w:hint="eastAsia" w:ascii="宋体" w:hAnsi="宋体" w:eastAsia="宋体" w:cs="宋体"/>
                <w:bCs/>
                <w:color w:val="auto"/>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②</w:t>
            </w:r>
          </w:p>
        </w:tc>
        <w:tc>
          <w:tcPr>
            <w:tcW w:w="1396" w:type="dxa"/>
            <w:noWrap w:val="0"/>
            <w:vAlign w:val="center"/>
          </w:tcPr>
          <w:p>
            <w:pPr>
              <w:pStyle w:val="16"/>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售后服务承诺（5分）</w:t>
            </w:r>
          </w:p>
        </w:tc>
        <w:tc>
          <w:tcPr>
            <w:tcW w:w="6270" w:type="dxa"/>
            <w:noWrap w:val="0"/>
            <w:vAlign w:val="center"/>
          </w:tcPr>
          <w:p>
            <w:pPr>
              <w:spacing w:line="360" w:lineRule="auto"/>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针对本项目有完整的售后服务方案，明确了售后服务人员，有相应的物力、人力保障，能够保证售后服务正常运转，补救等方面的措施或方案。</w:t>
            </w:r>
          </w:p>
          <w:p>
            <w:pPr>
              <w:spacing w:line="36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方案详细合理得4.1-5分；</w:t>
            </w:r>
          </w:p>
          <w:p>
            <w:pPr>
              <w:pStyle w:val="11"/>
              <w:spacing w:line="36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方案较详细，合理性一般得2.1-4分；</w:t>
            </w:r>
          </w:p>
          <w:p>
            <w:pPr>
              <w:pStyle w:val="32"/>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方案不详细，合理性较差得0-2分</w:t>
            </w:r>
          </w:p>
          <w:p>
            <w:pPr>
              <w:spacing w:line="240" w:lineRule="auto"/>
              <w:jc w:val="left"/>
              <w:rPr>
                <w:rFonts w:hint="eastAsia" w:ascii="宋体" w:hAnsi="宋体" w:eastAsia="宋体" w:cs="宋体"/>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928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备注：</w:t>
            </w:r>
            <w:r>
              <w:rPr>
                <w:rFonts w:hint="eastAsia" w:ascii="宋体" w:hAnsi="宋体" w:eastAsia="宋体" w:cs="宋体"/>
                <w:color w:val="auto"/>
                <w:sz w:val="28"/>
                <w:szCs w:val="28"/>
              </w:rPr>
              <w:t>1、各评委应按照本评标方法独立打分。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3、若出现综合得分并列时，比较</w:t>
            </w:r>
            <w:r>
              <w:rPr>
                <w:rFonts w:hint="eastAsia" w:ascii="宋体" w:hAnsi="宋体" w:eastAsia="宋体" w:cs="宋体"/>
                <w:color w:val="auto"/>
                <w:sz w:val="28"/>
                <w:szCs w:val="28"/>
                <w:lang w:eastAsia="zh-CN"/>
              </w:rPr>
              <w:t>投标价格</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价格低的</w:t>
            </w:r>
            <w:r>
              <w:rPr>
                <w:rFonts w:hint="eastAsia" w:ascii="宋体" w:hAnsi="宋体" w:eastAsia="宋体" w:cs="宋体"/>
                <w:color w:val="auto"/>
                <w:sz w:val="28"/>
                <w:szCs w:val="28"/>
              </w:rPr>
              <w:t>排序在前；若价格得分仍相同，比较技术得分，此分项得分高者排序在前；若技术得分仍相同，则由全体评标委员会成员无记名投票，得票高者排序在前。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4、</w:t>
            </w:r>
            <w:r>
              <w:rPr>
                <w:rFonts w:hint="eastAsia" w:ascii="宋体" w:hAnsi="宋体" w:eastAsia="宋体" w:cs="宋体"/>
                <w:color w:val="auto"/>
                <w:sz w:val="28"/>
                <w:szCs w:val="28"/>
                <w:lang w:eastAsia="zh-CN"/>
              </w:rPr>
              <w:t>计算结果</w:t>
            </w:r>
            <w:r>
              <w:rPr>
                <w:rFonts w:hint="eastAsia" w:ascii="宋体" w:hAnsi="宋体" w:eastAsia="宋体" w:cs="宋体"/>
                <w:color w:val="auto"/>
                <w:sz w:val="28"/>
                <w:szCs w:val="28"/>
              </w:rPr>
              <w:t>保留两位小数，第三位“四舍五入”。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FF0000"/>
                <w:sz w:val="28"/>
                <w:szCs w:val="28"/>
              </w:rPr>
            </w:pPr>
            <w:r>
              <w:rPr>
                <w:rFonts w:hint="eastAsia" w:ascii="宋体" w:hAnsi="宋体" w:eastAsia="宋体" w:cs="宋体"/>
                <w:color w:val="auto"/>
                <w:sz w:val="28"/>
                <w:szCs w:val="28"/>
              </w:rPr>
              <w:t xml:space="preserve">5、评标过程中，若出现特殊情况时，由评标委员会决定暂停评标，并提出具体处理意见。  </w:t>
            </w:r>
          </w:p>
        </w:tc>
      </w:tr>
    </w:tbl>
    <w:p>
      <w:pPr>
        <w:pStyle w:val="31"/>
      </w:pPr>
    </w:p>
    <w:p>
      <w:pPr>
        <w:pStyle w:val="99"/>
        <w:ind w:firstLine="577"/>
        <w:rPr>
          <w:rFonts w:hint="eastAsia"/>
          <w:color w:val="auto"/>
          <w:sz w:val="28"/>
          <w:szCs w:val="28"/>
        </w:rPr>
      </w:pPr>
      <w:bookmarkStart w:id="67" w:name="_Toc10025"/>
    </w:p>
    <w:p>
      <w:pPr>
        <w:pStyle w:val="99"/>
        <w:ind w:firstLine="577"/>
        <w:rPr>
          <w:rFonts w:hint="eastAsia"/>
          <w:color w:val="auto"/>
          <w:sz w:val="28"/>
          <w:szCs w:val="28"/>
        </w:rPr>
      </w:pPr>
    </w:p>
    <w:p>
      <w:pPr>
        <w:rPr>
          <w:rFonts w:hint="eastAsia"/>
          <w:color w:val="auto"/>
          <w:sz w:val="28"/>
          <w:szCs w:val="28"/>
        </w:rPr>
      </w:pPr>
    </w:p>
    <w:p>
      <w:pPr>
        <w:bidi w:val="0"/>
        <w:spacing w:line="360" w:lineRule="auto"/>
        <w:jc w:val="left"/>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第二包：</w:t>
      </w:r>
    </w:p>
    <w:tbl>
      <w:tblPr>
        <w:tblStyle w:val="3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600"/>
        <w:gridCol w:w="1396"/>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1021" w:type="dxa"/>
            <w:noWrap w:val="0"/>
            <w:vAlign w:val="center"/>
          </w:tcPr>
          <w:p>
            <w:pPr>
              <w:spacing w:line="360" w:lineRule="auto"/>
              <w:jc w:val="left"/>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类别</w:t>
            </w:r>
          </w:p>
        </w:tc>
        <w:tc>
          <w:tcPr>
            <w:tcW w:w="8266" w:type="dxa"/>
            <w:gridSpan w:val="3"/>
            <w:noWrap w:val="0"/>
            <w:vAlign w:val="center"/>
          </w:tcPr>
          <w:p>
            <w:pPr>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评审要素</w:t>
            </w:r>
            <w:r>
              <w:rPr>
                <w:rFonts w:hint="eastAsia" w:ascii="宋体" w:hAnsi="宋体" w:eastAsia="宋体" w:cs="宋体"/>
                <w:bCs/>
                <w:color w:val="auto"/>
                <w:sz w:val="28"/>
                <w:szCs w:val="28"/>
                <w:lang w:val="en-US" w:eastAsia="zh-CN"/>
              </w:rPr>
              <w:t>及</w:t>
            </w:r>
            <w:r>
              <w:rPr>
                <w:rFonts w:hint="eastAsia" w:ascii="宋体" w:hAnsi="宋体" w:eastAsia="宋体" w:cs="宋体"/>
                <w:bCs/>
                <w:color w:val="auto"/>
                <w:sz w:val="28"/>
                <w:szCs w:val="28"/>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1021" w:type="dxa"/>
            <w:noWrap w:val="0"/>
            <w:vAlign w:val="center"/>
          </w:tcPr>
          <w:p>
            <w:pPr>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投标</w:t>
            </w:r>
          </w:p>
          <w:p>
            <w:pPr>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价格</w:t>
            </w:r>
          </w:p>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(30分)</w:t>
            </w:r>
          </w:p>
        </w:tc>
        <w:tc>
          <w:tcPr>
            <w:tcW w:w="8266" w:type="dxa"/>
            <w:gridSpan w:val="3"/>
            <w:noWrap w:val="0"/>
            <w:vAlign w:val="center"/>
          </w:tcPr>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经初审合格的投标文件，</w:t>
            </w:r>
            <w:r>
              <w:rPr>
                <w:rFonts w:hint="eastAsia" w:ascii="宋体" w:hAnsi="宋体" w:eastAsia="宋体" w:cs="宋体"/>
                <w:bCs/>
                <w:color w:val="auto"/>
                <w:sz w:val="28"/>
                <w:szCs w:val="28"/>
                <w:lang w:eastAsia="zh-CN"/>
              </w:rPr>
              <w:t>通过符合性审查的</w:t>
            </w:r>
            <w:r>
              <w:rPr>
                <w:rFonts w:hint="eastAsia" w:ascii="宋体" w:hAnsi="宋体" w:eastAsia="宋体" w:cs="宋体"/>
                <w:bCs/>
                <w:color w:val="auto"/>
                <w:sz w:val="28"/>
                <w:szCs w:val="28"/>
              </w:rPr>
              <w:t>投标报价为有效投标价。对符合政策性扣减的有效投标报价进行政策性扣减，并依据扣减后的价格（评审价格）进行价格评审。</w:t>
            </w:r>
          </w:p>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2</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有效最低报价为基准价得30分。</w:t>
            </w:r>
          </w:p>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3</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按（有效最低报价/有效投标报价）×30的公式计算</w:t>
            </w:r>
            <w:r>
              <w:rPr>
                <w:rFonts w:hint="eastAsia" w:ascii="宋体" w:hAnsi="宋体" w:eastAsia="宋体" w:cs="宋体"/>
                <w:bCs/>
                <w:color w:val="auto"/>
                <w:sz w:val="28"/>
                <w:szCs w:val="28"/>
                <w:lang w:eastAsia="zh-CN"/>
              </w:rPr>
              <w:t>报价</w:t>
            </w:r>
            <w:r>
              <w:rPr>
                <w:rFonts w:hint="eastAsia" w:ascii="宋体" w:hAnsi="宋体" w:eastAsia="宋体" w:cs="宋体"/>
                <w:bCs/>
                <w:color w:val="auto"/>
                <w:sz w:val="28"/>
                <w:szCs w:val="28"/>
              </w:rPr>
              <w:t>得分。</w:t>
            </w:r>
          </w:p>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4</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投标报价不完整的，不进入评标</w:t>
            </w:r>
            <w:r>
              <w:rPr>
                <w:rFonts w:hint="eastAsia" w:ascii="宋体" w:hAnsi="宋体" w:eastAsia="宋体" w:cs="宋体"/>
                <w:bCs/>
                <w:color w:val="auto"/>
                <w:sz w:val="28"/>
                <w:szCs w:val="28"/>
                <w:lang w:eastAsia="zh-CN"/>
              </w:rPr>
              <w:t>基</w:t>
            </w:r>
            <w:r>
              <w:rPr>
                <w:rFonts w:hint="eastAsia" w:ascii="宋体" w:hAnsi="宋体" w:eastAsia="宋体" w:cs="宋体"/>
                <w:bCs/>
                <w:color w:val="auto"/>
                <w:sz w:val="28"/>
                <w:szCs w:val="28"/>
              </w:rPr>
              <w:t>准价的计算，本项得0分。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021" w:type="dxa"/>
            <w:vMerge w:val="restart"/>
            <w:noWrap w:val="0"/>
            <w:vAlign w:val="center"/>
          </w:tcPr>
          <w:p>
            <w:pPr>
              <w:spacing w:line="560" w:lineRule="exact"/>
              <w:rPr>
                <w:rFonts w:hint="eastAsia" w:ascii="宋体" w:hAnsi="宋体" w:eastAsia="宋体" w:cs="宋体"/>
                <w:b/>
                <w:color w:val="FF0000"/>
                <w:sz w:val="28"/>
                <w:szCs w:val="28"/>
                <w:lang w:eastAsia="zh-CN"/>
              </w:rPr>
            </w:pPr>
            <w:r>
              <w:rPr>
                <w:rFonts w:hint="eastAsia" w:ascii="宋体" w:hAnsi="宋体" w:eastAsia="宋体" w:cs="宋体"/>
                <w:bCs/>
                <w:color w:val="auto"/>
                <w:sz w:val="28"/>
                <w:szCs w:val="28"/>
                <w:lang w:eastAsia="zh-CN"/>
              </w:rPr>
              <w:t>技术评审（</w:t>
            </w:r>
            <w:r>
              <w:rPr>
                <w:rFonts w:hint="eastAsia" w:ascii="宋体" w:hAnsi="宋体" w:eastAsia="宋体" w:cs="宋体"/>
                <w:bCs/>
                <w:color w:val="auto"/>
                <w:sz w:val="28"/>
                <w:szCs w:val="28"/>
                <w:lang w:val="en-US" w:eastAsia="zh-CN"/>
              </w:rPr>
              <w:t>60分</w:t>
            </w:r>
            <w:r>
              <w:rPr>
                <w:rFonts w:hint="eastAsia" w:ascii="宋体" w:hAnsi="宋体" w:eastAsia="宋体" w:cs="宋体"/>
                <w:bCs/>
                <w:color w:val="auto"/>
                <w:sz w:val="28"/>
                <w:szCs w:val="28"/>
                <w:lang w:eastAsia="zh-CN"/>
              </w:rPr>
              <w:t>）</w:t>
            </w: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①</w:t>
            </w:r>
          </w:p>
        </w:tc>
        <w:tc>
          <w:tcPr>
            <w:tcW w:w="1396" w:type="dxa"/>
            <w:noWrap w:val="0"/>
            <w:vAlign w:val="center"/>
          </w:tcPr>
          <w:p>
            <w:pPr>
              <w:spacing w:line="36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技术指标（15分）</w:t>
            </w:r>
          </w:p>
        </w:tc>
        <w:tc>
          <w:tcPr>
            <w:tcW w:w="6270" w:type="dxa"/>
            <w:noWrap w:val="0"/>
            <w:vAlign w:val="center"/>
          </w:tcPr>
          <w:p>
            <w:pPr>
              <w:spacing w:line="360" w:lineRule="auto"/>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根据供应商提供所投产品的主要技术指标（参数）的相应的证明材料（包括但不限于产品彩页、检验报告、官网和截图等产品支持性文件（资料），完全符合、响应招标文件要求得</w:t>
            </w:r>
            <w:r>
              <w:rPr>
                <w:rFonts w:hint="eastAsia" w:ascii="宋体" w:hAnsi="宋体" w:eastAsia="宋体" w:cs="宋体"/>
                <w:bCs/>
                <w:color w:val="auto"/>
                <w:sz w:val="28"/>
                <w:szCs w:val="28"/>
                <w:highlight w:val="none"/>
                <w:lang w:val="en-US" w:eastAsia="zh-CN"/>
              </w:rPr>
              <w:t>15</w:t>
            </w:r>
            <w:r>
              <w:rPr>
                <w:rFonts w:hint="eastAsia" w:ascii="宋体" w:hAnsi="宋体" w:eastAsia="宋体" w:cs="宋体"/>
                <w:bCs/>
                <w:color w:val="auto"/>
                <w:sz w:val="28"/>
                <w:szCs w:val="28"/>
                <w:highlight w:val="none"/>
              </w:rPr>
              <w:t>分；参数负偏离一项扣</w:t>
            </w: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②</w:t>
            </w:r>
          </w:p>
        </w:tc>
        <w:tc>
          <w:tcPr>
            <w:tcW w:w="1396" w:type="dxa"/>
            <w:noWrap w:val="0"/>
            <w:vAlign w:val="center"/>
          </w:tcPr>
          <w:p>
            <w:pPr>
              <w:spacing w:line="360" w:lineRule="auto"/>
              <w:jc w:val="center"/>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rPr>
              <w:t>质量保证方案（6分）</w:t>
            </w:r>
          </w:p>
        </w:tc>
        <w:tc>
          <w:tcPr>
            <w:tcW w:w="6270" w:type="dxa"/>
            <w:noWrap w:val="0"/>
            <w:vAlign w:val="center"/>
          </w:tcPr>
          <w:p>
            <w:pPr>
              <w:spacing w:line="24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对投标人提供的质量保证方案（内容包括但不限于质量安全保证具体措施、采购环节控制、加工包装保存等环节）</w:t>
            </w:r>
            <w:r>
              <w:rPr>
                <w:rFonts w:hint="eastAsia" w:ascii="宋体" w:hAnsi="宋体" w:eastAsia="宋体" w:cs="宋体"/>
                <w:bCs/>
                <w:color w:val="auto"/>
                <w:sz w:val="28"/>
                <w:szCs w:val="28"/>
                <w:lang w:eastAsia="zh-CN"/>
              </w:rPr>
              <w:t>，生产企业有良好的经营管理制度和质量保证体系，按其响应程度</w:t>
            </w:r>
            <w:r>
              <w:rPr>
                <w:rFonts w:hint="eastAsia" w:ascii="宋体" w:hAnsi="宋体" w:eastAsia="宋体" w:cs="宋体"/>
                <w:bCs/>
                <w:color w:val="auto"/>
                <w:sz w:val="28"/>
                <w:szCs w:val="28"/>
              </w:rPr>
              <w:t>进行评审，</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sz w:val="28"/>
                <w:szCs w:val="28"/>
                <w:lang w:eastAsia="zh-CN"/>
              </w:rPr>
              <w:t>经营管理制度合理，质量保证体系完善</w:t>
            </w:r>
            <w:r>
              <w:rPr>
                <w:rFonts w:hint="eastAsia" w:ascii="宋体" w:hAnsi="宋体" w:eastAsia="宋体" w:cs="宋体"/>
                <w:bCs/>
                <w:color w:val="auto"/>
                <w:kern w:val="0"/>
                <w:sz w:val="28"/>
                <w:szCs w:val="28"/>
                <w:lang w:val="en-US" w:eastAsia="zh-CN" w:bidi="ar-SA"/>
              </w:rPr>
              <w:t>得4.1-6分；</w:t>
            </w:r>
          </w:p>
          <w:p>
            <w:pPr>
              <w:pStyle w:val="11"/>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sz w:val="28"/>
                <w:szCs w:val="28"/>
                <w:lang w:eastAsia="zh-CN"/>
              </w:rPr>
              <w:t>经营管理制度合理性一般，质量保证体系较完善</w:t>
            </w:r>
            <w:r>
              <w:rPr>
                <w:rFonts w:hint="eastAsia" w:ascii="宋体" w:hAnsi="宋体" w:eastAsia="宋体" w:cs="宋体"/>
                <w:bCs/>
                <w:color w:val="auto"/>
                <w:kern w:val="0"/>
                <w:sz w:val="28"/>
                <w:szCs w:val="28"/>
                <w:lang w:val="en-US" w:eastAsia="zh-CN" w:bidi="ar-SA"/>
              </w:rPr>
              <w:t>得2.1-4分；</w:t>
            </w:r>
          </w:p>
          <w:p>
            <w:pPr>
              <w:pStyle w:val="32"/>
              <w:spacing w:line="240" w:lineRule="auto"/>
              <w:ind w:left="0" w:leftChars="0" w:firstLine="0" w:firstLineChars="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经营管理制度合理性较差，质量保证体系较不完善</w:t>
            </w:r>
            <w:r>
              <w:rPr>
                <w:rFonts w:hint="eastAsia" w:ascii="宋体" w:hAnsi="宋体" w:eastAsia="宋体" w:cs="宋体"/>
                <w:bCs/>
                <w:color w:val="auto"/>
                <w:kern w:val="0"/>
                <w:sz w:val="28"/>
                <w:szCs w:val="28"/>
                <w:lang w:val="en-US" w:eastAsia="zh-CN" w:bidi="ar-SA"/>
              </w:rPr>
              <w:t>得0-2分</w:t>
            </w:r>
          </w:p>
          <w:p>
            <w:pPr>
              <w:spacing w:line="240" w:lineRule="auto"/>
              <w:jc w:val="left"/>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rPr>
              <w:t>提供必要的证明材料复印件或扫描件（如销售协议、代理商授权、检测报告等）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③</w:t>
            </w:r>
          </w:p>
        </w:tc>
        <w:tc>
          <w:tcPr>
            <w:tcW w:w="1396" w:type="dxa"/>
            <w:noWrap w:val="0"/>
            <w:vAlign w:val="center"/>
          </w:tcPr>
          <w:p>
            <w:pPr>
              <w:pStyle w:val="16"/>
              <w:jc w:val="center"/>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配送服务方案（5分）</w:t>
            </w:r>
          </w:p>
        </w:tc>
        <w:tc>
          <w:tcPr>
            <w:tcW w:w="6270" w:type="dxa"/>
            <w:noWrap w:val="0"/>
            <w:vAlign w:val="center"/>
          </w:tcPr>
          <w:p>
            <w:pPr>
              <w:spacing w:line="36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按投标人针对本项目的配送服务方案，方案合理、详细、周到，具有科学性、可操作、实用性等，有食品配送服务应急方案，保证食品的正常食用。</w:t>
            </w:r>
          </w:p>
          <w:p>
            <w:pPr>
              <w:spacing w:line="36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方案详细合理得4.1-5分；</w:t>
            </w:r>
          </w:p>
          <w:p>
            <w:pPr>
              <w:pStyle w:val="11"/>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方案较详细，合理性一般得2.1-4分；</w:t>
            </w:r>
          </w:p>
          <w:p>
            <w:pPr>
              <w:pStyle w:val="32"/>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方案不详细，合理性较差得0-2分</w:t>
            </w:r>
          </w:p>
          <w:p>
            <w:pPr>
              <w:pStyle w:val="32"/>
              <w:ind w:left="0" w:leftChars="0" w:firstLine="0" w:firstLineChars="0"/>
              <w:rPr>
                <w:rFonts w:hint="default"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④</w:t>
            </w:r>
          </w:p>
        </w:tc>
        <w:tc>
          <w:tcPr>
            <w:tcW w:w="1396" w:type="dxa"/>
            <w:noWrap w:val="0"/>
            <w:vAlign w:val="center"/>
          </w:tcPr>
          <w:p>
            <w:pPr>
              <w:pStyle w:val="16"/>
              <w:jc w:val="both"/>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卫生管理制度（5分）</w:t>
            </w:r>
          </w:p>
        </w:tc>
        <w:tc>
          <w:tcPr>
            <w:tcW w:w="6270" w:type="dxa"/>
            <w:noWrap w:val="0"/>
            <w:vAlign w:val="center"/>
          </w:tcPr>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根据投标人提供的生产厂家的卫生管理制度，生产过程卫生质量的保证措施，</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卫生管理制度内容完整、合理、可行、保障措施完善得4.1-5分；</w:t>
            </w:r>
          </w:p>
          <w:p>
            <w:pPr>
              <w:pStyle w:val="11"/>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卫生管理制度内容较完整，可行性一般，保障措施较完善得2.1-4分；</w:t>
            </w:r>
          </w:p>
          <w:p>
            <w:pPr>
              <w:pStyle w:val="32"/>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卫生管理制度内容不完整，可行性较差，保障措施不完善得0-2分</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rPr>
              <w:t>⑤</w:t>
            </w:r>
          </w:p>
        </w:tc>
        <w:tc>
          <w:tcPr>
            <w:tcW w:w="1396" w:type="dxa"/>
            <w:noWrap w:val="0"/>
            <w:vAlign w:val="center"/>
          </w:tcPr>
          <w:p>
            <w:pPr>
              <w:spacing w:line="36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样品</w:t>
            </w:r>
          </w:p>
          <w:p>
            <w:pPr>
              <w:spacing w:line="360" w:lineRule="auto"/>
              <w:jc w:val="center"/>
              <w:rPr>
                <w:rFonts w:hint="eastAsia" w:ascii="宋体" w:hAnsi="宋体" w:eastAsia="宋体" w:cs="宋体"/>
                <w:bCs/>
                <w:color w:val="auto"/>
                <w:sz w:val="28"/>
                <w:szCs w:val="28"/>
                <w:highlight w:val="none"/>
                <w:lang w:val="en-US" w:eastAsia="zh-CN" w:bidi="ar-SA"/>
              </w:rPr>
            </w:pPr>
            <w:r>
              <w:rPr>
                <w:rFonts w:hint="eastAsia" w:ascii="宋体" w:hAnsi="宋体" w:eastAsia="宋体" w:cs="宋体"/>
                <w:bCs/>
                <w:color w:val="auto"/>
                <w:sz w:val="28"/>
                <w:szCs w:val="28"/>
                <w:highlight w:val="none"/>
                <w:lang w:val="en-US" w:eastAsia="zh-CN"/>
              </w:rPr>
              <w:t>（14分）</w:t>
            </w:r>
          </w:p>
        </w:tc>
        <w:tc>
          <w:tcPr>
            <w:tcW w:w="6270" w:type="dxa"/>
            <w:noWrap w:val="0"/>
            <w:vAlign w:val="center"/>
          </w:tcPr>
          <w:p>
            <w:pPr>
              <w:spacing w:line="240" w:lineRule="auto"/>
              <w:jc w:val="left"/>
              <w:rPr>
                <w:rFonts w:hint="eastAsia" w:ascii="宋体" w:hAnsi="宋体" w:eastAsia="宋体" w:cs="宋体"/>
                <w:bCs/>
                <w:color w:val="auto"/>
                <w:sz w:val="28"/>
                <w:szCs w:val="28"/>
                <w:highlight w:val="none"/>
                <w:lang w:val="en-US" w:eastAsia="zh-CN" w:bidi="ar-SA"/>
              </w:rPr>
            </w:pPr>
            <w:r>
              <w:rPr>
                <w:rFonts w:hint="eastAsia" w:ascii="宋体" w:hAnsi="宋体" w:eastAsia="宋体" w:cs="宋体"/>
                <w:bCs/>
                <w:color w:val="auto"/>
                <w:sz w:val="28"/>
                <w:szCs w:val="28"/>
                <w:highlight w:val="none"/>
                <w:lang w:val="en-US" w:eastAsia="zh-CN" w:bidi="ar-SA"/>
              </w:rPr>
              <w:t>根据供应商提供样品品牌、种类、样品的外观（包装，产品品相）、气味、口感、保质期、批次检验资料进行横向比较，每份样品按0-2分计分，投标人须提供以下样品：每个品目产品提供一份样品，每个产品的样品带独立包装，共计14分，分别为：饼干、巧克力、食用油、什锦糖、桂圆莲子八宝粥、方糖、手撕面包。</w:t>
            </w:r>
          </w:p>
          <w:p>
            <w:pPr>
              <w:spacing w:line="240" w:lineRule="auto"/>
              <w:jc w:val="left"/>
              <w:rPr>
                <w:rFonts w:hint="eastAsia" w:ascii="宋体" w:hAnsi="宋体" w:eastAsia="宋体" w:cs="宋体"/>
                <w:bCs/>
                <w:color w:val="auto"/>
                <w:sz w:val="28"/>
                <w:szCs w:val="28"/>
                <w:highlight w:val="none"/>
                <w:lang w:val="en-US" w:eastAsia="zh-CN" w:bidi="ar-SA"/>
              </w:rPr>
            </w:pPr>
            <w:r>
              <w:rPr>
                <w:rFonts w:hint="eastAsia" w:ascii="宋体" w:hAnsi="宋体" w:eastAsia="宋体" w:cs="宋体"/>
                <w:bCs/>
                <w:color w:val="auto"/>
                <w:sz w:val="28"/>
                <w:szCs w:val="28"/>
                <w:highlight w:val="none"/>
                <w:lang w:val="en-US" w:eastAsia="zh-CN" w:bidi="ar-SA"/>
              </w:rPr>
              <w:t>未提供不得分。</w:t>
            </w:r>
          </w:p>
          <w:p>
            <w:pPr>
              <w:spacing w:line="360" w:lineRule="exact"/>
              <w:ind w:left="60"/>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注：</w:t>
            </w:r>
          </w:p>
          <w:p>
            <w:pPr>
              <w:spacing w:line="360" w:lineRule="exact"/>
              <w:ind w:left="60"/>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000000"/>
                <w:sz w:val="28"/>
                <w:szCs w:val="28"/>
                <w:highlight w:val="none"/>
                <w:lang w:val="en-US" w:eastAsia="zh-CN"/>
              </w:rPr>
              <w:t>1）样品递交地点：西安市公共资源交易中心一楼指定地点（密封递交）。</w:t>
            </w:r>
          </w:p>
          <w:p>
            <w:pPr>
              <w:spacing w:line="360" w:lineRule="exact"/>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（2）样品递交时间：同投标文件递交截止时间一致，逾期递交的不予接收。</w:t>
            </w:r>
          </w:p>
          <w:p>
            <w:pPr>
              <w:spacing w:line="240" w:lineRule="auto"/>
              <w:jc w:val="left"/>
              <w:rPr>
                <w:rFonts w:hint="eastAsia" w:ascii="宋体" w:hAnsi="宋体" w:eastAsia="宋体" w:cs="宋体"/>
                <w:bCs/>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3）因样品需打开后进行质量等鉴定，供应商须免费提供样品，无偿供评标专家品尝，鉴别商品质量；已启封样品不退。中标（成交）供应商样品作为验收依据转采购人接收，未中标（未成交）供应商样品采购结果公示后五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⑥</w:t>
            </w:r>
          </w:p>
        </w:tc>
        <w:tc>
          <w:tcPr>
            <w:tcW w:w="1396" w:type="dxa"/>
            <w:noWrap w:val="0"/>
            <w:vAlign w:val="center"/>
          </w:tcPr>
          <w:p>
            <w:pPr>
              <w:pStyle w:val="16"/>
              <w:jc w:val="center"/>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人员配置（5分）</w:t>
            </w:r>
          </w:p>
        </w:tc>
        <w:tc>
          <w:tcPr>
            <w:tcW w:w="6270" w:type="dxa"/>
            <w:noWrap w:val="0"/>
            <w:vAlign w:val="center"/>
          </w:tcPr>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针对本项目的生产、管理、质检、配送实施组建架构齐全，岗位管理制度明确，不少于10人的专职服务团队，所有人员需具备有效的健康证、身份证及劳务合同。</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架构齐全，岗位管理制度明确得4.1-5分；</w:t>
            </w:r>
          </w:p>
          <w:p>
            <w:pPr>
              <w:pStyle w:val="11"/>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架构较齐全，岗位管理制度较明确得2.1-4分；</w:t>
            </w:r>
          </w:p>
          <w:p>
            <w:pPr>
              <w:pStyle w:val="32"/>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架构不齐全，岗位管理制度不明确得0-2分</w:t>
            </w:r>
          </w:p>
          <w:p>
            <w:pPr>
              <w:spacing w:line="240" w:lineRule="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⑦</w:t>
            </w:r>
          </w:p>
        </w:tc>
        <w:tc>
          <w:tcPr>
            <w:tcW w:w="1396" w:type="dxa"/>
            <w:noWrap w:val="0"/>
            <w:vAlign w:val="center"/>
          </w:tcPr>
          <w:p>
            <w:pPr>
              <w:pStyle w:val="16"/>
              <w:jc w:val="center"/>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应急方案（5分）</w:t>
            </w:r>
          </w:p>
        </w:tc>
        <w:tc>
          <w:tcPr>
            <w:tcW w:w="6270" w:type="dxa"/>
            <w:noWrap w:val="0"/>
            <w:vAlign w:val="center"/>
          </w:tcPr>
          <w:p>
            <w:pPr>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提供应急保障措施，对于各类突发事件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如供货时间紧张、货物品目不全</w:t>
            </w:r>
            <w:r>
              <w:rPr>
                <w:rFonts w:hint="eastAsia" w:ascii="宋体" w:hAnsi="宋体" w:eastAsia="宋体" w:cs="宋体"/>
                <w:color w:val="auto"/>
                <w:sz w:val="28"/>
                <w:szCs w:val="28"/>
                <w:lang w:eastAsia="zh-CN"/>
              </w:rPr>
              <w:t>等方面）</w:t>
            </w:r>
            <w:r>
              <w:rPr>
                <w:rFonts w:hint="eastAsia" w:ascii="宋体" w:hAnsi="宋体" w:eastAsia="宋体" w:cs="宋体"/>
                <w:color w:val="auto"/>
                <w:sz w:val="28"/>
                <w:szCs w:val="28"/>
              </w:rPr>
              <w:t>制定具有可操作性的处理应急预案，</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方案详细合理得4.1-5分；</w:t>
            </w:r>
          </w:p>
          <w:p>
            <w:pPr>
              <w:pStyle w:val="11"/>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方案较详细，合理性一般得2.1-4分；</w:t>
            </w:r>
          </w:p>
          <w:p>
            <w:pPr>
              <w:pStyle w:val="32"/>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方案不详细，合理性较差得0-2分</w:t>
            </w:r>
          </w:p>
          <w:p>
            <w:pPr>
              <w:spacing w:line="240" w:lineRule="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1" w:type="dxa"/>
            <w:vMerge w:val="continue"/>
            <w:noWrap w:val="0"/>
            <w:vAlign w:val="center"/>
          </w:tcPr>
          <w:p>
            <w:pPr>
              <w:spacing w:line="560" w:lineRule="exact"/>
              <w:rPr>
                <w:rFonts w:hint="eastAsia" w:ascii="宋体" w:hAnsi="宋体" w:eastAsia="宋体" w:cs="宋体"/>
                <w:b/>
                <w:color w:val="FF0000"/>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⑧</w:t>
            </w:r>
          </w:p>
        </w:tc>
        <w:tc>
          <w:tcPr>
            <w:tcW w:w="1396" w:type="dxa"/>
            <w:noWrap w:val="0"/>
            <w:vAlign w:val="center"/>
          </w:tcPr>
          <w:p>
            <w:pPr>
              <w:pStyle w:val="16"/>
              <w:jc w:val="center"/>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储存店面及仓库</w:t>
            </w:r>
          </w:p>
          <w:p>
            <w:pPr>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（5分）</w:t>
            </w:r>
          </w:p>
        </w:tc>
        <w:tc>
          <w:tcPr>
            <w:tcW w:w="6270" w:type="dxa"/>
            <w:noWrap w:val="0"/>
            <w:vAlign w:val="center"/>
          </w:tcPr>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供应商须具有可靠的产品储藏和储存场所，空间能够保证空气良好的流通性、适宜的储藏温度等进行评审</w:t>
            </w:r>
          </w:p>
          <w:p>
            <w:pPr>
              <w:spacing w:line="24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储存空间空气流通性好得4.1-5分；</w:t>
            </w:r>
          </w:p>
          <w:p>
            <w:pPr>
              <w:pStyle w:val="11"/>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储存空间空气流通性较好得2.1-4分；</w:t>
            </w:r>
          </w:p>
          <w:p>
            <w:pPr>
              <w:pStyle w:val="32"/>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储存空间空气流通性较差得0-2分</w:t>
            </w:r>
          </w:p>
          <w:p>
            <w:pPr>
              <w:spacing w:line="240" w:lineRule="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p>
            <w:pPr>
              <w:spacing w:line="240" w:lineRule="auto"/>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提供相关证明文件（包括但不限于租赁合同或购房合同、储存店面及仓库照片、设备购置发票等）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restart"/>
            <w:noWrap w:val="0"/>
            <w:vAlign w:val="center"/>
          </w:tcPr>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履约能</w:t>
            </w:r>
          </w:p>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力及服</w:t>
            </w:r>
          </w:p>
          <w:p>
            <w:pPr>
              <w:spacing w:line="360" w:lineRule="auto"/>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务承诺</w:t>
            </w:r>
          </w:p>
          <w:p>
            <w:pPr>
              <w:spacing w:line="360" w:lineRule="auto"/>
              <w:jc w:val="lef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(10分)</w:t>
            </w: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①</w:t>
            </w:r>
          </w:p>
        </w:tc>
        <w:tc>
          <w:tcPr>
            <w:tcW w:w="1396" w:type="dxa"/>
            <w:noWrap w:val="0"/>
            <w:vAlign w:val="center"/>
          </w:tcPr>
          <w:p>
            <w:pPr>
              <w:spacing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业绩</w:t>
            </w:r>
          </w:p>
          <w:p>
            <w:pPr>
              <w:spacing w:line="360" w:lineRule="auto"/>
              <w:jc w:val="center"/>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rPr>
              <w:t>（5分）</w:t>
            </w:r>
          </w:p>
        </w:tc>
        <w:tc>
          <w:tcPr>
            <w:tcW w:w="6270" w:type="dxa"/>
            <w:noWrap w:val="0"/>
            <w:vAlign w:val="center"/>
          </w:tcPr>
          <w:p>
            <w:pPr>
              <w:spacing w:line="360" w:lineRule="auto"/>
              <w:jc w:val="left"/>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提供投标人2021年1月1日至今所投类似供货业绩合同（以合同签订时间为准），一个业绩计1分，最高5分。</w:t>
            </w:r>
          </w:p>
          <w:p>
            <w:pPr>
              <w:spacing w:line="360" w:lineRule="auto"/>
              <w:jc w:val="left"/>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 xml:space="preserve">评审依据：投标文件中须提供业绩合同证明材料复印件加盖公章，含合同关键页（即合同首页、合同标的物、合同金额页及双方签字盖章页），以合同签订时间为准。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21" w:type="dxa"/>
            <w:vMerge w:val="continue"/>
            <w:noWrap w:val="0"/>
            <w:vAlign w:val="center"/>
          </w:tcPr>
          <w:p>
            <w:pPr>
              <w:spacing w:line="360" w:lineRule="auto"/>
              <w:jc w:val="left"/>
              <w:rPr>
                <w:rFonts w:hint="eastAsia" w:ascii="宋体" w:hAnsi="宋体" w:eastAsia="宋体" w:cs="宋体"/>
                <w:bCs/>
                <w:color w:val="auto"/>
                <w:sz w:val="28"/>
                <w:szCs w:val="28"/>
              </w:rPr>
            </w:pPr>
          </w:p>
        </w:tc>
        <w:tc>
          <w:tcPr>
            <w:tcW w:w="600" w:type="dxa"/>
            <w:noWrap w:val="0"/>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②</w:t>
            </w:r>
          </w:p>
        </w:tc>
        <w:tc>
          <w:tcPr>
            <w:tcW w:w="1396" w:type="dxa"/>
            <w:noWrap w:val="0"/>
            <w:vAlign w:val="center"/>
          </w:tcPr>
          <w:p>
            <w:pPr>
              <w:pStyle w:val="16"/>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售后服务承诺（5分）</w:t>
            </w:r>
          </w:p>
        </w:tc>
        <w:tc>
          <w:tcPr>
            <w:tcW w:w="6270" w:type="dxa"/>
            <w:noWrap w:val="0"/>
            <w:vAlign w:val="center"/>
          </w:tcPr>
          <w:p>
            <w:pPr>
              <w:spacing w:line="360" w:lineRule="auto"/>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针对本项目有完整的售后服务方案，制订了</w:t>
            </w:r>
            <w:r>
              <w:rPr>
                <w:rFonts w:hint="eastAsia" w:ascii="宋体" w:hAnsi="宋体" w:eastAsia="宋体" w:cs="宋体"/>
                <w:color w:val="auto"/>
                <w:kern w:val="0"/>
                <w:sz w:val="28"/>
                <w:szCs w:val="28"/>
                <w:highlight w:val="none"/>
                <w:lang w:val="en-US" w:eastAsia="zh-CN" w:bidi="ar-SA"/>
              </w:rPr>
              <w:t>本地化</w:t>
            </w:r>
            <w:r>
              <w:rPr>
                <w:rFonts w:hint="eastAsia" w:ascii="宋体" w:hAnsi="宋体" w:eastAsia="宋体" w:cs="宋体"/>
                <w:color w:val="auto"/>
                <w:kern w:val="0"/>
                <w:sz w:val="28"/>
                <w:szCs w:val="28"/>
                <w:lang w:val="en-US" w:eastAsia="zh-CN" w:bidi="ar-SA"/>
              </w:rPr>
              <w:t>服务的承诺，明确了售后服务人员，有相应的物力、人力保障，能够保证售后服务正常运转，补救等方面的措施或方案。</w:t>
            </w:r>
          </w:p>
          <w:p>
            <w:pPr>
              <w:spacing w:line="360" w:lineRule="auto"/>
              <w:jc w:val="left"/>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方案详细合理得4.1-5分；</w:t>
            </w:r>
          </w:p>
          <w:p>
            <w:pPr>
              <w:pStyle w:val="11"/>
              <w:spacing w:line="36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方案较详细，合理性一般得2.1-4分；</w:t>
            </w:r>
          </w:p>
          <w:p>
            <w:pPr>
              <w:pStyle w:val="32"/>
              <w:spacing w:line="240" w:lineRule="auto"/>
              <w:ind w:left="0" w:leftChars="0" w:firstLine="0" w:firstLineChars="0"/>
              <w:rPr>
                <w:rFonts w:hint="eastAsia" w:ascii="宋体" w:hAnsi="宋体" w:eastAsia="宋体" w:cs="宋体"/>
                <w:bCs/>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方案不详细，合理性较差得0-2分</w:t>
            </w:r>
          </w:p>
          <w:p>
            <w:pPr>
              <w:spacing w:line="240" w:lineRule="auto"/>
              <w:jc w:val="left"/>
              <w:rPr>
                <w:rFonts w:hint="eastAsia" w:ascii="宋体" w:hAnsi="宋体" w:eastAsia="宋体" w:cs="宋体"/>
                <w:color w:val="auto"/>
                <w:kern w:val="0"/>
                <w:sz w:val="28"/>
                <w:szCs w:val="28"/>
                <w:lang w:val="en-US" w:eastAsia="zh-CN" w:bidi="ar-SA"/>
              </w:rPr>
            </w:pPr>
            <w:r>
              <w:rPr>
                <w:rFonts w:hint="eastAsia" w:ascii="宋体" w:hAnsi="宋体" w:eastAsia="宋体" w:cs="宋体"/>
                <w:bCs/>
                <w:color w:val="auto"/>
                <w:kern w:val="0"/>
                <w:sz w:val="28"/>
                <w:szCs w:val="28"/>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928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备注：</w:t>
            </w:r>
            <w:r>
              <w:rPr>
                <w:rFonts w:hint="eastAsia" w:ascii="宋体" w:hAnsi="宋体" w:eastAsia="宋体" w:cs="宋体"/>
                <w:color w:val="auto"/>
                <w:sz w:val="28"/>
                <w:szCs w:val="28"/>
              </w:rPr>
              <w:t>1、各评委应按照本评标方法独立打分。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2、分项评分超出评分标准范围或评标委员会成员对客观评审因素评分不一致时，采购代理机构可以要求评标委员会复核或者书面说明理由，评标委员会拒绝的，应予记录并向本级财政部门报告。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3、若出现综合得分并列时，比较</w:t>
            </w:r>
            <w:r>
              <w:rPr>
                <w:rFonts w:hint="eastAsia" w:ascii="宋体" w:hAnsi="宋体" w:eastAsia="宋体" w:cs="宋体"/>
                <w:color w:val="auto"/>
                <w:sz w:val="28"/>
                <w:szCs w:val="28"/>
                <w:lang w:eastAsia="zh-CN"/>
              </w:rPr>
              <w:t>投标价格</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价格低的</w:t>
            </w:r>
            <w:r>
              <w:rPr>
                <w:rFonts w:hint="eastAsia" w:ascii="宋体" w:hAnsi="宋体" w:eastAsia="宋体" w:cs="宋体"/>
                <w:color w:val="auto"/>
                <w:sz w:val="28"/>
                <w:szCs w:val="28"/>
              </w:rPr>
              <w:t>排序在前；若价格得分仍相同，比较技术得分，此分项得分高者排序在前；若技术得分仍相同，则由全体评标委员会成员无记名投票，得票高者排序在前。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4、</w:t>
            </w:r>
            <w:r>
              <w:rPr>
                <w:rFonts w:hint="eastAsia" w:ascii="宋体" w:hAnsi="宋体" w:eastAsia="宋体" w:cs="宋体"/>
                <w:color w:val="auto"/>
                <w:sz w:val="28"/>
                <w:szCs w:val="28"/>
                <w:lang w:eastAsia="zh-CN"/>
              </w:rPr>
              <w:t>计算结果</w:t>
            </w:r>
            <w:r>
              <w:rPr>
                <w:rFonts w:hint="eastAsia" w:ascii="宋体" w:hAnsi="宋体" w:eastAsia="宋体" w:cs="宋体"/>
                <w:color w:val="auto"/>
                <w:sz w:val="28"/>
                <w:szCs w:val="28"/>
              </w:rPr>
              <w:t>保留两位小数，第三位“四舍五入”。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FF0000"/>
                <w:sz w:val="28"/>
                <w:szCs w:val="28"/>
              </w:rPr>
            </w:pPr>
            <w:r>
              <w:rPr>
                <w:rFonts w:hint="eastAsia" w:ascii="宋体" w:hAnsi="宋体" w:eastAsia="宋体" w:cs="宋体"/>
                <w:color w:val="auto"/>
                <w:sz w:val="28"/>
                <w:szCs w:val="28"/>
              </w:rPr>
              <w:t xml:space="preserve">5、评标过程中，若出现特殊情况时，由评标委员会决定暂停评标，并提出具体处理意见。  </w:t>
            </w:r>
          </w:p>
        </w:tc>
      </w:tr>
    </w:tbl>
    <w:p>
      <w:pPr>
        <w:rPr>
          <w:rFonts w:hint="eastAsia"/>
          <w:color w:val="auto"/>
          <w:sz w:val="28"/>
          <w:szCs w:val="28"/>
        </w:rPr>
      </w:pPr>
      <w:r>
        <w:rPr>
          <w:rFonts w:hint="eastAsia"/>
          <w:color w:val="auto"/>
          <w:sz w:val="28"/>
          <w:szCs w:val="28"/>
        </w:rPr>
        <w:br w:type="page"/>
      </w:r>
    </w:p>
    <w:p>
      <w:pPr>
        <w:pStyle w:val="99"/>
        <w:ind w:firstLine="577"/>
        <w:rPr>
          <w:color w:val="auto"/>
          <w:sz w:val="28"/>
          <w:szCs w:val="28"/>
        </w:rPr>
      </w:pPr>
      <w:r>
        <w:rPr>
          <w:rFonts w:hint="eastAsia"/>
          <w:color w:val="auto"/>
          <w:sz w:val="28"/>
          <w:szCs w:val="28"/>
        </w:rPr>
        <w:t>4．推荐中标候选人</w:t>
      </w:r>
      <w:bookmarkEnd w:id="67"/>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99"/>
        <w:ind w:firstLine="577"/>
        <w:rPr>
          <w:color w:val="auto"/>
          <w:sz w:val="28"/>
          <w:szCs w:val="28"/>
        </w:rPr>
      </w:pPr>
      <w:bookmarkStart w:id="68" w:name="_Toc12762"/>
      <w:r>
        <w:rPr>
          <w:rFonts w:hint="eastAsia"/>
          <w:color w:val="auto"/>
          <w:sz w:val="28"/>
          <w:szCs w:val="28"/>
        </w:rPr>
        <w:t>5．编写评审报告</w:t>
      </w:r>
      <w:bookmarkEnd w:id="68"/>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评审报告是评标委员会根据全体评标成员签字的原始评标记录和评标结果编写的报告，其主要内容包括：</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（1）招标公告刊登的媒体名称、开标日期和地点；</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（2）投标供应商名单和评标委员会成员名单；</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（3）评标方法；</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（4）开标记录和评标情况及说明，包括投标无效供应商名单及原因；</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（5）评标结果，确定的中标候选人名单或者经采购人委托直接确定的中标供应商；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（6）其他需要说明的情况，包括评标过程中投标供应商根据评标委员会要求进行的澄清、说明或者补正，评标委员会成员的更换等。</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99"/>
        <w:ind w:firstLine="579"/>
        <w:rPr>
          <w:rFonts w:hint="eastAsia"/>
          <w:b/>
          <w:bCs/>
          <w:color w:val="auto"/>
          <w:sz w:val="28"/>
          <w:szCs w:val="28"/>
        </w:rPr>
      </w:pPr>
      <w:bookmarkStart w:id="69" w:name="_Toc8654"/>
    </w:p>
    <w:p>
      <w:pPr>
        <w:pStyle w:val="99"/>
        <w:ind w:firstLine="579"/>
        <w:rPr>
          <w:rFonts w:hint="eastAsia"/>
          <w:b/>
          <w:bCs/>
          <w:color w:val="auto"/>
          <w:sz w:val="28"/>
          <w:szCs w:val="28"/>
        </w:rPr>
      </w:pPr>
    </w:p>
    <w:p>
      <w:pPr>
        <w:pStyle w:val="99"/>
        <w:ind w:firstLine="579"/>
        <w:rPr>
          <w:rFonts w:hint="eastAsia"/>
          <w:b/>
          <w:bCs/>
          <w:color w:val="auto"/>
          <w:sz w:val="28"/>
          <w:szCs w:val="28"/>
        </w:rPr>
      </w:pPr>
    </w:p>
    <w:p>
      <w:pPr>
        <w:pStyle w:val="99"/>
        <w:ind w:firstLine="579"/>
        <w:rPr>
          <w:b/>
          <w:bCs/>
          <w:color w:val="auto"/>
          <w:sz w:val="28"/>
          <w:szCs w:val="28"/>
        </w:rPr>
      </w:pPr>
      <w:r>
        <w:rPr>
          <w:rFonts w:hint="eastAsia"/>
          <w:b/>
          <w:bCs/>
          <w:color w:val="auto"/>
          <w:sz w:val="28"/>
          <w:szCs w:val="28"/>
        </w:rPr>
        <w:t>（三）评标争议处理规则</w:t>
      </w:r>
      <w:bookmarkEnd w:id="69"/>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99"/>
        <w:ind w:firstLine="579"/>
        <w:rPr>
          <w:b/>
          <w:bCs/>
          <w:color w:val="auto"/>
          <w:sz w:val="28"/>
          <w:szCs w:val="28"/>
        </w:rPr>
      </w:pPr>
      <w:bookmarkStart w:id="70" w:name="_Toc4810"/>
      <w:r>
        <w:rPr>
          <w:rFonts w:hint="eastAsia"/>
          <w:b/>
          <w:bCs/>
          <w:color w:val="auto"/>
          <w:sz w:val="28"/>
          <w:szCs w:val="28"/>
        </w:rPr>
        <w:t>（四）评审现场人员的保密责任</w:t>
      </w:r>
      <w:bookmarkEnd w:id="70"/>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99"/>
        <w:ind w:firstLine="579"/>
        <w:rPr>
          <w:b/>
          <w:bCs/>
          <w:color w:val="auto"/>
          <w:sz w:val="28"/>
          <w:szCs w:val="28"/>
        </w:rPr>
      </w:pPr>
      <w:bookmarkStart w:id="71" w:name="_Toc27257"/>
      <w:r>
        <w:rPr>
          <w:rFonts w:hint="eastAsia"/>
          <w:b/>
          <w:bCs/>
          <w:color w:val="auto"/>
          <w:sz w:val="28"/>
          <w:szCs w:val="28"/>
        </w:rPr>
        <w:t>（五）视同供应商串通投标的情形，其投标无效：</w:t>
      </w:r>
      <w:bookmarkEnd w:id="71"/>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1．不同供应商的投标文件由同一单位或者个人编制；</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2．不同供应商委托同一单位或者个人办理投标事宜；</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3．不同供应商的投标文件载明的项目管理成员或者联系人员为同一人；</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4．不同供应商的投标文件异常一致或者投标报价呈规律性差异。</w:t>
      </w:r>
    </w:p>
    <w:p>
      <w:pPr>
        <w:pStyle w:val="4"/>
        <w:rPr>
          <w:rFonts w:ascii="宋体" w:hAnsi="宋体" w:eastAsia="宋体" w:cs="宋体"/>
          <w:sz w:val="28"/>
          <w:szCs w:val="28"/>
        </w:rPr>
      </w:pPr>
      <w:bookmarkStart w:id="72" w:name="_Toc25588"/>
      <w:r>
        <w:rPr>
          <w:rFonts w:hint="eastAsia" w:ascii="宋体" w:hAnsi="宋体" w:eastAsia="宋体" w:cs="宋体"/>
          <w:sz w:val="28"/>
          <w:szCs w:val="28"/>
        </w:rPr>
        <w:t>八、中标</w:t>
      </w:r>
      <w:bookmarkEnd w:id="72"/>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1．代理机构在评标结束后1个工作日内将评标报告送达采购单位，采购单位在收到评标报告后4个工作日内，按照评标报告中推荐的中标候选人顺序确认第一中标候选人为中标单位，同时书面复函代理机构。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2．采购代理机构将在中标供应商确定之日起1个工作日内，在【</w:t>
      </w:r>
      <w:r>
        <w:fldChar w:fldCharType="begin"/>
      </w:r>
      <w:r>
        <w:instrText xml:space="preserve"> HYPERLINK "http://www.ccgp-shaanxi.gov.cn" </w:instrText>
      </w:r>
      <w:r>
        <w:fldChar w:fldCharType="separate"/>
      </w:r>
      <w:r>
        <w:rPr>
          <w:rStyle w:val="44"/>
          <w:rFonts w:hint="eastAsia" w:ascii="宋体" w:hAnsi="宋体" w:eastAsia="宋体" w:cs="宋体"/>
          <w:color w:val="auto"/>
          <w:sz w:val="28"/>
          <w:szCs w:val="28"/>
          <w:u w:val="none"/>
        </w:rPr>
        <w:t>陕西省政府采购网</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"http://www.ccgp-shaanxi.gov.cn/" </w:instrText>
      </w:r>
      <w:r>
        <w:fldChar w:fldCharType="separate"/>
      </w:r>
      <w:r>
        <w:rPr>
          <w:rStyle w:val="44"/>
          <w:rFonts w:hint="eastAsia" w:ascii="宋体" w:hAnsi="宋体" w:eastAsia="宋体" w:cs="宋体"/>
          <w:color w:val="auto"/>
          <w:sz w:val="28"/>
          <w:szCs w:val="28"/>
          <w:u w:val="none"/>
        </w:rPr>
        <w:t>http://www.ccgp-shaanxi.gov.cn/</w:t>
      </w:r>
      <w:r>
        <w:rPr>
          <w:rStyle w:val="44"/>
          <w:rFonts w:hint="eastAsia" w:ascii="宋体" w:hAnsi="宋体" w:eastAsia="宋体" w:cs="宋体"/>
          <w:color w:val="auto"/>
          <w:sz w:val="28"/>
          <w:szCs w:val="28"/>
          <w:u w:val="none"/>
        </w:rPr>
        <w:fldChar w:fldCharType="end"/>
      </w:r>
      <w:r>
        <w:rPr>
          <w:rFonts w:hint="eastAsia" w:ascii="宋体" w:hAnsi="宋体" w:eastAsia="宋体" w:cs="宋体"/>
          <w:sz w:val="28"/>
          <w:szCs w:val="28"/>
        </w:rPr>
        <w:t>）上公布中标结果。中标公告期限为1个工作日</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4．采购代理机构按照相关规定将评审报告送监管机构备案。</w:t>
      </w:r>
    </w:p>
    <w:p>
      <w:pPr>
        <w:pStyle w:val="4"/>
        <w:rPr>
          <w:rFonts w:ascii="宋体" w:hAnsi="宋体" w:eastAsia="宋体" w:cs="宋体"/>
          <w:sz w:val="28"/>
          <w:szCs w:val="28"/>
        </w:rPr>
      </w:pPr>
      <w:bookmarkStart w:id="73" w:name="_Toc8976"/>
      <w:r>
        <w:rPr>
          <w:rFonts w:hint="eastAsia" w:ascii="宋体" w:hAnsi="宋体" w:eastAsia="宋体" w:cs="宋体"/>
          <w:sz w:val="28"/>
          <w:szCs w:val="28"/>
        </w:rPr>
        <w:t>九、合同签订、履行及验收</w:t>
      </w:r>
      <w:bookmarkEnd w:id="73"/>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招标文件、投标文件、澄清、补充合同等为政府采购合同的组成部分，具有同等法律效力。</w:t>
      </w:r>
    </w:p>
    <w:p>
      <w:pPr>
        <w:pStyle w:val="99"/>
        <w:ind w:firstLine="579"/>
        <w:rPr>
          <w:b/>
          <w:bCs/>
          <w:color w:val="auto"/>
          <w:sz w:val="28"/>
          <w:szCs w:val="28"/>
        </w:rPr>
      </w:pPr>
      <w:bookmarkStart w:id="74" w:name="_Toc7975"/>
      <w:r>
        <w:rPr>
          <w:rFonts w:hint="eastAsia"/>
          <w:b/>
          <w:bCs/>
          <w:color w:val="auto"/>
          <w:sz w:val="28"/>
          <w:szCs w:val="28"/>
        </w:rPr>
        <w:t>（一）签订政府采购合同</w:t>
      </w:r>
      <w:bookmarkEnd w:id="74"/>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1．自中标通知书发出之日起30日内，采购人与中标供应商应按招标文件和中标供应商投标文件的约定，签订书面合同。</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2．中标供应商拒绝与采购人签订合同的，采购人可以按照《政府采购法实施条例》第四十九条规定，确定下一候选人为中标供应商，也可以重新开展政府采购活动。</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4．质疑或者投诉事项可能影响中标、成交结果的，采购人应当暂停签订合同，已经签订合同的，应当中止履行合同。</w:t>
      </w:r>
    </w:p>
    <w:p>
      <w:pPr>
        <w:pStyle w:val="99"/>
        <w:ind w:firstLine="579"/>
        <w:rPr>
          <w:b/>
          <w:bCs/>
          <w:color w:val="auto"/>
          <w:sz w:val="28"/>
          <w:szCs w:val="28"/>
        </w:rPr>
      </w:pPr>
      <w:bookmarkStart w:id="75" w:name="_Toc19981"/>
      <w:r>
        <w:rPr>
          <w:rFonts w:hint="eastAsia"/>
          <w:b/>
          <w:bCs/>
          <w:color w:val="auto"/>
          <w:sz w:val="28"/>
          <w:szCs w:val="28"/>
        </w:rPr>
        <w:t>（二）合同公告及备案</w:t>
      </w:r>
      <w:bookmarkEnd w:id="75"/>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1．采购人应当自政府采购合同签订之日起2个工作日内，在陕西省政府采购网对合同进行公示，但政府采购合同中涉及国家秘密、商业秘密的内容除外。</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2．采购人应自合同签订之日起7个工作日内将政府采购合同报送监管机构备案。</w:t>
      </w:r>
    </w:p>
    <w:p>
      <w:pPr>
        <w:pStyle w:val="99"/>
        <w:ind w:firstLine="579"/>
        <w:rPr>
          <w:b/>
          <w:bCs/>
          <w:color w:val="auto"/>
          <w:sz w:val="28"/>
          <w:szCs w:val="28"/>
        </w:rPr>
      </w:pPr>
      <w:bookmarkStart w:id="76" w:name="_Toc20858"/>
      <w:r>
        <w:rPr>
          <w:rFonts w:hint="eastAsia"/>
          <w:b/>
          <w:bCs/>
          <w:color w:val="auto"/>
          <w:sz w:val="28"/>
          <w:szCs w:val="28"/>
        </w:rPr>
        <w:t>（三）履行合同</w:t>
      </w:r>
      <w:bookmarkEnd w:id="76"/>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1．合同一经签订，双方应严格履行合同规定的义务。</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2．在合同履行过程中，如发生合同纠纷，合同双方应按照《中华人民共和国民法典》及合同条款的有关规定进行处理。</w:t>
      </w:r>
    </w:p>
    <w:p>
      <w:pPr>
        <w:pStyle w:val="99"/>
        <w:ind w:firstLine="579"/>
        <w:rPr>
          <w:b/>
          <w:bCs/>
          <w:color w:val="auto"/>
          <w:sz w:val="28"/>
          <w:szCs w:val="28"/>
        </w:rPr>
      </w:pPr>
      <w:bookmarkStart w:id="77" w:name="_Toc1157"/>
      <w:r>
        <w:rPr>
          <w:rFonts w:hint="eastAsia"/>
          <w:b/>
          <w:bCs/>
          <w:color w:val="auto"/>
          <w:sz w:val="28"/>
          <w:szCs w:val="28"/>
        </w:rPr>
        <w:t>（四）验收或考核</w:t>
      </w:r>
      <w:bookmarkEnd w:id="77"/>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1．采购人严格按照国家相关法律法规的要求及招标文件的要求组织验收或考核。</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2．采购人按《关于促进政府采购公平竞争优化营商环境的通知》（财库〔2019〕38号）、《保障中小企业款项支付条例》（国务院令第728号）等规定及采购合同的约定进行支付合同款项。</w:t>
      </w:r>
    </w:p>
    <w:p>
      <w:pPr>
        <w:pStyle w:val="4"/>
        <w:rPr>
          <w:rFonts w:ascii="宋体" w:hAnsi="宋体" w:eastAsia="宋体" w:cs="宋体"/>
          <w:sz w:val="28"/>
          <w:szCs w:val="28"/>
        </w:rPr>
      </w:pPr>
      <w:bookmarkStart w:id="78" w:name="_Toc16879"/>
      <w:r>
        <w:rPr>
          <w:rFonts w:hint="eastAsia" w:ascii="宋体" w:hAnsi="宋体" w:eastAsia="宋体" w:cs="宋体"/>
          <w:sz w:val="28"/>
          <w:szCs w:val="28"/>
        </w:rPr>
        <w:t>十、废标及重新招标</w:t>
      </w:r>
      <w:bookmarkEnd w:id="78"/>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2．根据《政府采购法》第三十六条规定，在招标采购中，出现下列情形之一的，本项目按废标处理：</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（1）出现影响采购公正的违法、违规行为的；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（2）供应商的报价均超过了采购预算，采购人不能支付的；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（3）因重大变故，采购任务取消的。</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废标后，除采购任务取消外，本项目将重新组织招标。</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4．招标文件未明确的其他事项，按《政府采购法》及其相关法律法规执行。</w:t>
      </w:r>
    </w:p>
    <w:p>
      <w:pPr>
        <w:rPr>
          <w:rFonts w:ascii="宋体" w:hAnsi="宋体" w:eastAsia="宋体" w:cs="宋体"/>
          <w:sz w:val="32"/>
          <w:szCs w:val="32"/>
        </w:rPr>
      </w:pPr>
      <w:bookmarkStart w:id="79" w:name="_Toc100219614"/>
      <w:r>
        <w:rPr>
          <w:rFonts w:hint="eastAsia" w:ascii="宋体" w:hAnsi="宋体" w:eastAsia="宋体" w:cs="宋体"/>
          <w:sz w:val="32"/>
          <w:szCs w:val="32"/>
        </w:rPr>
        <w:br w:type="page"/>
      </w:r>
    </w:p>
    <w:p>
      <w:pPr>
        <w:rPr>
          <w:rFonts w:ascii="宋体" w:hAnsi="宋体" w:eastAsia="宋体" w:cs="宋体"/>
        </w:rPr>
      </w:pPr>
    </w:p>
    <w:p>
      <w:pPr>
        <w:pStyle w:val="2"/>
        <w:rPr>
          <w:rFonts w:ascii="宋体" w:hAnsi="宋体" w:eastAsia="宋体" w:cs="宋体"/>
        </w:rPr>
      </w:pPr>
      <w:bookmarkStart w:id="80" w:name="_Toc29767"/>
      <w:bookmarkStart w:id="81" w:name="_Toc22380"/>
      <w:r>
        <w:rPr>
          <w:rFonts w:hint="eastAsia" w:ascii="宋体" w:hAnsi="宋体" w:eastAsia="宋体" w:cs="宋体"/>
        </w:rPr>
        <w:t>第三章  招标内容及要求</w:t>
      </w:r>
      <w:bookmarkEnd w:id="79"/>
      <w:bookmarkEnd w:id="80"/>
      <w:bookmarkEnd w:id="81"/>
    </w:p>
    <w:p>
      <w:pPr>
        <w:spacing w:line="360" w:lineRule="auto"/>
        <w:rPr>
          <w:rFonts w:ascii="宋体" w:hAnsi="宋体" w:cs="宋体"/>
          <w:b/>
          <w:sz w:val="28"/>
          <w:szCs w:val="28"/>
        </w:rPr>
      </w:pPr>
      <w:r>
        <w:rPr>
          <w:rFonts w:hint="eastAsia" w:ascii="宋体" w:hAnsi="宋体" w:cs="宋体"/>
          <w:b/>
          <w:sz w:val="28"/>
          <w:szCs w:val="28"/>
        </w:rPr>
        <w:t>一、商务条款</w:t>
      </w:r>
    </w:p>
    <w:p>
      <w:pPr>
        <w:tabs>
          <w:tab w:val="left" w:pos="420"/>
        </w:tabs>
        <w:spacing w:line="360" w:lineRule="auto"/>
        <w:ind w:firstLine="576" w:firstLineChars="200"/>
        <w:rPr>
          <w:rFonts w:ascii="宋体" w:hAnsi="宋体" w:cs="宋体"/>
          <w:sz w:val="28"/>
          <w:szCs w:val="28"/>
          <w:highlight w:val="yellow"/>
        </w:rPr>
      </w:pPr>
      <w:r>
        <w:rPr>
          <w:rFonts w:hint="eastAsia" w:ascii="宋体" w:hAnsi="宋体" w:cs="宋体"/>
          <w:sz w:val="28"/>
          <w:szCs w:val="28"/>
        </w:rPr>
        <w:t>1、</w:t>
      </w:r>
      <w:r>
        <w:rPr>
          <w:rFonts w:hint="eastAsia" w:ascii="宋体" w:hAnsi="宋体" w:cs="宋体"/>
          <w:sz w:val="28"/>
          <w:szCs w:val="28"/>
          <w:highlight w:val="none"/>
          <w:lang w:val="en-US" w:eastAsia="zh-CN"/>
        </w:rPr>
        <w:t>交货</w:t>
      </w:r>
      <w:r>
        <w:rPr>
          <w:rFonts w:hint="eastAsia" w:ascii="宋体" w:hAnsi="宋体" w:cs="宋体"/>
          <w:sz w:val="28"/>
          <w:szCs w:val="28"/>
          <w:highlight w:val="none"/>
        </w:rPr>
        <w:t>期：</w:t>
      </w:r>
      <w:r>
        <w:rPr>
          <w:rFonts w:hint="eastAsia" w:ascii="宋体" w:hAnsi="宋体" w:cs="宋体"/>
          <w:sz w:val="28"/>
          <w:szCs w:val="28"/>
          <w:highlight w:val="none"/>
          <w:lang w:val="en-US" w:eastAsia="zh-CN"/>
        </w:rPr>
        <w:t>自合同签订之日起按照采购人分批采购规定的时间（配送时间5个工作日内）要求送达规定地点及摆放要求进行交货，未按时交货产生的一切损失由供应商负责。</w:t>
      </w:r>
    </w:p>
    <w:p>
      <w:pPr>
        <w:spacing w:line="360" w:lineRule="auto"/>
        <w:ind w:firstLine="576" w:firstLineChars="200"/>
        <w:rPr>
          <w:rFonts w:hint="eastAsia" w:ascii="宋体" w:hAnsi="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质保期：完全满足采购要求（详见采购内容）</w:t>
      </w:r>
    </w:p>
    <w:p>
      <w:pPr>
        <w:spacing w:line="360" w:lineRule="auto"/>
        <w:ind w:firstLine="576" w:firstLineChars="200"/>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3、合同履行期限：1年</w:t>
      </w:r>
    </w:p>
    <w:p>
      <w:pPr>
        <w:spacing w:line="360" w:lineRule="auto"/>
        <w:ind w:firstLine="576"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付款方式：</w:t>
      </w:r>
      <w:r>
        <w:rPr>
          <w:rFonts w:hint="eastAsia" w:ascii="宋体" w:hAnsi="宋体" w:eastAsia="宋体" w:cs="宋体"/>
          <w:sz w:val="28"/>
          <w:szCs w:val="28"/>
          <w:highlight w:val="none"/>
          <w:lang w:val="en-US" w:eastAsia="zh-CN"/>
        </w:rPr>
        <w:t>根据采购人选中产品单价及数量为结算依据，根据采购人工作实际需求对产品进行分批采购，每批次产品经库管人员观验收合格，相关科室确认合格后三个月内，按实际用量分批据实支付。</w:t>
      </w:r>
    </w:p>
    <w:p>
      <w:pPr>
        <w:spacing w:line="360" w:lineRule="auto"/>
        <w:ind w:firstLine="576"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5、其他商务要求：详见第四章 合同文本</w:t>
      </w:r>
    </w:p>
    <w:p>
      <w:pPr>
        <w:spacing w:line="360" w:lineRule="auto"/>
        <w:rPr>
          <w:sz w:val="28"/>
          <w:szCs w:val="28"/>
        </w:rPr>
      </w:pPr>
      <w:r>
        <w:rPr>
          <w:rFonts w:hint="eastAsia" w:ascii="宋体" w:hAnsi="宋体" w:cs="宋体"/>
          <w:b/>
          <w:sz w:val="28"/>
          <w:szCs w:val="28"/>
        </w:rPr>
        <w:t>二、采购内容及要求</w:t>
      </w:r>
    </w:p>
    <w:p>
      <w:pPr>
        <w:spacing w:line="360" w:lineRule="auto"/>
        <w:ind w:right="66" w:rightChars="27"/>
        <w:outlineLvl w:val="9"/>
        <w:rPr>
          <w:rFonts w:hint="eastAsia" w:eastAsia="宋体" w:asciiTheme="minorEastAsia" w:hAnsiTheme="minorEastAsia" w:cstheme="minorEastAsia"/>
          <w:b/>
          <w:bCs w:val="0"/>
          <w:sz w:val="28"/>
          <w:szCs w:val="28"/>
          <w:lang w:val="en-US" w:eastAsia="zh-CN"/>
        </w:rPr>
      </w:pPr>
      <w:bookmarkStart w:id="82" w:name="_Toc100219616"/>
      <w:r>
        <w:rPr>
          <w:rFonts w:hint="eastAsia" w:asciiTheme="minorEastAsia" w:hAnsiTheme="minorEastAsia" w:cstheme="minorEastAsia"/>
          <w:b/>
          <w:bCs w:val="0"/>
          <w:sz w:val="28"/>
          <w:szCs w:val="28"/>
          <w:lang w:val="en-US" w:eastAsia="zh-CN"/>
        </w:rPr>
        <w:t>1.采购内容</w:t>
      </w:r>
    </w:p>
    <w:tbl>
      <w:tblPr>
        <w:tblStyle w:val="33"/>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77"/>
        <w:gridCol w:w="3477"/>
        <w:gridCol w:w="12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253" w:type="dxa"/>
            <w:gridSpan w:val="6"/>
            <w:tcBorders>
              <w:top w:val="single" w:color="auto" w:sz="4" w:space="0"/>
              <w:left w:val="single" w:color="auto" w:sz="4" w:space="0"/>
              <w:bottom w:val="single" w:color="auto" w:sz="4" w:space="0"/>
              <w:right w:val="single" w:color="auto" w:sz="4" w:space="0"/>
            </w:tcBorders>
          </w:tcPr>
          <w:p>
            <w:pPr>
              <w:jc w:val="left"/>
              <w:rPr>
                <w:rFonts w:hint="eastAsia" w:ascii="宋体" w:hAnsi="宋体" w:eastAsia="宋体" w:cs="宋体"/>
                <w:b/>
                <w:sz w:val="28"/>
                <w:szCs w:val="28"/>
              </w:rPr>
            </w:pPr>
            <w:r>
              <w:rPr>
                <w:rFonts w:hint="eastAsia" w:ascii="宋体" w:hAnsi="宋体" w:eastAsia="宋体" w:cs="宋体"/>
                <w:b/>
                <w:sz w:val="28"/>
                <w:szCs w:val="28"/>
              </w:rPr>
              <w:t>第一</w:t>
            </w:r>
            <w:r>
              <w:rPr>
                <w:rFonts w:hint="eastAsia" w:ascii="宋体" w:hAnsi="宋体" w:eastAsia="宋体" w:cs="宋体"/>
                <w:b/>
                <w:sz w:val="28"/>
                <w:szCs w:val="28"/>
                <w:lang w:eastAsia="zh-CN"/>
              </w:rPr>
              <w:t>包</w:t>
            </w:r>
            <w:r>
              <w:rPr>
                <w:rFonts w:hint="eastAsia" w:ascii="宋体" w:hAnsi="宋体" w:eastAsia="宋体" w:cs="宋体"/>
                <w:b/>
                <w:sz w:val="28"/>
                <w:szCs w:val="28"/>
              </w:rPr>
              <w:t>：95.5万元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78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8"/>
                <w:szCs w:val="28"/>
              </w:rPr>
            </w:pPr>
            <w:r>
              <w:rPr>
                <w:rFonts w:hint="eastAsia" w:ascii="宋体" w:hAnsi="宋体" w:eastAsia="宋体" w:cs="宋体"/>
                <w:b/>
                <w:sz w:val="28"/>
                <w:szCs w:val="28"/>
              </w:rPr>
              <w:t>编号</w:t>
            </w:r>
          </w:p>
        </w:tc>
        <w:tc>
          <w:tcPr>
            <w:tcW w:w="877"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8"/>
                <w:szCs w:val="28"/>
              </w:rPr>
            </w:pPr>
            <w:r>
              <w:rPr>
                <w:rFonts w:hint="eastAsia" w:ascii="宋体" w:hAnsi="宋体" w:eastAsia="宋体" w:cs="宋体"/>
                <w:b/>
                <w:sz w:val="28"/>
                <w:szCs w:val="28"/>
              </w:rPr>
              <w:t>品名</w:t>
            </w:r>
          </w:p>
        </w:tc>
        <w:tc>
          <w:tcPr>
            <w:tcW w:w="3477" w:type="dxa"/>
            <w:tcBorders>
              <w:top w:val="single" w:color="auto" w:sz="4" w:space="0"/>
              <w:left w:val="single" w:color="auto" w:sz="4" w:space="0"/>
              <w:bottom w:val="single" w:color="auto" w:sz="4" w:space="0"/>
              <w:right w:val="single" w:color="auto" w:sz="4" w:space="0"/>
            </w:tcBorders>
          </w:tcPr>
          <w:p>
            <w:pPr>
              <w:ind w:firstLine="482"/>
              <w:jc w:val="center"/>
              <w:rPr>
                <w:rFonts w:hint="eastAsia" w:ascii="宋体" w:hAnsi="宋体" w:eastAsia="宋体" w:cs="宋体"/>
                <w:b/>
                <w:sz w:val="28"/>
                <w:szCs w:val="28"/>
              </w:rPr>
            </w:pPr>
            <w:r>
              <w:rPr>
                <w:rFonts w:hint="eastAsia" w:ascii="宋体" w:hAnsi="宋体" w:eastAsia="宋体" w:cs="宋体"/>
                <w:b/>
                <w:sz w:val="28"/>
                <w:szCs w:val="28"/>
              </w:rPr>
              <w:t>技术参数</w:t>
            </w: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8"/>
                <w:szCs w:val="28"/>
              </w:rPr>
            </w:pPr>
            <w:r>
              <w:rPr>
                <w:rFonts w:hint="eastAsia" w:ascii="宋体" w:hAnsi="宋体" w:eastAsia="宋体" w:cs="宋体"/>
                <w:b/>
                <w:sz w:val="28"/>
                <w:szCs w:val="28"/>
              </w:rPr>
              <w:t>价格</w:t>
            </w:r>
          </w:p>
        </w:tc>
        <w:tc>
          <w:tcPr>
            <w:tcW w:w="1417"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8"/>
                <w:szCs w:val="28"/>
              </w:rPr>
            </w:pPr>
            <w:r>
              <w:rPr>
                <w:rFonts w:hint="eastAsia" w:ascii="宋体" w:hAnsi="宋体" w:eastAsia="宋体" w:cs="宋体"/>
                <w:b/>
                <w:sz w:val="28"/>
                <w:szCs w:val="28"/>
              </w:rPr>
              <w:t>数量</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8"/>
                <w:szCs w:val="28"/>
              </w:rPr>
            </w:pPr>
            <w:r>
              <w:rPr>
                <w:rFonts w:hint="eastAsia" w:ascii="宋体" w:hAnsi="宋体" w:eastAsia="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78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p>
            <w:pPr>
              <w:rPr>
                <w:rFonts w:hint="eastAsia" w:ascii="宋体" w:hAnsi="宋体" w:eastAsia="宋体" w:cs="宋体"/>
                <w:color w:val="000000" w:themeColor="text1"/>
                <w:sz w:val="28"/>
                <w:szCs w:val="28"/>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运动饮料</w:t>
            </w:r>
          </w:p>
        </w:tc>
        <w:tc>
          <w:tcPr>
            <w:tcW w:w="3477" w:type="dxa"/>
            <w:tcBorders>
              <w:top w:val="single" w:color="auto" w:sz="4" w:space="0"/>
              <w:left w:val="single" w:color="auto" w:sz="4" w:space="0"/>
              <w:bottom w:val="single" w:color="auto" w:sz="4" w:space="0"/>
              <w:right w:val="single" w:color="auto" w:sz="4" w:space="0"/>
            </w:tcBorders>
          </w:tcPr>
          <w:p>
            <w:pPr>
              <w:spacing w:line="360" w:lineRule="exact"/>
              <w:ind w:left="94" w:leftChars="38" w:firstLine="422" w:firstLineChars="147"/>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送货到站距离质保期≥</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个月，</w:t>
            </w:r>
            <w:r>
              <w:rPr>
                <w:rFonts w:hint="eastAsia" w:ascii="宋体" w:hAnsi="宋体" w:eastAsia="宋体" w:cs="宋体"/>
                <w:color w:val="000000" w:themeColor="text1"/>
                <w:sz w:val="28"/>
                <w:szCs w:val="28"/>
                <w14:textFill>
                  <w14:solidFill>
                    <w14:schemeClr w14:val="tx1"/>
                  </w14:solidFill>
                </w14:textFill>
              </w:rPr>
              <w:t>含有电解质，维生素等，饮用后可以迅速补充电解质和糖分，恢复体力，不含人工染料和色素。包装规格≥500ml/瓶，产品必须为同等价位且≥3种口味。</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≤3.4元/瓶</w:t>
            </w:r>
          </w:p>
        </w:tc>
        <w:tc>
          <w:tcPr>
            <w:tcW w:w="141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175000瓶</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需提供样品</w:t>
            </w:r>
          </w:p>
          <w:p>
            <w:pP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8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p>
        </w:tc>
        <w:tc>
          <w:tcPr>
            <w:tcW w:w="87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纯牛奶</w:t>
            </w:r>
          </w:p>
        </w:tc>
        <w:tc>
          <w:tcPr>
            <w:tcW w:w="3477" w:type="dxa"/>
            <w:tcBorders>
              <w:top w:val="single" w:color="auto" w:sz="4" w:space="0"/>
              <w:left w:val="single" w:color="auto" w:sz="4" w:space="0"/>
              <w:bottom w:val="single" w:color="auto" w:sz="4" w:space="0"/>
              <w:right w:val="single" w:color="auto" w:sz="4" w:space="0"/>
            </w:tcBorders>
          </w:tcPr>
          <w:p>
            <w:pPr>
              <w:ind w:firstLine="288" w:firstLineChars="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容量≥190ml。</w:t>
            </w:r>
            <w:r>
              <w:rPr>
                <w:rFonts w:hint="eastAsia" w:ascii="宋体" w:hAnsi="宋体" w:eastAsia="宋体" w:cs="宋体"/>
                <w:color w:val="000000" w:themeColor="text1"/>
                <w:sz w:val="28"/>
                <w:szCs w:val="28"/>
                <w:lang w:val="en-US" w:eastAsia="zh-CN"/>
                <w14:textFill>
                  <w14:solidFill>
                    <w14:schemeClr w14:val="tx1"/>
                  </w14:solidFill>
                </w14:textFill>
              </w:rPr>
              <w:t>到站后质保</w:t>
            </w:r>
            <w:r>
              <w:rPr>
                <w:rFonts w:hint="eastAsia" w:ascii="宋体" w:hAnsi="宋体" w:eastAsia="宋体" w:cs="宋体"/>
                <w:color w:val="000000" w:themeColor="text1"/>
                <w:sz w:val="28"/>
                <w:szCs w:val="28"/>
                <w14:textFill>
                  <w14:solidFill>
                    <w14:schemeClr w14:val="tx1"/>
                  </w14:solidFill>
                </w14:textFill>
              </w:rPr>
              <w:t xml:space="preserve">期≥5个月，产品类型：灭菌乳，主要成分：生牛乳，包装：利乐砖盒装；     </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每盒≤3.6元</w:t>
            </w:r>
          </w:p>
        </w:tc>
        <w:tc>
          <w:tcPr>
            <w:tcW w:w="141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lang w:eastAsia="zh-CN"/>
              </w:rPr>
            </w:pPr>
            <w:r>
              <w:rPr>
                <w:rFonts w:hint="eastAsia" w:ascii="宋体" w:hAnsi="宋体" w:eastAsia="宋体" w:cs="宋体"/>
                <w:sz w:val="28"/>
                <w:szCs w:val="28"/>
              </w:rPr>
              <w:t>100000</w:t>
            </w:r>
            <w:r>
              <w:rPr>
                <w:rFonts w:hint="eastAsia" w:ascii="宋体" w:hAnsi="宋体" w:eastAsia="宋体" w:cs="宋体"/>
                <w:sz w:val="28"/>
                <w:szCs w:val="28"/>
                <w:lang w:eastAsia="zh-CN"/>
              </w:rPr>
              <w:t>盒</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需提供样品</w:t>
            </w:r>
          </w:p>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9253" w:type="dxa"/>
            <w:gridSpan w:val="6"/>
            <w:tcBorders>
              <w:top w:val="single" w:color="auto" w:sz="4" w:space="0"/>
              <w:left w:val="single" w:color="auto" w:sz="4" w:space="0"/>
              <w:bottom w:val="single" w:color="auto" w:sz="4" w:space="0"/>
              <w:right w:val="single" w:color="auto" w:sz="4" w:space="0"/>
            </w:tcBorders>
          </w:tcPr>
          <w:p>
            <w:pPr>
              <w:ind w:firstLine="432" w:firstLineChars="150"/>
              <w:jc w:val="left"/>
              <w:rPr>
                <w:rFonts w:hint="eastAsia" w:ascii="宋体" w:hAnsi="宋体" w:eastAsia="宋体" w:cs="宋体"/>
                <w:b/>
                <w:sz w:val="28"/>
                <w:szCs w:val="28"/>
              </w:rPr>
            </w:pPr>
            <w:r>
              <w:rPr>
                <w:rFonts w:hint="eastAsia" w:ascii="宋体" w:hAnsi="宋体" w:eastAsia="宋体" w:cs="宋体"/>
                <w:b/>
                <w:sz w:val="28"/>
                <w:szCs w:val="28"/>
              </w:rPr>
              <w:t>第二</w:t>
            </w:r>
            <w:r>
              <w:rPr>
                <w:rFonts w:hint="eastAsia" w:ascii="宋体" w:hAnsi="宋体" w:eastAsia="宋体" w:cs="宋体"/>
                <w:b/>
                <w:sz w:val="28"/>
                <w:szCs w:val="28"/>
                <w:lang w:eastAsia="zh-CN"/>
              </w:rPr>
              <w:t>包</w:t>
            </w:r>
            <w:r>
              <w:rPr>
                <w:rFonts w:hint="eastAsia" w:ascii="宋体" w:hAnsi="宋体" w:eastAsia="宋体" w:cs="宋体"/>
                <w:b/>
                <w:sz w:val="28"/>
                <w:szCs w:val="28"/>
              </w:rPr>
              <w:t xml:space="preserve">：104.5万元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8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编号</w:t>
            </w:r>
          </w:p>
        </w:tc>
        <w:tc>
          <w:tcPr>
            <w:tcW w:w="87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品名</w:t>
            </w:r>
          </w:p>
        </w:tc>
        <w:tc>
          <w:tcPr>
            <w:tcW w:w="3477" w:type="dxa"/>
            <w:tcBorders>
              <w:top w:val="single" w:color="auto" w:sz="4" w:space="0"/>
              <w:left w:val="single" w:color="auto" w:sz="4" w:space="0"/>
              <w:bottom w:val="single" w:color="auto" w:sz="4" w:space="0"/>
              <w:right w:val="single" w:color="auto" w:sz="4" w:space="0"/>
            </w:tcBorders>
          </w:tcPr>
          <w:p>
            <w:pPr>
              <w:ind w:firstLine="482"/>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技术参数</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价格</w:t>
            </w:r>
          </w:p>
        </w:tc>
        <w:tc>
          <w:tcPr>
            <w:tcW w:w="141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8"/>
                <w:szCs w:val="28"/>
              </w:rPr>
            </w:pPr>
            <w:r>
              <w:rPr>
                <w:rFonts w:hint="eastAsia" w:ascii="宋体" w:hAnsi="宋体" w:eastAsia="宋体" w:cs="宋体"/>
                <w:b/>
                <w:sz w:val="28"/>
                <w:szCs w:val="28"/>
              </w:rPr>
              <w:t>数量</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sz w:val="28"/>
                <w:szCs w:val="28"/>
              </w:rPr>
            </w:pPr>
            <w:r>
              <w:rPr>
                <w:rFonts w:hint="eastAsia" w:ascii="宋体" w:hAnsi="宋体" w:eastAsia="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78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tc>
        <w:tc>
          <w:tcPr>
            <w:tcW w:w="87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饼干</w:t>
            </w:r>
          </w:p>
        </w:tc>
        <w:tc>
          <w:tcPr>
            <w:tcW w:w="3477"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送货到站距离质保期≥8个月，净重每个包装≥125g，≥3种口味,必须为独立包装。</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≤2.2元/</w:t>
            </w:r>
            <w:r>
              <w:rPr>
                <w:rFonts w:hint="eastAsia" w:ascii="宋体" w:hAnsi="宋体" w:eastAsia="宋体" w:cs="宋体"/>
                <w:color w:val="000000" w:themeColor="text1"/>
                <w:sz w:val="28"/>
                <w:szCs w:val="28"/>
                <w:lang w:val="en-US" w:eastAsia="zh-CN"/>
                <w14:textFill>
                  <w14:solidFill>
                    <w14:schemeClr w14:val="tx1"/>
                  </w14:solidFill>
                </w14:textFill>
              </w:rPr>
              <w:t>袋</w:t>
            </w:r>
          </w:p>
        </w:tc>
        <w:tc>
          <w:tcPr>
            <w:tcW w:w="141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275000袋</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需提供样品</w:t>
            </w:r>
          </w:p>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p>
        </w:tc>
        <w:tc>
          <w:tcPr>
            <w:tcW w:w="87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巧克力</w:t>
            </w:r>
          </w:p>
        </w:tc>
        <w:tc>
          <w:tcPr>
            <w:tcW w:w="3477"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送货到站距离保质期≥8个月，独立包装（块或盒），不能是零散的，净重每个独立包装≥200g，产品≥3种口味，可可脂含量≥50%。</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≤35元/盒</w:t>
            </w:r>
          </w:p>
        </w:tc>
        <w:tc>
          <w:tcPr>
            <w:tcW w:w="141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300盒</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需提供样品</w:t>
            </w:r>
          </w:p>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88" w:type="dxa"/>
            <w:vMerge w:val="restart"/>
            <w:tcBorders>
              <w:top w:val="single" w:color="auto" w:sz="4" w:space="0"/>
              <w:left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p>
        </w:tc>
        <w:tc>
          <w:tcPr>
            <w:tcW w:w="877" w:type="dxa"/>
            <w:vMerge w:val="restart"/>
            <w:tcBorders>
              <w:top w:val="single" w:color="auto" w:sz="4" w:space="0"/>
              <w:left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食用油</w:t>
            </w:r>
          </w:p>
        </w:tc>
        <w:tc>
          <w:tcPr>
            <w:tcW w:w="3477" w:type="dxa"/>
            <w:vMerge w:val="restart"/>
            <w:tcBorders>
              <w:top w:val="single" w:color="auto" w:sz="4" w:space="0"/>
              <w:left w:val="single" w:color="auto" w:sz="4" w:space="0"/>
              <w:right w:val="single" w:color="auto" w:sz="4" w:space="0"/>
            </w:tcBorders>
          </w:tcPr>
          <w:p>
            <w:pPr>
              <w:spacing w:line="3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lang w:eastAsia="zh-CN"/>
              </w:rPr>
              <w:t>压榨性，非转基因产品，</w:t>
            </w:r>
            <w:r>
              <w:rPr>
                <w:rFonts w:hint="eastAsia" w:ascii="宋体" w:hAnsi="宋体" w:eastAsia="宋体" w:cs="宋体"/>
                <w:color w:val="000000"/>
                <w:sz w:val="28"/>
                <w:szCs w:val="28"/>
              </w:rPr>
              <w:t>花生油、葵花籽油、菜籽油等，送货到站距离保质期≥12个月，独立包装。</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5L/桶≤65元/桶</w:t>
            </w:r>
          </w:p>
        </w:tc>
        <w:tc>
          <w:tcPr>
            <w:tcW w:w="141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3000桶 </w:t>
            </w:r>
          </w:p>
          <w:p>
            <w:pPr>
              <w:rPr>
                <w:rFonts w:hint="eastAsia" w:ascii="宋体" w:hAnsi="宋体" w:eastAsia="宋体" w:cs="宋体"/>
                <w:sz w:val="28"/>
                <w:szCs w:val="28"/>
              </w:rPr>
            </w:pPr>
          </w:p>
          <w:p>
            <w:pPr>
              <w:rPr>
                <w:rFonts w:hint="eastAsia" w:ascii="宋体" w:hAnsi="宋体" w:eastAsia="宋体" w:cs="宋体"/>
                <w:sz w:val="28"/>
                <w:szCs w:val="28"/>
              </w:rPr>
            </w:pPr>
          </w:p>
        </w:tc>
        <w:tc>
          <w:tcPr>
            <w:tcW w:w="14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需提供样品</w:t>
            </w:r>
          </w:p>
          <w:p>
            <w:pPr>
              <w:widowControl/>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88" w:type="dxa"/>
            <w:vMerge w:val="continue"/>
            <w:tcBorders>
              <w:left w:val="single" w:color="auto" w:sz="4" w:space="0"/>
              <w:bottom w:val="single" w:color="auto" w:sz="4" w:space="0"/>
              <w:right w:val="single" w:color="auto" w:sz="4" w:space="0"/>
            </w:tcBorders>
          </w:tcPr>
          <w:p>
            <w:pPr>
              <w:ind w:firstLine="360"/>
              <w:rPr>
                <w:rFonts w:hint="eastAsia" w:ascii="宋体" w:hAnsi="宋体" w:eastAsia="宋体" w:cs="宋体"/>
                <w:color w:val="000000" w:themeColor="text1"/>
                <w:sz w:val="28"/>
                <w:szCs w:val="28"/>
                <w14:textFill>
                  <w14:solidFill>
                    <w14:schemeClr w14:val="tx1"/>
                  </w14:solidFill>
                </w14:textFill>
              </w:rPr>
            </w:pPr>
          </w:p>
        </w:tc>
        <w:tc>
          <w:tcPr>
            <w:tcW w:w="877" w:type="dxa"/>
            <w:vMerge w:val="continue"/>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p>
        </w:tc>
        <w:tc>
          <w:tcPr>
            <w:tcW w:w="3477" w:type="dxa"/>
            <w:vMerge w:val="continue"/>
            <w:tcBorders>
              <w:left w:val="single" w:color="auto" w:sz="4" w:space="0"/>
              <w:bottom w:val="single" w:color="auto" w:sz="4" w:space="0"/>
              <w:right w:val="single" w:color="auto" w:sz="4" w:space="0"/>
            </w:tcBorders>
          </w:tcPr>
          <w:p>
            <w:pPr>
              <w:spacing w:line="360" w:lineRule="exact"/>
              <w:ind w:left="94" w:leftChars="38" w:firstLine="422" w:firstLineChars="147"/>
              <w:rPr>
                <w:rFonts w:hint="eastAsia" w:ascii="宋体" w:hAnsi="宋体" w:eastAsia="宋体" w:cs="宋体"/>
                <w:color w:val="000000" w:themeColor="text1"/>
                <w:sz w:val="28"/>
                <w:szCs w:val="2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1.8L/桶≤35元/桶</w:t>
            </w:r>
          </w:p>
        </w:tc>
        <w:tc>
          <w:tcPr>
            <w:tcW w:w="141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p>
          <w:p>
            <w:pPr>
              <w:rPr>
                <w:rFonts w:hint="eastAsia" w:ascii="宋体" w:hAnsi="宋体" w:eastAsia="宋体" w:cs="宋体"/>
                <w:color w:val="FF0000"/>
                <w:sz w:val="28"/>
                <w:szCs w:val="28"/>
              </w:rPr>
            </w:pPr>
            <w:r>
              <w:rPr>
                <w:rFonts w:hint="eastAsia" w:ascii="宋体" w:hAnsi="宋体" w:eastAsia="宋体" w:cs="宋体"/>
                <w:sz w:val="28"/>
                <w:szCs w:val="28"/>
              </w:rPr>
              <w:t>4145桶</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需提供样品</w:t>
            </w:r>
          </w:p>
          <w:p>
            <w:pPr>
              <w:rPr>
                <w:rFonts w:hint="eastAsia" w:ascii="宋体" w:hAnsi="宋体" w:eastAsia="宋体" w:cs="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78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p>
          <w:p>
            <w:pPr>
              <w:ind w:firstLine="360"/>
              <w:rPr>
                <w:rFonts w:hint="eastAsia" w:ascii="宋体" w:hAnsi="宋体" w:eastAsia="宋体" w:cs="宋体"/>
                <w:color w:val="000000" w:themeColor="text1"/>
                <w:sz w:val="28"/>
                <w:szCs w:val="28"/>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什锦糖</w:t>
            </w:r>
          </w:p>
        </w:tc>
        <w:tc>
          <w:tcPr>
            <w:tcW w:w="3477" w:type="dxa"/>
            <w:tcBorders>
              <w:top w:val="single" w:color="auto" w:sz="4" w:space="0"/>
              <w:left w:val="single" w:color="auto" w:sz="4" w:space="0"/>
              <w:bottom w:val="single" w:color="auto" w:sz="4" w:space="0"/>
              <w:right w:val="single" w:color="auto" w:sz="4" w:space="0"/>
            </w:tcBorders>
          </w:tcPr>
          <w:p>
            <w:pPr>
              <w:spacing w:line="360" w:lineRule="exact"/>
              <w:ind w:left="94" w:leftChars="38" w:firstLine="144" w:firstLineChars="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送货到站距离保质期≥12个月，</w:t>
            </w:r>
            <w:r>
              <w:rPr>
                <w:rFonts w:hint="eastAsia" w:ascii="宋体" w:hAnsi="宋体" w:eastAsia="宋体" w:cs="宋体"/>
                <w:color w:val="000000" w:themeColor="text1"/>
                <w:sz w:val="28"/>
                <w:szCs w:val="28"/>
                <w14:textFill>
                  <w14:solidFill>
                    <w14:schemeClr w14:val="tx1"/>
                  </w14:solidFill>
                </w14:textFill>
              </w:rPr>
              <w:t>每斤里包括多口味水果糖、多口味奶糖、黑糖话梅、巧克力、酥心糖、薄饼等多个品种。</w:t>
            </w:r>
          </w:p>
        </w:tc>
        <w:tc>
          <w:tcPr>
            <w:tcW w:w="127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每斤≤35元</w:t>
            </w:r>
          </w:p>
        </w:tc>
        <w:tc>
          <w:tcPr>
            <w:tcW w:w="141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 xml:space="preserve">400斤 </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需提供样品</w:t>
            </w:r>
          </w:p>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p>
          <w:p>
            <w:pPr>
              <w:ind w:firstLine="360"/>
              <w:rPr>
                <w:rFonts w:hint="eastAsia" w:ascii="宋体" w:hAnsi="宋体" w:eastAsia="宋体" w:cs="宋体"/>
                <w:color w:val="000000" w:themeColor="text1"/>
                <w:sz w:val="28"/>
                <w:szCs w:val="28"/>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桂圆莲子八宝粥</w:t>
            </w:r>
          </w:p>
        </w:tc>
        <w:tc>
          <w:tcPr>
            <w:tcW w:w="3477" w:type="dxa"/>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易拉罐包装，容量</w:t>
            </w:r>
            <w:r>
              <w:rPr>
                <w:rFonts w:hint="eastAsia" w:ascii="宋体" w:hAnsi="宋体" w:eastAsia="宋体" w:cs="宋体"/>
                <w:color w:val="000000"/>
                <w:sz w:val="28"/>
                <w:szCs w:val="28"/>
              </w:rPr>
              <w:t>≥</w:t>
            </w:r>
            <w:r>
              <w:rPr>
                <w:rFonts w:hint="eastAsia" w:ascii="宋体" w:hAnsi="宋体" w:eastAsia="宋体" w:cs="宋体"/>
                <w:color w:val="000000" w:themeColor="text1"/>
                <w:sz w:val="28"/>
                <w:szCs w:val="28"/>
                <w14:textFill>
                  <w14:solidFill>
                    <w14:schemeClr w14:val="tx1"/>
                  </w14:solidFill>
                </w14:textFill>
              </w:rPr>
              <w:t>350</w:t>
            </w:r>
            <w:r>
              <w:rPr>
                <w:rFonts w:hint="eastAsia" w:ascii="宋体" w:hAnsi="宋体" w:eastAsia="宋体" w:cs="宋体"/>
                <w:color w:val="000000" w:themeColor="text1"/>
                <w:sz w:val="28"/>
                <w:szCs w:val="28"/>
                <w:lang w:val="en-US" w:eastAsia="zh-CN"/>
                <w14:textFill>
                  <w14:solidFill>
                    <w14:schemeClr w14:val="tx1"/>
                  </w14:solidFill>
                </w14:textFill>
              </w:rPr>
              <w:t>g</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sz w:val="28"/>
                <w:szCs w:val="28"/>
              </w:rPr>
              <w:t>送货到站距离保质期≥12个月。</w:t>
            </w:r>
          </w:p>
        </w:tc>
        <w:tc>
          <w:tcPr>
            <w:tcW w:w="1276" w:type="dxa"/>
            <w:tcBorders>
              <w:top w:val="single" w:color="auto" w:sz="4" w:space="0"/>
              <w:left w:val="single" w:color="auto" w:sz="4" w:space="0"/>
              <w:bottom w:val="single" w:color="auto" w:sz="4" w:space="0"/>
              <w:right w:val="single" w:color="auto" w:sz="4" w:space="0"/>
            </w:tcBorders>
          </w:tcPr>
          <w:p>
            <w:pPr>
              <w:ind w:firstLine="36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每听≤3.5元</w:t>
            </w:r>
          </w:p>
        </w:tc>
        <w:tc>
          <w:tcPr>
            <w:tcW w:w="141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2000听</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需提供样品</w:t>
            </w:r>
          </w:p>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78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p>
        </w:tc>
        <w:tc>
          <w:tcPr>
            <w:tcW w:w="87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方糖</w:t>
            </w:r>
          </w:p>
        </w:tc>
        <w:tc>
          <w:tcPr>
            <w:tcW w:w="3477" w:type="dxa"/>
            <w:tcBorders>
              <w:top w:val="single" w:color="auto" w:sz="4" w:space="0"/>
              <w:left w:val="single" w:color="auto" w:sz="4" w:space="0"/>
              <w:bottom w:val="single" w:color="auto" w:sz="4" w:space="0"/>
              <w:right w:val="single" w:color="auto" w:sz="4" w:space="0"/>
            </w:tcBorders>
            <w:vAlign w:val="top"/>
          </w:tcPr>
          <w:p>
            <w:pPr>
              <w:pStyle w:val="86"/>
              <w:spacing w:line="360" w:lineRule="exact"/>
              <w:ind w:left="180" w:leftChars="0" w:firstLine="0" w:firstLineChars="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容量≥350g，其中每块方糖4g-5g。</w:t>
            </w:r>
          </w:p>
        </w:tc>
        <w:tc>
          <w:tcPr>
            <w:tcW w:w="1276" w:type="dxa"/>
            <w:tcBorders>
              <w:top w:val="single" w:color="auto" w:sz="4" w:space="0"/>
              <w:left w:val="single" w:color="auto" w:sz="4" w:space="0"/>
              <w:bottom w:val="single" w:color="auto" w:sz="4" w:space="0"/>
              <w:right w:val="single" w:color="auto" w:sz="4" w:space="0"/>
            </w:tcBorders>
            <w:vAlign w:val="top"/>
          </w:tcPr>
          <w:p>
            <w:pPr>
              <w:ind w:firstLine="360" w:firstLineChars="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每袋≤10元</w:t>
            </w:r>
          </w:p>
        </w:tc>
        <w:tc>
          <w:tcPr>
            <w:tcW w:w="141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6000 袋</w:t>
            </w:r>
          </w:p>
        </w:tc>
        <w:tc>
          <w:tcPr>
            <w:tcW w:w="141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需提供样品</w:t>
            </w:r>
          </w:p>
          <w:p>
            <w:pPr>
              <w:rPr>
                <w:rFonts w:hint="eastAsia" w:ascii="宋体" w:hAnsi="宋体" w:eastAsia="宋体" w:cs="宋体"/>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8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p>
        </w:tc>
        <w:tc>
          <w:tcPr>
            <w:tcW w:w="87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手撕面包</w:t>
            </w:r>
          </w:p>
        </w:tc>
        <w:tc>
          <w:tcPr>
            <w:tcW w:w="3477" w:type="dxa"/>
            <w:tcBorders>
              <w:top w:val="single" w:color="auto" w:sz="4" w:space="0"/>
              <w:left w:val="single" w:color="auto" w:sz="4" w:space="0"/>
              <w:bottom w:val="single" w:color="auto" w:sz="4" w:space="0"/>
              <w:right w:val="single" w:color="auto" w:sz="4" w:space="0"/>
            </w:tcBorders>
          </w:tcPr>
          <w:p>
            <w:pPr>
              <w:spacing w:line="360" w:lineRule="exact"/>
              <w:ind w:firstLine="144" w:firstLineChars="5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每个面包重量≥150克，独立便携包装，主要成分为面粉、鸡蛋、白糖和黄油，口味为麦香和奶香味，</w:t>
            </w:r>
            <w:r>
              <w:rPr>
                <w:rFonts w:hint="eastAsia" w:ascii="宋体" w:hAnsi="宋体" w:eastAsia="宋体" w:cs="宋体"/>
                <w:color w:val="000000"/>
                <w:sz w:val="28"/>
                <w:szCs w:val="28"/>
              </w:rPr>
              <w:t>送货到站距离保质期</w:t>
            </w:r>
            <w:r>
              <w:rPr>
                <w:rFonts w:hint="eastAsia" w:ascii="宋体" w:hAnsi="宋体" w:eastAsia="宋体" w:cs="宋体"/>
                <w:color w:val="000000" w:themeColor="text1"/>
                <w:sz w:val="28"/>
                <w:szCs w:val="28"/>
                <w14:textFill>
                  <w14:solidFill>
                    <w14:schemeClr w14:val="tx1"/>
                  </w14:solidFill>
                </w14:textFill>
              </w:rPr>
              <w:t>≥7天。</w:t>
            </w:r>
          </w:p>
        </w:tc>
        <w:tc>
          <w:tcPr>
            <w:tcW w:w="1276" w:type="dxa"/>
            <w:tcBorders>
              <w:top w:val="single" w:color="auto" w:sz="4" w:space="0"/>
              <w:left w:val="single" w:color="auto" w:sz="4" w:space="0"/>
              <w:bottom w:val="single" w:color="auto" w:sz="4" w:space="0"/>
              <w:right w:val="single" w:color="auto" w:sz="4" w:space="0"/>
            </w:tcBorders>
          </w:tcPr>
          <w:p>
            <w:pPr>
              <w:ind w:firstLine="36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每个≤7元</w:t>
            </w:r>
          </w:p>
        </w:tc>
        <w:tc>
          <w:tcPr>
            <w:tcW w:w="141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color w:val="333333"/>
                <w:sz w:val="28"/>
                <w:szCs w:val="28"/>
              </w:rPr>
              <w:t>1200个</w:t>
            </w:r>
          </w:p>
        </w:tc>
        <w:tc>
          <w:tcPr>
            <w:tcW w:w="14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8"/>
                <w:szCs w:val="28"/>
              </w:rPr>
            </w:pPr>
            <w:r>
              <w:rPr>
                <w:rFonts w:hint="eastAsia" w:ascii="宋体" w:hAnsi="宋体" w:eastAsia="宋体" w:cs="宋体"/>
                <w:sz w:val="28"/>
                <w:szCs w:val="28"/>
              </w:rPr>
              <w:t>需提供样品</w:t>
            </w:r>
          </w:p>
          <w:p>
            <w:pPr>
              <w:rPr>
                <w:rFonts w:hint="eastAsia" w:ascii="宋体" w:hAnsi="宋体" w:eastAsia="宋体" w:cs="宋体"/>
                <w:sz w:val="28"/>
                <w:szCs w:val="28"/>
              </w:rPr>
            </w:pPr>
          </w:p>
        </w:tc>
      </w:tr>
    </w:tbl>
    <w:p>
      <w:pPr>
        <w:pStyle w:val="86"/>
        <w:numPr>
          <w:ilvl w:val="0"/>
          <w:numId w:val="0"/>
        </w:numPr>
        <w:spacing w:line="360" w:lineRule="auto"/>
        <w:ind w:leftChars="0"/>
        <w:rPr>
          <w:rFonts w:ascii="宋体" w:hAnsi="宋体"/>
          <w:b/>
          <w:bCs w:val="0"/>
          <w:sz w:val="28"/>
          <w:szCs w:val="28"/>
        </w:rPr>
      </w:pPr>
      <w:bookmarkStart w:id="83" w:name="_Toc356221158"/>
      <w:bookmarkStart w:id="84" w:name="_Toc356221339"/>
      <w:bookmarkStart w:id="85" w:name="_Toc356221274"/>
      <w:r>
        <w:rPr>
          <w:rFonts w:hint="eastAsia" w:ascii="宋体" w:hAnsi="宋体"/>
          <w:b/>
          <w:bCs w:val="0"/>
          <w:sz w:val="28"/>
          <w:szCs w:val="28"/>
          <w:lang w:val="en-US" w:eastAsia="zh-CN"/>
        </w:rPr>
        <w:t>2.</w:t>
      </w:r>
      <w:r>
        <w:rPr>
          <w:rFonts w:hint="eastAsia" w:ascii="宋体" w:hAnsi="宋体"/>
          <w:b/>
          <w:bCs w:val="0"/>
          <w:sz w:val="28"/>
          <w:szCs w:val="28"/>
        </w:rPr>
        <w:t>采购要求：</w:t>
      </w:r>
    </w:p>
    <w:p>
      <w:pPr>
        <w:numPr>
          <w:ilvl w:val="0"/>
          <w:numId w:val="0"/>
        </w:numPr>
        <w:tabs>
          <w:tab w:val="left" w:pos="79"/>
        </w:tabs>
        <w:spacing w:line="360" w:lineRule="auto"/>
        <w:ind w:left="79" w:leftChars="0"/>
        <w:rPr>
          <w:rFonts w:ascii="宋体" w:hAnsi="宋体"/>
          <w:bCs/>
          <w:sz w:val="28"/>
          <w:szCs w:val="28"/>
        </w:rPr>
      </w:pPr>
      <w:r>
        <w:rPr>
          <w:rFonts w:hint="eastAsia" w:ascii="宋体" w:hAnsi="宋体"/>
          <w:bCs/>
          <w:sz w:val="28"/>
          <w:szCs w:val="28"/>
          <w:lang w:eastAsia="zh-CN"/>
        </w:rPr>
        <w:t>（</w:t>
      </w:r>
      <w:r>
        <w:rPr>
          <w:rFonts w:hint="eastAsia" w:ascii="宋体" w:hAnsi="宋体"/>
          <w:bCs/>
          <w:sz w:val="28"/>
          <w:szCs w:val="28"/>
          <w:lang w:val="en-US" w:eastAsia="zh-CN"/>
        </w:rPr>
        <w:t>1</w:t>
      </w:r>
      <w:r>
        <w:rPr>
          <w:rFonts w:hint="eastAsia" w:ascii="宋体" w:hAnsi="宋体"/>
          <w:bCs/>
          <w:sz w:val="28"/>
          <w:szCs w:val="28"/>
          <w:lang w:eastAsia="zh-CN"/>
        </w:rPr>
        <w:t>）</w:t>
      </w:r>
      <w:r>
        <w:rPr>
          <w:rFonts w:hint="eastAsia" w:ascii="宋体" w:hAnsi="宋体"/>
          <w:bCs/>
          <w:sz w:val="28"/>
          <w:szCs w:val="28"/>
        </w:rPr>
        <w:t>参加投标或报名的厂家或代理商应当提供每种品牌产品的具体信息，必须包括产品名称、产品型号、参数、市场价、供货价等。同时提供供货、运输、及售后服务项承诺，参加投标或报名的厂家或代理商提供政府采购供货价格信用书面承诺，即中标后在协议期间内价格不得变化，不得超出同期本产品的市场批发价格。</w:t>
      </w:r>
    </w:p>
    <w:p>
      <w:pPr>
        <w:numPr>
          <w:ilvl w:val="0"/>
          <w:numId w:val="0"/>
        </w:numPr>
        <w:tabs>
          <w:tab w:val="left" w:pos="79"/>
        </w:tabs>
        <w:spacing w:line="360" w:lineRule="auto"/>
        <w:ind w:left="79" w:leftChars="0"/>
        <w:rPr>
          <w:rFonts w:ascii="宋体" w:hAnsi="宋体"/>
          <w:bCs/>
          <w:sz w:val="28"/>
          <w:szCs w:val="28"/>
        </w:rPr>
      </w:pPr>
      <w:r>
        <w:rPr>
          <w:rFonts w:hint="eastAsia" w:ascii="宋体" w:hAnsi="宋体"/>
          <w:bCs/>
          <w:sz w:val="28"/>
          <w:szCs w:val="28"/>
          <w:lang w:eastAsia="zh-CN"/>
        </w:rPr>
        <w:t>（</w:t>
      </w:r>
      <w:r>
        <w:rPr>
          <w:rFonts w:hint="eastAsia" w:ascii="宋体" w:hAnsi="宋体"/>
          <w:bCs/>
          <w:sz w:val="28"/>
          <w:szCs w:val="28"/>
          <w:lang w:val="en-US" w:eastAsia="zh-CN"/>
        </w:rPr>
        <w:t>2</w:t>
      </w:r>
      <w:r>
        <w:rPr>
          <w:rFonts w:hint="eastAsia" w:ascii="宋体" w:hAnsi="宋体"/>
          <w:bCs/>
          <w:sz w:val="28"/>
          <w:szCs w:val="28"/>
          <w:lang w:eastAsia="zh-CN"/>
        </w:rPr>
        <w:t>）</w:t>
      </w:r>
      <w:r>
        <w:rPr>
          <w:rFonts w:hint="eastAsia" w:ascii="宋体" w:hAnsi="宋体"/>
          <w:bCs/>
          <w:sz w:val="28"/>
          <w:szCs w:val="28"/>
        </w:rPr>
        <w:t>供应商负责提供每种产品</w:t>
      </w:r>
      <w:r>
        <w:rPr>
          <w:rFonts w:ascii="宋体" w:hAnsi="宋体"/>
          <w:bCs/>
          <w:sz w:val="28"/>
          <w:szCs w:val="28"/>
        </w:rPr>
        <w:t>LOGO</w:t>
      </w:r>
      <w:r>
        <w:rPr>
          <w:rFonts w:hint="eastAsia" w:ascii="宋体" w:hAnsi="宋体"/>
          <w:bCs/>
          <w:sz w:val="28"/>
          <w:szCs w:val="28"/>
        </w:rPr>
        <w:t>设计方案，所有中标产品按血站要求加印血站</w:t>
      </w:r>
      <w:r>
        <w:rPr>
          <w:rFonts w:ascii="宋体" w:hAnsi="宋体"/>
          <w:bCs/>
          <w:sz w:val="28"/>
          <w:szCs w:val="28"/>
        </w:rPr>
        <w:t>LOGO</w:t>
      </w:r>
      <w:r>
        <w:rPr>
          <w:rFonts w:hint="eastAsia" w:ascii="宋体" w:hAnsi="宋体"/>
          <w:bCs/>
          <w:sz w:val="28"/>
          <w:szCs w:val="28"/>
        </w:rPr>
        <w:t>，最终版权归血站所有。</w:t>
      </w:r>
    </w:p>
    <w:p>
      <w:pPr>
        <w:numPr>
          <w:ilvl w:val="0"/>
          <w:numId w:val="0"/>
        </w:numPr>
        <w:tabs>
          <w:tab w:val="left" w:pos="79"/>
        </w:tabs>
        <w:spacing w:line="360" w:lineRule="auto"/>
        <w:ind w:left="79" w:leftChars="0"/>
        <w:rPr>
          <w:rFonts w:ascii="宋体" w:hAnsi="宋体"/>
          <w:bCs/>
          <w:sz w:val="28"/>
          <w:szCs w:val="28"/>
        </w:rPr>
      </w:pPr>
      <w:r>
        <w:rPr>
          <w:rFonts w:hint="eastAsia" w:ascii="宋体" w:hAnsi="宋体"/>
          <w:bCs/>
          <w:sz w:val="28"/>
          <w:szCs w:val="28"/>
          <w:lang w:eastAsia="zh-CN"/>
        </w:rPr>
        <w:t>（</w:t>
      </w:r>
      <w:r>
        <w:rPr>
          <w:rFonts w:hint="eastAsia" w:ascii="宋体" w:hAnsi="宋体"/>
          <w:bCs/>
          <w:sz w:val="28"/>
          <w:szCs w:val="28"/>
          <w:lang w:val="en-US" w:eastAsia="zh-CN"/>
        </w:rPr>
        <w:t>3</w:t>
      </w:r>
      <w:r>
        <w:rPr>
          <w:rFonts w:hint="eastAsia" w:ascii="宋体" w:hAnsi="宋体"/>
          <w:bCs/>
          <w:sz w:val="28"/>
          <w:szCs w:val="28"/>
          <w:lang w:eastAsia="zh-CN"/>
        </w:rPr>
        <w:t>）</w:t>
      </w:r>
      <w:r>
        <w:rPr>
          <w:rFonts w:hint="eastAsia" w:ascii="宋体" w:hAnsi="宋体"/>
          <w:bCs/>
          <w:sz w:val="28"/>
          <w:szCs w:val="28"/>
        </w:rPr>
        <w:t>投标人应保证，招标人在中华人民共和国使用货物或货物的任何一部分时，招标人免受第三方提出侵犯其专利权、商标权或其它知识产权的起诉。</w:t>
      </w:r>
    </w:p>
    <w:p>
      <w:pPr>
        <w:numPr>
          <w:ilvl w:val="0"/>
          <w:numId w:val="0"/>
        </w:numPr>
        <w:tabs>
          <w:tab w:val="left" w:pos="79"/>
        </w:tabs>
        <w:spacing w:line="360" w:lineRule="auto"/>
        <w:ind w:left="79" w:leftChars="0"/>
        <w:rPr>
          <w:rFonts w:ascii="宋体" w:hAnsi="宋体"/>
          <w:bCs/>
          <w:sz w:val="28"/>
          <w:szCs w:val="28"/>
        </w:rPr>
      </w:pPr>
      <w:r>
        <w:rPr>
          <w:rFonts w:hint="eastAsia" w:ascii="宋体" w:hAnsi="宋体"/>
          <w:bCs/>
          <w:sz w:val="28"/>
          <w:szCs w:val="28"/>
          <w:lang w:eastAsia="zh-CN"/>
        </w:rPr>
        <w:t>（</w:t>
      </w:r>
      <w:r>
        <w:rPr>
          <w:rFonts w:hint="eastAsia" w:ascii="宋体" w:hAnsi="宋体"/>
          <w:bCs/>
          <w:sz w:val="28"/>
          <w:szCs w:val="28"/>
          <w:lang w:val="en-US" w:eastAsia="zh-CN"/>
        </w:rPr>
        <w:t>4</w:t>
      </w:r>
      <w:r>
        <w:rPr>
          <w:rFonts w:hint="eastAsia" w:ascii="宋体" w:hAnsi="宋体"/>
          <w:bCs/>
          <w:sz w:val="28"/>
          <w:szCs w:val="28"/>
          <w:lang w:eastAsia="zh-CN"/>
        </w:rPr>
        <w:t>）</w:t>
      </w:r>
      <w:r>
        <w:rPr>
          <w:rFonts w:hint="eastAsia" w:ascii="宋体" w:hAnsi="宋体"/>
          <w:bCs/>
          <w:sz w:val="28"/>
          <w:szCs w:val="28"/>
        </w:rPr>
        <w:t>投标价应包括所有应支付的对专利权和版权、设计或其他知识产权而需要向其他方支付的版税。</w:t>
      </w:r>
    </w:p>
    <w:p>
      <w:pPr>
        <w:numPr>
          <w:ilvl w:val="0"/>
          <w:numId w:val="0"/>
        </w:numPr>
        <w:tabs>
          <w:tab w:val="left" w:pos="79"/>
        </w:tabs>
        <w:spacing w:line="360" w:lineRule="auto"/>
        <w:ind w:left="80" w:leftChars="0"/>
        <w:rPr>
          <w:rFonts w:ascii="宋体" w:hAnsi="宋体"/>
          <w:bCs/>
          <w:sz w:val="28"/>
          <w:szCs w:val="28"/>
        </w:rPr>
      </w:pPr>
      <w:r>
        <w:rPr>
          <w:rFonts w:hint="eastAsia" w:ascii="宋体" w:hAnsi="宋体"/>
          <w:bCs/>
          <w:sz w:val="28"/>
          <w:szCs w:val="28"/>
          <w:lang w:eastAsia="zh-CN"/>
        </w:rPr>
        <w:t>（</w:t>
      </w:r>
      <w:r>
        <w:rPr>
          <w:rFonts w:hint="default" w:ascii="宋体" w:hAnsi="宋体"/>
          <w:bCs/>
          <w:sz w:val="28"/>
          <w:szCs w:val="28"/>
          <w:lang w:eastAsia="zh-CN"/>
        </w:rPr>
        <w:t>5</w:t>
      </w:r>
      <w:r>
        <w:rPr>
          <w:rFonts w:hint="eastAsia" w:ascii="宋体" w:hAnsi="宋体"/>
          <w:bCs/>
          <w:sz w:val="28"/>
          <w:szCs w:val="28"/>
          <w:lang w:eastAsia="zh-CN"/>
        </w:rPr>
        <w:t>）</w:t>
      </w:r>
      <w:r>
        <w:rPr>
          <w:rFonts w:hint="eastAsia" w:ascii="宋体" w:hAnsi="宋体"/>
          <w:bCs/>
          <w:sz w:val="28"/>
          <w:szCs w:val="28"/>
        </w:rPr>
        <w:t>中标厂家或代理商必须设立总协调人，全权负责其中标产品供货市场的管理，对供货行为进行规范与监督，协调处理与其中标产品有关的信息咨询、争议纠纷，积极配合财政部门政府采购管理工作，负责提供相关信息资料，承诺提供售后服务，管理供应商日常供货合同价格，并接受监督等。</w:t>
      </w:r>
    </w:p>
    <w:p>
      <w:pPr>
        <w:numPr>
          <w:ilvl w:val="0"/>
          <w:numId w:val="0"/>
        </w:numPr>
        <w:tabs>
          <w:tab w:val="left" w:pos="79"/>
        </w:tabs>
        <w:spacing w:line="360" w:lineRule="auto"/>
        <w:ind w:left="80" w:leftChars="0"/>
        <w:rPr>
          <w:rFonts w:ascii="宋体" w:hAnsi="宋体"/>
          <w:bCs/>
          <w:sz w:val="28"/>
          <w:szCs w:val="28"/>
        </w:rPr>
      </w:pPr>
      <w:r>
        <w:rPr>
          <w:rFonts w:hint="default" w:ascii="宋体" w:hAnsi="宋体"/>
          <w:bCs/>
          <w:sz w:val="28"/>
          <w:szCs w:val="28"/>
        </w:rPr>
        <w:t>（6）</w:t>
      </w:r>
      <w:r>
        <w:rPr>
          <w:rFonts w:hint="eastAsia" w:ascii="宋体" w:hAnsi="宋体"/>
          <w:bCs/>
          <w:sz w:val="28"/>
          <w:szCs w:val="28"/>
        </w:rPr>
        <w:t>中标厂家或代理商在供货合同执行期间，供货商应接受采购单位的评价，并作为市财政局考核供货质量的重要依据，出现下列情况将取消供货资格：</w:t>
      </w:r>
    </w:p>
    <w:p>
      <w:pPr>
        <w:spacing w:line="360" w:lineRule="auto"/>
        <w:ind w:firstLine="288" w:firstLineChars="100"/>
        <w:rPr>
          <w:rFonts w:ascii="宋体" w:hAnsi="宋体"/>
          <w:bCs/>
          <w:sz w:val="28"/>
          <w:szCs w:val="28"/>
        </w:rPr>
      </w:pPr>
      <w:r>
        <w:rPr>
          <w:rFonts w:hint="default" w:ascii="宋体" w:hAnsi="宋体"/>
          <w:bCs/>
          <w:sz w:val="28"/>
          <w:szCs w:val="28"/>
        </w:rPr>
        <w:t>①</w:t>
      </w:r>
      <w:r>
        <w:rPr>
          <w:rFonts w:hint="eastAsia" w:ascii="宋体" w:hAnsi="宋体"/>
          <w:bCs/>
          <w:sz w:val="28"/>
          <w:szCs w:val="28"/>
        </w:rPr>
        <w:t>因总协调人变更调整等未能及时处理发生的问题，出现质疑、投诉的；</w:t>
      </w:r>
    </w:p>
    <w:p>
      <w:pPr>
        <w:spacing w:line="360" w:lineRule="auto"/>
        <w:ind w:firstLine="288" w:firstLineChars="100"/>
        <w:rPr>
          <w:rFonts w:ascii="宋体" w:hAnsi="宋体"/>
          <w:bCs/>
          <w:sz w:val="28"/>
          <w:szCs w:val="28"/>
        </w:rPr>
      </w:pPr>
      <w:r>
        <w:rPr>
          <w:rFonts w:hint="default" w:ascii="宋体" w:hAnsi="宋体"/>
          <w:bCs/>
          <w:sz w:val="28"/>
          <w:szCs w:val="28"/>
        </w:rPr>
        <w:t>②</w:t>
      </w:r>
      <w:r>
        <w:rPr>
          <w:rFonts w:hint="eastAsia" w:ascii="宋体" w:hAnsi="宋体"/>
          <w:bCs/>
          <w:sz w:val="28"/>
          <w:szCs w:val="28"/>
        </w:rPr>
        <w:t>在协议期间的日常供货合同价格超过同期市场价格的，经核实查证三次的；</w:t>
      </w:r>
    </w:p>
    <w:p>
      <w:pPr>
        <w:outlineLvl w:val="9"/>
        <w:rPr>
          <w:rFonts w:hint="eastAsia" w:ascii="宋体" w:hAnsi="宋体"/>
          <w:sz w:val="28"/>
          <w:szCs w:val="28"/>
        </w:rPr>
      </w:pPr>
      <w:r>
        <w:rPr>
          <w:rFonts w:hint="default" w:ascii="宋体" w:hAnsi="宋体"/>
          <w:sz w:val="28"/>
          <w:szCs w:val="28"/>
        </w:rPr>
        <w:t>③</w:t>
      </w:r>
      <w:r>
        <w:rPr>
          <w:rFonts w:hint="eastAsia" w:ascii="宋体" w:hAnsi="宋体"/>
          <w:sz w:val="28"/>
          <w:szCs w:val="28"/>
        </w:rPr>
        <w:t>供货商有违反合同规定，或有质疑、投诉，经查属实的，按有关规定给予警告、通报批评，直至取消供货商供货资格。</w:t>
      </w:r>
      <w:bookmarkEnd w:id="83"/>
      <w:bookmarkEnd w:id="84"/>
      <w:bookmarkEnd w:id="85"/>
    </w:p>
    <w:p>
      <w:pPr>
        <w:outlineLvl w:val="9"/>
        <w:rPr>
          <w:rFonts w:hint="eastAsia" w:ascii="宋体" w:hAnsi="宋体" w:eastAsia="宋体" w:cs="宋体"/>
          <w:b/>
          <w:bCs/>
          <w:sz w:val="24"/>
          <w:szCs w:val="28"/>
          <w:lang w:eastAsia="zh-CN"/>
        </w:rPr>
      </w:pPr>
      <w:r>
        <w:rPr>
          <w:rFonts w:hint="eastAsia" w:ascii="宋体" w:hAnsi="宋体" w:eastAsia="宋体" w:cs="宋体"/>
          <w:b/>
          <w:bCs/>
          <w:sz w:val="24"/>
          <w:szCs w:val="28"/>
          <w:lang w:eastAsia="zh-CN"/>
        </w:rPr>
        <w:t>注：①单个产品需独立包装，带有LOGO图案（喷涂）和“西安市中心血站”名称（喷涂）</w:t>
      </w:r>
    </w:p>
    <w:p>
      <w:pPr>
        <w:pStyle w:val="11"/>
        <w:rPr>
          <w:rFonts w:hint="eastAsia" w:ascii="宋体" w:hAnsi="宋体" w:eastAsia="宋体" w:cs="宋体"/>
          <w:b/>
          <w:bCs/>
          <w:kern w:val="2"/>
          <w:sz w:val="24"/>
          <w:szCs w:val="28"/>
          <w:lang w:val="en-US" w:eastAsia="zh-CN" w:bidi="ar-SA"/>
        </w:rPr>
      </w:pPr>
      <w:r>
        <w:rPr>
          <w:rFonts w:hint="eastAsia" w:ascii="宋体" w:hAnsi="宋体" w:eastAsia="宋体" w:cs="宋体"/>
          <w:b/>
          <w:bCs/>
          <w:kern w:val="2"/>
          <w:sz w:val="24"/>
          <w:szCs w:val="28"/>
          <w:lang w:val="en-US" w:eastAsia="zh-CN" w:bidi="ar-SA"/>
        </w:rPr>
        <w:t>②LOGO图案</w:t>
      </w:r>
    </w:p>
    <w:p>
      <w:pPr>
        <w:ind w:firstLine="372" w:firstLineChars="150"/>
        <w:rPr>
          <w:rFonts w:hint="eastAsia" w:ascii="宋体" w:hAnsi="宋体" w:eastAsia="宋体" w:cs="宋体"/>
          <w:sz w:val="24"/>
          <w:szCs w:val="28"/>
          <w:lang w:eastAsia="zh-CN"/>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lang w:eastAsia="zh-CN"/>
        </w:rPr>
        <w:drawing>
          <wp:inline distT="0" distB="0" distL="114300" distR="114300">
            <wp:extent cx="2057400" cy="1885315"/>
            <wp:effectExtent l="0" t="0" r="0" b="635"/>
            <wp:docPr id="1" name="图片 1" descr="微信图片_2022033118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31181033"/>
                    <pic:cNvPicPr>
                      <a:picLocks noChangeAspect="1"/>
                    </pic:cNvPicPr>
                  </pic:nvPicPr>
                  <pic:blipFill>
                    <a:blip r:embed="rId19"/>
                    <a:stretch>
                      <a:fillRect/>
                    </a:stretch>
                  </pic:blipFill>
                  <pic:spPr>
                    <a:xfrm>
                      <a:off x="0" y="0"/>
                      <a:ext cx="2057400" cy="1885315"/>
                    </a:xfrm>
                    <a:prstGeom prst="rect">
                      <a:avLst/>
                    </a:prstGeom>
                    <a:noFill/>
                    <a:ln>
                      <a:noFill/>
                    </a:ln>
                  </pic:spPr>
                </pic:pic>
              </a:graphicData>
            </a:graphic>
          </wp:inline>
        </w:drawing>
      </w:r>
    </w:p>
    <w:p>
      <w:pPr>
        <w:spacing w:line="360" w:lineRule="auto"/>
        <w:ind w:firstLine="288" w:firstLineChars="100"/>
        <w:rPr>
          <w:rFonts w:ascii="宋体" w:hAnsi="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2"/>
        <w:numPr>
          <w:ilvl w:val="0"/>
          <w:numId w:val="4"/>
        </w:numPr>
        <w:rPr>
          <w:rFonts w:hint="eastAsia" w:ascii="宋体" w:hAnsi="宋体" w:eastAsia="宋体" w:cs="宋体"/>
        </w:rPr>
      </w:pPr>
      <w:r>
        <w:rPr>
          <w:rFonts w:hint="eastAsia" w:ascii="宋体" w:hAnsi="宋体" w:eastAsia="宋体" w:cs="宋体"/>
        </w:rPr>
        <w:t xml:space="preserve"> </w:t>
      </w:r>
      <w:bookmarkStart w:id="86" w:name="_Toc16940"/>
      <w:r>
        <w:rPr>
          <w:rFonts w:hint="eastAsia" w:ascii="宋体" w:hAnsi="宋体" w:eastAsia="宋体" w:cs="宋体"/>
        </w:rPr>
        <w:t>合同文本</w:t>
      </w:r>
      <w:bookmarkEnd w:id="86"/>
    </w:p>
    <w:p>
      <w:pPr>
        <w:tabs>
          <w:tab w:val="left" w:pos="5670"/>
        </w:tabs>
        <w:autoSpaceDE w:val="0"/>
        <w:autoSpaceDN w:val="0"/>
        <w:adjustRightInd w:val="0"/>
        <w:snapToGrid w:val="0"/>
        <w:spacing w:line="360" w:lineRule="auto"/>
        <w:rPr>
          <w:rFonts w:eastAsia="黑体"/>
          <w:color w:val="auto"/>
          <w:sz w:val="32"/>
          <w:szCs w:val="32"/>
        </w:rPr>
      </w:pPr>
    </w:p>
    <w:p>
      <w:pPr>
        <w:jc w:val="center"/>
        <w:rPr>
          <w:rFonts w:hint="eastAsia" w:ascii="宋体" w:hAnsi="宋体" w:eastAsia="宋体" w:cs="宋体"/>
          <w:b/>
          <w:bCs/>
          <w:sz w:val="56"/>
          <w:szCs w:val="56"/>
          <w:lang w:eastAsia="zh-CN"/>
        </w:rPr>
      </w:pPr>
      <w:r>
        <w:rPr>
          <w:rFonts w:hint="eastAsia"/>
          <w:b/>
          <w:bCs/>
          <w:color w:val="auto"/>
          <w:sz w:val="48"/>
          <w:szCs w:val="44"/>
        </w:rPr>
        <w:t xml:space="preserve">  </w:t>
      </w:r>
      <w:r>
        <w:rPr>
          <w:rFonts w:hint="eastAsia" w:ascii="宋体" w:hAnsi="宋体" w:eastAsia="宋体" w:cs="宋体"/>
          <w:b/>
          <w:bCs/>
          <w:sz w:val="56"/>
          <w:szCs w:val="56"/>
          <w:lang w:eastAsia="zh-CN"/>
        </w:rPr>
        <w:t>西安市中心血站</w:t>
      </w:r>
    </w:p>
    <w:p>
      <w:pPr>
        <w:autoSpaceDE w:val="0"/>
        <w:autoSpaceDN w:val="0"/>
        <w:snapToGrid w:val="0"/>
        <w:spacing w:line="360" w:lineRule="auto"/>
        <w:jc w:val="center"/>
        <w:outlineLvl w:val="9"/>
        <w:rPr>
          <w:b/>
          <w:bCs/>
          <w:color w:val="auto"/>
          <w:sz w:val="44"/>
          <w:szCs w:val="44"/>
        </w:rPr>
      </w:pPr>
      <w:r>
        <w:rPr>
          <w:rFonts w:hint="eastAsia" w:ascii="宋体" w:hAnsi="宋体" w:eastAsia="宋体" w:cs="宋体"/>
          <w:b/>
          <w:bCs/>
          <w:sz w:val="56"/>
          <w:szCs w:val="56"/>
          <w:lang w:val="en-US" w:eastAsia="zh-CN"/>
        </w:rPr>
        <w:t>2024年无偿献血食品类采购项目</w:t>
      </w:r>
    </w:p>
    <w:p>
      <w:pPr>
        <w:tabs>
          <w:tab w:val="left" w:pos="5670"/>
        </w:tabs>
        <w:autoSpaceDE w:val="0"/>
        <w:autoSpaceDN w:val="0"/>
        <w:adjustRightInd w:val="0"/>
        <w:snapToGrid w:val="0"/>
        <w:spacing w:line="360" w:lineRule="auto"/>
        <w:jc w:val="center"/>
        <w:outlineLvl w:val="9"/>
        <w:rPr>
          <w:rFonts w:hint="eastAsia" w:eastAsiaTheme="minorEastAsia"/>
          <w:b/>
          <w:bCs/>
          <w:color w:val="auto"/>
          <w:sz w:val="36"/>
          <w:szCs w:val="36"/>
          <w:lang w:eastAsia="zh-CN"/>
        </w:rPr>
      </w:pPr>
      <w:r>
        <w:rPr>
          <w:rFonts w:hint="eastAsia"/>
          <w:b/>
          <w:bCs/>
          <w:color w:val="auto"/>
          <w:sz w:val="36"/>
          <w:szCs w:val="36"/>
          <w:lang w:eastAsia="zh-CN"/>
        </w:rPr>
        <w:t>（</w:t>
      </w:r>
      <w:r>
        <w:rPr>
          <w:rFonts w:hint="eastAsia"/>
          <w:b/>
          <w:bCs/>
          <w:color w:val="auto"/>
          <w:sz w:val="36"/>
          <w:szCs w:val="36"/>
          <w:lang w:val="en-US" w:eastAsia="zh-CN"/>
        </w:rPr>
        <w:t>参考合同</w:t>
      </w:r>
      <w:r>
        <w:rPr>
          <w:rFonts w:hint="eastAsia"/>
          <w:b/>
          <w:bCs/>
          <w:color w:val="auto"/>
          <w:sz w:val="36"/>
          <w:szCs w:val="36"/>
          <w:lang w:eastAsia="zh-CN"/>
        </w:rPr>
        <w:t>）</w:t>
      </w:r>
    </w:p>
    <w:p>
      <w:pPr>
        <w:tabs>
          <w:tab w:val="left" w:pos="5670"/>
        </w:tabs>
        <w:autoSpaceDE w:val="0"/>
        <w:autoSpaceDN w:val="0"/>
        <w:adjustRightInd w:val="0"/>
        <w:snapToGrid w:val="0"/>
        <w:spacing w:line="360" w:lineRule="auto"/>
        <w:ind w:firstLine="2240" w:firstLineChars="500"/>
        <w:rPr>
          <w:rFonts w:hint="eastAsia" w:eastAsia="楷体_GB2312"/>
          <w:color w:val="auto"/>
          <w:sz w:val="44"/>
          <w:szCs w:val="44"/>
        </w:rPr>
      </w:pPr>
    </w:p>
    <w:p>
      <w:pPr>
        <w:tabs>
          <w:tab w:val="left" w:pos="5670"/>
        </w:tabs>
        <w:autoSpaceDE w:val="0"/>
        <w:autoSpaceDN w:val="0"/>
        <w:adjustRightInd w:val="0"/>
        <w:snapToGrid w:val="0"/>
        <w:spacing w:line="360" w:lineRule="auto"/>
        <w:ind w:firstLine="2240" w:firstLineChars="500"/>
        <w:rPr>
          <w:rFonts w:hint="eastAsia" w:eastAsia="楷体_GB2312"/>
          <w:color w:val="auto"/>
          <w:sz w:val="44"/>
          <w:szCs w:val="44"/>
        </w:rPr>
      </w:pPr>
    </w:p>
    <w:p>
      <w:pPr>
        <w:tabs>
          <w:tab w:val="left" w:pos="5670"/>
        </w:tabs>
        <w:autoSpaceDE w:val="0"/>
        <w:autoSpaceDN w:val="0"/>
        <w:adjustRightInd w:val="0"/>
        <w:snapToGrid w:val="0"/>
        <w:spacing w:line="360" w:lineRule="auto"/>
        <w:ind w:firstLine="3584" w:firstLineChars="800"/>
        <w:rPr>
          <w:rFonts w:hint="eastAsia" w:eastAsia="楷体_GB2312"/>
          <w:color w:val="auto"/>
          <w:sz w:val="44"/>
          <w:szCs w:val="44"/>
        </w:rPr>
      </w:pPr>
      <w:r>
        <w:rPr>
          <w:rFonts w:hint="eastAsia" w:eastAsia="楷体_GB2312"/>
          <w:color w:val="auto"/>
          <w:sz w:val="44"/>
          <w:szCs w:val="44"/>
        </w:rPr>
        <w:t xml:space="preserve"> </w:t>
      </w:r>
    </w:p>
    <w:p>
      <w:pPr>
        <w:autoSpaceDE w:val="0"/>
        <w:autoSpaceDN w:val="0"/>
        <w:adjustRightInd w:val="0"/>
        <w:snapToGrid w:val="0"/>
        <w:spacing w:line="360" w:lineRule="auto"/>
        <w:jc w:val="center"/>
        <w:rPr>
          <w:rFonts w:eastAsia="楷体_GB2312"/>
          <w:color w:val="auto"/>
          <w:sz w:val="30"/>
          <w:szCs w:val="30"/>
        </w:rPr>
      </w:pPr>
    </w:p>
    <w:p>
      <w:pPr>
        <w:autoSpaceDE w:val="0"/>
        <w:autoSpaceDN w:val="0"/>
        <w:adjustRightInd w:val="0"/>
        <w:snapToGrid w:val="0"/>
        <w:spacing w:line="360" w:lineRule="auto"/>
        <w:rPr>
          <w:rFonts w:eastAsia="楷体_GB2312"/>
          <w:color w:val="auto"/>
          <w:sz w:val="30"/>
          <w:szCs w:val="30"/>
        </w:rPr>
      </w:pPr>
    </w:p>
    <w:p>
      <w:pPr>
        <w:autoSpaceDE w:val="0"/>
        <w:autoSpaceDN w:val="0"/>
        <w:adjustRightInd w:val="0"/>
        <w:snapToGrid w:val="0"/>
        <w:spacing w:line="360" w:lineRule="auto"/>
        <w:ind w:firstLine="2156" w:firstLineChars="700"/>
        <w:jc w:val="left"/>
        <w:rPr>
          <w:rFonts w:hint="eastAsia" w:ascii="宋体" w:hAnsi="宋体" w:eastAsia="宋体" w:cs="宋体"/>
          <w:b/>
          <w:bCs/>
          <w:color w:val="auto"/>
          <w:sz w:val="30"/>
          <w:szCs w:val="30"/>
          <w:lang w:val="zh-CN"/>
        </w:rPr>
      </w:pPr>
    </w:p>
    <w:p>
      <w:pPr>
        <w:autoSpaceDE w:val="0"/>
        <w:autoSpaceDN w:val="0"/>
        <w:adjustRightInd w:val="0"/>
        <w:snapToGrid w:val="0"/>
        <w:spacing w:line="360" w:lineRule="auto"/>
        <w:ind w:firstLine="2880" w:firstLineChars="1000"/>
        <w:jc w:val="left"/>
        <w:rPr>
          <w:rFonts w:hint="eastAsia" w:ascii="宋体" w:hAnsi="宋体" w:eastAsia="宋体" w:cs="宋体"/>
          <w:b/>
          <w:bCs/>
          <w:color w:val="auto"/>
          <w:sz w:val="28"/>
          <w:szCs w:val="30"/>
          <w:lang w:val="zh-CN"/>
        </w:rPr>
      </w:pPr>
      <w:r>
        <w:rPr>
          <w:rFonts w:hint="eastAsia" w:ascii="宋体" w:hAnsi="宋体" w:eastAsia="宋体" w:cs="宋体"/>
          <w:b/>
          <w:bCs/>
          <w:color w:val="auto"/>
          <w:sz w:val="28"/>
          <w:szCs w:val="30"/>
          <w:lang w:val="zh-CN"/>
        </w:rPr>
        <w:t>采购人：西安市中心血站</w:t>
      </w:r>
    </w:p>
    <w:p>
      <w:pPr>
        <w:autoSpaceDE w:val="0"/>
        <w:autoSpaceDN w:val="0"/>
        <w:adjustRightInd w:val="0"/>
        <w:snapToGrid w:val="0"/>
        <w:spacing w:line="360" w:lineRule="auto"/>
        <w:ind w:firstLine="2880" w:firstLineChars="1000"/>
        <w:jc w:val="left"/>
        <w:rPr>
          <w:rFonts w:hint="eastAsia" w:ascii="宋体" w:hAnsi="宋体" w:eastAsia="宋体" w:cs="宋体"/>
          <w:b/>
          <w:bCs/>
          <w:color w:val="auto"/>
          <w:sz w:val="28"/>
          <w:szCs w:val="30"/>
          <w:lang w:val="zh-CN"/>
        </w:rPr>
      </w:pPr>
      <w:r>
        <w:rPr>
          <w:rFonts w:hint="eastAsia" w:ascii="宋体" w:hAnsi="宋体" w:eastAsia="宋体" w:cs="宋体"/>
          <w:b/>
          <w:bCs/>
          <w:color w:val="auto"/>
          <w:sz w:val="28"/>
          <w:szCs w:val="30"/>
          <w:lang w:val="zh-CN"/>
        </w:rPr>
        <w:t xml:space="preserve">中标供应商： </w:t>
      </w:r>
    </w:p>
    <w:p>
      <w:pPr>
        <w:tabs>
          <w:tab w:val="left" w:pos="5670"/>
        </w:tabs>
        <w:autoSpaceDE w:val="0"/>
        <w:autoSpaceDN w:val="0"/>
        <w:adjustRightInd w:val="0"/>
        <w:snapToGrid w:val="0"/>
        <w:spacing w:line="360" w:lineRule="auto"/>
        <w:rPr>
          <w:rFonts w:hint="eastAsia" w:ascii="宋体" w:hAnsi="宋体" w:eastAsia="宋体" w:cs="宋体"/>
          <w:b/>
          <w:bCs/>
          <w:color w:val="auto"/>
          <w:sz w:val="28"/>
          <w:szCs w:val="32"/>
        </w:rPr>
      </w:pPr>
      <w:r>
        <w:rPr>
          <w:rFonts w:hint="eastAsia" w:ascii="宋体" w:hAnsi="宋体" w:eastAsia="宋体" w:cs="宋体"/>
          <w:b/>
          <w:bCs/>
          <w:color w:val="auto"/>
          <w:sz w:val="28"/>
          <w:szCs w:val="30"/>
          <w:lang w:val="en-US" w:eastAsia="zh-CN"/>
        </w:rPr>
        <w:t xml:space="preserve">                    </w:t>
      </w:r>
      <w:r>
        <w:rPr>
          <w:rFonts w:hint="eastAsia" w:ascii="宋体" w:hAnsi="宋体" w:eastAsia="宋体" w:cs="宋体"/>
          <w:b/>
          <w:bCs/>
          <w:color w:val="auto"/>
          <w:sz w:val="28"/>
          <w:szCs w:val="30"/>
          <w:lang w:val="zh-CN"/>
        </w:rPr>
        <w:t>鉴证方：</w:t>
      </w:r>
      <w:r>
        <w:rPr>
          <w:rFonts w:hint="eastAsia" w:ascii="宋体" w:hAnsi="宋体" w:eastAsia="宋体" w:cs="宋体"/>
          <w:b/>
          <w:bCs/>
          <w:color w:val="auto"/>
          <w:sz w:val="28"/>
          <w:szCs w:val="32"/>
        </w:rPr>
        <w:t xml:space="preserve"> </w:t>
      </w:r>
    </w:p>
    <w:p>
      <w:pPr>
        <w:rPr>
          <w:rFonts w:hint="eastAsia" w:ascii="宋体" w:hAnsi="宋体" w:eastAsia="宋体" w:cs="宋体"/>
          <w:b/>
          <w:bCs/>
          <w:color w:val="auto"/>
          <w:sz w:val="36"/>
          <w:szCs w:val="36"/>
        </w:rPr>
      </w:pPr>
    </w:p>
    <w:p>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pPr>
        <w:jc w:val="center"/>
        <w:outlineLvl w:val="9"/>
        <w:rPr>
          <w:rFonts w:hint="eastAsia" w:ascii="宋体" w:hAnsi="宋体" w:eastAsia="宋体" w:cs="宋体"/>
          <w:b/>
          <w:color w:val="auto"/>
          <w:sz w:val="36"/>
          <w:szCs w:val="36"/>
          <w:lang w:val="zh-CN"/>
        </w:rPr>
      </w:pPr>
      <w:r>
        <w:rPr>
          <w:rFonts w:hint="eastAsia" w:ascii="宋体" w:hAnsi="宋体" w:eastAsia="宋体" w:cs="宋体"/>
          <w:b/>
          <w:bCs/>
          <w:color w:val="auto"/>
          <w:sz w:val="36"/>
          <w:szCs w:val="36"/>
        </w:rPr>
        <w:t>无偿献血</w:t>
      </w:r>
      <w:r>
        <w:rPr>
          <w:rFonts w:hint="eastAsia" w:ascii="宋体" w:hAnsi="宋体" w:eastAsia="宋体" w:cs="宋体"/>
          <w:b/>
          <w:bCs/>
          <w:color w:val="auto"/>
          <w:sz w:val="36"/>
          <w:szCs w:val="36"/>
          <w:lang w:eastAsia="zh-CN"/>
        </w:rPr>
        <w:t>纪念品</w:t>
      </w:r>
      <w:r>
        <w:rPr>
          <w:rFonts w:hint="eastAsia" w:ascii="宋体" w:hAnsi="宋体" w:eastAsia="宋体" w:cs="宋体"/>
          <w:b/>
          <w:bCs/>
          <w:color w:val="auto"/>
          <w:sz w:val="36"/>
          <w:szCs w:val="36"/>
        </w:rPr>
        <w:t>采购项目</w:t>
      </w:r>
      <w:r>
        <w:rPr>
          <w:rFonts w:hint="eastAsia" w:ascii="宋体" w:hAnsi="宋体" w:eastAsia="宋体" w:cs="宋体"/>
          <w:b/>
          <w:color w:val="auto"/>
          <w:sz w:val="36"/>
          <w:szCs w:val="36"/>
          <w:lang w:val="zh-CN"/>
        </w:rPr>
        <w:t>合同</w:t>
      </w:r>
    </w:p>
    <w:p>
      <w:pPr>
        <w:pStyle w:val="11"/>
        <w:rPr>
          <w:rFonts w:hint="eastAsia"/>
          <w:color w:val="FF0000"/>
          <w:lang w:val="zh-CN"/>
        </w:rPr>
      </w:pPr>
    </w:p>
    <w:p>
      <w:pPr>
        <w:adjustRightInd w:val="0"/>
        <w:snapToGrid w:val="0"/>
        <w:spacing w:line="360" w:lineRule="auto"/>
        <w:rPr>
          <w:rFonts w:hint="eastAsia" w:ascii="宋体" w:hAnsi="宋体" w:cs="宋体"/>
          <w:b/>
          <w:bCs/>
          <w:sz w:val="24"/>
          <w:lang w:val="zh-CN"/>
        </w:rPr>
      </w:pPr>
      <w:r>
        <w:rPr>
          <w:rFonts w:hint="eastAsia" w:ascii="宋体" w:hAnsi="宋体" w:cs="宋体"/>
          <w:b/>
          <w:bCs/>
          <w:sz w:val="24"/>
          <w:lang w:val="zh-CN"/>
        </w:rPr>
        <w:t>甲</w:t>
      </w:r>
      <w:r>
        <w:rPr>
          <w:rFonts w:hint="eastAsia" w:ascii="宋体" w:hAnsi="宋体" w:cs="宋体"/>
          <w:b/>
          <w:bCs/>
          <w:sz w:val="24"/>
        </w:rPr>
        <w:t xml:space="preserve"> </w:t>
      </w:r>
      <w:r>
        <w:rPr>
          <w:rFonts w:hint="eastAsia" w:ascii="宋体" w:hAnsi="宋体" w:cs="宋体"/>
          <w:b/>
          <w:bCs/>
          <w:sz w:val="24"/>
          <w:lang w:val="zh-CN"/>
        </w:rPr>
        <w:t>方：（采购人）西安市中心血站</w:t>
      </w:r>
    </w:p>
    <w:p>
      <w:pPr>
        <w:adjustRightInd w:val="0"/>
        <w:snapToGrid w:val="0"/>
        <w:spacing w:line="360" w:lineRule="auto"/>
        <w:rPr>
          <w:rFonts w:hint="eastAsia" w:ascii="宋体" w:hAnsi="宋体" w:cs="宋体"/>
          <w:b/>
          <w:bCs/>
          <w:sz w:val="24"/>
          <w:lang w:val="zh-CN"/>
        </w:rPr>
      </w:pPr>
      <w:r>
        <w:rPr>
          <w:rFonts w:hint="eastAsia" w:ascii="宋体" w:hAnsi="宋体" w:cs="宋体"/>
          <w:b/>
          <w:bCs/>
          <w:sz w:val="24"/>
          <w:lang w:val="zh-CN"/>
        </w:rPr>
        <w:t>乙</w:t>
      </w:r>
      <w:r>
        <w:rPr>
          <w:rFonts w:hint="eastAsia" w:ascii="宋体" w:hAnsi="宋体" w:cs="宋体"/>
          <w:b/>
          <w:bCs/>
          <w:sz w:val="24"/>
        </w:rPr>
        <w:t xml:space="preserve"> </w:t>
      </w:r>
      <w:r>
        <w:rPr>
          <w:rFonts w:hint="eastAsia" w:ascii="宋体" w:hAnsi="宋体" w:cs="宋体"/>
          <w:b/>
          <w:bCs/>
          <w:sz w:val="24"/>
          <w:lang w:val="zh-CN"/>
        </w:rPr>
        <w:t>方：（中标供应商）</w:t>
      </w:r>
    </w:p>
    <w:p>
      <w:pPr>
        <w:pStyle w:val="11"/>
        <w:spacing w:line="360" w:lineRule="auto"/>
        <w:ind w:left="0" w:leftChars="0" w:firstLine="0" w:firstLineChars="0"/>
        <w:rPr>
          <w:rFonts w:hint="eastAsia"/>
          <w:lang w:val="zh-CN"/>
        </w:rPr>
      </w:pPr>
      <w:r>
        <w:rPr>
          <w:rFonts w:hint="eastAsia" w:ascii="宋体" w:hAnsi="宋体" w:cs="宋体"/>
          <w:b/>
          <w:bCs/>
          <w:sz w:val="24"/>
          <w:lang w:val="zh-CN"/>
        </w:rPr>
        <w:t>丙方：（鉴证方）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96" w:firstLineChars="200"/>
        <w:jc w:val="both"/>
        <w:textAlignment w:val="auto"/>
        <w:outlineLvl w:val="9"/>
        <w:rPr>
          <w:rFonts w:hint="eastAsia" w:ascii="宋体" w:hAnsi="宋体" w:cs="宋体"/>
          <w:sz w:val="24"/>
          <w:lang w:val="zh-CN"/>
        </w:rPr>
      </w:pPr>
      <w:r>
        <w:rPr>
          <w:rFonts w:hint="eastAsia" w:ascii="宋体" w:hAnsi="宋体" w:cs="宋体"/>
          <w:sz w:val="24"/>
          <w:lang w:val="zh-CN"/>
        </w:rPr>
        <w:t>陕西</w:t>
      </w:r>
      <w:r>
        <w:rPr>
          <w:rFonts w:hint="eastAsia" w:ascii="宋体" w:hAnsi="宋体" w:cs="宋体"/>
          <w:sz w:val="24"/>
          <w:lang w:val="en-US" w:eastAsia="zh-CN"/>
        </w:rPr>
        <w:t>万泽招标</w:t>
      </w:r>
      <w:r>
        <w:rPr>
          <w:rFonts w:hint="eastAsia" w:ascii="宋体" w:hAnsi="宋体" w:cs="宋体"/>
          <w:sz w:val="24"/>
          <w:lang w:val="zh-CN"/>
        </w:rPr>
        <w:t>有限公司受西安市中心血站委托根据《中华人民共和国政府采购法》、《中华人民共和国民法典》等相关规定，组织西安市中心血站2024年无偿献血食品类采购项目（二次）公开招标，确定XXXXX有限公司为西安市中心血站2024年无偿献血食品类采购项目（二次）中标供货商。为保障双方合法权益，在陕西</w:t>
      </w:r>
      <w:r>
        <w:rPr>
          <w:rFonts w:hint="eastAsia" w:ascii="宋体" w:hAnsi="宋体" w:cs="宋体"/>
          <w:sz w:val="24"/>
          <w:lang w:val="en-US" w:eastAsia="zh-CN"/>
        </w:rPr>
        <w:t>万泽招标</w:t>
      </w:r>
      <w:r>
        <w:rPr>
          <w:rFonts w:hint="eastAsia" w:ascii="宋体" w:hAnsi="宋体" w:cs="宋体"/>
          <w:sz w:val="24"/>
          <w:lang w:val="zh-CN"/>
        </w:rPr>
        <w:t>有限公司鉴定下经双方共同协商，签订本协议。</w:t>
      </w:r>
    </w:p>
    <w:p>
      <w:pPr>
        <w:adjustRightInd w:val="0"/>
        <w:snapToGrid w:val="0"/>
        <w:spacing w:line="360" w:lineRule="auto"/>
        <w:rPr>
          <w:rFonts w:ascii="宋体" w:hAnsi="宋体" w:cs="宋体"/>
          <w:sz w:val="24"/>
        </w:rPr>
      </w:pPr>
      <w:r>
        <w:rPr>
          <w:rFonts w:hint="eastAsia" w:ascii="宋体" w:hAnsi="宋体" w:cs="宋体"/>
          <w:b/>
          <w:bCs/>
          <w:sz w:val="24"/>
          <w:lang w:val="zh-CN"/>
        </w:rPr>
        <w:t xml:space="preserve">一、合同内容: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42"/>
        <w:gridCol w:w="1418"/>
        <w:gridCol w:w="1134"/>
        <w:gridCol w:w="1276"/>
        <w:gridCol w:w="127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tabs>
                <w:tab w:val="left" w:pos="480"/>
              </w:tabs>
              <w:spacing w:line="360" w:lineRule="auto"/>
              <w:rPr>
                <w:rFonts w:ascii="宋体" w:hAnsi="宋体" w:cs="宋体"/>
                <w:sz w:val="24"/>
              </w:rPr>
            </w:pPr>
            <w:r>
              <w:rPr>
                <w:rFonts w:hint="eastAsia" w:ascii="宋体" w:hAnsi="宋体" w:cs="宋体"/>
                <w:sz w:val="24"/>
              </w:rPr>
              <w:t>序号</w:t>
            </w:r>
          </w:p>
        </w:tc>
        <w:tc>
          <w:tcPr>
            <w:tcW w:w="1642" w:type="dxa"/>
            <w:noWrap w:val="0"/>
            <w:vAlign w:val="center"/>
          </w:tcPr>
          <w:p>
            <w:pPr>
              <w:tabs>
                <w:tab w:val="left" w:pos="480"/>
              </w:tabs>
              <w:spacing w:line="360" w:lineRule="auto"/>
              <w:jc w:val="center"/>
              <w:rPr>
                <w:rFonts w:ascii="宋体" w:hAnsi="宋体" w:cs="宋体"/>
                <w:sz w:val="24"/>
              </w:rPr>
            </w:pPr>
            <w:r>
              <w:rPr>
                <w:rFonts w:hint="eastAsia" w:ascii="宋体" w:hAnsi="宋体" w:cs="宋体"/>
                <w:sz w:val="24"/>
              </w:rPr>
              <w:t>物品名称</w:t>
            </w:r>
          </w:p>
        </w:tc>
        <w:tc>
          <w:tcPr>
            <w:tcW w:w="1418" w:type="dxa"/>
            <w:noWrap w:val="0"/>
            <w:vAlign w:val="center"/>
          </w:tcPr>
          <w:p>
            <w:pPr>
              <w:tabs>
                <w:tab w:val="left" w:pos="480"/>
              </w:tabs>
              <w:spacing w:line="360" w:lineRule="auto"/>
              <w:jc w:val="center"/>
              <w:rPr>
                <w:rFonts w:ascii="宋体" w:hAnsi="宋体" w:cs="宋体"/>
                <w:sz w:val="24"/>
              </w:rPr>
            </w:pPr>
            <w:r>
              <w:rPr>
                <w:rFonts w:hint="eastAsia" w:ascii="宋体" w:hAnsi="宋体" w:cs="宋体"/>
                <w:sz w:val="24"/>
              </w:rPr>
              <w:t>制造厂商</w:t>
            </w:r>
          </w:p>
        </w:tc>
        <w:tc>
          <w:tcPr>
            <w:tcW w:w="1134" w:type="dxa"/>
            <w:noWrap w:val="0"/>
            <w:vAlign w:val="center"/>
          </w:tcPr>
          <w:p>
            <w:pPr>
              <w:tabs>
                <w:tab w:val="left" w:pos="480"/>
              </w:tabs>
              <w:spacing w:line="360" w:lineRule="auto"/>
              <w:jc w:val="center"/>
              <w:rPr>
                <w:rFonts w:ascii="宋体" w:hAnsi="宋体" w:cs="宋体"/>
                <w:sz w:val="24"/>
              </w:rPr>
            </w:pPr>
            <w:r>
              <w:rPr>
                <w:rFonts w:hint="eastAsia" w:ascii="宋体" w:hAnsi="宋体" w:cs="宋体"/>
                <w:sz w:val="24"/>
              </w:rPr>
              <w:t>规格</w:t>
            </w:r>
          </w:p>
        </w:tc>
        <w:tc>
          <w:tcPr>
            <w:tcW w:w="1276" w:type="dxa"/>
            <w:noWrap w:val="0"/>
            <w:vAlign w:val="center"/>
          </w:tcPr>
          <w:p>
            <w:pPr>
              <w:tabs>
                <w:tab w:val="left" w:pos="480"/>
              </w:tabs>
              <w:spacing w:line="360" w:lineRule="auto"/>
              <w:jc w:val="center"/>
              <w:rPr>
                <w:rFonts w:ascii="宋体" w:hAnsi="宋体" w:cs="宋体"/>
                <w:sz w:val="24"/>
              </w:rPr>
            </w:pPr>
            <w:r>
              <w:rPr>
                <w:rFonts w:hint="eastAsia" w:ascii="宋体" w:hAnsi="宋体" w:cs="宋体"/>
                <w:sz w:val="24"/>
              </w:rPr>
              <w:t>单价（元）</w:t>
            </w:r>
          </w:p>
        </w:tc>
        <w:tc>
          <w:tcPr>
            <w:tcW w:w="1275" w:type="dxa"/>
            <w:noWrap w:val="0"/>
            <w:vAlign w:val="center"/>
          </w:tcPr>
          <w:p>
            <w:pPr>
              <w:tabs>
                <w:tab w:val="left" w:pos="480"/>
              </w:tabs>
              <w:spacing w:line="360" w:lineRule="auto"/>
              <w:jc w:val="center"/>
              <w:rPr>
                <w:rFonts w:ascii="宋体" w:hAnsi="宋体" w:cs="宋体"/>
                <w:sz w:val="24"/>
              </w:rPr>
            </w:pPr>
            <w:r>
              <w:rPr>
                <w:rFonts w:hint="eastAsia" w:ascii="宋体" w:hAnsi="宋体" w:cs="宋体"/>
                <w:sz w:val="24"/>
              </w:rPr>
              <w:t>数量</w:t>
            </w:r>
          </w:p>
        </w:tc>
        <w:tc>
          <w:tcPr>
            <w:tcW w:w="1106" w:type="dxa"/>
            <w:noWrap w:val="0"/>
            <w:vAlign w:val="center"/>
          </w:tcPr>
          <w:p>
            <w:pPr>
              <w:tabs>
                <w:tab w:val="left" w:pos="480"/>
              </w:tabs>
              <w:spacing w:line="360" w:lineRule="auto"/>
              <w:jc w:val="center"/>
              <w:rPr>
                <w:rFonts w:ascii="宋体" w:hAnsi="宋体" w:cs="宋体"/>
                <w:sz w:val="24"/>
              </w:rPr>
            </w:pPr>
            <w:r>
              <w:rPr>
                <w:rFonts w:hint="eastAsia" w:ascii="宋体" w:hAnsi="宋体" w:cs="宋体"/>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4" w:type="dxa"/>
            <w:noWrap w:val="0"/>
            <w:vAlign w:val="center"/>
          </w:tcPr>
          <w:p>
            <w:pPr>
              <w:tabs>
                <w:tab w:val="left" w:pos="480"/>
              </w:tabs>
              <w:spacing w:line="360" w:lineRule="auto"/>
              <w:jc w:val="center"/>
              <w:rPr>
                <w:rFonts w:ascii="宋体" w:hAnsi="宋体" w:cs="宋体"/>
                <w:sz w:val="24"/>
              </w:rPr>
            </w:pPr>
            <w:r>
              <w:rPr>
                <w:rFonts w:hint="eastAsia" w:ascii="宋体" w:hAnsi="宋体" w:cs="宋体"/>
                <w:sz w:val="24"/>
              </w:rPr>
              <w:t>1</w:t>
            </w:r>
          </w:p>
        </w:tc>
        <w:tc>
          <w:tcPr>
            <w:tcW w:w="1642" w:type="dxa"/>
            <w:noWrap w:val="0"/>
            <w:vAlign w:val="center"/>
          </w:tcPr>
          <w:p>
            <w:pPr>
              <w:tabs>
                <w:tab w:val="left" w:pos="480"/>
              </w:tabs>
              <w:spacing w:line="360" w:lineRule="auto"/>
              <w:jc w:val="center"/>
              <w:rPr>
                <w:rFonts w:ascii="宋体" w:hAnsi="宋体" w:cs="宋体"/>
                <w:b/>
                <w:sz w:val="24"/>
              </w:rPr>
            </w:pPr>
          </w:p>
        </w:tc>
        <w:tc>
          <w:tcPr>
            <w:tcW w:w="1418" w:type="dxa"/>
            <w:noWrap w:val="0"/>
            <w:vAlign w:val="center"/>
          </w:tcPr>
          <w:p>
            <w:pPr>
              <w:tabs>
                <w:tab w:val="left" w:pos="480"/>
              </w:tabs>
              <w:spacing w:line="360" w:lineRule="auto"/>
              <w:jc w:val="center"/>
              <w:rPr>
                <w:rFonts w:ascii="宋体" w:hAnsi="宋体" w:cs="宋体"/>
                <w:b/>
                <w:sz w:val="24"/>
              </w:rPr>
            </w:pPr>
          </w:p>
        </w:tc>
        <w:tc>
          <w:tcPr>
            <w:tcW w:w="1134" w:type="dxa"/>
            <w:noWrap w:val="0"/>
            <w:vAlign w:val="center"/>
          </w:tcPr>
          <w:p>
            <w:pPr>
              <w:spacing w:line="360" w:lineRule="auto"/>
              <w:ind w:left="480" w:hanging="496" w:hangingChars="200"/>
              <w:rPr>
                <w:rFonts w:ascii="宋体" w:hAnsi="宋体" w:cs="宋体"/>
                <w:bCs/>
                <w:sz w:val="24"/>
              </w:rPr>
            </w:pPr>
          </w:p>
        </w:tc>
        <w:tc>
          <w:tcPr>
            <w:tcW w:w="1276" w:type="dxa"/>
            <w:noWrap w:val="0"/>
            <w:vAlign w:val="center"/>
          </w:tcPr>
          <w:p>
            <w:pPr>
              <w:spacing w:line="360" w:lineRule="auto"/>
              <w:ind w:firstLine="120" w:firstLineChars="49"/>
              <w:rPr>
                <w:rFonts w:ascii="宋体" w:hAnsi="宋体" w:cs="宋体"/>
                <w:bCs/>
                <w:sz w:val="24"/>
              </w:rPr>
            </w:pPr>
          </w:p>
        </w:tc>
        <w:tc>
          <w:tcPr>
            <w:tcW w:w="1275" w:type="dxa"/>
            <w:noWrap w:val="0"/>
            <w:vAlign w:val="center"/>
          </w:tcPr>
          <w:p>
            <w:pPr>
              <w:spacing w:line="360" w:lineRule="auto"/>
              <w:ind w:firstLine="120" w:firstLineChars="49"/>
              <w:rPr>
                <w:rFonts w:ascii="宋体" w:hAnsi="宋体" w:cs="宋体"/>
                <w:bCs/>
                <w:sz w:val="24"/>
              </w:rPr>
            </w:pPr>
          </w:p>
        </w:tc>
        <w:tc>
          <w:tcPr>
            <w:tcW w:w="1106" w:type="dxa"/>
            <w:noWrap w:val="0"/>
            <w:vAlign w:val="center"/>
          </w:tcPr>
          <w:p>
            <w:pPr>
              <w:spacing w:line="360" w:lineRule="auto"/>
              <w:ind w:right="-510" w:rightChars="-206"/>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4" w:type="dxa"/>
            <w:noWrap w:val="0"/>
            <w:vAlign w:val="center"/>
          </w:tcPr>
          <w:p>
            <w:pPr>
              <w:tabs>
                <w:tab w:val="left" w:pos="480"/>
              </w:tabs>
              <w:spacing w:line="360" w:lineRule="auto"/>
              <w:jc w:val="center"/>
              <w:rPr>
                <w:rFonts w:ascii="宋体" w:hAnsi="宋体" w:cs="宋体"/>
                <w:sz w:val="24"/>
              </w:rPr>
            </w:pPr>
            <w:r>
              <w:rPr>
                <w:rFonts w:hint="eastAsia" w:ascii="宋体" w:hAnsi="宋体" w:cs="宋体"/>
                <w:sz w:val="24"/>
              </w:rPr>
              <w:t>2</w:t>
            </w:r>
          </w:p>
        </w:tc>
        <w:tc>
          <w:tcPr>
            <w:tcW w:w="1642" w:type="dxa"/>
            <w:noWrap w:val="0"/>
            <w:vAlign w:val="center"/>
          </w:tcPr>
          <w:p>
            <w:pPr>
              <w:tabs>
                <w:tab w:val="left" w:pos="480"/>
              </w:tabs>
              <w:spacing w:line="360" w:lineRule="auto"/>
              <w:jc w:val="center"/>
              <w:rPr>
                <w:rFonts w:ascii="宋体" w:hAnsi="宋体" w:cs="宋体"/>
                <w:b/>
                <w:sz w:val="24"/>
              </w:rPr>
            </w:pPr>
          </w:p>
        </w:tc>
        <w:tc>
          <w:tcPr>
            <w:tcW w:w="1418" w:type="dxa"/>
            <w:noWrap w:val="0"/>
            <w:vAlign w:val="center"/>
          </w:tcPr>
          <w:p>
            <w:pPr>
              <w:tabs>
                <w:tab w:val="left" w:pos="480"/>
              </w:tabs>
              <w:spacing w:line="360" w:lineRule="auto"/>
              <w:jc w:val="center"/>
              <w:rPr>
                <w:rFonts w:ascii="宋体" w:hAnsi="宋体" w:cs="宋体"/>
                <w:b/>
                <w:sz w:val="24"/>
              </w:rPr>
            </w:pPr>
          </w:p>
        </w:tc>
        <w:tc>
          <w:tcPr>
            <w:tcW w:w="1134" w:type="dxa"/>
            <w:noWrap w:val="0"/>
            <w:vAlign w:val="center"/>
          </w:tcPr>
          <w:p>
            <w:pPr>
              <w:spacing w:line="360" w:lineRule="auto"/>
              <w:ind w:left="480" w:hanging="496" w:hangingChars="200"/>
              <w:rPr>
                <w:rFonts w:ascii="宋体" w:hAnsi="宋体" w:cs="宋体"/>
                <w:bCs/>
                <w:sz w:val="24"/>
              </w:rPr>
            </w:pPr>
          </w:p>
        </w:tc>
        <w:tc>
          <w:tcPr>
            <w:tcW w:w="1276" w:type="dxa"/>
            <w:noWrap w:val="0"/>
            <w:vAlign w:val="center"/>
          </w:tcPr>
          <w:p>
            <w:pPr>
              <w:spacing w:line="360" w:lineRule="auto"/>
              <w:ind w:firstLine="120" w:firstLineChars="49"/>
              <w:rPr>
                <w:rFonts w:ascii="宋体" w:hAnsi="宋体" w:cs="宋体"/>
                <w:bCs/>
                <w:sz w:val="24"/>
              </w:rPr>
            </w:pPr>
          </w:p>
        </w:tc>
        <w:tc>
          <w:tcPr>
            <w:tcW w:w="1275" w:type="dxa"/>
            <w:noWrap w:val="0"/>
            <w:vAlign w:val="center"/>
          </w:tcPr>
          <w:p>
            <w:pPr>
              <w:spacing w:line="360" w:lineRule="auto"/>
              <w:ind w:firstLine="120" w:firstLineChars="49"/>
              <w:rPr>
                <w:rFonts w:ascii="宋体" w:hAnsi="宋体" w:cs="宋体"/>
                <w:bCs/>
                <w:sz w:val="24"/>
              </w:rPr>
            </w:pPr>
          </w:p>
        </w:tc>
        <w:tc>
          <w:tcPr>
            <w:tcW w:w="1106" w:type="dxa"/>
            <w:noWrap w:val="0"/>
            <w:vAlign w:val="center"/>
          </w:tcPr>
          <w:p>
            <w:pPr>
              <w:spacing w:line="360" w:lineRule="auto"/>
              <w:ind w:right="-510" w:rightChars="-206"/>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4" w:type="dxa"/>
            <w:noWrap w:val="0"/>
            <w:vAlign w:val="center"/>
          </w:tcPr>
          <w:p>
            <w:pPr>
              <w:tabs>
                <w:tab w:val="left" w:pos="480"/>
              </w:tabs>
              <w:spacing w:line="360" w:lineRule="auto"/>
              <w:jc w:val="center"/>
              <w:rPr>
                <w:rFonts w:ascii="宋体" w:hAnsi="宋体" w:cs="宋体"/>
                <w:sz w:val="24"/>
              </w:rPr>
            </w:pPr>
            <w:r>
              <w:rPr>
                <w:rFonts w:hint="eastAsia" w:ascii="宋体" w:hAnsi="宋体" w:cs="宋体"/>
                <w:sz w:val="24"/>
              </w:rPr>
              <w:t>3</w:t>
            </w:r>
          </w:p>
        </w:tc>
        <w:tc>
          <w:tcPr>
            <w:tcW w:w="1642" w:type="dxa"/>
            <w:noWrap w:val="0"/>
            <w:vAlign w:val="center"/>
          </w:tcPr>
          <w:p>
            <w:pPr>
              <w:tabs>
                <w:tab w:val="left" w:pos="480"/>
              </w:tabs>
              <w:spacing w:line="360" w:lineRule="auto"/>
              <w:jc w:val="center"/>
              <w:rPr>
                <w:rFonts w:ascii="宋体" w:hAnsi="宋体" w:cs="宋体"/>
                <w:b/>
                <w:sz w:val="24"/>
              </w:rPr>
            </w:pPr>
          </w:p>
        </w:tc>
        <w:tc>
          <w:tcPr>
            <w:tcW w:w="1418" w:type="dxa"/>
            <w:noWrap w:val="0"/>
            <w:vAlign w:val="center"/>
          </w:tcPr>
          <w:p>
            <w:pPr>
              <w:tabs>
                <w:tab w:val="left" w:pos="480"/>
              </w:tabs>
              <w:spacing w:line="360" w:lineRule="auto"/>
              <w:jc w:val="center"/>
              <w:rPr>
                <w:rFonts w:ascii="宋体" w:hAnsi="宋体" w:cs="宋体"/>
                <w:b/>
                <w:sz w:val="24"/>
              </w:rPr>
            </w:pPr>
          </w:p>
        </w:tc>
        <w:tc>
          <w:tcPr>
            <w:tcW w:w="1134" w:type="dxa"/>
            <w:noWrap w:val="0"/>
            <w:vAlign w:val="center"/>
          </w:tcPr>
          <w:p>
            <w:pPr>
              <w:spacing w:line="360" w:lineRule="auto"/>
              <w:ind w:left="480" w:hanging="496" w:hangingChars="200"/>
              <w:rPr>
                <w:rFonts w:ascii="宋体" w:hAnsi="宋体" w:cs="宋体"/>
                <w:bCs/>
                <w:sz w:val="24"/>
              </w:rPr>
            </w:pPr>
          </w:p>
        </w:tc>
        <w:tc>
          <w:tcPr>
            <w:tcW w:w="1276" w:type="dxa"/>
            <w:noWrap w:val="0"/>
            <w:vAlign w:val="center"/>
          </w:tcPr>
          <w:p>
            <w:pPr>
              <w:spacing w:line="360" w:lineRule="auto"/>
              <w:ind w:firstLine="120" w:firstLineChars="49"/>
              <w:rPr>
                <w:rFonts w:ascii="宋体" w:hAnsi="宋体" w:cs="宋体"/>
                <w:bCs/>
                <w:sz w:val="24"/>
              </w:rPr>
            </w:pPr>
          </w:p>
        </w:tc>
        <w:tc>
          <w:tcPr>
            <w:tcW w:w="1275" w:type="dxa"/>
            <w:noWrap w:val="0"/>
            <w:vAlign w:val="center"/>
          </w:tcPr>
          <w:p>
            <w:pPr>
              <w:spacing w:line="360" w:lineRule="auto"/>
              <w:ind w:firstLine="120" w:firstLineChars="49"/>
              <w:rPr>
                <w:rFonts w:ascii="宋体" w:hAnsi="宋体" w:cs="宋体"/>
                <w:bCs/>
                <w:sz w:val="24"/>
              </w:rPr>
            </w:pPr>
          </w:p>
        </w:tc>
        <w:tc>
          <w:tcPr>
            <w:tcW w:w="1106" w:type="dxa"/>
            <w:noWrap w:val="0"/>
            <w:vAlign w:val="center"/>
          </w:tcPr>
          <w:p>
            <w:pPr>
              <w:spacing w:line="360" w:lineRule="auto"/>
              <w:ind w:right="-510" w:rightChars="-206"/>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4" w:type="dxa"/>
            <w:noWrap w:val="0"/>
            <w:vAlign w:val="center"/>
          </w:tcPr>
          <w:p>
            <w:pPr>
              <w:spacing w:line="360" w:lineRule="auto"/>
              <w:jc w:val="center"/>
              <w:rPr>
                <w:rFonts w:ascii="宋体" w:hAnsi="宋体" w:cs="宋体"/>
                <w:bCs/>
                <w:sz w:val="24"/>
              </w:rPr>
            </w:pPr>
            <w:r>
              <w:rPr>
                <w:rFonts w:hint="eastAsia" w:ascii="宋体" w:hAnsi="宋体" w:cs="宋体"/>
                <w:bCs/>
                <w:sz w:val="24"/>
              </w:rPr>
              <w:t>4</w:t>
            </w:r>
          </w:p>
        </w:tc>
        <w:tc>
          <w:tcPr>
            <w:tcW w:w="6745" w:type="dxa"/>
            <w:gridSpan w:val="5"/>
            <w:noWrap w:val="0"/>
            <w:vAlign w:val="center"/>
          </w:tcPr>
          <w:p>
            <w:pPr>
              <w:spacing w:line="360" w:lineRule="auto"/>
              <w:jc w:val="center"/>
              <w:rPr>
                <w:rFonts w:ascii="宋体" w:hAnsi="宋体" w:cs="宋体"/>
                <w:bCs/>
                <w:color w:val="FF0000"/>
                <w:sz w:val="24"/>
              </w:rPr>
            </w:pPr>
            <w:r>
              <w:rPr>
                <w:rFonts w:hint="eastAsia" w:ascii="宋体" w:hAnsi="宋体" w:cs="宋体"/>
                <w:bCs/>
                <w:sz w:val="24"/>
              </w:rPr>
              <w:t>总计（元）：大写             元整</w:t>
            </w:r>
          </w:p>
        </w:tc>
        <w:tc>
          <w:tcPr>
            <w:tcW w:w="1106" w:type="dxa"/>
            <w:noWrap w:val="0"/>
            <w:vAlign w:val="center"/>
          </w:tcPr>
          <w:p>
            <w:pPr>
              <w:spacing w:line="360" w:lineRule="auto"/>
              <w:ind w:right="-510" w:rightChars="-206"/>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4" w:type="dxa"/>
            <w:noWrap w:val="0"/>
            <w:vAlign w:val="center"/>
          </w:tcPr>
          <w:p>
            <w:pPr>
              <w:spacing w:line="360" w:lineRule="auto"/>
              <w:ind w:right="-510" w:rightChars="-206"/>
              <w:rPr>
                <w:rFonts w:ascii="宋体" w:hAnsi="宋体" w:cs="宋体"/>
                <w:bCs/>
                <w:sz w:val="24"/>
              </w:rPr>
            </w:pPr>
            <w:r>
              <w:rPr>
                <w:rFonts w:hint="eastAsia" w:ascii="宋体" w:hAnsi="宋体" w:cs="宋体"/>
                <w:bCs/>
                <w:sz w:val="24"/>
              </w:rPr>
              <w:t>备 注</w:t>
            </w:r>
          </w:p>
        </w:tc>
        <w:tc>
          <w:tcPr>
            <w:tcW w:w="7851" w:type="dxa"/>
            <w:gridSpan w:val="6"/>
            <w:noWrap w:val="0"/>
            <w:vAlign w:val="center"/>
          </w:tcPr>
          <w:p>
            <w:pPr>
              <w:spacing w:line="360" w:lineRule="auto"/>
              <w:ind w:right="-510" w:rightChars="-206"/>
              <w:rPr>
                <w:rFonts w:ascii="宋体" w:hAnsi="宋体" w:cs="宋体"/>
                <w:bCs/>
                <w:sz w:val="24"/>
              </w:rPr>
            </w:pPr>
          </w:p>
        </w:tc>
      </w:tr>
    </w:tbl>
    <w:p>
      <w:pPr>
        <w:tabs>
          <w:tab w:val="left" w:pos="735"/>
        </w:tabs>
        <w:adjustRightInd w:val="0"/>
        <w:snapToGrid w:val="0"/>
        <w:spacing w:line="360" w:lineRule="auto"/>
        <w:rPr>
          <w:rFonts w:ascii="宋体" w:hAnsi="宋体" w:cs="宋体"/>
          <w:sz w:val="24"/>
        </w:rPr>
      </w:pPr>
      <w:r>
        <w:rPr>
          <w:rFonts w:hint="eastAsia" w:ascii="宋体" w:hAnsi="宋体" w:cs="宋体"/>
          <w:b/>
          <w:sz w:val="24"/>
        </w:rPr>
        <w:t>二、合同价款</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1、合同总价：合同中标总价款为人民币</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.00）。</w:t>
      </w:r>
    </w:p>
    <w:p>
      <w:pPr>
        <w:pStyle w:val="15"/>
        <w:ind w:firstLine="496" w:firstLineChars="200"/>
        <w:rPr>
          <w:rFonts w:ascii="宋体" w:hAnsi="宋体" w:cs="宋体"/>
          <w:sz w:val="24"/>
        </w:rPr>
      </w:pPr>
      <w:r>
        <w:rPr>
          <w:rFonts w:hint="eastAsia" w:ascii="宋体" w:hAnsi="宋体" w:cs="宋体" w:eastAsiaTheme="minorEastAsia"/>
          <w:kern w:val="0"/>
          <w:sz w:val="24"/>
          <w:szCs w:val="24"/>
          <w:lang w:val="en-US" w:eastAsia="zh-CN" w:bidi="ar-SA"/>
        </w:rPr>
        <w:t>2、合同总价包括：包括货物费、税费、到达现场的运保费、仓储管理费、搬运装卸费等全部费用。</w:t>
      </w:r>
    </w:p>
    <w:p>
      <w:pPr>
        <w:keepNext w:val="0"/>
        <w:keepLines w:val="0"/>
        <w:pageBreakBefore w:val="0"/>
        <w:widowControl w:val="0"/>
        <w:tabs>
          <w:tab w:val="left" w:pos="480"/>
        </w:tabs>
        <w:kinsoku/>
        <w:wordWrap/>
        <w:overflowPunct/>
        <w:topLinePunct w:val="0"/>
        <w:autoSpaceDE/>
        <w:autoSpaceDN/>
        <w:bidi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3、合同单价一次性包死，不受市场价变化的影响。最终付款总价以甲方实际使用数量为准。</w:t>
      </w:r>
    </w:p>
    <w:p>
      <w:pPr>
        <w:tabs>
          <w:tab w:val="left" w:pos="735"/>
        </w:tabs>
        <w:adjustRightInd w:val="0"/>
        <w:snapToGrid w:val="0"/>
        <w:spacing w:line="360" w:lineRule="auto"/>
        <w:rPr>
          <w:rFonts w:ascii="宋体" w:hAnsi="宋体" w:cs="宋体"/>
          <w:b/>
          <w:sz w:val="24"/>
        </w:rPr>
      </w:pPr>
      <w:r>
        <w:rPr>
          <w:rFonts w:hint="eastAsia" w:ascii="宋体" w:hAnsi="宋体" w:cs="宋体"/>
          <w:b/>
          <w:sz w:val="24"/>
        </w:rPr>
        <w:t>三、合同结算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96" w:firstLineChars="200"/>
        <w:jc w:val="both"/>
        <w:textAlignment w:val="auto"/>
        <w:outlineLvl w:val="9"/>
        <w:rPr>
          <w:rFonts w:ascii="宋体" w:hAnsi="宋体" w:cs="宋体"/>
          <w:color w:val="FF0000"/>
          <w:sz w:val="24"/>
        </w:rPr>
      </w:pPr>
      <w:r>
        <w:rPr>
          <w:rFonts w:hint="eastAsia" w:ascii="宋体" w:hAnsi="宋体" w:cs="宋体"/>
          <w:sz w:val="24"/>
        </w:rPr>
        <w:t>1、付款方式：银行转账。由甲方负责结算，乙方必须开具全额发票给甲方，并附详细清单。如非中标单位所开具发票，甲方有权拒绝支付。</w:t>
      </w:r>
    </w:p>
    <w:p>
      <w:pPr>
        <w:keepNext w:val="0"/>
        <w:keepLines w:val="0"/>
        <w:pageBreakBefore w:val="0"/>
        <w:widowControl w:val="0"/>
        <w:tabs>
          <w:tab w:val="left" w:pos="480"/>
        </w:tabs>
        <w:kinsoku/>
        <w:wordWrap/>
        <w:overflowPunct/>
        <w:topLinePunct w:val="0"/>
        <w:bidi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2、结算方式：根据甲方工作实际需求对产品进行分批采购，分批付款。每批次产品经采购人验收，相关科室确认合格后三个月内，按实际用量据实支付。</w:t>
      </w:r>
    </w:p>
    <w:p>
      <w:pPr>
        <w:tabs>
          <w:tab w:val="left" w:pos="480"/>
        </w:tabs>
        <w:spacing w:line="360" w:lineRule="auto"/>
        <w:rPr>
          <w:rFonts w:ascii="宋体" w:hAnsi="宋体" w:cs="宋体"/>
          <w:b/>
          <w:sz w:val="24"/>
        </w:rPr>
      </w:pPr>
      <w:r>
        <w:rPr>
          <w:rFonts w:hint="eastAsia" w:ascii="宋体" w:hAnsi="宋体" w:cs="宋体"/>
          <w:b/>
          <w:sz w:val="24"/>
        </w:rPr>
        <w:t>四、交货条件: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1、交货地点：甲方指定地点。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96" w:firstLineChars="200"/>
        <w:jc w:val="left"/>
        <w:textAlignment w:val="auto"/>
        <w:outlineLvl w:val="9"/>
        <w:rPr>
          <w:rFonts w:ascii="宋体" w:hAnsi="宋体" w:cs="宋体"/>
          <w:sz w:val="24"/>
        </w:rPr>
      </w:pPr>
      <w:r>
        <w:rPr>
          <w:rFonts w:hint="eastAsia" w:ascii="宋体" w:hAnsi="宋体" w:cs="宋体"/>
          <w:sz w:val="24"/>
        </w:rPr>
        <w:t>2、交</w:t>
      </w:r>
      <w:r>
        <w:rPr>
          <w:rFonts w:hint="eastAsia" w:ascii="宋体" w:hAnsi="宋体" w:cs="宋体"/>
          <w:color w:val="auto"/>
          <w:sz w:val="24"/>
        </w:rPr>
        <w:t>货期：自合同签订之日起按照</w:t>
      </w:r>
      <w:r>
        <w:rPr>
          <w:rFonts w:hint="eastAsia" w:ascii="宋体" w:hAnsi="宋体" w:cs="宋体"/>
          <w:color w:val="auto"/>
          <w:sz w:val="24"/>
          <w:lang w:eastAsia="zh-CN"/>
        </w:rPr>
        <w:t>甲方</w:t>
      </w:r>
      <w:r>
        <w:rPr>
          <w:rFonts w:hint="eastAsia" w:ascii="宋体" w:hAnsi="宋体" w:cs="宋体"/>
          <w:color w:val="auto"/>
          <w:sz w:val="24"/>
          <w:lang w:val="en-US" w:eastAsia="zh-CN"/>
        </w:rPr>
        <w:t>分批</w:t>
      </w:r>
      <w:r>
        <w:rPr>
          <w:rFonts w:hint="eastAsia" w:ascii="宋体" w:hAnsi="宋体" w:cs="宋体"/>
          <w:color w:val="auto"/>
          <w:sz w:val="24"/>
        </w:rPr>
        <w:t>采购规定的时间</w:t>
      </w:r>
      <w:r>
        <w:rPr>
          <w:rFonts w:hint="eastAsia" w:ascii="宋体" w:hAnsi="宋体" w:cs="宋体"/>
          <w:color w:val="auto"/>
          <w:sz w:val="24"/>
          <w:lang w:eastAsia="zh-CN"/>
        </w:rPr>
        <w:t>（</w:t>
      </w:r>
      <w:r>
        <w:rPr>
          <w:rFonts w:hint="eastAsia" w:ascii="宋体" w:hAnsi="宋体" w:cs="宋体"/>
          <w:color w:val="auto"/>
          <w:sz w:val="24"/>
          <w:lang w:val="en-US" w:eastAsia="zh-CN"/>
        </w:rPr>
        <w:t>配送时间</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个工作日内</w:t>
      </w:r>
      <w:r>
        <w:rPr>
          <w:rFonts w:hint="eastAsia" w:ascii="宋体" w:hAnsi="宋体" w:cs="宋体"/>
          <w:color w:val="auto"/>
          <w:sz w:val="24"/>
          <w:lang w:eastAsia="zh-CN"/>
        </w:rPr>
        <w:t>）</w:t>
      </w:r>
      <w:r>
        <w:rPr>
          <w:rFonts w:hint="eastAsia" w:ascii="宋体" w:hAnsi="宋体" w:cs="宋体"/>
          <w:color w:val="auto"/>
          <w:sz w:val="24"/>
          <w:lang w:val="en-US" w:eastAsia="zh-CN"/>
        </w:rPr>
        <w:t>要求送达规定</w:t>
      </w:r>
      <w:r>
        <w:rPr>
          <w:rFonts w:hint="eastAsia" w:ascii="宋体" w:hAnsi="宋体" w:cs="宋体"/>
          <w:color w:val="auto"/>
          <w:sz w:val="24"/>
        </w:rPr>
        <w:t>地点及摆放要求进行交货，未按时交货产生的一切损失由</w:t>
      </w:r>
      <w:r>
        <w:rPr>
          <w:rFonts w:hint="eastAsia" w:ascii="宋体" w:hAnsi="宋体" w:cs="宋体"/>
          <w:color w:val="auto"/>
          <w:sz w:val="24"/>
          <w:lang w:eastAsia="zh-CN"/>
        </w:rPr>
        <w:t>乙方</w:t>
      </w:r>
      <w:r>
        <w:rPr>
          <w:rFonts w:hint="eastAsia" w:ascii="宋体" w:hAnsi="宋体" w:cs="宋体"/>
          <w:color w:val="auto"/>
          <w:sz w:val="24"/>
        </w:rPr>
        <w:t>负责。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3、质保期：</w:t>
      </w:r>
      <w:r>
        <w:rPr>
          <w:rFonts w:hint="eastAsia" w:ascii="宋体" w:hAnsi="宋体" w:cs="宋体"/>
          <w:sz w:val="24"/>
          <w:lang w:eastAsia="zh-CN"/>
        </w:rPr>
        <w:t>验收合格后</w:t>
      </w:r>
      <w:r>
        <w:rPr>
          <w:rFonts w:hint="eastAsia" w:ascii="宋体" w:hAnsi="宋体" w:cs="宋体"/>
          <w:sz w:val="24"/>
          <w:u w:val="single"/>
          <w:lang w:val="en-US" w:eastAsia="zh-CN"/>
        </w:rPr>
        <w:t xml:space="preserve">    </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4、供货单位必须提供投标时所展示的相关资料存档，如：出厂质量检验报告等。</w:t>
      </w:r>
    </w:p>
    <w:p>
      <w:pPr>
        <w:tabs>
          <w:tab w:val="left" w:pos="480"/>
        </w:tabs>
        <w:spacing w:line="360" w:lineRule="auto"/>
        <w:rPr>
          <w:rFonts w:ascii="宋体" w:hAnsi="宋体" w:cs="宋体"/>
          <w:b/>
          <w:sz w:val="24"/>
        </w:rPr>
      </w:pPr>
      <w:r>
        <w:rPr>
          <w:rFonts w:hint="eastAsia" w:ascii="宋体" w:hAnsi="宋体" w:cs="宋体"/>
          <w:b/>
          <w:sz w:val="24"/>
        </w:rPr>
        <w:t>五、运输</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1、乙方负责所有货物的运输。确保货物按期、安全、完整到达指定地点，运杂费用包含在总价内，即货物的运输费、保险费、搬运费等。</w:t>
      </w:r>
    </w:p>
    <w:p>
      <w:pPr>
        <w:keepNext w:val="0"/>
        <w:keepLines w:val="0"/>
        <w:pageBreakBefore w:val="0"/>
        <w:widowControl w:val="0"/>
        <w:tabs>
          <w:tab w:val="left" w:pos="480"/>
        </w:tabs>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2、所有货物在运输、搬运、安装的过程中，造成甲方损失的，由乙方为甲方修复或更新。</w:t>
      </w:r>
    </w:p>
    <w:p>
      <w:pPr>
        <w:tabs>
          <w:tab w:val="left" w:pos="480"/>
        </w:tabs>
        <w:spacing w:line="360" w:lineRule="auto"/>
        <w:rPr>
          <w:rFonts w:ascii="宋体" w:hAnsi="宋体" w:cs="宋体"/>
          <w:b/>
          <w:sz w:val="24"/>
        </w:rPr>
      </w:pPr>
      <w:r>
        <w:rPr>
          <w:rFonts w:hint="eastAsia" w:ascii="宋体" w:hAnsi="宋体" w:cs="宋体"/>
          <w:b/>
          <w:sz w:val="24"/>
        </w:rPr>
        <w:t>六、质量保证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1、因配送装卸过程中造成的损耗（例如包装严重变形、破损等），乙方必须无条件更换。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2、乙方具有符合国家相关规定和甲方要求的仓储场所，保证纪念品数量至少两个月的库存。接甲方配送通知后，安排专职人员和车辆进行配送，响应时间限时2小时以内。</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3、所有产品因质量原因不能使用的，乙方须免费更换。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4、如果乙方提供的纪念品质量原因给甲方造成了</w:t>
      </w:r>
      <w:r>
        <w:rPr>
          <w:rFonts w:hint="eastAsia" w:ascii="宋体" w:hAnsi="宋体" w:cs="宋体"/>
          <w:sz w:val="24"/>
          <w:highlight w:val="none"/>
        </w:rPr>
        <w:t>恶劣影响</w:t>
      </w:r>
      <w:r>
        <w:rPr>
          <w:rFonts w:hint="eastAsia" w:ascii="宋体" w:hAnsi="宋体" w:cs="宋体"/>
          <w:sz w:val="24"/>
        </w:rPr>
        <w:t>，甲方有权终止合同，根据造成的影响提出赔偿。</w:t>
      </w:r>
    </w:p>
    <w:p>
      <w:pPr>
        <w:snapToGrid w:val="0"/>
        <w:spacing w:line="360" w:lineRule="auto"/>
        <w:rPr>
          <w:rFonts w:ascii="宋体" w:hAnsi="宋体" w:cs="宋体"/>
          <w:b/>
          <w:sz w:val="24"/>
        </w:rPr>
      </w:pPr>
      <w:r>
        <w:rPr>
          <w:rFonts w:hint="eastAsia" w:ascii="宋体" w:hAnsi="宋体" w:cs="宋体"/>
          <w:b/>
          <w:sz w:val="24"/>
        </w:rPr>
        <w:t>七、验收</w:t>
      </w:r>
    </w:p>
    <w:p>
      <w:pPr>
        <w:snapToGrid w:val="0"/>
        <w:spacing w:line="360" w:lineRule="auto"/>
        <w:ind w:firstLine="496" w:firstLineChars="200"/>
        <w:rPr>
          <w:rFonts w:ascii="宋体" w:hAnsi="宋体" w:cs="宋体"/>
          <w:sz w:val="24"/>
        </w:rPr>
      </w:pPr>
      <w:r>
        <w:rPr>
          <w:rFonts w:hint="eastAsia" w:ascii="宋体" w:hAnsi="宋体" w:cs="宋体"/>
          <w:sz w:val="24"/>
        </w:rPr>
        <w:t>由甲方和乙方共同对项目整体进行验收。其内容包括确认产品的产地、规格、型号和数量，对其产品技术指标、性能参数是否达到现行国家有关验收规范“合格”标准进行逐项检查。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所验产品的指标、性能参数通过验收达不到招标文件要求和投标响应文件承诺的，或在使用中发现</w:t>
      </w:r>
      <w:r>
        <w:rPr>
          <w:rFonts w:hint="eastAsia" w:ascii="宋体" w:hAnsi="宋体" w:cs="宋体"/>
          <w:sz w:val="24"/>
          <w:highlight w:val="none"/>
        </w:rPr>
        <w:t>甲方不能容忍的缺陷</w:t>
      </w:r>
      <w:r>
        <w:rPr>
          <w:rFonts w:hint="eastAsia" w:ascii="宋体" w:hAnsi="宋体" w:cs="宋体"/>
          <w:sz w:val="24"/>
        </w:rPr>
        <w:t>等，将视为产品验收不合格，乙方应无条件免费更换或退货。</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若发现乙方有弄虚作假的，在招标阶段故意或随意夸大产品技术性能，乙方应无条件退货，并赔偿甲方相应的损失。</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验收标准：按招标文件、</w:t>
      </w:r>
      <w:r>
        <w:rPr>
          <w:rFonts w:hint="eastAsia" w:ascii="宋体" w:hAnsi="宋体" w:cs="宋体"/>
          <w:sz w:val="24"/>
          <w:lang w:eastAsia="zh-CN"/>
        </w:rPr>
        <w:t>投标</w:t>
      </w:r>
      <w:r>
        <w:rPr>
          <w:rFonts w:hint="eastAsia" w:ascii="宋体" w:hAnsi="宋体" w:cs="宋体"/>
          <w:sz w:val="24"/>
        </w:rPr>
        <w:t>文件及澄清函等技术指标进行验收。各项指标均应符合验收标准及要求。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验收合格后，填写验收单，双方签章生效。</w:t>
      </w:r>
    </w:p>
    <w:p>
      <w:pPr>
        <w:keepNext w:val="0"/>
        <w:keepLines w:val="0"/>
        <w:pageBreakBefore w:val="0"/>
        <w:widowControl w:val="0"/>
        <w:tabs>
          <w:tab w:val="left" w:pos="480"/>
        </w:tabs>
        <w:kinsoku/>
        <w:wordWrap/>
        <w:overflowPunct/>
        <w:topLinePunct w:val="0"/>
        <w:autoSpaceDE/>
        <w:autoSpaceDN/>
        <w:bidi w:val="0"/>
        <w:adjustRightInd/>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验收依据：合同文本；</w:t>
      </w:r>
      <w:r>
        <w:rPr>
          <w:rFonts w:hint="eastAsia" w:ascii="宋体" w:hAnsi="宋体" w:cs="宋体"/>
          <w:sz w:val="24"/>
          <w:lang w:eastAsia="zh-CN"/>
        </w:rPr>
        <w:t>投标</w:t>
      </w:r>
      <w:r>
        <w:rPr>
          <w:rFonts w:hint="eastAsia" w:ascii="宋体" w:hAnsi="宋体" w:cs="宋体"/>
          <w:sz w:val="24"/>
        </w:rPr>
        <w:t>文件及澄清函、</w:t>
      </w:r>
      <w:r>
        <w:rPr>
          <w:rFonts w:hint="eastAsia" w:ascii="宋体" w:hAnsi="宋体" w:cs="宋体"/>
          <w:sz w:val="24"/>
          <w:lang w:eastAsia="zh-CN"/>
        </w:rPr>
        <w:t>招标</w:t>
      </w:r>
      <w:r>
        <w:rPr>
          <w:rFonts w:hint="eastAsia" w:ascii="宋体" w:hAnsi="宋体" w:cs="宋体"/>
          <w:sz w:val="24"/>
        </w:rPr>
        <w:t>文件；国家和行业制定的相应的标准和规范；产品验收清单（注明品名、数量、规格型号和原产地或生产厂家）。</w:t>
      </w:r>
    </w:p>
    <w:p>
      <w:pPr>
        <w:snapToGrid w:val="0"/>
        <w:spacing w:line="360" w:lineRule="auto"/>
        <w:rPr>
          <w:rFonts w:ascii="宋体" w:hAnsi="宋体" w:cs="宋体"/>
          <w:b/>
          <w:sz w:val="24"/>
        </w:rPr>
      </w:pPr>
      <w:r>
        <w:rPr>
          <w:rFonts w:hint="eastAsia" w:ascii="宋体" w:hAnsi="宋体" w:cs="宋体"/>
          <w:b/>
          <w:sz w:val="24"/>
        </w:rPr>
        <w:t>八、双方的权利和义务</w:t>
      </w:r>
    </w:p>
    <w:p>
      <w:pPr>
        <w:keepNext w:val="0"/>
        <w:keepLines w:val="0"/>
        <w:pageBreakBefore w:val="0"/>
        <w:widowControl w:val="0"/>
        <w:tabs>
          <w:tab w:val="left" w:pos="480"/>
        </w:tabs>
        <w:kinsoku/>
        <w:wordWrap/>
        <w:overflowPunct/>
        <w:topLinePunct w:val="0"/>
        <w:autoSpaceDE/>
        <w:autoSpaceDN/>
        <w:bidi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1、乙方应全力支持甲方组织无偿献血活动，并积极配合、参与无偿献血事业的宣传。</w:t>
      </w:r>
    </w:p>
    <w:p>
      <w:pPr>
        <w:keepNext w:val="0"/>
        <w:keepLines w:val="0"/>
        <w:pageBreakBefore w:val="0"/>
        <w:widowControl w:val="0"/>
        <w:tabs>
          <w:tab w:val="left" w:pos="480"/>
        </w:tabs>
        <w:kinsoku/>
        <w:wordWrap/>
        <w:overflowPunct/>
        <w:topLinePunct w:val="0"/>
        <w:autoSpaceDE/>
        <w:autoSpaceDN/>
        <w:bidi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2、乙方应保证甲方在使用该产品或其任何一部分时免受第三方提出侵犯其专利权、商标权或工业设计权的起诉。</w:t>
      </w:r>
    </w:p>
    <w:p>
      <w:pPr>
        <w:keepNext w:val="0"/>
        <w:keepLines w:val="0"/>
        <w:pageBreakBefore w:val="0"/>
        <w:widowControl w:val="0"/>
        <w:tabs>
          <w:tab w:val="left" w:pos="480"/>
        </w:tabs>
        <w:kinsoku/>
        <w:wordWrap/>
        <w:overflowPunct/>
        <w:topLinePunct w:val="0"/>
        <w:autoSpaceDE/>
        <w:autoSpaceDN/>
        <w:bidi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3、产品质量不符合合同规定时，乙方负责包退包换。由于上述原因导致延误交货时间的，每延误一日，乙方应按逾期交货部分产品价款总值的5‰向甲方偿付违约金。</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除不可抗力因素外，如果乙方不能按照合同规定的时间交货，应及时以书面形式将延迟的事实、可能延迟的时间和原因通知甲方。甲方收到乙方通知后，将尽快作出评价，决定是否同意延长交货期及收取误期赔偿费。甲方在不影响合同项下的其它补救措施情况下，可从合同未付款中扣除误期违约金。违约金按合同条款的规定计算，如按上述办法计算的违约金仍不足以补偿因乙方违约造成的损失，甲方有权进一步向乙方提出索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5、在履行合同过程中，如果乙方遇到可能妨碍按时交货和提供服务的情况，应及时以书面形式将拖延的事实，可能拖延的期限和理由通知甲方。甲方在收到乙方通知后，应尽快对情况进行评价，酌情延长交货时间或对乙方加收误期赔偿金。每延误一周的赔偿费按迟交货物交货价或未提供服务的服务费用的百分之一（1%）计收，直至交货或提供服务为止。误期赔偿费的最高限额为合同价格的百分之五（5%）。一旦达到误期赔偿费的最高限额，甲方可终止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96" w:firstLineChars="200"/>
        <w:jc w:val="both"/>
        <w:textAlignment w:val="auto"/>
        <w:outlineLvl w:val="9"/>
        <w:rPr>
          <w:rFonts w:ascii="宋体" w:hAnsi="宋体" w:cs="宋体"/>
          <w:sz w:val="24"/>
        </w:rPr>
      </w:pPr>
      <w:r>
        <w:rPr>
          <w:rFonts w:hint="eastAsia" w:ascii="宋体" w:hAnsi="宋体" w:cs="宋体"/>
          <w:sz w:val="24"/>
        </w:rPr>
        <w:t>6、如遇不可抗拒因素，甲方可终止合同。</w:t>
      </w:r>
    </w:p>
    <w:p>
      <w:pPr>
        <w:snapToGrid w:val="0"/>
        <w:spacing w:line="360" w:lineRule="auto"/>
        <w:rPr>
          <w:rFonts w:hint="eastAsia" w:ascii="宋体" w:hAnsi="宋体" w:cs="宋体"/>
          <w:b/>
          <w:sz w:val="24"/>
        </w:rPr>
      </w:pPr>
      <w:r>
        <w:rPr>
          <w:rFonts w:hint="eastAsia" w:ascii="宋体" w:hAnsi="宋体" w:cs="宋体"/>
          <w:b/>
          <w:sz w:val="24"/>
        </w:rPr>
        <w:t>九、技术服务</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1、对技术服务的要求：</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2、技术资料：</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2-1、产品合格证及检验报告；</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2-2、产品使用说明书（中文）；</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2-3、中国商品检验局出具的商检合格证明（进口产品）；</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2-4、其它资料。</w:t>
      </w:r>
    </w:p>
    <w:p>
      <w:pPr>
        <w:snapToGrid w:val="0"/>
        <w:spacing w:line="360" w:lineRule="auto"/>
        <w:rPr>
          <w:rFonts w:hint="eastAsia" w:ascii="宋体" w:hAnsi="宋体" w:cs="宋体"/>
          <w:b/>
          <w:sz w:val="24"/>
        </w:rPr>
      </w:pPr>
      <w:r>
        <w:rPr>
          <w:rFonts w:hint="eastAsia" w:ascii="宋体" w:hAnsi="宋体" w:cs="宋体"/>
          <w:b/>
          <w:sz w:val="24"/>
        </w:rPr>
        <w:t>十、售后服务</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1、因配送装卸过程中造成的损耗（例如包装严重变形、破损等），中标供应商必须无条件更换。</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2、中标供应商必须在本市有符合国家相关规定和采购人要求的仓储场所，保证产品数量至少两个月的库存。接采购人配送通知后，安排专职人员和车辆进行配送，响应时间限时2小时以内。</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3、所有产品因质量原因不能使用的或采购人验收不合格产品，中标方须免费更换，</w:t>
      </w:r>
      <w:r>
        <w:rPr>
          <w:rFonts w:hint="eastAsia" w:ascii="宋体" w:hAnsi="宋体" w:cs="宋体"/>
          <w:sz w:val="24"/>
          <w:highlight w:val="none"/>
        </w:rPr>
        <w:t>若更换率过大</w:t>
      </w:r>
      <w:r>
        <w:rPr>
          <w:rFonts w:hint="eastAsia" w:ascii="宋体" w:hAnsi="宋体" w:cs="宋体"/>
          <w:sz w:val="24"/>
        </w:rPr>
        <w:t>，采购人方可终止合同。</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4、如果中标供应商提供的</w:t>
      </w:r>
      <w:r>
        <w:rPr>
          <w:rFonts w:hint="eastAsia" w:ascii="宋体" w:hAnsi="宋体" w:cs="宋体"/>
          <w:sz w:val="24"/>
          <w:lang w:val="en-US" w:eastAsia="zh-CN"/>
        </w:rPr>
        <w:t>食</w:t>
      </w:r>
      <w:r>
        <w:rPr>
          <w:rFonts w:hint="eastAsia" w:ascii="宋体" w:hAnsi="宋体" w:cs="宋体"/>
          <w:sz w:val="24"/>
        </w:rPr>
        <w:t>品质量原因给采购人造成了恶劣影响，中标供应商必须在权威媒体刊登声明，澄清事实，消除对采购人因此产生的不良社会影响。同时采购人有权终止合同并冻结货款，根据造成的影响提出赔偿。</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5、如出现非质量原因造成的压货，中标供应商有义务更换。</w:t>
      </w:r>
    </w:p>
    <w:p>
      <w:pPr>
        <w:snapToGrid w:val="0"/>
        <w:spacing w:line="360" w:lineRule="auto"/>
        <w:rPr>
          <w:rFonts w:hint="eastAsia" w:ascii="宋体" w:hAnsi="宋体" w:cs="宋体"/>
          <w:b/>
          <w:sz w:val="24"/>
        </w:rPr>
      </w:pPr>
      <w:r>
        <w:rPr>
          <w:rFonts w:hint="eastAsia" w:ascii="宋体" w:hAnsi="宋体" w:cs="宋体"/>
          <w:b/>
          <w:sz w:val="24"/>
        </w:rPr>
        <w:t>十</w:t>
      </w:r>
      <w:r>
        <w:rPr>
          <w:rFonts w:hint="eastAsia" w:ascii="宋体" w:hAnsi="宋体" w:cs="宋体"/>
          <w:b/>
          <w:sz w:val="24"/>
          <w:lang w:eastAsia="zh-CN"/>
        </w:rPr>
        <w:t>一</w:t>
      </w:r>
      <w:r>
        <w:rPr>
          <w:rFonts w:hint="eastAsia" w:ascii="宋体" w:hAnsi="宋体" w:cs="宋体"/>
          <w:b/>
          <w:sz w:val="24"/>
        </w:rPr>
        <w:t>、解决合同纠纷的方式</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本合同在履行过程中发生的争议，由甲、乙双方当事人协商解决，协商不成的按下列第2种方式解决：</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1、提交西安仲裁委员会仲裁；</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rPr>
        <w:t>2、依法向采购人所在地雁塔区人民法院起诉。</w:t>
      </w:r>
    </w:p>
    <w:p>
      <w:pPr>
        <w:snapToGrid w:val="0"/>
        <w:spacing w:line="360" w:lineRule="auto"/>
        <w:rPr>
          <w:rFonts w:hint="eastAsia" w:ascii="宋体" w:hAnsi="宋体" w:cs="宋体"/>
          <w:b/>
          <w:sz w:val="24"/>
        </w:rPr>
      </w:pPr>
      <w:r>
        <w:rPr>
          <w:rFonts w:hint="eastAsia" w:ascii="宋体" w:hAnsi="宋体" w:cs="宋体"/>
          <w:b/>
          <w:sz w:val="24"/>
        </w:rPr>
        <w:t>十</w:t>
      </w:r>
      <w:r>
        <w:rPr>
          <w:rFonts w:hint="eastAsia" w:ascii="宋体" w:hAnsi="宋体" w:cs="宋体"/>
          <w:b/>
          <w:sz w:val="24"/>
          <w:lang w:eastAsia="zh-CN"/>
        </w:rPr>
        <w:t>二</w:t>
      </w:r>
      <w:r>
        <w:rPr>
          <w:rFonts w:hint="eastAsia" w:ascii="宋体" w:hAnsi="宋体" w:cs="宋体"/>
          <w:b/>
          <w:sz w:val="24"/>
        </w:rPr>
        <w:t>、合同生效</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 xml:space="preserve">、 本合同正本一式 捌 份，采购人 </w:t>
      </w:r>
      <w:r>
        <w:rPr>
          <w:rFonts w:hint="eastAsia" w:ascii="宋体" w:hAnsi="宋体" w:cs="宋体"/>
          <w:sz w:val="24"/>
          <w:lang w:eastAsia="zh-CN"/>
        </w:rPr>
        <w:t>肆</w:t>
      </w:r>
      <w:r>
        <w:rPr>
          <w:rFonts w:hint="eastAsia" w:ascii="宋体" w:hAnsi="宋体" w:cs="宋体"/>
          <w:sz w:val="24"/>
        </w:rPr>
        <w:t xml:space="preserve"> 份、中标供应商壹份，备案贰份</w:t>
      </w:r>
      <w:r>
        <w:rPr>
          <w:rFonts w:hint="eastAsia" w:ascii="宋体" w:hAnsi="宋体" w:cs="宋体"/>
          <w:sz w:val="24"/>
          <w:lang w:eastAsia="zh-CN"/>
        </w:rPr>
        <w:t>，代理机构壹份</w:t>
      </w:r>
      <w:r>
        <w:rPr>
          <w:rFonts w:hint="eastAsia" w:ascii="宋体" w:hAnsi="宋体" w:cs="宋体"/>
          <w:sz w:val="24"/>
        </w:rPr>
        <w:t>。</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、合同经甲乙双方盖章、签字后生效，合同签订地点为 西安市中心血站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96" w:firstLineChars="200"/>
        <w:jc w:val="both"/>
        <w:textAlignment w:val="auto"/>
        <w:outlineLvl w:val="9"/>
        <w:rPr>
          <w:rFonts w:hint="default" w:ascii="宋体" w:hAnsi="宋体" w:cs="宋体" w:eastAsiaTheme="minorEastAsia"/>
          <w:sz w:val="24"/>
          <w:highlight w:val="yellow"/>
          <w:lang w:val="en-US" w:eastAsia="zh-CN"/>
        </w:rPr>
      </w:pPr>
      <w:r>
        <w:rPr>
          <w:rFonts w:hint="eastAsia" w:ascii="宋体" w:hAnsi="宋体" w:cs="宋体"/>
          <w:sz w:val="24"/>
          <w:lang w:val="en-US" w:eastAsia="zh-CN"/>
        </w:rPr>
        <w:t>3</w:t>
      </w:r>
      <w:r>
        <w:rPr>
          <w:rFonts w:hint="eastAsia" w:ascii="宋体" w:hAnsi="宋体" w:cs="宋体"/>
          <w:sz w:val="24"/>
        </w:rPr>
        <w:t>、生效时间：合同签订日起</w:t>
      </w:r>
    </w:p>
    <w:p>
      <w:pPr>
        <w:widowControl/>
        <w:autoSpaceDE w:val="0"/>
        <w:autoSpaceDN w:val="0"/>
        <w:snapToGrid w:val="0"/>
        <w:spacing w:line="360" w:lineRule="auto"/>
        <w:ind w:right="893"/>
        <w:textAlignment w:val="bottom"/>
        <w:rPr>
          <w:rFonts w:ascii="宋体" w:hAnsi="宋体" w:cs="宋体"/>
          <w:b/>
          <w:sz w:val="24"/>
        </w:rPr>
      </w:pPr>
      <w:r>
        <w:rPr>
          <w:rFonts w:hint="eastAsia" w:ascii="宋体" w:hAnsi="宋体" w:cs="宋体"/>
          <w:b/>
          <w:sz w:val="24"/>
        </w:rPr>
        <w:t>十</w:t>
      </w:r>
      <w:r>
        <w:rPr>
          <w:rFonts w:hint="eastAsia" w:ascii="宋体" w:hAnsi="宋体" w:cs="宋体"/>
          <w:b/>
          <w:sz w:val="24"/>
          <w:lang w:eastAsia="zh-CN"/>
        </w:rPr>
        <w:t>三</w:t>
      </w:r>
      <w:r>
        <w:rPr>
          <w:rFonts w:hint="eastAsia" w:ascii="宋体" w:hAnsi="宋体" w:cs="宋体"/>
          <w:b/>
          <w:sz w:val="24"/>
        </w:rPr>
        <w:t>、其他事项</w:t>
      </w:r>
    </w:p>
    <w:p>
      <w:pPr>
        <w:widowControl/>
        <w:spacing w:line="360" w:lineRule="auto"/>
        <w:ind w:firstLine="482"/>
        <w:rPr>
          <w:rFonts w:ascii="宋体" w:hAnsi="宋体" w:cs="宋体"/>
          <w:sz w:val="24"/>
        </w:rPr>
      </w:pPr>
      <w:r>
        <w:rPr>
          <w:rFonts w:hint="eastAsia" w:ascii="宋体" w:hAnsi="宋体" w:cs="宋体"/>
          <w:sz w:val="24"/>
          <w:lang w:val="en-US" w:eastAsia="zh-CN"/>
        </w:rPr>
        <w:t>1、</w:t>
      </w:r>
      <w:r>
        <w:rPr>
          <w:rFonts w:hint="eastAsia" w:ascii="宋体" w:hAnsi="宋体" w:cs="宋体"/>
          <w:sz w:val="24"/>
        </w:rPr>
        <w:t>合同未尽事宜，由甲、乙双方协商确认后，作为合同补充，与原合同具有同等法律效力。</w:t>
      </w:r>
    </w:p>
    <w:p>
      <w:pPr>
        <w:widowControl/>
        <w:spacing w:line="360" w:lineRule="auto"/>
        <w:ind w:firstLine="482"/>
        <w:rPr>
          <w:rFonts w:ascii="宋体" w:hAnsi="宋体" w:cs="宋体"/>
          <w:sz w:val="24"/>
        </w:rPr>
      </w:pPr>
      <w:r>
        <w:rPr>
          <w:rFonts w:hint="eastAsia" w:ascii="宋体" w:hAnsi="宋体" w:cs="宋体"/>
          <w:sz w:val="24"/>
          <w:lang w:val="en-US" w:eastAsia="zh-CN"/>
        </w:rPr>
        <w:t>2、</w:t>
      </w:r>
      <w:r>
        <w:rPr>
          <w:rFonts w:hint="eastAsia" w:ascii="宋体" w:hAnsi="宋体" w:cs="宋体"/>
          <w:sz w:val="24"/>
        </w:rPr>
        <w:t>合同一经签订，不得擅自变更、中止或终止合同。对确需变更、调整或中止、终止合同的，应按规定履行相应的手续。</w:t>
      </w:r>
    </w:p>
    <w:p>
      <w:pPr>
        <w:spacing w:line="360" w:lineRule="exact"/>
        <w:ind w:firstLine="496" w:firstLineChars="200"/>
        <w:rPr>
          <w:rFonts w:hint="eastAsia" w:ascii="宋体" w:hAnsi="宋体" w:eastAsiaTheme="minorEastAsia"/>
          <w:sz w:val="24"/>
          <w:szCs w:val="24"/>
          <w:lang w:eastAsia="zh-CN"/>
        </w:rPr>
      </w:pPr>
      <w:r>
        <w:rPr>
          <w:rFonts w:hint="eastAsia" w:ascii="宋体" w:hAnsi="宋体" w:cs="宋体"/>
          <w:sz w:val="24"/>
          <w:lang w:val="en-US" w:eastAsia="zh-CN"/>
        </w:rPr>
        <w:t>3、</w:t>
      </w:r>
      <w:r>
        <w:rPr>
          <w:rFonts w:hint="eastAsia" w:ascii="宋体" w:hAnsi="宋体" w:cs="宋体"/>
          <w:sz w:val="24"/>
        </w:rPr>
        <w:t>本合同按照中华人民共和国的现行法律进行解释</w:t>
      </w:r>
      <w:r>
        <w:rPr>
          <w:rFonts w:hint="eastAsia" w:ascii="宋体" w:hAnsi="宋体" w:cs="宋体"/>
          <w:sz w:val="24"/>
          <w:lang w:eastAsia="zh-CN"/>
        </w:rPr>
        <w:t>。</w:t>
      </w:r>
    </w:p>
    <w:tbl>
      <w:tblPr>
        <w:tblStyle w:val="33"/>
        <w:tblW w:w="861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szCs w:val="21"/>
              </w:rPr>
            </w:pPr>
            <w:r>
              <w:rPr>
                <w:rFonts w:hint="eastAsia" w:ascii="宋体" w:hAnsi="宋体"/>
                <w:szCs w:val="21"/>
              </w:rPr>
              <w:t>甲  方</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szCs w:val="21"/>
              </w:rPr>
            </w:pPr>
            <w:r>
              <w:rPr>
                <w:rFonts w:hint="eastAsia" w:ascii="宋体" w:hAnsi="宋体"/>
                <w:szCs w:val="21"/>
              </w:rPr>
              <w:t>乙  方</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szCs w:val="21"/>
              </w:rPr>
            </w:pPr>
            <w:r>
              <w:rPr>
                <w:rFonts w:hint="eastAsia" w:ascii="宋体" w:hAnsi="宋体"/>
                <w:szCs w:val="21"/>
              </w:rPr>
              <w:t>鉴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szCs w:val="21"/>
              </w:rPr>
            </w:pPr>
            <w:r>
              <w:rPr>
                <w:rFonts w:hint="eastAsia" w:ascii="宋体" w:hAnsi="宋体"/>
                <w:szCs w:val="21"/>
              </w:rPr>
              <w:t>采购人名称（盖章）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szCs w:val="21"/>
              </w:rPr>
            </w:pPr>
            <w:r>
              <w:rPr>
                <w:rFonts w:hint="eastAsia"/>
                <w:kern w:val="0"/>
              </w:rPr>
              <w:t>西安市中心血站</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szCs w:val="21"/>
              </w:rPr>
            </w:pPr>
            <w:r>
              <w:rPr>
                <w:rFonts w:hint="eastAsia" w:ascii="宋体" w:hAnsi="宋体"/>
                <w:szCs w:val="21"/>
              </w:rPr>
              <w:t>供应商全称（盖章）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szCs w:val="21"/>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szCs w:val="21"/>
              </w:rPr>
            </w:pPr>
            <w:r>
              <w:rPr>
                <w:rFonts w:hint="eastAsia" w:ascii="宋体" w:hAnsi="宋体"/>
                <w:szCs w:val="21"/>
              </w:rPr>
              <w:t>代理机构名称（盖章）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地址：朱雀大街407号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地址：</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地址：</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邮编：710061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邮编：</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 xml:space="preserve">法定代表人： </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法定代表人：</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被授权代表：</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rPr>
            </w:pPr>
            <w:r>
              <w:rPr>
                <w:rFonts w:hint="eastAsia" w:ascii="宋体" w:hAnsi="宋体"/>
              </w:rPr>
              <w:t>被授权代表：</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分管主任：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电话：029-85212746</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电话：</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lang w:val="en-US" w:eastAsia="zh-CN"/>
              </w:rPr>
            </w:pPr>
            <w:r>
              <w:rPr>
                <w:rFonts w:hint="eastAsia" w:ascii="宋体" w:hAnsi="宋体"/>
                <w:lang w:eastAsia="zh-CN"/>
              </w:rPr>
              <w:t>纳税人识别号：</w:t>
            </w:r>
            <w:r>
              <w:rPr>
                <w:rFonts w:hint="eastAsia" w:ascii="宋体" w:hAnsi="宋体"/>
                <w:lang w:val="en-US" w:eastAsia="zh-CN"/>
              </w:rPr>
              <w:t>126101004372030973</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传真：</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lang w:eastAsia="zh-CN"/>
              </w:rPr>
            </w:pPr>
            <w:r>
              <w:rPr>
                <w:rFonts w:hint="eastAsia" w:ascii="宋体" w:hAnsi="宋体"/>
                <w:lang w:eastAsia="zh-CN"/>
              </w:rPr>
              <w:t>开户银行：招商银行西影路支行</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开户银行：</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宋体" w:hAnsi="宋体" w:eastAsia="宋体"/>
                <w:lang w:val="en-US" w:eastAsia="zh-CN"/>
              </w:rPr>
            </w:pPr>
            <w:r>
              <w:rPr>
                <w:rFonts w:hint="eastAsia" w:ascii="宋体" w:hAnsi="宋体"/>
                <w:lang w:eastAsia="zh-CN"/>
              </w:rPr>
              <w:t>账号：</w:t>
            </w:r>
            <w:r>
              <w:rPr>
                <w:rFonts w:hint="eastAsia" w:ascii="宋体" w:hAnsi="宋体"/>
                <w:lang w:val="en-US" w:eastAsia="zh-CN"/>
              </w:rPr>
              <w:t>129904468910201</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rPr>
              <w:t>帐号：</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lang w:eastAsia="zh-CN"/>
              </w:rPr>
              <w:t>日期</w:t>
            </w:r>
            <w:r>
              <w:rPr>
                <w:rFonts w:hint="eastAsia" w:ascii="宋体" w:hAnsi="宋体"/>
              </w:rPr>
              <w:t>：</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 xml:space="preserve"> 月</w:t>
            </w:r>
            <w:r>
              <w:rPr>
                <w:rFonts w:hint="eastAsia" w:ascii="宋体" w:hAnsi="宋体"/>
                <w:lang w:val="en-US" w:eastAsia="zh-CN"/>
              </w:rPr>
              <w:t xml:space="preserve">   </w:t>
            </w:r>
            <w:r>
              <w:rPr>
                <w:rFonts w:hint="eastAsia" w:ascii="宋体" w:hAnsi="宋体"/>
              </w:rPr>
              <w:t xml:space="preserve"> 日</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rPr>
            </w:pPr>
            <w:r>
              <w:rPr>
                <w:rFonts w:hint="eastAsia" w:ascii="宋体" w:hAnsi="宋体"/>
                <w:lang w:eastAsia="zh-CN"/>
              </w:rPr>
              <w:t>日期</w:t>
            </w:r>
            <w:r>
              <w:rPr>
                <w:rFonts w:hint="eastAsia" w:ascii="宋体" w:hAnsi="宋体"/>
              </w:rPr>
              <w:t>：</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 xml:space="preserve"> 月</w:t>
            </w:r>
            <w:r>
              <w:rPr>
                <w:rFonts w:hint="eastAsia" w:ascii="宋体" w:hAnsi="宋体"/>
                <w:lang w:val="en-US" w:eastAsia="zh-CN"/>
              </w:rPr>
              <w:t xml:space="preserve">   </w:t>
            </w:r>
            <w:r>
              <w:rPr>
                <w:rFonts w:hint="eastAsia" w:ascii="宋体" w:hAnsi="宋体"/>
              </w:rPr>
              <w:t xml:space="preserve"> 日</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rPr>
            </w:pPr>
            <w:r>
              <w:rPr>
                <w:rFonts w:hint="eastAsia" w:ascii="宋体" w:hAnsi="宋体"/>
                <w:lang w:eastAsia="zh-CN"/>
              </w:rPr>
              <w:t>日期</w:t>
            </w:r>
            <w:r>
              <w:rPr>
                <w:rFonts w:hint="eastAsia" w:ascii="宋体" w:hAnsi="宋体"/>
              </w:rPr>
              <w:t>：</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 xml:space="preserve"> 月</w:t>
            </w:r>
            <w:r>
              <w:rPr>
                <w:rFonts w:hint="eastAsia" w:ascii="宋体" w:hAnsi="宋体"/>
                <w:lang w:val="en-US" w:eastAsia="zh-CN"/>
              </w:rPr>
              <w:t xml:space="preserve">   </w:t>
            </w:r>
            <w:r>
              <w:rPr>
                <w:rFonts w:hint="eastAsia" w:ascii="宋体" w:hAnsi="宋体"/>
              </w:rPr>
              <w:t xml:space="preserve"> 日</w:t>
            </w:r>
          </w:p>
        </w:tc>
      </w:tr>
    </w:tbl>
    <w:p>
      <w:pPr>
        <w:tabs>
          <w:tab w:val="left" w:pos="3315"/>
        </w:tabs>
        <w:spacing w:line="500" w:lineRule="exact"/>
        <w:rPr>
          <w:rFonts w:hint="eastAsia" w:ascii="宋体" w:hAnsi="宋体"/>
          <w:sz w:val="24"/>
          <w:szCs w:val="24"/>
        </w:rPr>
      </w:pPr>
    </w:p>
    <w:p>
      <w:pPr>
        <w:bidi w:val="0"/>
      </w:pPr>
    </w:p>
    <w:p>
      <w:pPr>
        <w:bidi w:val="0"/>
        <w:rPr>
          <w:rFonts w:hint="eastAsia"/>
        </w:rPr>
      </w:pPr>
      <w:bookmarkStart w:id="87" w:name="_Toc29315"/>
      <w:bookmarkStart w:id="88" w:name="_Toc23414"/>
      <w:bookmarkStart w:id="89" w:name="_Toc15551"/>
      <w:r>
        <w:rPr>
          <w:rFonts w:hint="eastAsia"/>
        </w:rPr>
        <w:t>注：中标供应商应到</w:t>
      </w:r>
      <w:r>
        <w:rPr>
          <w:rFonts w:hint="eastAsia"/>
          <w:lang w:eastAsia="zh-CN"/>
        </w:rPr>
        <w:t>西安市中心</w:t>
      </w:r>
      <w:r>
        <w:rPr>
          <w:rFonts w:hint="eastAsia"/>
        </w:rPr>
        <w:t>血站拷贝合同样本并据此制作正式合同。</w:t>
      </w:r>
      <w:bookmarkEnd w:id="87"/>
      <w:bookmarkEnd w:id="88"/>
      <w:bookmarkEnd w:id="89"/>
    </w:p>
    <w:p>
      <w:r>
        <w:rPr>
          <w:rFonts w:hint="eastAsia"/>
        </w:rPr>
        <w:br w:type="page"/>
      </w:r>
    </w:p>
    <w:p>
      <w:pPr>
        <w:pStyle w:val="2"/>
        <w:rPr>
          <w:rFonts w:ascii="宋体" w:hAnsi="宋体" w:eastAsia="宋体" w:cs="宋体"/>
        </w:rPr>
      </w:pPr>
      <w:bookmarkStart w:id="90" w:name="_Toc29427"/>
      <w:bookmarkStart w:id="91" w:name="_Toc7444"/>
      <w:r>
        <w:rPr>
          <w:rFonts w:hint="eastAsia" w:ascii="宋体" w:hAnsi="宋体" w:eastAsia="宋体" w:cs="宋体"/>
        </w:rPr>
        <w:t>第五章  投标文件构成及格式</w:t>
      </w:r>
      <w:bookmarkEnd w:id="82"/>
      <w:bookmarkEnd w:id="90"/>
      <w:bookmarkEnd w:id="91"/>
    </w:p>
    <w:p>
      <w:pPr>
        <w:spacing w:line="560" w:lineRule="exact"/>
        <w:ind w:firstLine="656" w:firstLineChars="200"/>
        <w:jc w:val="both"/>
        <w:rPr>
          <w:rFonts w:ascii="宋体" w:hAnsi="宋体" w:eastAsia="宋体" w:cs="宋体"/>
          <w:sz w:val="32"/>
          <w:szCs w:val="32"/>
        </w:rPr>
      </w:pPr>
    </w:p>
    <w:p>
      <w:pPr>
        <w:spacing w:line="560" w:lineRule="exact"/>
        <w:ind w:firstLine="656" w:firstLineChars="200"/>
        <w:jc w:val="both"/>
        <w:rPr>
          <w:rFonts w:ascii="宋体" w:hAnsi="宋体" w:eastAsia="宋体" w:cs="宋体"/>
          <w:sz w:val="32"/>
          <w:szCs w:val="32"/>
        </w:rPr>
      </w:pPr>
    </w:p>
    <w:p>
      <w:pPr>
        <w:jc w:val="center"/>
        <w:rPr>
          <w:rFonts w:hint="eastAsia" w:ascii="宋体" w:hAnsi="宋体" w:eastAsia="宋体" w:cs="宋体"/>
          <w:b/>
          <w:bCs/>
          <w:sz w:val="40"/>
          <w:szCs w:val="40"/>
          <w:lang w:eastAsia="zh-CN"/>
        </w:rPr>
      </w:pPr>
      <w:r>
        <w:rPr>
          <w:rFonts w:hint="eastAsia" w:ascii="宋体" w:hAnsi="宋体" w:eastAsia="宋体" w:cs="宋体"/>
          <w:b/>
          <w:bCs/>
          <w:sz w:val="32"/>
          <w:szCs w:val="32"/>
        </w:rPr>
        <w:t xml:space="preserve">     </w:t>
      </w:r>
      <w:r>
        <w:rPr>
          <w:rFonts w:hint="eastAsia" w:ascii="宋体" w:hAnsi="宋体" w:eastAsia="宋体" w:cs="宋体"/>
          <w:b/>
          <w:bCs/>
          <w:sz w:val="40"/>
          <w:szCs w:val="40"/>
        </w:rPr>
        <w:t xml:space="preserve"> </w:t>
      </w:r>
      <w:r>
        <w:rPr>
          <w:rFonts w:hint="eastAsia" w:ascii="宋体" w:hAnsi="宋体" w:eastAsia="宋体" w:cs="宋体"/>
          <w:b/>
          <w:bCs/>
          <w:sz w:val="40"/>
          <w:szCs w:val="40"/>
          <w:lang w:eastAsia="zh-CN"/>
        </w:rPr>
        <w:t>西安市中心血站2024年无偿献血食品类采购项目（二次）</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560" w:lineRule="exact"/>
        <w:ind w:firstLine="656" w:firstLineChars="200"/>
        <w:jc w:val="center"/>
        <w:rPr>
          <w:rFonts w:hint="eastAsia" w:ascii="宋体" w:hAnsi="宋体" w:eastAsia="宋体" w:cs="宋体"/>
          <w:sz w:val="32"/>
          <w:szCs w:val="32"/>
          <w:lang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SXWZ2024ZB-XAXZ--015</w:t>
      </w:r>
    </w:p>
    <w:p>
      <w:pPr>
        <w:spacing w:line="560" w:lineRule="exact"/>
        <w:ind w:firstLine="656" w:firstLineChars="200"/>
        <w:jc w:val="both"/>
        <w:rPr>
          <w:rFonts w:ascii="宋体" w:hAnsi="宋体" w:eastAsia="宋体" w:cs="宋体"/>
          <w:sz w:val="32"/>
          <w:szCs w:val="32"/>
        </w:rPr>
      </w:pPr>
    </w:p>
    <w:p>
      <w:pPr>
        <w:spacing w:line="560" w:lineRule="exact"/>
        <w:ind w:firstLine="656" w:firstLineChars="200"/>
        <w:jc w:val="both"/>
        <w:rPr>
          <w:rFonts w:ascii="宋体" w:hAnsi="宋体" w:eastAsia="宋体" w:cs="宋体"/>
          <w:sz w:val="32"/>
          <w:szCs w:val="32"/>
        </w:rPr>
      </w:pPr>
    </w:p>
    <w:p>
      <w:pPr>
        <w:spacing w:line="560" w:lineRule="exact"/>
        <w:ind w:firstLine="656" w:firstLineChars="200"/>
        <w:jc w:val="both"/>
        <w:rPr>
          <w:rFonts w:ascii="宋体" w:hAnsi="宋体" w:eastAsia="宋体" w:cs="宋体"/>
          <w:sz w:val="32"/>
          <w:szCs w:val="32"/>
        </w:rPr>
      </w:pPr>
    </w:p>
    <w:p>
      <w:pPr>
        <w:spacing w:line="560" w:lineRule="exact"/>
        <w:ind w:firstLine="656" w:firstLineChars="200"/>
        <w:jc w:val="both"/>
        <w:rPr>
          <w:rFonts w:ascii="宋体" w:hAnsi="宋体" w:eastAsia="宋体" w:cs="宋体"/>
          <w:sz w:val="32"/>
          <w:szCs w:val="32"/>
        </w:rPr>
      </w:pPr>
    </w:p>
    <w:p>
      <w:pPr>
        <w:spacing w:line="560" w:lineRule="exact"/>
        <w:ind w:firstLine="656" w:firstLineChars="200"/>
        <w:jc w:val="both"/>
        <w:rPr>
          <w:rFonts w:ascii="宋体" w:hAnsi="宋体" w:eastAsia="宋体" w:cs="宋体"/>
          <w:sz w:val="32"/>
          <w:szCs w:val="32"/>
        </w:rPr>
      </w:pPr>
    </w:p>
    <w:p>
      <w:pPr>
        <w:spacing w:line="560" w:lineRule="exact"/>
        <w:ind w:firstLine="656" w:firstLineChars="200"/>
        <w:jc w:val="both"/>
        <w:rPr>
          <w:rFonts w:ascii="宋体" w:hAnsi="宋体" w:eastAsia="宋体" w:cs="宋体"/>
          <w:sz w:val="32"/>
          <w:szCs w:val="32"/>
        </w:rPr>
      </w:pPr>
    </w:p>
    <w:p>
      <w:pPr>
        <w:spacing w:line="560" w:lineRule="exact"/>
        <w:ind w:firstLine="656" w:firstLineChars="200"/>
        <w:jc w:val="both"/>
        <w:rPr>
          <w:rFonts w:ascii="宋体" w:hAnsi="宋体" w:eastAsia="宋体" w:cs="宋体"/>
          <w:sz w:val="32"/>
          <w:szCs w:val="32"/>
        </w:rPr>
      </w:pPr>
    </w:p>
    <w:p>
      <w:pPr>
        <w:spacing w:line="560" w:lineRule="exact"/>
        <w:ind w:firstLine="656" w:firstLineChars="200"/>
        <w:jc w:val="both"/>
        <w:rPr>
          <w:rFonts w:ascii="宋体" w:hAnsi="宋体" w:eastAsia="宋体" w:cs="宋体"/>
          <w:sz w:val="32"/>
          <w:szCs w:val="32"/>
        </w:rPr>
      </w:pPr>
    </w:p>
    <w:p>
      <w:pPr>
        <w:snapToGrid w:val="0"/>
        <w:spacing w:line="480" w:lineRule="auto"/>
        <w:ind w:firstLine="1312" w:firstLineChars="400"/>
        <w:rPr>
          <w:rFonts w:ascii="宋体" w:hAnsi="宋体" w:cs="宋体"/>
          <w:sz w:val="32"/>
          <w:szCs w:val="32"/>
          <w:lang w:val="zh-CN"/>
        </w:rPr>
      </w:pPr>
      <w:r>
        <w:rPr>
          <w:rFonts w:hint="eastAsia" w:ascii="宋体" w:hAnsi="宋体" w:cs="宋体"/>
          <w:sz w:val="32"/>
          <w:szCs w:val="32"/>
          <w:lang w:val="zh-CN"/>
        </w:rPr>
        <w:t>供应商（单位名称及公章）：</w:t>
      </w:r>
    </w:p>
    <w:p>
      <w:pPr>
        <w:snapToGrid w:val="0"/>
        <w:spacing w:line="480" w:lineRule="auto"/>
        <w:ind w:firstLine="1312" w:firstLineChars="400"/>
        <w:jc w:val="both"/>
      </w:pPr>
      <w:r>
        <w:rPr>
          <w:rFonts w:hint="eastAsia" w:ascii="宋体" w:hAnsi="宋体" w:cs="宋体"/>
          <w:sz w:val="32"/>
          <w:szCs w:val="32"/>
        </w:rPr>
        <w:t>法定代表人（负责人）或被授权人（签字或盖章）：</w:t>
      </w:r>
    </w:p>
    <w:p>
      <w:pPr>
        <w:snapToGrid w:val="0"/>
        <w:spacing w:line="480" w:lineRule="auto"/>
        <w:ind w:firstLine="1312" w:firstLineChars="400"/>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p>
    <w:p>
      <w:pPr>
        <w:spacing w:line="560" w:lineRule="exact"/>
        <w:ind w:firstLine="656" w:firstLineChars="200"/>
        <w:jc w:val="both"/>
        <w:rPr>
          <w:rFonts w:ascii="宋体" w:hAnsi="宋体" w:eastAsia="宋体" w:cs="宋体"/>
          <w:sz w:val="32"/>
          <w:szCs w:val="32"/>
        </w:rPr>
      </w:pPr>
      <w:r>
        <w:rPr>
          <w:rFonts w:hint="eastAsia" w:ascii="宋体" w:hAnsi="宋体" w:eastAsia="宋体" w:cs="宋体"/>
          <w:sz w:val="32"/>
          <w:szCs w:val="32"/>
        </w:rPr>
        <w:br w:type="page"/>
      </w:r>
    </w:p>
    <w:p>
      <w:pPr>
        <w:spacing w:line="560" w:lineRule="exact"/>
        <w:ind w:firstLine="896" w:firstLineChars="200"/>
        <w:jc w:val="center"/>
        <w:rPr>
          <w:rFonts w:ascii="宋体" w:hAnsi="宋体" w:eastAsia="宋体" w:cs="宋体"/>
          <w:sz w:val="44"/>
          <w:szCs w:val="44"/>
        </w:rPr>
      </w:pPr>
    </w:p>
    <w:p>
      <w:pPr>
        <w:spacing w:line="560" w:lineRule="exact"/>
        <w:ind w:firstLine="896" w:firstLineChars="200"/>
        <w:jc w:val="center"/>
        <w:rPr>
          <w:rFonts w:ascii="宋体" w:hAnsi="宋体" w:eastAsia="宋体" w:cs="宋体"/>
          <w:sz w:val="44"/>
          <w:szCs w:val="44"/>
        </w:rPr>
      </w:pPr>
      <w:r>
        <w:rPr>
          <w:rFonts w:hint="eastAsia" w:ascii="宋体" w:hAnsi="宋体" w:eastAsia="宋体" w:cs="宋体"/>
          <w:sz w:val="44"/>
          <w:szCs w:val="44"/>
        </w:rPr>
        <w:t>目    录</w:t>
      </w:r>
    </w:p>
    <w:p>
      <w:pPr>
        <w:spacing w:line="560" w:lineRule="exact"/>
        <w:ind w:firstLine="656" w:firstLineChars="200"/>
        <w:jc w:val="both"/>
        <w:rPr>
          <w:rFonts w:ascii="宋体" w:hAnsi="宋体" w:eastAsia="宋体" w:cs="宋体"/>
          <w:sz w:val="32"/>
          <w:szCs w:val="32"/>
        </w:rPr>
      </w:pPr>
    </w:p>
    <w:p>
      <w:pPr>
        <w:pStyle w:val="20"/>
        <w:snapToGrid w:val="0"/>
        <w:spacing w:line="480" w:lineRule="auto"/>
        <w:ind w:firstLine="576" w:firstLineChars="200"/>
        <w:rPr>
          <w:rFonts w:hAnsi="宋体" w:cs="宋体"/>
          <w:b/>
          <w:bCs/>
          <w:sz w:val="28"/>
          <w:szCs w:val="28"/>
        </w:rPr>
      </w:pPr>
      <w:bookmarkStart w:id="92" w:name="_Toc3727_WPSOffice_Level1"/>
      <w:r>
        <w:rPr>
          <w:rFonts w:hint="eastAsia" w:hAnsi="宋体" w:cs="宋体"/>
          <w:b/>
          <w:bCs/>
          <w:sz w:val="28"/>
          <w:szCs w:val="28"/>
        </w:rPr>
        <w:t>第一章  投标函</w:t>
      </w:r>
      <w:bookmarkEnd w:id="92"/>
    </w:p>
    <w:p>
      <w:pPr>
        <w:snapToGrid w:val="0"/>
        <w:spacing w:line="480" w:lineRule="auto"/>
        <w:ind w:firstLine="576" w:firstLineChars="200"/>
        <w:rPr>
          <w:rFonts w:hAnsi="宋体" w:cs="宋体"/>
          <w:b/>
          <w:sz w:val="28"/>
          <w:szCs w:val="28"/>
        </w:rPr>
      </w:pPr>
      <w:bookmarkStart w:id="93" w:name="_Toc23436_WPSOffice_Level1"/>
      <w:r>
        <w:rPr>
          <w:rFonts w:hint="eastAsia" w:ascii="宋体" w:hAnsi="宋体" w:cs="宋体"/>
          <w:b/>
          <w:sz w:val="28"/>
          <w:szCs w:val="28"/>
        </w:rPr>
        <w:t>第二</w:t>
      </w:r>
      <w:r>
        <w:rPr>
          <w:rFonts w:hint="eastAsia" w:hAnsi="宋体" w:cs="宋体"/>
          <w:b/>
          <w:bCs/>
          <w:sz w:val="28"/>
          <w:szCs w:val="28"/>
        </w:rPr>
        <w:t xml:space="preserve">章  </w:t>
      </w:r>
      <w:r>
        <w:rPr>
          <w:rFonts w:hint="eastAsia" w:ascii="宋体" w:hAnsi="宋体" w:cs="宋体"/>
          <w:b/>
          <w:sz w:val="28"/>
          <w:szCs w:val="28"/>
        </w:rPr>
        <w:t>开标一览表</w:t>
      </w:r>
      <w:bookmarkEnd w:id="93"/>
    </w:p>
    <w:p>
      <w:pPr>
        <w:pStyle w:val="20"/>
        <w:snapToGrid w:val="0"/>
        <w:spacing w:line="480" w:lineRule="auto"/>
        <w:ind w:firstLine="576" w:firstLineChars="200"/>
        <w:rPr>
          <w:rFonts w:hAnsi="宋体" w:cs="宋体"/>
          <w:b/>
          <w:sz w:val="28"/>
          <w:szCs w:val="28"/>
        </w:rPr>
      </w:pPr>
      <w:bookmarkStart w:id="94" w:name="_Toc11444_WPSOffice_Level1"/>
      <w:r>
        <w:rPr>
          <w:rFonts w:hint="eastAsia" w:hAnsi="宋体" w:cs="宋体"/>
          <w:b/>
          <w:sz w:val="28"/>
          <w:szCs w:val="28"/>
        </w:rPr>
        <w:t>第三</w:t>
      </w:r>
      <w:r>
        <w:rPr>
          <w:rFonts w:hint="eastAsia" w:hAnsi="宋体" w:cs="宋体"/>
          <w:b/>
          <w:bCs/>
          <w:sz w:val="28"/>
          <w:szCs w:val="28"/>
        </w:rPr>
        <w:t xml:space="preserve">章  </w:t>
      </w:r>
      <w:bookmarkEnd w:id="94"/>
      <w:r>
        <w:rPr>
          <w:rFonts w:hint="eastAsia" w:hAnsi="宋体" w:cs="宋体"/>
          <w:b/>
          <w:sz w:val="28"/>
          <w:szCs w:val="28"/>
        </w:rPr>
        <w:t>资格证明资料</w:t>
      </w:r>
    </w:p>
    <w:p>
      <w:pPr>
        <w:pStyle w:val="20"/>
        <w:snapToGrid w:val="0"/>
        <w:spacing w:line="480" w:lineRule="auto"/>
        <w:ind w:firstLine="576" w:firstLineChars="200"/>
        <w:rPr>
          <w:rFonts w:hAnsi="宋体" w:cs="宋体"/>
          <w:b/>
          <w:sz w:val="28"/>
          <w:szCs w:val="28"/>
        </w:rPr>
      </w:pPr>
      <w:r>
        <w:rPr>
          <w:rFonts w:hint="eastAsia" w:hAnsi="宋体" w:cs="宋体"/>
          <w:b/>
          <w:sz w:val="28"/>
          <w:szCs w:val="28"/>
        </w:rPr>
        <w:t>第四</w:t>
      </w:r>
      <w:r>
        <w:rPr>
          <w:rFonts w:hint="eastAsia" w:hAnsi="宋体" w:cs="宋体"/>
          <w:b/>
          <w:bCs/>
          <w:sz w:val="28"/>
          <w:szCs w:val="28"/>
        </w:rPr>
        <w:t>章  供应商概况</w:t>
      </w:r>
    </w:p>
    <w:p>
      <w:pPr>
        <w:pStyle w:val="20"/>
        <w:snapToGrid w:val="0"/>
        <w:spacing w:line="480" w:lineRule="auto"/>
        <w:ind w:firstLine="576" w:firstLineChars="200"/>
        <w:rPr>
          <w:rFonts w:hAnsi="宋体" w:cs="宋体"/>
          <w:b/>
          <w:bCs/>
          <w:sz w:val="28"/>
          <w:szCs w:val="28"/>
        </w:rPr>
      </w:pPr>
      <w:bookmarkStart w:id="95" w:name="_Toc5905_WPSOffice_Level1"/>
      <w:r>
        <w:rPr>
          <w:rFonts w:hint="eastAsia" w:hAnsi="宋体" w:cs="宋体"/>
          <w:b/>
          <w:sz w:val="28"/>
          <w:szCs w:val="28"/>
        </w:rPr>
        <w:t>第五</w:t>
      </w:r>
      <w:r>
        <w:rPr>
          <w:rFonts w:hint="eastAsia" w:hAnsi="宋体" w:cs="宋体"/>
          <w:b/>
          <w:bCs/>
          <w:sz w:val="28"/>
          <w:szCs w:val="28"/>
        </w:rPr>
        <w:t>章  商务和需求响应偏离表</w:t>
      </w:r>
    </w:p>
    <w:p>
      <w:pPr>
        <w:pStyle w:val="20"/>
        <w:snapToGrid w:val="0"/>
        <w:spacing w:line="480" w:lineRule="auto"/>
        <w:ind w:firstLine="576" w:firstLineChars="200"/>
        <w:rPr>
          <w:rFonts w:hAnsi="宋体" w:cs="宋体"/>
          <w:b/>
          <w:bCs/>
          <w:sz w:val="28"/>
          <w:szCs w:val="28"/>
        </w:rPr>
      </w:pPr>
      <w:r>
        <w:rPr>
          <w:rFonts w:hint="eastAsia" w:hAnsi="宋体" w:cs="宋体"/>
          <w:b/>
          <w:bCs/>
          <w:sz w:val="28"/>
          <w:szCs w:val="28"/>
        </w:rPr>
        <w:t>第六章  服务方案</w:t>
      </w:r>
    </w:p>
    <w:bookmarkEnd w:id="95"/>
    <w:p>
      <w:pPr>
        <w:pStyle w:val="20"/>
        <w:snapToGrid w:val="0"/>
        <w:spacing w:line="480" w:lineRule="auto"/>
        <w:ind w:firstLine="576" w:firstLineChars="200"/>
        <w:rPr>
          <w:rFonts w:hAnsi="宋体" w:cs="宋体"/>
          <w:b/>
          <w:bCs/>
          <w:sz w:val="28"/>
          <w:szCs w:val="28"/>
        </w:rPr>
      </w:pPr>
      <w:r>
        <w:rPr>
          <w:rFonts w:hint="eastAsia" w:hAnsi="宋体" w:cs="宋体"/>
          <w:b/>
          <w:bCs/>
          <w:sz w:val="28"/>
          <w:szCs w:val="28"/>
        </w:rPr>
        <w:t>第</w:t>
      </w:r>
      <w:r>
        <w:rPr>
          <w:rFonts w:hint="eastAsia" w:hAnsi="宋体" w:cs="宋体"/>
          <w:b/>
          <w:bCs/>
          <w:sz w:val="28"/>
          <w:szCs w:val="28"/>
          <w:lang w:eastAsia="zh-CN"/>
        </w:rPr>
        <w:t>七</w:t>
      </w:r>
      <w:r>
        <w:rPr>
          <w:rFonts w:hint="eastAsia" w:hAnsi="宋体" w:cs="宋体"/>
          <w:b/>
          <w:bCs/>
          <w:sz w:val="28"/>
          <w:szCs w:val="28"/>
        </w:rPr>
        <w:t>章  供应商业绩一览表</w:t>
      </w:r>
    </w:p>
    <w:p>
      <w:pPr>
        <w:pStyle w:val="20"/>
        <w:snapToGrid w:val="0"/>
        <w:spacing w:line="480" w:lineRule="auto"/>
        <w:ind w:firstLine="576" w:firstLineChars="200"/>
        <w:rPr>
          <w:rFonts w:hint="eastAsia" w:hAnsi="宋体" w:cs="宋体"/>
          <w:b/>
          <w:bCs/>
          <w:sz w:val="28"/>
          <w:szCs w:val="28"/>
        </w:rPr>
      </w:pPr>
      <w:bookmarkStart w:id="96" w:name="_Toc1523_WPSOffice_Level1"/>
      <w:r>
        <w:rPr>
          <w:rFonts w:hint="eastAsia" w:hAnsi="宋体" w:cs="宋体"/>
          <w:b/>
          <w:bCs/>
          <w:sz w:val="28"/>
          <w:szCs w:val="28"/>
        </w:rPr>
        <w:t>第</w:t>
      </w:r>
      <w:r>
        <w:rPr>
          <w:rFonts w:hint="eastAsia" w:hAnsi="宋体" w:cs="宋体"/>
          <w:b/>
          <w:bCs/>
          <w:sz w:val="28"/>
          <w:szCs w:val="28"/>
          <w:lang w:eastAsia="zh-CN"/>
        </w:rPr>
        <w:t>八</w:t>
      </w:r>
      <w:r>
        <w:rPr>
          <w:rFonts w:hint="eastAsia" w:hAnsi="宋体" w:cs="宋体"/>
          <w:b/>
          <w:bCs/>
          <w:sz w:val="28"/>
          <w:szCs w:val="28"/>
        </w:rPr>
        <w:t xml:space="preserve">章  </w:t>
      </w:r>
      <w:bookmarkEnd w:id="96"/>
      <w:r>
        <w:rPr>
          <w:rFonts w:hint="eastAsia" w:hAnsi="宋体" w:cs="宋体"/>
          <w:b/>
          <w:bCs/>
          <w:sz w:val="28"/>
          <w:szCs w:val="28"/>
        </w:rPr>
        <w:t>供应商认为有必要说明的其他问题</w:t>
      </w:r>
    </w:p>
    <w:p>
      <w:pPr>
        <w:pStyle w:val="20"/>
        <w:snapToGrid w:val="0"/>
        <w:spacing w:line="480" w:lineRule="auto"/>
        <w:ind w:firstLine="576" w:firstLineChars="200"/>
        <w:rPr>
          <w:rFonts w:hint="default" w:hAnsi="宋体" w:cs="宋体" w:eastAsiaTheme="minorEastAsia"/>
          <w:b/>
          <w:bCs/>
          <w:sz w:val="28"/>
          <w:szCs w:val="28"/>
          <w:lang w:val="en-US" w:eastAsia="zh-CN"/>
        </w:rPr>
      </w:pPr>
      <w:r>
        <w:rPr>
          <w:rFonts w:hint="eastAsia" w:hAnsi="宋体" w:cs="宋体"/>
          <w:b/>
          <w:bCs/>
          <w:sz w:val="28"/>
          <w:szCs w:val="28"/>
          <w:lang w:eastAsia="zh-CN"/>
        </w:rPr>
        <w:t>第九章</w:t>
      </w:r>
      <w:r>
        <w:rPr>
          <w:rFonts w:hint="eastAsia" w:hAnsi="宋体" w:cs="宋体"/>
          <w:b/>
          <w:bCs/>
          <w:sz w:val="28"/>
          <w:szCs w:val="28"/>
          <w:lang w:val="en-US" w:eastAsia="zh-CN"/>
        </w:rPr>
        <w:t xml:space="preserve">  供应商参加政府采购活动承诺书</w:t>
      </w:r>
    </w:p>
    <w:p>
      <w:pPr>
        <w:rPr>
          <w:rFonts w:ascii="宋体" w:hAnsi="宋体" w:eastAsia="宋体" w:cs="宋体"/>
          <w:sz w:val="32"/>
          <w:szCs w:val="32"/>
        </w:rPr>
      </w:pPr>
      <w:r>
        <w:rPr>
          <w:rFonts w:hint="eastAsia" w:ascii="宋体" w:hAnsi="宋体" w:eastAsia="宋体" w:cs="宋体"/>
        </w:rPr>
        <w:br w:type="page"/>
      </w:r>
    </w:p>
    <w:p>
      <w:pPr>
        <w:pStyle w:val="3"/>
        <w:ind w:firstLine="657"/>
        <w:jc w:val="center"/>
        <w:rPr>
          <w:rFonts w:ascii="宋体" w:hAnsi="宋体" w:eastAsia="宋体" w:cs="宋体"/>
        </w:rPr>
      </w:pPr>
      <w:bookmarkStart w:id="97" w:name="_Toc25583"/>
      <w:bookmarkStart w:id="98" w:name="_Toc23169"/>
      <w:r>
        <w:rPr>
          <w:rFonts w:hint="eastAsia" w:ascii="宋体" w:hAnsi="宋体" w:eastAsia="宋体" w:cs="宋体"/>
        </w:rPr>
        <w:t>第一部分  投标函</w:t>
      </w:r>
      <w:bookmarkEnd w:id="97"/>
      <w:bookmarkEnd w:id="98"/>
    </w:p>
    <w:p>
      <w:pPr>
        <w:spacing w:line="560" w:lineRule="exact"/>
        <w:jc w:val="both"/>
        <w:rPr>
          <w:rFonts w:ascii="宋体" w:hAnsi="宋体" w:eastAsia="宋体" w:cs="宋体"/>
          <w:sz w:val="28"/>
          <w:szCs w:val="28"/>
        </w:rPr>
      </w:pPr>
      <w:r>
        <w:rPr>
          <w:rFonts w:hint="eastAsia" w:ascii="宋体" w:hAnsi="宋体" w:eastAsia="宋体" w:cs="宋体"/>
          <w:sz w:val="28"/>
          <w:szCs w:val="28"/>
        </w:rPr>
        <w:t>陕西万泽招标有限公司：</w:t>
      </w:r>
    </w:p>
    <w:p>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我单位收到项目名称为：</w:t>
      </w:r>
      <w:r>
        <w:rPr>
          <w:rFonts w:hint="eastAsia" w:ascii="宋体" w:hAnsi="宋体" w:eastAsia="宋体" w:cs="宋体"/>
          <w:sz w:val="28"/>
          <w:szCs w:val="28"/>
          <w:u w:val="single"/>
        </w:rPr>
        <w:t xml:space="preserve">                  </w:t>
      </w:r>
      <w:r>
        <w:rPr>
          <w:rFonts w:hint="eastAsia" w:ascii="宋体" w:hAnsi="宋体" w:eastAsia="宋体" w:cs="宋体"/>
          <w:sz w:val="28"/>
          <w:szCs w:val="28"/>
        </w:rPr>
        <w:t>（项目编号为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 的招标文件，经详细研究，我公司决定参加本次招标活动。为此，我方郑重承诺以下诸点，并负法律责任。</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1．我方已详细阅读了招标文件，完全理解并同意招标文件的所有事项及内容。</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3．我方同意向贵单位提供与本次招标有关的全部证明材料，并保证所提交的证明材料真实、合法、有效。</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4．我方理解最低价不是成交的唯一条件，并尊重评标委员会的评审结果。</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5．我方投标文件在开启之日起___个日历日（应不少于90个日历日）内有效。</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6．若我方成交，我方承诺：（1）将投标文件有效期延长至合同执行完毕；（2）遵照招标文件中的要求，完成本项目的合同责任和义务。</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7．所有关于此次招标活动的函电，请按下列方式联系：</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供应商：（供应商全称并加盖公章）</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法定代表人或委托代理人：（签字或盖章）</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联系电话：</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通讯地址：</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邮    编：</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电子邮箱：</w:t>
      </w:r>
    </w:p>
    <w:p>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日    期：    年  月  日</w:t>
      </w:r>
    </w:p>
    <w:p>
      <w:pPr>
        <w:rPr>
          <w:rFonts w:ascii="宋体" w:hAnsi="宋体" w:eastAsia="宋体" w:cs="宋体"/>
          <w:sz w:val="32"/>
          <w:szCs w:val="32"/>
        </w:rPr>
      </w:pPr>
      <w:r>
        <w:rPr>
          <w:rFonts w:hint="eastAsia" w:ascii="宋体" w:hAnsi="宋体" w:eastAsia="宋体" w:cs="宋体"/>
        </w:rPr>
        <w:br w:type="page"/>
      </w:r>
    </w:p>
    <w:p>
      <w:pPr>
        <w:pStyle w:val="3"/>
        <w:numPr>
          <w:ilvl w:val="0"/>
          <w:numId w:val="5"/>
        </w:numPr>
        <w:ind w:firstLine="657"/>
        <w:jc w:val="center"/>
        <w:rPr>
          <w:rFonts w:ascii="宋体" w:hAnsi="宋体" w:eastAsia="宋体" w:cs="宋体"/>
        </w:rPr>
      </w:pPr>
      <w:r>
        <w:rPr>
          <w:rFonts w:hint="eastAsia" w:ascii="宋体" w:hAnsi="宋体" w:eastAsia="宋体" w:cs="宋体"/>
        </w:rPr>
        <w:t xml:space="preserve">  </w:t>
      </w:r>
      <w:bookmarkStart w:id="99" w:name="_Toc22487"/>
      <w:bookmarkStart w:id="100" w:name="_Toc11758"/>
      <w:r>
        <w:rPr>
          <w:rFonts w:hint="eastAsia" w:ascii="宋体" w:hAnsi="宋体" w:eastAsia="宋体" w:cs="宋体"/>
        </w:rPr>
        <w:t>开标一览表</w:t>
      </w:r>
      <w:bookmarkEnd w:id="99"/>
      <w:bookmarkEnd w:id="100"/>
    </w:p>
    <w:p>
      <w:pPr>
        <w:wordWrap w:val="0"/>
        <w:spacing w:line="360" w:lineRule="auto"/>
        <w:rPr>
          <w:rFonts w:hint="eastAsia" w:ascii="宋体" w:hAnsi="宋体" w:cs="宋体" w:eastAsiaTheme="minorEastAsia"/>
          <w:u w:val="single"/>
          <w:lang w:eastAsia="zh-CN"/>
        </w:rPr>
      </w:pPr>
      <w:r>
        <w:rPr>
          <w:rFonts w:hint="eastAsia" w:ascii="宋体" w:hAnsi="宋体" w:cs="宋体"/>
        </w:rPr>
        <w:t>项目名称：</w:t>
      </w:r>
      <w:r>
        <w:rPr>
          <w:rFonts w:hint="eastAsia" w:ascii="宋体" w:hAnsi="宋体" w:cs="宋体"/>
          <w:u w:val="single"/>
          <w:lang w:eastAsia="zh-CN"/>
        </w:rPr>
        <w:t>西安市中心血站2024年无偿献血食品类采购项目（二次）</w:t>
      </w:r>
    </w:p>
    <w:p>
      <w:pPr>
        <w:pStyle w:val="11"/>
        <w:ind w:firstLine="0"/>
        <w:rPr>
          <w:rFonts w:hint="eastAsia" w:ascii="宋体" w:hAnsi="宋体" w:eastAsia="宋体" w:cs="宋体"/>
          <w:kern w:val="2"/>
          <w:szCs w:val="21"/>
          <w:lang w:eastAsia="zh-CN"/>
        </w:rPr>
      </w:pPr>
      <w:r>
        <w:rPr>
          <w:rFonts w:hint="eastAsia" w:ascii="宋体" w:hAnsi="宋体" w:eastAsia="宋体" w:cs="宋体"/>
          <w:kern w:val="2"/>
          <w:szCs w:val="21"/>
        </w:rPr>
        <w:t>项目编号：</w:t>
      </w:r>
      <w:r>
        <w:rPr>
          <w:rFonts w:hint="eastAsia" w:ascii="宋体" w:hAnsi="宋体" w:eastAsia="宋体" w:cs="宋体"/>
          <w:kern w:val="2"/>
          <w:szCs w:val="21"/>
          <w:lang w:eastAsia="zh-CN"/>
        </w:rPr>
        <w:t>SXWZ2024ZB-XAXZ--015</w:t>
      </w:r>
    </w:p>
    <w:p>
      <w:pPr>
        <w:pStyle w:val="12"/>
        <w:ind w:left="0" w:leftChars="0" w:firstLine="0" w:firstLineChars="0"/>
        <w:rPr>
          <w:rFonts w:hint="default"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包号：第X包</w:t>
      </w:r>
    </w:p>
    <w:p>
      <w:r>
        <w:rPr>
          <w:rFonts w:hint="eastAsia" w:ascii="宋体" w:hAnsi="宋体" w:cs="宋体"/>
        </w:rPr>
        <w:t xml:space="preserve">单位：元  </w:t>
      </w:r>
    </w:p>
    <w:tbl>
      <w:tblPr>
        <w:tblStyle w:val="3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395"/>
        <w:gridCol w:w="2242"/>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2439" w:type="dxa"/>
            <w:tcBorders>
              <w:tl2br w:val="single" w:color="auto" w:sz="4" w:space="0"/>
            </w:tcBorders>
          </w:tcPr>
          <w:p>
            <w:pPr>
              <w:kinsoku w:val="0"/>
              <w:spacing w:line="480" w:lineRule="auto"/>
              <w:ind w:right="-235" w:rightChars="-95" w:firstLine="1240" w:firstLineChars="500"/>
              <w:rPr>
                <w:rFonts w:ascii="宋体" w:hAnsi="宋体" w:cs="宋体"/>
              </w:rPr>
            </w:pPr>
            <w:r>
              <w:rPr>
                <w:rFonts w:hint="eastAsia" w:ascii="宋体" w:hAnsi="宋体" w:cs="宋体"/>
              </w:rPr>
              <w:t>报价内容</w:t>
            </w:r>
          </w:p>
          <w:p>
            <w:pPr>
              <w:kinsoku w:val="0"/>
              <w:spacing w:line="480" w:lineRule="auto"/>
              <w:ind w:left="10" w:right="-235" w:rightChars="-95" w:firstLine="517" w:firstLineChars="209"/>
              <w:rPr>
                <w:rFonts w:ascii="宋体" w:hAnsi="宋体" w:cs="宋体"/>
              </w:rPr>
            </w:pPr>
          </w:p>
          <w:p>
            <w:pPr>
              <w:kinsoku w:val="0"/>
              <w:spacing w:line="480" w:lineRule="auto"/>
              <w:ind w:right="-235" w:rightChars="-95"/>
              <w:rPr>
                <w:rFonts w:ascii="宋体" w:hAnsi="宋体" w:cs="宋体"/>
              </w:rPr>
            </w:pPr>
            <w:r>
              <w:rPr>
                <w:rFonts w:hint="eastAsia" w:ascii="宋体" w:hAnsi="宋体" w:cs="宋体"/>
              </w:rPr>
              <w:t>投标内容</w:t>
            </w:r>
          </w:p>
        </w:tc>
        <w:tc>
          <w:tcPr>
            <w:tcW w:w="2395" w:type="dxa"/>
            <w:vAlign w:val="center"/>
          </w:tcPr>
          <w:p>
            <w:pPr>
              <w:kinsoku w:val="0"/>
              <w:spacing w:line="480" w:lineRule="auto"/>
              <w:ind w:right="-235" w:rightChars="-95"/>
              <w:jc w:val="center"/>
              <w:rPr>
                <w:rFonts w:hint="eastAsia" w:ascii="宋体" w:hAnsi="宋体" w:cs="宋体" w:eastAsiaTheme="minorEastAsia"/>
                <w:lang w:eastAsia="zh-CN"/>
              </w:rPr>
            </w:pPr>
            <w:r>
              <w:rPr>
                <w:rFonts w:hint="eastAsia" w:ascii="宋体" w:hAnsi="宋体" w:cs="宋体"/>
                <w:lang w:val="en-US" w:eastAsia="zh-CN"/>
              </w:rPr>
              <w:t>总报价（元）</w:t>
            </w:r>
          </w:p>
        </w:tc>
        <w:tc>
          <w:tcPr>
            <w:tcW w:w="2242" w:type="dxa"/>
            <w:vAlign w:val="center"/>
          </w:tcPr>
          <w:p>
            <w:pPr>
              <w:kinsoku w:val="0"/>
              <w:ind w:right="-235" w:rightChars="-95"/>
              <w:jc w:val="center"/>
              <w:rPr>
                <w:rFonts w:hint="eastAsia" w:ascii="宋体" w:hAnsi="宋体" w:cs="宋体" w:eastAsiaTheme="minorEastAsia"/>
                <w:lang w:eastAsia="zh-CN"/>
              </w:rPr>
            </w:pPr>
            <w:r>
              <w:rPr>
                <w:rFonts w:hint="eastAsia" w:ascii="宋体" w:hAnsi="宋体" w:cs="宋体"/>
                <w:lang w:val="en-US" w:eastAsia="zh-CN"/>
              </w:rPr>
              <w:t>交货期</w:t>
            </w:r>
          </w:p>
        </w:tc>
        <w:tc>
          <w:tcPr>
            <w:tcW w:w="2417" w:type="dxa"/>
            <w:vAlign w:val="center"/>
          </w:tcPr>
          <w:p>
            <w:pPr>
              <w:kinsoku w:val="0"/>
              <w:ind w:right="-235" w:rightChars="-95"/>
              <w:jc w:val="center"/>
              <w:rPr>
                <w:rFonts w:hint="eastAsia" w:ascii="宋体" w:hAnsi="宋体" w:cs="宋体" w:eastAsiaTheme="minorEastAsia"/>
                <w:lang w:val="en-US" w:eastAsia="zh-CN"/>
              </w:rPr>
            </w:pPr>
            <w:r>
              <w:rPr>
                <w:rFonts w:hint="eastAsia" w:ascii="宋体" w:hAnsi="宋体" w:cs="宋体"/>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2439" w:type="dxa"/>
            <w:vAlign w:val="center"/>
          </w:tcPr>
          <w:p>
            <w:pPr>
              <w:kinsoku w:val="0"/>
              <w:ind w:right="69" w:rightChars="28"/>
              <w:jc w:val="center"/>
              <w:rPr>
                <w:rFonts w:hint="eastAsia" w:ascii="宋体" w:hAnsi="宋体" w:eastAsia="宋体" w:cs="宋体"/>
                <w:lang w:eastAsia="zh-CN"/>
              </w:rPr>
            </w:pPr>
            <w:r>
              <w:rPr>
                <w:rFonts w:hint="eastAsia" w:ascii="宋体" w:hAnsi="宋体" w:eastAsia="宋体" w:cs="宋体"/>
                <w:lang w:eastAsia="zh-CN"/>
              </w:rPr>
              <w:t>西安市中心血站2024年无偿献血食品类采购项目（二次）</w:t>
            </w:r>
          </w:p>
        </w:tc>
        <w:tc>
          <w:tcPr>
            <w:tcW w:w="2395" w:type="dxa"/>
            <w:vAlign w:val="center"/>
          </w:tcPr>
          <w:p>
            <w:pPr>
              <w:kinsoku w:val="0"/>
              <w:spacing w:line="480" w:lineRule="auto"/>
              <w:ind w:left="10" w:right="-235" w:rightChars="-95" w:firstLine="517" w:firstLineChars="209"/>
              <w:jc w:val="center"/>
              <w:rPr>
                <w:rFonts w:ascii="宋体" w:hAnsi="宋体" w:cs="宋体"/>
              </w:rPr>
            </w:pPr>
          </w:p>
        </w:tc>
        <w:tc>
          <w:tcPr>
            <w:tcW w:w="2242" w:type="dxa"/>
            <w:vAlign w:val="center"/>
          </w:tcPr>
          <w:p>
            <w:pPr>
              <w:kinsoku w:val="0"/>
              <w:spacing w:line="480" w:lineRule="auto"/>
              <w:ind w:left="10" w:right="-235" w:rightChars="-95" w:firstLine="517" w:firstLineChars="209"/>
              <w:jc w:val="center"/>
              <w:rPr>
                <w:rFonts w:ascii="宋体" w:hAnsi="宋体" w:cs="宋体"/>
              </w:rPr>
            </w:pPr>
          </w:p>
        </w:tc>
        <w:tc>
          <w:tcPr>
            <w:tcW w:w="2417" w:type="dxa"/>
            <w:vAlign w:val="center"/>
          </w:tcPr>
          <w:p>
            <w:pPr>
              <w:kinsoku w:val="0"/>
              <w:spacing w:line="480" w:lineRule="auto"/>
              <w:ind w:right="-235" w:rightChars="-95"/>
              <w:jc w:val="both"/>
              <w:rPr>
                <w:rFonts w:hint="eastAsia" w:ascii="宋体" w:hAnsi="宋体" w:cs="宋体" w:eastAsiaTheme="minorEastAsia"/>
                <w:lang w:eastAsia="zh-CN"/>
              </w:rPr>
            </w:pPr>
            <w:r>
              <w:rPr>
                <w:rFonts w:hint="eastAsia" w:ascii="宋体" w:hAnsi="宋体" w:cs="宋体"/>
                <w:lang w:eastAsia="zh-CN"/>
              </w:rPr>
              <w:t>完全满足采购要求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493" w:type="dxa"/>
            <w:gridSpan w:val="4"/>
          </w:tcPr>
          <w:p>
            <w:pPr>
              <w:kinsoku w:val="0"/>
              <w:ind w:right="-235" w:rightChars="-95"/>
              <w:rPr>
                <w:rFonts w:ascii="宋体" w:hAnsi="宋体" w:cs="宋体"/>
                <w:b/>
                <w:bCs/>
              </w:rPr>
            </w:pPr>
          </w:p>
          <w:p>
            <w:pPr>
              <w:kinsoku w:val="0"/>
              <w:ind w:right="-235" w:rightChars="-95"/>
              <w:rPr>
                <w:rFonts w:hint="eastAsia" w:ascii="宋体" w:hAnsi="宋体" w:cs="宋体"/>
              </w:rPr>
            </w:pPr>
            <w:r>
              <w:rPr>
                <w:rFonts w:hint="eastAsia" w:ascii="宋体" w:hAnsi="宋体" w:cs="宋体"/>
                <w:lang w:val="en-US" w:eastAsia="zh-CN"/>
              </w:rPr>
              <w:t>单价</w:t>
            </w:r>
            <w:r>
              <w:rPr>
                <w:rFonts w:hint="eastAsia" w:ascii="宋体" w:hAnsi="宋体" w:cs="宋体"/>
              </w:rPr>
              <w:t>：（大写）________________（小写）_________________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93" w:type="dxa"/>
            <w:gridSpan w:val="4"/>
            <w:vAlign w:val="center"/>
          </w:tcPr>
          <w:p>
            <w:pPr>
              <w:kinsoku w:val="0"/>
              <w:spacing w:line="480" w:lineRule="auto"/>
              <w:ind w:firstLine="496" w:firstLineChars="200"/>
              <w:rPr>
                <w:rFonts w:ascii="宋体" w:cs="宋体"/>
              </w:rPr>
            </w:pPr>
            <w:r>
              <w:rPr>
                <w:rFonts w:hint="eastAsia" w:ascii="宋体" w:hAnsi="宋体" w:cs="宋体"/>
              </w:rPr>
              <w:t>备注：</w:t>
            </w:r>
            <w:r>
              <w:rPr>
                <w:rFonts w:hint="eastAsia" w:ascii="宋体" w:hAnsi="宋体" w:cs="宋体"/>
                <w:lang w:val="en-US" w:eastAsia="zh-CN"/>
              </w:rPr>
              <w:t>1.</w:t>
            </w:r>
            <w:r>
              <w:rPr>
                <w:rFonts w:hint="eastAsia" w:ascii="宋体" w:hAnsi="宋体" w:cs="宋体"/>
              </w:rPr>
              <w:t>报价内容以元为单位，精确到小数点后两位；</w:t>
            </w:r>
          </w:p>
          <w:p>
            <w:pPr>
              <w:kinsoku w:val="0"/>
              <w:ind w:right="-235" w:rightChars="-95" w:firstLine="1240" w:firstLineChars="500"/>
              <w:rPr>
                <w:rFonts w:ascii="宋体" w:hAnsi="宋体" w:cs="宋体"/>
              </w:rPr>
            </w:pPr>
            <w:r>
              <w:rPr>
                <w:rFonts w:hint="eastAsia" w:ascii="宋体" w:hAnsi="宋体" w:cs="宋体"/>
                <w:lang w:val="en-US" w:eastAsia="zh-CN"/>
              </w:rPr>
              <w:t>2</w:t>
            </w:r>
            <w:r>
              <w:rPr>
                <w:rFonts w:ascii="宋体" w:hAnsi="宋体" w:cs="宋体"/>
              </w:rPr>
              <w:t>.</w:t>
            </w:r>
            <w:r>
              <w:rPr>
                <w:rFonts w:hint="eastAsia" w:ascii="宋体" w:hAnsi="宋体" w:cs="宋体"/>
                <w:lang w:val="en-US" w:eastAsia="zh-CN"/>
              </w:rPr>
              <w:t>交货</w:t>
            </w:r>
            <w:r>
              <w:rPr>
                <w:rFonts w:hint="eastAsia" w:ascii="宋体" w:hAnsi="宋体" w:cs="宋体"/>
              </w:rPr>
              <w:t>期</w:t>
            </w:r>
            <w:r>
              <w:rPr>
                <w:rFonts w:hint="eastAsia" w:ascii="宋体" w:hAnsi="宋体" w:cs="宋体"/>
                <w:lang w:eastAsia="zh-CN"/>
              </w:rPr>
              <w:t>、</w:t>
            </w:r>
            <w:r>
              <w:rPr>
                <w:rFonts w:hint="eastAsia" w:ascii="宋体" w:hAnsi="宋体" w:cs="宋体"/>
                <w:lang w:val="en-US" w:eastAsia="zh-CN"/>
              </w:rPr>
              <w:t>质保期</w:t>
            </w:r>
            <w:r>
              <w:rPr>
                <w:rFonts w:hint="eastAsia" w:ascii="宋体" w:hAnsi="宋体" w:cs="宋体"/>
              </w:rPr>
              <w:t>见第三章采购要求。</w:t>
            </w:r>
          </w:p>
        </w:tc>
      </w:tr>
    </w:tbl>
    <w:p>
      <w:pPr>
        <w:adjustRightInd w:val="0"/>
        <w:snapToGrid w:val="0"/>
        <w:spacing w:line="480" w:lineRule="auto"/>
        <w:rPr>
          <w:rFonts w:hint="eastAsia" w:ascii="宋体" w:hAnsi="宋体" w:cs="宋体"/>
        </w:rPr>
      </w:pPr>
    </w:p>
    <w:p>
      <w:pPr>
        <w:adjustRightInd w:val="0"/>
        <w:snapToGrid w:val="0"/>
        <w:spacing w:line="480" w:lineRule="auto"/>
        <w:rPr>
          <w:rFonts w:ascii="宋体" w:hAnsi="宋体" w:cs="宋体"/>
        </w:rPr>
      </w:pPr>
      <w:r>
        <w:rPr>
          <w:rFonts w:hint="eastAsia" w:ascii="宋体" w:hAnsi="宋体" w:cs="宋体"/>
        </w:rPr>
        <w:t>供应商（单位名称及公章）：___________________________</w:t>
      </w:r>
    </w:p>
    <w:p>
      <w:pPr>
        <w:adjustRightInd w:val="0"/>
        <w:snapToGrid w:val="0"/>
        <w:spacing w:line="480" w:lineRule="auto"/>
      </w:pPr>
      <w:r>
        <w:rPr>
          <w:rFonts w:hint="eastAsia" w:ascii="宋体" w:hAnsi="宋体" w:cs="宋体"/>
        </w:rPr>
        <w:t>法定代表人或被授权人（签字或盖章）：__________________</w:t>
      </w:r>
    </w:p>
    <w:p>
      <w:pPr>
        <w:adjustRightInd w:val="0"/>
        <w:snapToGrid w:val="0"/>
        <w:spacing w:line="480" w:lineRule="auto"/>
        <w:rPr>
          <w:rFonts w:ascii="宋体" w:cs="宋体"/>
        </w:rPr>
      </w:pPr>
      <w:r>
        <w:rPr>
          <w:rFonts w:hint="eastAsia" w:ascii="宋体" w:hAnsi="宋体" w:cs="宋体"/>
        </w:rPr>
        <w:t>时间：_______年________月_______日</w:t>
      </w:r>
    </w:p>
    <w:p>
      <w:pPr>
        <w:spacing w:line="560" w:lineRule="exact"/>
        <w:ind w:firstLine="656" w:firstLineChars="200"/>
        <w:jc w:val="both"/>
        <w:rPr>
          <w:rFonts w:ascii="宋体" w:hAnsi="宋体" w:eastAsia="宋体" w:cs="宋体"/>
          <w:sz w:val="32"/>
          <w:szCs w:val="32"/>
        </w:rPr>
      </w:pPr>
    </w:p>
    <w:p>
      <w:pPr>
        <w:spacing w:line="560" w:lineRule="exact"/>
        <w:ind w:firstLine="656" w:firstLineChars="200"/>
        <w:jc w:val="both"/>
        <w:rPr>
          <w:rFonts w:ascii="宋体" w:hAnsi="宋体" w:eastAsia="宋体" w:cs="宋体"/>
          <w:sz w:val="32"/>
          <w:szCs w:val="32"/>
        </w:rPr>
      </w:pPr>
    </w:p>
    <w:p>
      <w:pPr>
        <w:spacing w:line="560" w:lineRule="exact"/>
        <w:ind w:firstLine="656" w:firstLineChars="200"/>
        <w:jc w:val="both"/>
        <w:rPr>
          <w:rFonts w:ascii="宋体" w:hAnsi="宋体" w:eastAsia="宋体" w:cs="宋体"/>
          <w:sz w:val="32"/>
          <w:szCs w:val="32"/>
        </w:rPr>
      </w:pPr>
      <w:r>
        <w:rPr>
          <w:rFonts w:hint="eastAsia" w:ascii="宋体" w:hAnsi="宋体" w:eastAsia="宋体" w:cs="宋体"/>
          <w:sz w:val="32"/>
          <w:szCs w:val="32"/>
        </w:rPr>
        <w:br w:type="page"/>
      </w:r>
    </w:p>
    <w:p>
      <w:pPr>
        <w:bidi w:val="0"/>
        <w:jc w:val="center"/>
        <w:rPr>
          <w:rFonts w:hint="eastAsia"/>
        </w:rPr>
      </w:pPr>
      <w:bookmarkStart w:id="101" w:name="_Toc15781"/>
      <w:bookmarkStart w:id="102" w:name="_Toc9349"/>
      <w:r>
        <w:rPr>
          <w:rFonts w:hint="eastAsia"/>
        </w:rPr>
        <w:t>分项报价表（</w:t>
      </w:r>
      <w:r>
        <w:rPr>
          <w:rFonts w:hint="eastAsia"/>
          <w:lang w:eastAsia="zh-CN"/>
        </w:rPr>
        <w:t>货物</w:t>
      </w:r>
      <w:r>
        <w:rPr>
          <w:rFonts w:hint="eastAsia"/>
        </w:rPr>
        <w:t>类适用）</w:t>
      </w:r>
      <w:bookmarkEnd w:id="101"/>
    </w:p>
    <w:p>
      <w:pPr>
        <w:pStyle w:val="11"/>
        <w:spacing w:line="360" w:lineRule="auto"/>
        <w:ind w:left="0" w:leftChars="0"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sz w:val="24"/>
          <w:u w:val="single"/>
          <w:lang w:eastAsia="zh-CN"/>
        </w:rPr>
        <w:t>西安市中心血站2024年无偿献血食品类采购项目（二次）</w:t>
      </w:r>
    </w:p>
    <w:p>
      <w:pPr>
        <w:widowControl/>
        <w:wordWrap w:val="0"/>
        <w:spacing w:line="360" w:lineRule="auto"/>
        <w:rPr>
          <w:rFonts w:hint="eastAsia" w:asci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SXWZ2024ZB-XAXZ--015</w:t>
      </w:r>
    </w:p>
    <w:p>
      <w:pPr>
        <w:bidi w:val="0"/>
        <w:rPr>
          <w:rFonts w:hint="default" w:ascii="宋体" w:hAnsi="宋体" w:cs="宋体"/>
          <w:sz w:val="24"/>
          <w:lang w:val="en-US" w:eastAsia="zh-CN"/>
        </w:rPr>
      </w:pPr>
      <w:r>
        <w:rPr>
          <w:rFonts w:hint="eastAsia" w:ascii="宋体" w:hAnsi="宋体" w:cs="宋体"/>
          <w:sz w:val="24"/>
          <w:lang w:eastAsia="zh-CN"/>
        </w:rPr>
        <w:t>包号：</w:t>
      </w:r>
      <w:r>
        <w:rPr>
          <w:rFonts w:hint="eastAsia" w:ascii="宋体" w:hAnsi="宋体" w:cs="宋体"/>
          <w:sz w:val="24"/>
          <w:lang w:val="en-US" w:eastAsia="zh-CN"/>
        </w:rPr>
        <w:t>第X包</w:t>
      </w:r>
    </w:p>
    <w:p>
      <w:pPr>
        <w:bidi w:val="0"/>
        <w:rPr>
          <w:rFonts w:hint="eastAsia"/>
        </w:rPr>
      </w:pPr>
      <w:r>
        <w:rPr>
          <w:rFonts w:hint="eastAsia" w:ascii="宋体" w:hAnsi="宋体" w:cs="宋体"/>
          <w:sz w:val="24"/>
        </w:rPr>
        <w:t>单位：</w:t>
      </w:r>
      <w:r>
        <w:rPr>
          <w:rFonts w:hint="eastAsia" w:ascii="宋体" w:hAnsi="宋体" w:cs="宋体"/>
          <w:sz w:val="24"/>
          <w:szCs w:val="24"/>
        </w:rPr>
        <w:t xml:space="preserve">元 </w:t>
      </w:r>
    </w:p>
    <w:p>
      <w:pPr>
        <w:widowControl/>
        <w:wordWrap w:val="0"/>
        <w:spacing w:line="360" w:lineRule="auto"/>
        <w:jc w:val="left"/>
        <w:rPr>
          <w:rFonts w:ascii="宋体" w:cs="宋体"/>
          <w:b/>
          <w:color w:val="000000" w:themeColor="text1"/>
          <w:sz w:val="36"/>
          <w:szCs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t>共  页，第  页</w:t>
      </w:r>
    </w:p>
    <w:tbl>
      <w:tblPr>
        <w:tblStyle w:val="33"/>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1"/>
        <w:gridCol w:w="1401"/>
        <w:gridCol w:w="1554"/>
        <w:gridCol w:w="1331"/>
        <w:gridCol w:w="949"/>
        <w:gridCol w:w="950"/>
        <w:gridCol w:w="11"/>
        <w:gridCol w:w="1027"/>
        <w:gridCol w:w="11"/>
        <w:gridCol w:w="9"/>
        <w:gridCol w:w="96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F1F1F1" w:themeFill="background1" w:themeFillShade="F2"/>
            <w:noWrap/>
            <w:tcMar>
              <w:top w:w="20" w:type="dxa"/>
              <w:left w:w="20" w:type="dxa"/>
              <w:bottom w:w="0" w:type="dxa"/>
              <w:right w:w="20" w:type="dxa"/>
            </w:tcMar>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一</w:t>
            </w:r>
          </w:p>
        </w:tc>
        <w:tc>
          <w:tcPr>
            <w:tcW w:w="8207" w:type="dxa"/>
            <w:gridSpan w:val="10"/>
            <w:shd w:val="clear" w:color="auto" w:fill="F1F1F1" w:themeFill="background1" w:themeFillShade="F2"/>
            <w:noWrap/>
            <w:tcMar>
              <w:top w:w="20" w:type="dxa"/>
              <w:left w:w="20" w:type="dxa"/>
              <w:bottom w:w="0" w:type="dxa"/>
              <w:right w:w="20" w:type="dxa"/>
            </w:tcMar>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1" w:type="dxa"/>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1554" w:type="dxa"/>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品牌及</w:t>
            </w:r>
          </w:p>
          <w:p>
            <w:pPr>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1331" w:type="dxa"/>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原产地及制造厂名</w:t>
            </w:r>
          </w:p>
        </w:tc>
        <w:tc>
          <w:tcPr>
            <w:tcW w:w="949" w:type="dxa"/>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是否小微企业产品</w:t>
            </w:r>
          </w:p>
        </w:tc>
        <w:tc>
          <w:tcPr>
            <w:tcW w:w="950" w:type="dxa"/>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38" w:type="dxa"/>
            <w:gridSpan w:val="2"/>
            <w:shd w:val="clear" w:color="auto" w:fill="auto"/>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984" w:type="dxa"/>
            <w:gridSpan w:val="3"/>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01" w:type="dxa"/>
            <w:noWrap/>
            <w:tcMar>
              <w:top w:w="20" w:type="dxa"/>
              <w:left w:w="20" w:type="dxa"/>
              <w:bottom w:w="0" w:type="dxa"/>
              <w:right w:w="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rPr>
            </w:pPr>
          </w:p>
        </w:tc>
        <w:tc>
          <w:tcPr>
            <w:tcW w:w="15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p>
        </w:tc>
        <w:tc>
          <w:tcPr>
            <w:tcW w:w="1038"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4"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01" w:type="dxa"/>
            <w:noWrap/>
            <w:tcMar>
              <w:top w:w="20" w:type="dxa"/>
              <w:left w:w="20" w:type="dxa"/>
              <w:bottom w:w="0" w:type="dxa"/>
              <w:right w:w="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rPr>
            </w:pPr>
          </w:p>
        </w:tc>
        <w:tc>
          <w:tcPr>
            <w:tcW w:w="15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p>
        </w:tc>
        <w:tc>
          <w:tcPr>
            <w:tcW w:w="1038"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4"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01" w:type="dxa"/>
            <w:noWrap/>
            <w:tcMar>
              <w:top w:w="20" w:type="dxa"/>
              <w:left w:w="20" w:type="dxa"/>
              <w:bottom w:w="0" w:type="dxa"/>
              <w:right w:w="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rPr>
            </w:pPr>
          </w:p>
        </w:tc>
        <w:tc>
          <w:tcPr>
            <w:tcW w:w="15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p>
        </w:tc>
        <w:tc>
          <w:tcPr>
            <w:tcW w:w="1038"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4"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01" w:type="dxa"/>
            <w:noWrap/>
            <w:tcMar>
              <w:top w:w="20" w:type="dxa"/>
              <w:left w:w="20" w:type="dxa"/>
              <w:bottom w:w="0" w:type="dxa"/>
              <w:right w:w="20" w:type="dxa"/>
            </w:tcMar>
            <w:vAlign w:val="center"/>
          </w:tcPr>
          <w:p>
            <w:pPr>
              <w:keepNext w:val="0"/>
              <w:keepLines w:val="0"/>
              <w:widowControl/>
              <w:suppressLineNumbers w:val="0"/>
              <w:jc w:val="left"/>
              <w:textAlignment w:val="center"/>
              <w:rPr>
                <w:rFonts w:hint="eastAsia" w:ascii="宋体" w:hAnsi="宋体" w:eastAsia="宋体" w:cs="宋体"/>
                <w:color w:val="auto"/>
                <w:sz w:val="24"/>
                <w:szCs w:val="24"/>
              </w:rPr>
            </w:pPr>
          </w:p>
        </w:tc>
        <w:tc>
          <w:tcPr>
            <w:tcW w:w="15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p>
        </w:tc>
        <w:tc>
          <w:tcPr>
            <w:tcW w:w="1038"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4"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01" w:type="dxa"/>
            <w:noWrap/>
            <w:tcMar>
              <w:top w:w="20" w:type="dxa"/>
              <w:left w:w="20" w:type="dxa"/>
              <w:bottom w:w="0" w:type="dxa"/>
              <w:right w:w="20" w:type="dxa"/>
            </w:tcMar>
            <w:vAlign w:val="center"/>
          </w:tcPr>
          <w:p>
            <w:pPr>
              <w:jc w:val="left"/>
              <w:rPr>
                <w:rFonts w:hint="eastAsia" w:ascii="宋体" w:hAnsi="宋体" w:eastAsia="宋体" w:cs="宋体"/>
                <w:color w:val="auto"/>
                <w:sz w:val="24"/>
                <w:szCs w:val="24"/>
              </w:rPr>
            </w:pPr>
          </w:p>
        </w:tc>
        <w:tc>
          <w:tcPr>
            <w:tcW w:w="15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p>
        </w:tc>
        <w:tc>
          <w:tcPr>
            <w:tcW w:w="1038"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4"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554"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33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49"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50"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38"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84" w:type="dxa"/>
            <w:gridSpan w:val="3"/>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shd w:val="clear" w:color="auto" w:fill="F1F1F1" w:themeFill="background1" w:themeFillShade="F2"/>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二</w:t>
            </w:r>
          </w:p>
        </w:tc>
        <w:tc>
          <w:tcPr>
            <w:tcW w:w="8207" w:type="dxa"/>
            <w:gridSpan w:val="10"/>
            <w:shd w:val="clear" w:color="auto" w:fill="F1F1F1" w:themeFill="background1" w:themeFillShade="F2"/>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1" w:type="dxa"/>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费用名称</w:t>
            </w:r>
          </w:p>
        </w:tc>
        <w:tc>
          <w:tcPr>
            <w:tcW w:w="3834" w:type="dxa"/>
            <w:gridSpan w:val="3"/>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费用描述</w:t>
            </w:r>
          </w:p>
        </w:tc>
        <w:tc>
          <w:tcPr>
            <w:tcW w:w="961"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38"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973"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3834" w:type="dxa"/>
            <w:gridSpan w:val="3"/>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61"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38"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73" w:type="dxa"/>
            <w:gridSpan w:val="2"/>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3834" w:type="dxa"/>
            <w:gridSpan w:val="3"/>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61"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38"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73" w:type="dxa"/>
            <w:gridSpan w:val="2"/>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3834" w:type="dxa"/>
            <w:gridSpan w:val="3"/>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61"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38"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73" w:type="dxa"/>
            <w:gridSpan w:val="2"/>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66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401" w:type="dxa"/>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3834" w:type="dxa"/>
            <w:gridSpan w:val="3"/>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61"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1038" w:type="dxa"/>
            <w:gridSpan w:val="2"/>
            <w:noWrap/>
            <w:tcMar>
              <w:top w:w="20" w:type="dxa"/>
              <w:left w:w="20" w:type="dxa"/>
              <w:bottom w:w="0" w:type="dxa"/>
              <w:right w:w="20" w:type="dxa"/>
            </w:tcMar>
            <w:vAlign w:val="center"/>
          </w:tcPr>
          <w:p>
            <w:pPr>
              <w:jc w:val="center"/>
              <w:rPr>
                <w:rFonts w:hint="eastAsia" w:ascii="宋体" w:hAnsi="宋体" w:eastAsia="宋体" w:cs="宋体"/>
                <w:sz w:val="24"/>
                <w:szCs w:val="24"/>
              </w:rPr>
            </w:pPr>
          </w:p>
        </w:tc>
        <w:tc>
          <w:tcPr>
            <w:tcW w:w="973" w:type="dxa"/>
            <w:gridSpan w:val="2"/>
            <w:vAlign w:val="center"/>
          </w:tcPr>
          <w:p>
            <w:pPr>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904" w:type="dxa"/>
            <w:gridSpan w:val="10"/>
            <w:noWrap/>
            <w:tcMar>
              <w:top w:w="20" w:type="dxa"/>
              <w:left w:w="20" w:type="dxa"/>
              <w:bottom w:w="0" w:type="dxa"/>
              <w:right w:w="20" w:type="dxa"/>
            </w:tcMar>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总计</w:t>
            </w:r>
            <w:r>
              <w:rPr>
                <w:rFonts w:hint="eastAsia" w:ascii="宋体" w:hAnsi="宋体" w:eastAsia="宋体" w:cs="宋体"/>
                <w:sz w:val="24"/>
                <w:szCs w:val="24"/>
                <w:lang w:eastAsia="zh-CN"/>
              </w:rPr>
              <w:t>：</w:t>
            </w:r>
          </w:p>
        </w:tc>
        <w:tc>
          <w:tcPr>
            <w:tcW w:w="964" w:type="dxa"/>
            <w:vAlign w:val="center"/>
          </w:tcPr>
          <w:p>
            <w:pPr>
              <w:jc w:val="center"/>
              <w:rPr>
                <w:rFonts w:hint="eastAsia" w:ascii="宋体" w:hAnsi="宋体" w:eastAsia="宋体" w:cs="宋体"/>
                <w:sz w:val="28"/>
                <w:szCs w:val="28"/>
              </w:rPr>
            </w:pPr>
          </w:p>
        </w:tc>
      </w:tr>
    </w:tbl>
    <w:p>
      <w:pPr>
        <w:adjustRightInd w:val="0"/>
        <w:snapToGrid w:val="0"/>
        <w:spacing w:line="480" w:lineRule="auto"/>
        <w:rPr>
          <w:rFonts w:hint="eastAsia" w:ascii="宋体" w:hAnsi="宋体"/>
          <w:color w:val="000000" w:themeColor="text1"/>
          <w:sz w:val="24"/>
          <w:szCs w:val="24"/>
          <w14:textFill>
            <w14:solidFill>
              <w14:schemeClr w14:val="tx1"/>
            </w14:solidFill>
          </w14:textFill>
        </w:rPr>
      </w:pP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供应商（单位名称及公章）：</w:t>
      </w:r>
    </w:p>
    <w:p>
      <w:pPr>
        <w:adjustRightInd w:val="0"/>
        <w:snapToGrid w:val="0"/>
        <w:spacing w:line="480" w:lineRule="auto"/>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法定代表人或被授权人（签字或盖章）：</w:t>
      </w:r>
    </w:p>
    <w:p>
      <w:pPr>
        <w:adjustRightInd w:val="0"/>
        <w:snapToGrid w:val="0"/>
        <w:spacing w:line="48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日期：年  月  日</w:t>
      </w:r>
    </w:p>
    <w:p>
      <w:pPr>
        <w:bidi w:val="0"/>
      </w:pPr>
      <w:r>
        <w:t>注：1</w:t>
      </w:r>
      <w:r>
        <w:rPr>
          <w:rFonts w:hint="eastAsia"/>
        </w:rPr>
        <w:t>．</w:t>
      </w:r>
      <w:r>
        <w:t>监狱企业、残疾人福利性单位视同小微企业。</w:t>
      </w:r>
    </w:p>
    <w:p>
      <w:pPr>
        <w:bidi w:val="0"/>
      </w:pPr>
      <w:r>
        <w:t>2</w:t>
      </w:r>
      <w:r>
        <w:rPr>
          <w:rFonts w:hint="eastAsia"/>
        </w:rPr>
        <w:t>．“是否小微企业产品”</w:t>
      </w:r>
      <w:r>
        <w:t>一栏若有漏报，将被视为</w:t>
      </w:r>
      <w:r>
        <w:rPr>
          <w:rFonts w:hint="eastAsia"/>
        </w:rPr>
        <w:t>“非小微企业产品”</w:t>
      </w:r>
      <w:r>
        <w:t>。</w:t>
      </w:r>
    </w:p>
    <w:p>
      <w:pPr>
        <w:bidi w:val="0"/>
        <w:sectPr>
          <w:headerReference r:id="rId6" w:type="first"/>
          <w:footerReference r:id="rId8" w:type="first"/>
          <w:headerReference r:id="rId5" w:type="default"/>
          <w:footerReference r:id="rId7" w:type="default"/>
          <w:pgSz w:w="11906" w:h="16838"/>
          <w:pgMar w:top="1440" w:right="1803" w:bottom="1440" w:left="1803" w:header="850" w:footer="992" w:gutter="0"/>
          <w:pgNumType w:fmt="decimal"/>
          <w:cols w:space="0" w:num="1"/>
          <w:titlePg/>
          <w:docGrid w:type="linesAndChars" w:linePitch="395" w:charSpace="1724"/>
        </w:sectPr>
      </w:pPr>
      <w:r>
        <w:t>3</w:t>
      </w:r>
      <w:r>
        <w:rPr>
          <w:rFonts w:hint="eastAsia"/>
        </w:rPr>
        <w:t>．</w:t>
      </w:r>
      <w:r>
        <w:t>表格空间不足时，可自行扩展。</w:t>
      </w:r>
    </w:p>
    <w:p>
      <w:pPr>
        <w:pStyle w:val="3"/>
        <w:ind w:firstLine="657"/>
        <w:jc w:val="center"/>
        <w:rPr>
          <w:rFonts w:ascii="宋体" w:hAnsi="宋体" w:eastAsia="宋体" w:cs="宋体"/>
        </w:rPr>
      </w:pPr>
      <w:bookmarkStart w:id="103" w:name="_Toc23259"/>
      <w:r>
        <w:rPr>
          <w:rFonts w:hint="eastAsia" w:ascii="宋体" w:hAnsi="宋体" w:eastAsia="宋体" w:cs="宋体"/>
        </w:rPr>
        <w:t>第三部分  资格证明文件</w:t>
      </w:r>
      <w:bookmarkEnd w:id="102"/>
      <w:bookmarkEnd w:id="103"/>
    </w:p>
    <w:p>
      <w:pPr>
        <w:spacing w:line="560" w:lineRule="exact"/>
        <w:ind w:firstLine="576" w:firstLineChars="200"/>
        <w:jc w:val="both"/>
        <w:rPr>
          <w:rFonts w:hint="eastAsia" w:ascii="宋体" w:hAnsi="宋体" w:eastAsia="宋体" w:cs="宋体"/>
          <w:sz w:val="28"/>
          <w:szCs w:val="28"/>
        </w:rPr>
      </w:pPr>
      <w:r>
        <w:rPr>
          <w:rFonts w:hint="eastAsia" w:ascii="宋体" w:hAnsi="宋体" w:eastAsia="宋体" w:cs="宋体"/>
          <w:sz w:val="28"/>
          <w:szCs w:val="28"/>
        </w:rPr>
        <w:t>按照招标文件第一章《投标邀请函》所列“供应商资格要求”提供各项资格证明文件，未按要求提供的，其投标文件将被视为无效文件。</w:t>
      </w:r>
    </w:p>
    <w:p>
      <w:pPr>
        <w:numPr>
          <w:ilvl w:val="0"/>
          <w:numId w:val="0"/>
        </w:numPr>
        <w:spacing w:line="360" w:lineRule="auto"/>
        <w:ind w:firstLine="576" w:firstLineChars="200"/>
        <w:jc w:val="both"/>
        <w:rPr>
          <w:rFonts w:hint="eastAsia"/>
        </w:rPr>
      </w:pPr>
      <w:r>
        <w:rPr>
          <w:rFonts w:hint="eastAsia" w:ascii="宋体" w:hAnsi="宋体" w:eastAsia="宋体" w:cs="宋体"/>
          <w:sz w:val="28"/>
          <w:szCs w:val="28"/>
          <w:lang w:val="en-US" w:eastAsia="zh-CN" w:bidi="ar-SA"/>
        </w:rPr>
        <w:t>1.</w:t>
      </w:r>
      <w:r>
        <w:rPr>
          <w:rFonts w:hint="eastAsia" w:ascii="宋体" w:hAnsi="宋体" w:eastAsia="宋体" w:cs="宋体"/>
          <w:sz w:val="28"/>
          <w:szCs w:val="28"/>
        </w:rPr>
        <w:t>有效的主体资格证明</w:t>
      </w:r>
    </w:p>
    <w:p>
      <w:pPr>
        <w:pStyle w:val="11"/>
        <w:spacing w:line="360" w:lineRule="auto"/>
        <w:ind w:left="0" w:leftChars="0" w:firstLine="576"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社会保障资金缴纳证明</w:t>
      </w:r>
    </w:p>
    <w:p>
      <w:pPr>
        <w:pStyle w:val="32"/>
        <w:spacing w:line="360" w:lineRule="auto"/>
        <w:ind w:left="0" w:leftChars="0" w:firstLine="576"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税收缴纳证明</w:t>
      </w:r>
    </w:p>
    <w:p>
      <w:pPr>
        <w:pStyle w:val="32"/>
        <w:spacing w:line="360" w:lineRule="auto"/>
        <w:ind w:left="0" w:leftChars="0" w:firstLine="576"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财务状况证明</w:t>
      </w:r>
    </w:p>
    <w:p>
      <w:pPr>
        <w:pStyle w:val="32"/>
        <w:spacing w:line="360" w:lineRule="auto"/>
        <w:ind w:left="0" w:leftChars="0" w:firstLine="576"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无重大违法记录声明</w:t>
      </w:r>
    </w:p>
    <w:p>
      <w:pPr>
        <w:pStyle w:val="32"/>
        <w:spacing w:line="360" w:lineRule="auto"/>
        <w:ind w:left="0" w:leftChars="0" w:firstLine="576"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6.相关证明材料</w:t>
      </w:r>
    </w:p>
    <w:p>
      <w:pPr>
        <w:numPr>
          <w:ilvl w:val="0"/>
          <w:numId w:val="6"/>
        </w:numPr>
        <w:spacing w:line="360" w:lineRule="auto"/>
        <w:ind w:firstLine="576" w:firstLineChars="200"/>
        <w:jc w:val="both"/>
        <w:rPr>
          <w:rFonts w:ascii="宋体" w:hAnsi="宋体" w:eastAsia="宋体" w:cs="宋体"/>
          <w:sz w:val="28"/>
          <w:szCs w:val="28"/>
        </w:rPr>
      </w:pPr>
      <w:r>
        <w:rPr>
          <w:rFonts w:hint="eastAsia" w:ascii="宋体" w:hAnsi="宋体" w:eastAsia="宋体" w:cs="宋体"/>
          <w:sz w:val="28"/>
          <w:szCs w:val="28"/>
        </w:rPr>
        <w:br w:type="page"/>
      </w:r>
    </w:p>
    <w:p>
      <w:pPr>
        <w:pStyle w:val="99"/>
        <w:ind w:firstLine="579"/>
        <w:rPr>
          <w:b/>
          <w:bCs/>
          <w:color w:val="auto"/>
          <w:sz w:val="28"/>
          <w:szCs w:val="28"/>
        </w:rPr>
      </w:pPr>
      <w:r>
        <w:rPr>
          <w:rFonts w:hint="eastAsia"/>
          <w:b/>
          <w:bCs/>
          <w:color w:val="auto"/>
          <w:sz w:val="28"/>
          <w:szCs w:val="28"/>
        </w:rPr>
        <w:t>（五）无重大违法记录声明（按下方给定格式进行填写）</w:t>
      </w:r>
    </w:p>
    <w:p>
      <w:pPr>
        <w:jc w:val="center"/>
        <w:rPr>
          <w:rFonts w:ascii="宋体" w:hAnsi="宋体" w:cs="宋体"/>
          <w:sz w:val="28"/>
          <w:szCs w:val="28"/>
        </w:rPr>
      </w:pPr>
      <w:r>
        <w:rPr>
          <w:rFonts w:hint="eastAsia" w:ascii="宋体" w:hAnsi="宋体" w:cs="宋体"/>
          <w:sz w:val="28"/>
          <w:szCs w:val="28"/>
        </w:rPr>
        <w:t>无重大违法记录声明</w:t>
      </w:r>
    </w:p>
    <w:p>
      <w:pPr>
        <w:snapToGrid w:val="0"/>
        <w:spacing w:line="480" w:lineRule="auto"/>
        <w:ind w:firstLine="576" w:firstLineChars="200"/>
        <w:rPr>
          <w:rFonts w:ascii="宋体" w:hAnsi="宋体" w:cs="宋体"/>
          <w:sz w:val="28"/>
          <w:szCs w:val="28"/>
        </w:rPr>
      </w:pPr>
    </w:p>
    <w:p>
      <w:pPr>
        <w:snapToGrid w:val="0"/>
        <w:spacing w:line="480" w:lineRule="auto"/>
        <w:ind w:firstLine="576" w:firstLineChars="200"/>
        <w:rPr>
          <w:rFonts w:ascii="宋体" w:hAnsi="宋体" w:cs="宋体"/>
          <w:sz w:val="28"/>
          <w:szCs w:val="28"/>
        </w:rPr>
      </w:pPr>
      <w:r>
        <w:rPr>
          <w:rFonts w:hint="eastAsia" w:ascii="宋体" w:hAnsi="宋体" w:cs="宋体"/>
          <w:sz w:val="28"/>
          <w:szCs w:val="28"/>
        </w:rPr>
        <w:t>我单位参与</w:t>
      </w:r>
      <w:r>
        <w:rPr>
          <w:rFonts w:hint="eastAsia" w:ascii="宋体" w:hAnsi="宋体" w:cs="宋体"/>
          <w:sz w:val="28"/>
          <w:szCs w:val="28"/>
          <w:u w:val="single"/>
        </w:rPr>
        <w:t xml:space="preserve">陕西万泽招标有限公司 </w:t>
      </w:r>
      <w:r>
        <w:rPr>
          <w:rFonts w:hint="eastAsia" w:ascii="宋体" w:hAnsi="宋体" w:cs="宋体"/>
          <w:sz w:val="28"/>
          <w:szCs w:val="28"/>
        </w:rPr>
        <w:t>组织的</w:t>
      </w:r>
      <w:r>
        <w:rPr>
          <w:rFonts w:hint="eastAsia" w:ascii="宋体" w:hAnsi="宋体" w:cs="宋体"/>
          <w:sz w:val="28"/>
          <w:szCs w:val="28"/>
          <w:u w:val="single"/>
        </w:rPr>
        <w:t xml:space="preserve">             （项目名称）              </w:t>
      </w:r>
      <w:r>
        <w:rPr>
          <w:rFonts w:hint="eastAsia" w:ascii="宋体" w:hAnsi="宋体" w:cs="宋体"/>
          <w:sz w:val="28"/>
          <w:szCs w:val="28"/>
        </w:rPr>
        <w:t>公开招标，我单位郑重声明：我方参加本项目采购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snapToGrid w:val="0"/>
        <w:spacing w:line="480" w:lineRule="auto"/>
        <w:ind w:firstLine="576" w:firstLineChars="200"/>
        <w:rPr>
          <w:rFonts w:ascii="宋体" w:hAnsi="宋体" w:cs="宋体"/>
          <w:sz w:val="28"/>
          <w:szCs w:val="28"/>
        </w:rPr>
      </w:pPr>
      <w:r>
        <w:rPr>
          <w:rFonts w:hint="eastAsia" w:ascii="宋体" w:hAnsi="宋体" w:cs="宋体"/>
          <w:sz w:val="28"/>
          <w:szCs w:val="28"/>
        </w:rPr>
        <w:t>特此声明。</w:t>
      </w:r>
    </w:p>
    <w:p>
      <w:pPr>
        <w:snapToGrid w:val="0"/>
        <w:spacing w:line="360" w:lineRule="auto"/>
        <w:rPr>
          <w:rFonts w:hAnsi="宋体" w:cs="宋体"/>
          <w:sz w:val="28"/>
          <w:szCs w:val="28"/>
        </w:rPr>
      </w:pPr>
    </w:p>
    <w:p>
      <w:pPr>
        <w:snapToGrid w:val="0"/>
        <w:spacing w:line="360" w:lineRule="auto"/>
        <w:rPr>
          <w:rFonts w:hAnsi="宋体" w:cs="宋体"/>
          <w:sz w:val="28"/>
          <w:szCs w:val="28"/>
        </w:rPr>
      </w:pPr>
      <w:r>
        <w:rPr>
          <w:rFonts w:hint="eastAsia" w:hAnsi="宋体" w:cs="宋体"/>
          <w:sz w:val="28"/>
          <w:szCs w:val="28"/>
        </w:rPr>
        <w:t>供应商（单位名称及公章）：</w:t>
      </w:r>
    </w:p>
    <w:p>
      <w:pPr>
        <w:pStyle w:val="20"/>
        <w:spacing w:line="360" w:lineRule="auto"/>
        <w:rPr>
          <w:rFonts w:hAnsi="宋体" w:cs="宋体"/>
          <w:sz w:val="28"/>
          <w:szCs w:val="28"/>
        </w:rPr>
      </w:pPr>
      <w:r>
        <w:rPr>
          <w:rFonts w:hint="eastAsia" w:hAnsi="宋体" w:cs="宋体"/>
          <w:sz w:val="28"/>
          <w:szCs w:val="28"/>
        </w:rPr>
        <w:t>法定代表人或被授权人（签字或盖章）：</w:t>
      </w:r>
    </w:p>
    <w:p>
      <w:pPr>
        <w:spacing w:line="360" w:lineRule="auto"/>
        <w:jc w:val="both"/>
        <w:rPr>
          <w:rFonts w:ascii="宋体" w:hAnsi="宋体" w:eastAsia="宋体" w:cs="宋体"/>
          <w:sz w:val="32"/>
          <w:szCs w:val="32"/>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eastAsia="宋体" w:cs="宋体"/>
          <w:sz w:val="32"/>
          <w:szCs w:val="32"/>
        </w:rPr>
        <w:br w:type="page"/>
      </w:r>
    </w:p>
    <w:p>
      <w:pPr>
        <w:pStyle w:val="99"/>
        <w:ind w:firstLine="579"/>
        <w:rPr>
          <w:b/>
          <w:bCs/>
          <w:color w:val="auto"/>
          <w:sz w:val="28"/>
          <w:szCs w:val="28"/>
        </w:rPr>
      </w:pPr>
      <w:r>
        <w:rPr>
          <w:rFonts w:hint="eastAsia"/>
          <w:b/>
          <w:bCs/>
          <w:color w:val="auto"/>
          <w:sz w:val="28"/>
          <w:szCs w:val="28"/>
        </w:rPr>
        <w:t>（六）法定代表人委托授权书或身份证明（按下方给定格式进行填写）</w:t>
      </w:r>
    </w:p>
    <w:p>
      <w:pPr>
        <w:jc w:val="center"/>
        <w:rPr>
          <w:b/>
          <w:bCs/>
        </w:rPr>
      </w:pPr>
      <w:r>
        <w:rPr>
          <w:rFonts w:hint="eastAsia"/>
          <w:b/>
          <w:bCs/>
        </w:rPr>
        <w:t>法定代表人证明书（格式）</w:t>
      </w:r>
    </w:p>
    <w:tbl>
      <w:tblPr>
        <w:tblStyle w:val="3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283"/>
        <w:gridCol w:w="1899"/>
        <w:gridCol w:w="178"/>
        <w:gridCol w:w="208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20" w:type="dxa"/>
            <w:gridSpan w:val="6"/>
            <w:vAlign w:val="center"/>
          </w:tcPr>
          <w:p>
            <w:r>
              <w:rPr>
                <w:rFonts w:hint="eastAsia"/>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r>
              <w:rPr>
                <w:rFonts w:hint="eastAsia"/>
              </w:rPr>
              <w:t>企</w:t>
            </w:r>
          </w:p>
          <w:p>
            <w:r>
              <w:rPr>
                <w:rFonts w:hint="eastAsia"/>
              </w:rPr>
              <w:t>业</w:t>
            </w:r>
          </w:p>
          <w:p>
            <w:r>
              <w:rPr>
                <w:rFonts w:hint="eastAsia"/>
              </w:rPr>
              <w:t>法</w:t>
            </w:r>
          </w:p>
          <w:p>
            <w:r>
              <w:rPr>
                <w:rFonts w:hint="eastAsia"/>
              </w:rPr>
              <w:t>人</w:t>
            </w:r>
          </w:p>
        </w:tc>
        <w:tc>
          <w:tcPr>
            <w:tcW w:w="2283" w:type="dxa"/>
            <w:vAlign w:val="center"/>
          </w:tcPr>
          <w:p>
            <w:r>
              <w:rPr>
                <w:rFonts w:hint="eastAsia"/>
              </w:rPr>
              <w:t>企业名称</w:t>
            </w:r>
          </w:p>
        </w:tc>
        <w:tc>
          <w:tcPr>
            <w:tcW w:w="6262"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tc>
        <w:tc>
          <w:tcPr>
            <w:tcW w:w="2283" w:type="dxa"/>
            <w:vAlign w:val="center"/>
          </w:tcPr>
          <w:p>
            <w:r>
              <w:rPr>
                <w:rFonts w:hint="eastAsia"/>
              </w:rPr>
              <w:t>法定地址</w:t>
            </w:r>
          </w:p>
        </w:tc>
        <w:tc>
          <w:tcPr>
            <w:tcW w:w="6262"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tc>
        <w:tc>
          <w:tcPr>
            <w:tcW w:w="2283" w:type="dxa"/>
            <w:vAlign w:val="center"/>
          </w:tcPr>
          <w:p>
            <w:r>
              <w:rPr>
                <w:rFonts w:hint="eastAsia"/>
              </w:rPr>
              <w:t>邮政编码</w:t>
            </w:r>
          </w:p>
        </w:tc>
        <w:tc>
          <w:tcPr>
            <w:tcW w:w="6262"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tc>
        <w:tc>
          <w:tcPr>
            <w:tcW w:w="2283" w:type="dxa"/>
            <w:vAlign w:val="center"/>
          </w:tcPr>
          <w:p>
            <w:r>
              <w:rPr>
                <w:rFonts w:hint="eastAsia"/>
              </w:rPr>
              <w:t>工商登记机关</w:t>
            </w:r>
          </w:p>
        </w:tc>
        <w:tc>
          <w:tcPr>
            <w:tcW w:w="6262"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75" w:type="dxa"/>
            <w:vMerge w:val="continue"/>
            <w:vAlign w:val="center"/>
          </w:tcPr>
          <w:p/>
        </w:tc>
        <w:tc>
          <w:tcPr>
            <w:tcW w:w="2283" w:type="dxa"/>
            <w:vAlign w:val="center"/>
          </w:tcPr>
          <w:p>
            <w:r>
              <w:rPr>
                <w:rFonts w:hint="eastAsia"/>
              </w:rPr>
              <w:t>统一社会信用代码</w:t>
            </w:r>
          </w:p>
        </w:tc>
        <w:tc>
          <w:tcPr>
            <w:tcW w:w="6262"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restart"/>
            <w:vAlign w:val="center"/>
          </w:tcPr>
          <w:p>
            <w:r>
              <w:rPr>
                <w:rFonts w:hint="eastAsia"/>
              </w:rPr>
              <w:t>法</w:t>
            </w:r>
          </w:p>
          <w:p>
            <w:r>
              <w:rPr>
                <w:rFonts w:hint="eastAsia"/>
              </w:rPr>
              <w:t>定</w:t>
            </w:r>
          </w:p>
          <w:p>
            <w:r>
              <w:rPr>
                <w:rFonts w:hint="eastAsia"/>
              </w:rPr>
              <w:t>代</w:t>
            </w:r>
          </w:p>
          <w:p>
            <w:r>
              <w:rPr>
                <w:rFonts w:hint="eastAsia"/>
              </w:rPr>
              <w:t>表</w:t>
            </w:r>
          </w:p>
          <w:p>
            <w:r>
              <w:rPr>
                <w:rFonts w:hint="eastAsia"/>
              </w:rPr>
              <w:t>人</w:t>
            </w:r>
          </w:p>
        </w:tc>
        <w:tc>
          <w:tcPr>
            <w:tcW w:w="2283" w:type="dxa"/>
            <w:vAlign w:val="center"/>
          </w:tcPr>
          <w:p>
            <w:r>
              <w:rPr>
                <w:rFonts w:hint="eastAsia"/>
              </w:rPr>
              <w:t>姓名</w:t>
            </w:r>
          </w:p>
        </w:tc>
        <w:tc>
          <w:tcPr>
            <w:tcW w:w="2077" w:type="dxa"/>
            <w:gridSpan w:val="2"/>
            <w:vAlign w:val="center"/>
          </w:tcPr>
          <w:p/>
        </w:tc>
        <w:tc>
          <w:tcPr>
            <w:tcW w:w="2089" w:type="dxa"/>
            <w:vAlign w:val="center"/>
          </w:tcPr>
          <w:p>
            <w:r>
              <w:rPr>
                <w:rFonts w:hint="eastAsia"/>
              </w:rPr>
              <w:t>性别</w:t>
            </w:r>
          </w:p>
        </w:tc>
        <w:tc>
          <w:tcPr>
            <w:tcW w:w="209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75" w:type="dxa"/>
            <w:vMerge w:val="continue"/>
            <w:vAlign w:val="center"/>
          </w:tcPr>
          <w:p/>
        </w:tc>
        <w:tc>
          <w:tcPr>
            <w:tcW w:w="2283" w:type="dxa"/>
            <w:vAlign w:val="center"/>
          </w:tcPr>
          <w:p>
            <w:r>
              <w:rPr>
                <w:rFonts w:hint="eastAsia"/>
              </w:rPr>
              <w:t>职务</w:t>
            </w:r>
          </w:p>
        </w:tc>
        <w:tc>
          <w:tcPr>
            <w:tcW w:w="2077" w:type="dxa"/>
            <w:gridSpan w:val="2"/>
            <w:vAlign w:val="center"/>
          </w:tcPr>
          <w:p/>
        </w:tc>
        <w:tc>
          <w:tcPr>
            <w:tcW w:w="2089" w:type="dxa"/>
            <w:vAlign w:val="center"/>
          </w:tcPr>
          <w:p>
            <w:r>
              <w:rPr>
                <w:rFonts w:hint="eastAsia"/>
              </w:rPr>
              <w:t>联系电话</w:t>
            </w:r>
          </w:p>
        </w:tc>
        <w:tc>
          <w:tcPr>
            <w:tcW w:w="209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75" w:type="dxa"/>
            <w:vMerge w:val="continue"/>
            <w:vAlign w:val="center"/>
          </w:tcPr>
          <w:p/>
        </w:tc>
        <w:tc>
          <w:tcPr>
            <w:tcW w:w="2283" w:type="dxa"/>
            <w:vAlign w:val="center"/>
          </w:tcPr>
          <w:p>
            <w:r>
              <w:rPr>
                <w:rFonts w:hint="eastAsia"/>
              </w:rPr>
              <w:t>传真</w:t>
            </w:r>
          </w:p>
        </w:tc>
        <w:tc>
          <w:tcPr>
            <w:tcW w:w="6262"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75" w:type="dxa"/>
            <w:vMerge w:val="restart"/>
            <w:vAlign w:val="center"/>
          </w:tcPr>
          <w:p>
            <w:r>
              <w:rPr>
                <w:rFonts w:hint="eastAsia"/>
              </w:rPr>
              <w:t>法</w:t>
            </w:r>
          </w:p>
          <w:p>
            <w:r>
              <w:rPr>
                <w:rFonts w:hint="eastAsia"/>
              </w:rPr>
              <w:t>定</w:t>
            </w:r>
          </w:p>
          <w:p>
            <w:r>
              <w:rPr>
                <w:rFonts w:hint="eastAsia"/>
              </w:rPr>
              <w:t>代</w:t>
            </w:r>
          </w:p>
          <w:p>
            <w:r>
              <w:rPr>
                <w:rFonts w:hint="eastAsia"/>
              </w:rPr>
              <w:t>表</w:t>
            </w:r>
          </w:p>
          <w:p>
            <w:r>
              <w:rPr>
                <w:rFonts w:hint="eastAsia"/>
              </w:rPr>
              <w:t>人身</w:t>
            </w:r>
          </w:p>
          <w:p>
            <w:r>
              <w:rPr>
                <w:rFonts w:hint="eastAsia"/>
              </w:rPr>
              <w:t>份</w:t>
            </w:r>
          </w:p>
          <w:p>
            <w:r>
              <w:rPr>
                <w:rFonts w:hint="eastAsia"/>
              </w:rPr>
              <w:t>证</w:t>
            </w:r>
          </w:p>
          <w:p>
            <w:r>
              <w:rPr>
                <w:rFonts w:hint="eastAsia"/>
              </w:rPr>
              <w:t>复</w:t>
            </w:r>
          </w:p>
          <w:p>
            <w:r>
              <w:rPr>
                <w:rFonts w:hint="eastAsia"/>
              </w:rPr>
              <w:t>印</w:t>
            </w:r>
          </w:p>
          <w:p>
            <w:r>
              <w:rPr>
                <w:rFonts w:hint="eastAsia"/>
              </w:rPr>
              <w:t>件</w:t>
            </w:r>
          </w:p>
        </w:tc>
        <w:tc>
          <w:tcPr>
            <w:tcW w:w="4182" w:type="dxa"/>
            <w:gridSpan w:val="2"/>
            <w:vMerge w:val="restart"/>
            <w:vAlign w:val="center"/>
          </w:tcPr>
          <w:p>
            <w:r>
              <w:rPr>
                <w:rFonts w:hint="eastAsia"/>
              </w:rPr>
              <w:t>（正反面）</w:t>
            </w:r>
          </w:p>
        </w:tc>
        <w:tc>
          <w:tcPr>
            <w:tcW w:w="4363" w:type="dxa"/>
            <w:gridSpan w:val="3"/>
            <w:vAlign w:val="center"/>
          </w:tcPr>
          <w:p>
            <w:r>
              <w:rPr>
                <w:rFonts w:hint="eastAsia"/>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75" w:type="dxa"/>
            <w:vMerge w:val="continue"/>
            <w:vAlign w:val="center"/>
          </w:tcPr>
          <w:p/>
        </w:tc>
        <w:tc>
          <w:tcPr>
            <w:tcW w:w="4182" w:type="dxa"/>
            <w:gridSpan w:val="2"/>
            <w:vMerge w:val="continue"/>
            <w:vAlign w:val="center"/>
          </w:tcPr>
          <w:p/>
        </w:tc>
        <w:tc>
          <w:tcPr>
            <w:tcW w:w="4363" w:type="dxa"/>
            <w:gridSpan w:val="3"/>
            <w:vAlign w:val="center"/>
          </w:tcPr>
          <w:p>
            <w:pPr>
              <w:jc w:val="both"/>
              <w:rPr>
                <w:rFonts w:hint="eastAsia" w:eastAsiaTheme="minorEastAsia"/>
                <w:lang w:eastAsia="zh-CN"/>
              </w:rPr>
            </w:pPr>
            <w:r>
              <w:rPr>
                <w:rFonts w:hint="eastAsia"/>
              </w:rPr>
              <w:t>（公章</w:t>
            </w:r>
            <w:r>
              <w:rPr>
                <w:rFonts w:hint="eastAsia"/>
                <w:lang w:eastAsia="zh-CN"/>
              </w:rPr>
              <w:t>）</w:t>
            </w:r>
          </w:p>
        </w:tc>
      </w:tr>
    </w:tbl>
    <w:p>
      <w:pPr>
        <w:pStyle w:val="11"/>
      </w:pPr>
    </w:p>
    <w:p>
      <w:pPr>
        <w:rPr>
          <w:b/>
          <w:bCs/>
          <w:sz w:val="28"/>
          <w:szCs w:val="28"/>
        </w:rPr>
      </w:pPr>
      <w:r>
        <w:rPr>
          <w:b/>
          <w:bCs/>
          <w:sz w:val="28"/>
          <w:szCs w:val="28"/>
        </w:rPr>
        <w:br w:type="page"/>
      </w:r>
    </w:p>
    <w:p>
      <w:pPr>
        <w:pageBreakBefore/>
        <w:tabs>
          <w:tab w:val="left" w:pos="210"/>
        </w:tabs>
        <w:spacing w:line="320" w:lineRule="exact"/>
        <w:ind w:firstLine="496" w:firstLineChars="200"/>
        <w:jc w:val="center"/>
        <w:rPr>
          <w:rFonts w:asciiTheme="minorEastAsia" w:hAnsiTheme="minorEastAsia" w:cstheme="minorEastAsia"/>
          <w:b/>
          <w:bCs/>
        </w:rPr>
      </w:pPr>
      <w:r>
        <w:rPr>
          <w:rFonts w:hint="eastAsia" w:asciiTheme="minorEastAsia" w:hAnsiTheme="minorEastAsia" w:cstheme="minorEastAsia"/>
          <w:b/>
          <w:bCs/>
        </w:rPr>
        <w:t>法定代表人授权委托书（格式）</w:t>
      </w:r>
    </w:p>
    <w:p>
      <w:pPr>
        <w:pStyle w:val="20"/>
        <w:spacing w:line="500" w:lineRule="exact"/>
        <w:rPr>
          <w:rFonts w:asciiTheme="minorEastAsia" w:hAnsiTheme="minorEastAsia" w:cstheme="minorEastAsia"/>
          <w:b/>
          <w:bCs/>
          <w:sz w:val="24"/>
        </w:rPr>
      </w:pPr>
      <w:r>
        <w:rPr>
          <w:rFonts w:hint="eastAsia" w:asciiTheme="minorEastAsia" w:hAnsiTheme="minorEastAsia" w:cstheme="minorEastAsia"/>
          <w:sz w:val="24"/>
        </w:rPr>
        <w:t>陕西万泽招标有限公司：</w:t>
      </w:r>
    </w:p>
    <w:p>
      <w:pPr>
        <w:pStyle w:val="20"/>
        <w:spacing w:line="500" w:lineRule="exact"/>
        <w:ind w:firstLine="496" w:firstLineChars="200"/>
        <w:rPr>
          <w:rFonts w:asciiTheme="minorEastAsia" w:hAnsiTheme="minorEastAsia" w:cstheme="minorEastAsia"/>
          <w:sz w:val="24"/>
        </w:rPr>
      </w:pPr>
      <w:r>
        <w:rPr>
          <w:rFonts w:hint="eastAsia" w:asciiTheme="minorEastAsia" w:hAnsiTheme="minorEastAsia" w:cstheme="minorEastAsia"/>
          <w:sz w:val="24"/>
        </w:rPr>
        <w:t>本授权书声明：注册于（</w:t>
      </w:r>
      <w:r>
        <w:rPr>
          <w:rFonts w:hint="eastAsia" w:asciiTheme="minorEastAsia" w:hAnsiTheme="minorEastAsia" w:cstheme="minorEastAsia"/>
          <w:sz w:val="24"/>
          <w:u w:val="single"/>
        </w:rPr>
        <w:t>工商行政管理局名称）之（委托单位全称）</w:t>
      </w:r>
      <w:r>
        <w:rPr>
          <w:rFonts w:hint="eastAsia" w:asciiTheme="minorEastAsia" w:hAnsiTheme="minorEastAsia" w:cstheme="minorEastAsia"/>
          <w:sz w:val="24"/>
        </w:rPr>
        <w:t>的法定代表人</w:t>
      </w:r>
      <w:r>
        <w:rPr>
          <w:rFonts w:hint="eastAsia" w:asciiTheme="minorEastAsia" w:hAnsiTheme="minorEastAsia" w:cstheme="minorEastAsia"/>
          <w:sz w:val="24"/>
          <w:u w:val="single"/>
        </w:rPr>
        <w:t>（姓名、性别）</w:t>
      </w:r>
      <w:r>
        <w:rPr>
          <w:rFonts w:hint="eastAsia" w:asciiTheme="minorEastAsia" w:hAnsiTheme="minorEastAsia" w:cstheme="minorEastAsia"/>
          <w:sz w:val="24"/>
        </w:rPr>
        <w:t>授权</w:t>
      </w:r>
      <w:r>
        <w:rPr>
          <w:rFonts w:hint="eastAsia" w:asciiTheme="minorEastAsia" w:hAnsiTheme="minorEastAsia" w:cstheme="minorEastAsia"/>
          <w:sz w:val="24"/>
          <w:u w:val="single"/>
        </w:rPr>
        <w:t>（被授权人姓名、性别、职务）</w:t>
      </w:r>
      <w:r>
        <w:rPr>
          <w:rFonts w:hint="eastAsia" w:asciiTheme="minorEastAsia" w:hAnsiTheme="minorEastAsia" w:cstheme="minorEastAsia"/>
          <w:sz w:val="24"/>
        </w:rPr>
        <w:t>为本公司合法代理人，就贵方组织的有关</w:t>
      </w:r>
      <w:r>
        <w:rPr>
          <w:rFonts w:hint="eastAsia" w:asciiTheme="minorEastAsia" w:hAnsiTheme="minorEastAsia" w:cstheme="minorEastAsia"/>
          <w:sz w:val="24"/>
          <w:u w:val="single"/>
        </w:rPr>
        <w:t>（项目名称）</w:t>
      </w:r>
      <w:r>
        <w:rPr>
          <w:rFonts w:hint="eastAsia" w:asciiTheme="minorEastAsia" w:hAnsiTheme="minorEastAsia" w:cstheme="minorEastAsia"/>
          <w:sz w:val="24"/>
        </w:rPr>
        <w:t>（文件编号：____________________）的投标、洽谈、执行等具体事务，签署全部有关文件、文书、协议、合同，本公司对被授权人在本项目中的签名承担全部法律责任。</w:t>
      </w:r>
    </w:p>
    <w:p>
      <w:pPr>
        <w:pStyle w:val="20"/>
        <w:spacing w:line="500" w:lineRule="exact"/>
        <w:ind w:firstLine="496" w:firstLineChars="200"/>
        <w:rPr>
          <w:rFonts w:asciiTheme="minorEastAsia" w:hAnsiTheme="minorEastAsia" w:cstheme="minorEastAsia"/>
          <w:sz w:val="10"/>
          <w:szCs w:val="10"/>
        </w:rPr>
      </w:pPr>
      <w:r>
        <w:rPr>
          <w:rFonts w:hint="eastAsia" w:asciiTheme="minorEastAsia" w:hAnsiTheme="minorEastAsia" w:cstheme="minorEastAsia"/>
          <w:sz w:val="24"/>
        </w:rPr>
        <w:t>本授权书自投标文件递交截止之日起计算有效期为_____日历日。</w:t>
      </w:r>
    </w:p>
    <w:p>
      <w:pPr>
        <w:pStyle w:val="20"/>
        <w:spacing w:line="500" w:lineRule="exact"/>
        <w:ind w:firstLine="496" w:firstLineChars="200"/>
        <w:rPr>
          <w:rFonts w:asciiTheme="minorEastAsia" w:hAnsiTheme="minorEastAsia" w:cstheme="minorEastAsia"/>
          <w:sz w:val="24"/>
        </w:rPr>
      </w:pPr>
      <w:r>
        <w:rPr>
          <w:rFonts w:hint="eastAsia" w:asciiTheme="minorEastAsia" w:hAnsiTheme="minorEastAsia" w:cstheme="minorEastAsia"/>
          <w:sz w:val="24"/>
        </w:rPr>
        <w:t>单位名称：__________（公章）</w:t>
      </w:r>
    </w:p>
    <w:p>
      <w:pPr>
        <w:pStyle w:val="20"/>
        <w:spacing w:line="500" w:lineRule="exact"/>
        <w:ind w:firstLine="496" w:firstLineChars="200"/>
        <w:rPr>
          <w:rFonts w:asciiTheme="minorEastAsia" w:hAnsiTheme="minorEastAsia" w:cstheme="minorEastAsia"/>
          <w:sz w:val="24"/>
        </w:rPr>
      </w:pPr>
      <w:r>
        <w:rPr>
          <w:rFonts w:hint="eastAsia" w:asciiTheme="minorEastAsia" w:hAnsiTheme="minorEastAsia" w:cstheme="minorEastAsia"/>
          <w:sz w:val="24"/>
        </w:rPr>
        <w:t>法定代表人（签字或盖章）：________</w:t>
      </w:r>
    </w:p>
    <w:p>
      <w:pPr>
        <w:pStyle w:val="20"/>
        <w:spacing w:line="500" w:lineRule="exact"/>
        <w:ind w:firstLine="496" w:firstLineChars="200"/>
        <w:rPr>
          <w:rFonts w:asciiTheme="minorEastAsia" w:hAnsiTheme="minorEastAsia" w:cstheme="minorEastAsia"/>
          <w:sz w:val="24"/>
        </w:rPr>
      </w:pPr>
      <w:r>
        <w:rPr>
          <w:rFonts w:hint="eastAsia" w:asciiTheme="minorEastAsia" w:hAnsiTheme="minorEastAsia" w:cstheme="minorEastAsia"/>
          <w:sz w:val="24"/>
        </w:rPr>
        <w:t>被授权人(签字)：___________性别：_______职务：____________</w:t>
      </w:r>
    </w:p>
    <w:p>
      <w:pPr>
        <w:pStyle w:val="20"/>
        <w:spacing w:line="500" w:lineRule="exact"/>
        <w:ind w:firstLine="496" w:firstLineChars="200"/>
        <w:rPr>
          <w:rFonts w:asciiTheme="minorEastAsia" w:hAnsiTheme="minorEastAsia" w:cstheme="minorEastAsia"/>
          <w:sz w:val="24"/>
          <w:u w:val="single"/>
        </w:rPr>
      </w:pPr>
      <w:r>
        <w:rPr>
          <w:rFonts w:hint="eastAsia" w:asciiTheme="minorEastAsia" w:hAnsiTheme="minorEastAsia" w:cstheme="minorEastAsia"/>
          <w:sz w:val="24"/>
        </w:rPr>
        <w:t>联系地址：____________________</w:t>
      </w:r>
    </w:p>
    <w:p>
      <w:pPr>
        <w:pStyle w:val="20"/>
        <w:spacing w:line="500" w:lineRule="exact"/>
        <w:ind w:firstLine="496" w:firstLineChars="200"/>
        <w:rPr>
          <w:rFonts w:asciiTheme="minorEastAsia" w:hAnsiTheme="minorEastAsia" w:cstheme="minorEastAsia"/>
          <w:sz w:val="24"/>
          <w:u w:val="single"/>
        </w:rPr>
      </w:pPr>
      <w:r>
        <w:rPr>
          <w:rFonts w:hint="eastAsia" w:asciiTheme="minorEastAsia" w:hAnsiTheme="minorEastAsia" w:cstheme="minorEastAsia"/>
          <w:sz w:val="24"/>
        </w:rPr>
        <w:t>联系电话：____________________传真：____________________</w:t>
      </w:r>
    </w:p>
    <w:p>
      <w:pPr>
        <w:pStyle w:val="20"/>
        <w:spacing w:line="500" w:lineRule="exact"/>
        <w:ind w:firstLine="496" w:firstLineChars="200"/>
        <w:rPr>
          <w:rFonts w:asciiTheme="minorEastAsia" w:hAnsiTheme="minorEastAsia" w:cstheme="minorEastAsia"/>
          <w:sz w:val="24"/>
        </w:rPr>
      </w:pPr>
      <w:r>
        <w:rPr>
          <w:rFonts w:hint="eastAsia" w:asciiTheme="minorEastAsia" w:hAnsiTheme="minorEastAsia" w:cstheme="minorEastAsia"/>
          <w:sz w:val="24"/>
        </w:rPr>
        <w:t>法定代表人及被授权人身份证复印件</w:t>
      </w:r>
    </w:p>
    <w:tbl>
      <w:tblPr>
        <w:tblStyle w:val="3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3"/>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8" w:hRule="atLeast"/>
        </w:trPr>
        <w:tc>
          <w:tcPr>
            <w:tcW w:w="4443" w:type="dxa"/>
            <w:shd w:val="clear" w:color="auto" w:fill="D9D9D9"/>
            <w:vAlign w:val="center"/>
          </w:tcPr>
          <w:p>
            <w:pPr>
              <w:pStyle w:val="20"/>
              <w:spacing w:line="500" w:lineRule="exact"/>
              <w:rPr>
                <w:rFonts w:asciiTheme="minorEastAsia" w:hAnsiTheme="minorEastAsia" w:cstheme="minorEastAsia"/>
                <w:sz w:val="24"/>
                <w:shd w:val="pct10" w:color="auto" w:fill="FFFFFF"/>
              </w:rPr>
            </w:pPr>
            <w:r>
              <w:rPr>
                <w:rFonts w:hint="eastAsia" w:asciiTheme="minorEastAsia" w:hAnsiTheme="minorEastAsia" w:cstheme="minorEastAsia"/>
                <w:sz w:val="24"/>
                <w:shd w:val="pct10" w:color="auto" w:fill="FFFFFF"/>
              </w:rPr>
              <w:t>法定代表人身份证正反面复印件</w:t>
            </w:r>
          </w:p>
          <w:p>
            <w:pPr>
              <w:pStyle w:val="20"/>
              <w:spacing w:line="500" w:lineRule="exact"/>
              <w:rPr>
                <w:rFonts w:asciiTheme="minorEastAsia" w:hAnsiTheme="minorEastAsia" w:cstheme="minorEastAsia"/>
                <w:sz w:val="24"/>
                <w:shd w:val="pct10" w:color="auto" w:fill="FFFFFF"/>
              </w:rPr>
            </w:pPr>
          </w:p>
        </w:tc>
        <w:tc>
          <w:tcPr>
            <w:tcW w:w="4597" w:type="dxa"/>
            <w:shd w:val="clear" w:color="auto" w:fill="D9D9D9"/>
            <w:vAlign w:val="center"/>
          </w:tcPr>
          <w:p>
            <w:pPr>
              <w:pStyle w:val="20"/>
              <w:spacing w:line="500" w:lineRule="exact"/>
              <w:ind w:firstLine="496" w:firstLineChars="200"/>
              <w:rPr>
                <w:rFonts w:asciiTheme="minorEastAsia" w:hAnsiTheme="minorEastAsia" w:cstheme="minorEastAsia"/>
                <w:sz w:val="24"/>
                <w:shd w:val="pct10" w:color="auto" w:fill="FFFFFF"/>
              </w:rPr>
            </w:pPr>
            <w:r>
              <w:rPr>
                <w:rFonts w:hint="eastAsia" w:asciiTheme="minorEastAsia" w:hAnsiTheme="minorEastAsia" w:cstheme="minorEastAsia"/>
                <w:sz w:val="24"/>
                <w:shd w:val="pct10" w:color="auto" w:fill="FFFFFF"/>
              </w:rPr>
              <w:t>被授权人身份证正反面复印件</w:t>
            </w:r>
          </w:p>
          <w:p>
            <w:pPr>
              <w:pStyle w:val="20"/>
              <w:spacing w:line="500" w:lineRule="exact"/>
              <w:ind w:firstLine="496" w:firstLineChars="200"/>
              <w:rPr>
                <w:rFonts w:asciiTheme="minorEastAsia" w:hAnsiTheme="minorEastAsia" w:cstheme="minorEastAsia"/>
                <w:sz w:val="24"/>
                <w:shd w:val="pct10" w:color="auto" w:fill="FFFFFF"/>
              </w:rPr>
            </w:pPr>
          </w:p>
        </w:tc>
      </w:tr>
    </w:tbl>
    <w:p>
      <w:pPr>
        <w:spacing w:line="560" w:lineRule="exact"/>
        <w:jc w:val="both"/>
        <w:rPr>
          <w:rFonts w:ascii="宋体" w:hAnsi="宋体" w:eastAsia="宋体" w:cs="宋体"/>
          <w:sz w:val="32"/>
          <w:szCs w:val="32"/>
        </w:rPr>
      </w:pPr>
      <w:r>
        <w:rPr>
          <w:rFonts w:hint="eastAsia" w:ascii="宋体" w:hAnsi="宋体" w:eastAsia="宋体" w:cs="宋体"/>
          <w:sz w:val="32"/>
          <w:szCs w:val="32"/>
        </w:rPr>
        <w:br w:type="page"/>
      </w:r>
    </w:p>
    <w:p>
      <w:pPr>
        <w:pStyle w:val="110"/>
        <w:spacing w:before="197" w:after="197"/>
        <w:ind w:firstLine="659"/>
        <w:jc w:val="center"/>
        <w:rPr>
          <w:rFonts w:eastAsia="宋体"/>
        </w:rPr>
      </w:pPr>
      <w:bookmarkStart w:id="104" w:name="_Toc3678"/>
      <w:bookmarkStart w:id="105" w:name="_Toc4676"/>
      <w:bookmarkStart w:id="106" w:name="_Toc9106"/>
      <w:bookmarkStart w:id="107" w:name="_Toc28294"/>
      <w:bookmarkStart w:id="108" w:name="_Toc30568"/>
      <w:bookmarkStart w:id="109" w:name="_Toc32575"/>
      <w:bookmarkStart w:id="110" w:name="_Toc26570"/>
      <w:bookmarkStart w:id="111" w:name="_Toc29109"/>
      <w:bookmarkStart w:id="112" w:name="_Toc18738"/>
      <w:bookmarkStart w:id="113" w:name="_Toc14575"/>
      <w:r>
        <w:rPr>
          <w:rFonts w:hint="eastAsia" w:ascii="宋体" w:hAnsi="宋体" w:eastAsia="宋体" w:cs="宋体"/>
        </w:rPr>
        <w:t xml:space="preserve">第四部分  </w:t>
      </w:r>
      <w:r>
        <w:rPr>
          <w:rFonts w:hint="eastAsia" w:eastAsia="宋体"/>
        </w:rPr>
        <w:t>供应商概况</w:t>
      </w:r>
      <w:bookmarkEnd w:id="104"/>
      <w:bookmarkEnd w:id="105"/>
    </w:p>
    <w:tbl>
      <w:tblPr>
        <w:tblStyle w:val="102"/>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供应商全称</w:t>
            </w:r>
          </w:p>
        </w:tc>
        <w:tc>
          <w:tcPr>
            <w:tcW w:w="6756" w:type="dxa"/>
            <w:gridSpan w:val="5"/>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注册地址</w:t>
            </w:r>
          </w:p>
        </w:tc>
        <w:tc>
          <w:tcPr>
            <w:tcW w:w="2416" w:type="dxa"/>
            <w:gridSpan w:val="2"/>
          </w:tcPr>
          <w:p>
            <w:pPr>
              <w:ind w:firstLine="0"/>
              <w:jc w:val="both"/>
              <w:rPr>
                <w:rFonts w:ascii="宋体" w:hAnsi="宋体" w:eastAsia="宋体" w:cs="宋体"/>
                <w:kern w:val="2"/>
                <w:sz w:val="28"/>
                <w:szCs w:val="28"/>
              </w:rPr>
            </w:pPr>
          </w:p>
        </w:tc>
        <w:tc>
          <w:tcPr>
            <w:tcW w:w="1411"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成立时间</w:t>
            </w:r>
          </w:p>
        </w:tc>
        <w:tc>
          <w:tcPr>
            <w:tcW w:w="2929" w:type="dxa"/>
            <w:gridSpan w:val="2"/>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统一社会信用代码</w:t>
            </w:r>
          </w:p>
        </w:tc>
        <w:tc>
          <w:tcPr>
            <w:tcW w:w="2416" w:type="dxa"/>
            <w:gridSpan w:val="2"/>
          </w:tcPr>
          <w:p>
            <w:pPr>
              <w:ind w:firstLine="0"/>
              <w:jc w:val="both"/>
              <w:rPr>
                <w:rFonts w:ascii="宋体" w:hAnsi="宋体" w:eastAsia="宋体" w:cs="宋体"/>
                <w:kern w:val="2"/>
                <w:sz w:val="28"/>
                <w:szCs w:val="28"/>
              </w:rPr>
            </w:pPr>
          </w:p>
        </w:tc>
        <w:tc>
          <w:tcPr>
            <w:tcW w:w="1411"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单位性质</w:t>
            </w:r>
          </w:p>
        </w:tc>
        <w:tc>
          <w:tcPr>
            <w:tcW w:w="2929" w:type="dxa"/>
            <w:gridSpan w:val="2"/>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法定代表人</w:t>
            </w:r>
          </w:p>
          <w:p>
            <w:pPr>
              <w:ind w:firstLine="0"/>
              <w:jc w:val="both"/>
              <w:rPr>
                <w:rFonts w:ascii="宋体" w:hAnsi="宋体" w:eastAsia="宋体" w:cs="宋体"/>
                <w:kern w:val="2"/>
                <w:sz w:val="28"/>
                <w:szCs w:val="28"/>
              </w:rPr>
            </w:pPr>
            <w:r>
              <w:rPr>
                <w:rFonts w:hint="eastAsia" w:ascii="宋体" w:hAnsi="宋体" w:eastAsia="宋体" w:cs="宋体"/>
                <w:kern w:val="2"/>
                <w:sz w:val="28"/>
                <w:szCs w:val="28"/>
              </w:rPr>
              <w:t>（主要负责人）</w:t>
            </w:r>
          </w:p>
        </w:tc>
        <w:tc>
          <w:tcPr>
            <w:tcW w:w="2416" w:type="dxa"/>
            <w:gridSpan w:val="2"/>
          </w:tcPr>
          <w:p>
            <w:pPr>
              <w:ind w:firstLine="0"/>
              <w:jc w:val="both"/>
              <w:rPr>
                <w:rFonts w:ascii="宋体" w:hAnsi="宋体" w:eastAsia="宋体" w:cs="宋体"/>
                <w:kern w:val="2"/>
                <w:sz w:val="28"/>
                <w:szCs w:val="28"/>
              </w:rPr>
            </w:pPr>
          </w:p>
        </w:tc>
        <w:tc>
          <w:tcPr>
            <w:tcW w:w="1411"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所属行业</w:t>
            </w:r>
          </w:p>
        </w:tc>
        <w:tc>
          <w:tcPr>
            <w:tcW w:w="2929" w:type="dxa"/>
            <w:gridSpan w:val="2"/>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基本存款账户</w:t>
            </w:r>
          </w:p>
          <w:p>
            <w:pPr>
              <w:ind w:firstLine="0"/>
              <w:jc w:val="both"/>
              <w:rPr>
                <w:rFonts w:ascii="宋体" w:hAnsi="宋体" w:eastAsia="宋体" w:cs="宋体"/>
                <w:kern w:val="2"/>
                <w:sz w:val="28"/>
                <w:szCs w:val="28"/>
              </w:rPr>
            </w:pPr>
            <w:r>
              <w:rPr>
                <w:rFonts w:hint="eastAsia" w:ascii="宋体" w:hAnsi="宋体" w:eastAsia="宋体" w:cs="宋体"/>
                <w:kern w:val="2"/>
                <w:sz w:val="28"/>
                <w:szCs w:val="28"/>
              </w:rPr>
              <w:t>开户银行</w:t>
            </w:r>
          </w:p>
        </w:tc>
        <w:tc>
          <w:tcPr>
            <w:tcW w:w="2416" w:type="dxa"/>
            <w:gridSpan w:val="2"/>
          </w:tcPr>
          <w:p>
            <w:pPr>
              <w:ind w:firstLine="0"/>
              <w:jc w:val="both"/>
              <w:rPr>
                <w:rFonts w:ascii="宋体" w:hAnsi="宋体" w:eastAsia="宋体" w:cs="宋体"/>
                <w:kern w:val="2"/>
                <w:sz w:val="28"/>
                <w:szCs w:val="28"/>
              </w:rPr>
            </w:pPr>
          </w:p>
        </w:tc>
        <w:tc>
          <w:tcPr>
            <w:tcW w:w="1411"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基本存款</w:t>
            </w:r>
          </w:p>
          <w:p>
            <w:pPr>
              <w:ind w:firstLine="0"/>
              <w:jc w:val="both"/>
              <w:rPr>
                <w:rFonts w:ascii="宋体" w:hAnsi="宋体" w:eastAsia="宋体" w:cs="宋体"/>
                <w:kern w:val="2"/>
                <w:sz w:val="28"/>
                <w:szCs w:val="28"/>
              </w:rPr>
            </w:pPr>
            <w:r>
              <w:rPr>
                <w:rFonts w:hint="eastAsia" w:ascii="宋体" w:hAnsi="宋体" w:eastAsia="宋体" w:cs="宋体"/>
                <w:kern w:val="2"/>
                <w:sz w:val="28"/>
                <w:szCs w:val="28"/>
              </w:rPr>
              <w:t>账户账号</w:t>
            </w:r>
          </w:p>
        </w:tc>
        <w:tc>
          <w:tcPr>
            <w:tcW w:w="2929" w:type="dxa"/>
            <w:gridSpan w:val="2"/>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上年度</w:t>
            </w:r>
          </w:p>
          <w:p>
            <w:pPr>
              <w:ind w:firstLine="0"/>
              <w:jc w:val="both"/>
              <w:rPr>
                <w:rFonts w:ascii="宋体" w:hAnsi="宋体" w:eastAsia="宋体" w:cs="宋体"/>
                <w:kern w:val="2"/>
                <w:sz w:val="28"/>
                <w:szCs w:val="28"/>
              </w:rPr>
            </w:pPr>
            <w:r>
              <w:rPr>
                <w:rFonts w:hint="eastAsia" w:ascii="宋体" w:hAnsi="宋体" w:eastAsia="宋体" w:cs="宋体"/>
                <w:kern w:val="2"/>
                <w:sz w:val="28"/>
                <w:szCs w:val="28"/>
              </w:rPr>
              <w:t>营业收入*</w:t>
            </w:r>
          </w:p>
        </w:tc>
        <w:tc>
          <w:tcPr>
            <w:tcW w:w="2416" w:type="dxa"/>
            <w:gridSpan w:val="2"/>
          </w:tcPr>
          <w:p>
            <w:pPr>
              <w:ind w:firstLine="0"/>
              <w:jc w:val="both"/>
              <w:rPr>
                <w:rFonts w:ascii="宋体" w:hAnsi="宋体" w:eastAsia="宋体" w:cs="宋体"/>
                <w:kern w:val="2"/>
                <w:sz w:val="28"/>
                <w:szCs w:val="28"/>
              </w:rPr>
            </w:pPr>
          </w:p>
        </w:tc>
        <w:tc>
          <w:tcPr>
            <w:tcW w:w="1411"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资产总额</w:t>
            </w:r>
          </w:p>
        </w:tc>
        <w:tc>
          <w:tcPr>
            <w:tcW w:w="2929" w:type="dxa"/>
            <w:gridSpan w:val="2"/>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经营范围</w:t>
            </w:r>
          </w:p>
        </w:tc>
        <w:tc>
          <w:tcPr>
            <w:tcW w:w="6756" w:type="dxa"/>
            <w:gridSpan w:val="5"/>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资质证书名称</w:t>
            </w:r>
          </w:p>
        </w:tc>
        <w:tc>
          <w:tcPr>
            <w:tcW w:w="2416" w:type="dxa"/>
            <w:gridSpan w:val="2"/>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证书号</w:t>
            </w:r>
          </w:p>
        </w:tc>
        <w:tc>
          <w:tcPr>
            <w:tcW w:w="1411"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等级</w:t>
            </w:r>
          </w:p>
        </w:tc>
        <w:tc>
          <w:tcPr>
            <w:tcW w:w="2929" w:type="dxa"/>
            <w:gridSpan w:val="2"/>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p>
        </w:tc>
        <w:tc>
          <w:tcPr>
            <w:tcW w:w="2416" w:type="dxa"/>
            <w:gridSpan w:val="2"/>
          </w:tcPr>
          <w:p>
            <w:pPr>
              <w:ind w:firstLine="0"/>
              <w:jc w:val="both"/>
              <w:rPr>
                <w:rFonts w:ascii="宋体" w:hAnsi="宋体" w:eastAsia="宋体" w:cs="宋体"/>
                <w:kern w:val="2"/>
                <w:sz w:val="28"/>
                <w:szCs w:val="28"/>
              </w:rPr>
            </w:pPr>
          </w:p>
        </w:tc>
        <w:tc>
          <w:tcPr>
            <w:tcW w:w="1411" w:type="dxa"/>
          </w:tcPr>
          <w:p>
            <w:pPr>
              <w:ind w:firstLine="0"/>
              <w:jc w:val="both"/>
              <w:rPr>
                <w:rFonts w:ascii="宋体" w:hAnsi="宋体" w:eastAsia="宋体" w:cs="宋体"/>
                <w:kern w:val="2"/>
                <w:sz w:val="28"/>
                <w:szCs w:val="28"/>
              </w:rPr>
            </w:pPr>
          </w:p>
        </w:tc>
        <w:tc>
          <w:tcPr>
            <w:tcW w:w="2929" w:type="dxa"/>
            <w:gridSpan w:val="2"/>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p>
        </w:tc>
        <w:tc>
          <w:tcPr>
            <w:tcW w:w="2416" w:type="dxa"/>
            <w:gridSpan w:val="2"/>
          </w:tcPr>
          <w:p>
            <w:pPr>
              <w:ind w:firstLine="0"/>
              <w:jc w:val="both"/>
              <w:rPr>
                <w:rFonts w:ascii="宋体" w:hAnsi="宋体" w:eastAsia="宋体" w:cs="宋体"/>
                <w:kern w:val="2"/>
                <w:sz w:val="28"/>
                <w:szCs w:val="28"/>
              </w:rPr>
            </w:pPr>
          </w:p>
        </w:tc>
        <w:tc>
          <w:tcPr>
            <w:tcW w:w="1411" w:type="dxa"/>
          </w:tcPr>
          <w:p>
            <w:pPr>
              <w:ind w:firstLine="0"/>
              <w:jc w:val="both"/>
              <w:rPr>
                <w:rFonts w:ascii="宋体" w:hAnsi="宋体" w:eastAsia="宋体" w:cs="宋体"/>
                <w:kern w:val="2"/>
                <w:sz w:val="28"/>
                <w:szCs w:val="28"/>
              </w:rPr>
            </w:pPr>
          </w:p>
        </w:tc>
        <w:tc>
          <w:tcPr>
            <w:tcW w:w="2929" w:type="dxa"/>
            <w:gridSpan w:val="2"/>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从业人员总数</w:t>
            </w:r>
          </w:p>
        </w:tc>
        <w:tc>
          <w:tcPr>
            <w:tcW w:w="992" w:type="dxa"/>
            <w:vMerge w:val="restart"/>
          </w:tcPr>
          <w:p>
            <w:pPr>
              <w:ind w:firstLine="0"/>
              <w:jc w:val="both"/>
              <w:rPr>
                <w:rFonts w:ascii="宋体" w:hAnsi="宋体" w:eastAsia="宋体" w:cs="宋体"/>
                <w:kern w:val="2"/>
                <w:sz w:val="28"/>
                <w:szCs w:val="28"/>
              </w:rPr>
            </w:pPr>
          </w:p>
        </w:tc>
        <w:tc>
          <w:tcPr>
            <w:tcW w:w="1424"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管理人员</w:t>
            </w:r>
          </w:p>
          <w:p>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11" w:type="dxa"/>
          </w:tcPr>
          <w:p>
            <w:pPr>
              <w:ind w:firstLine="0"/>
              <w:jc w:val="both"/>
              <w:rPr>
                <w:rFonts w:ascii="宋体" w:hAnsi="宋体" w:eastAsia="宋体" w:cs="宋体"/>
                <w:kern w:val="2"/>
                <w:sz w:val="28"/>
                <w:szCs w:val="28"/>
              </w:rPr>
            </w:pPr>
          </w:p>
        </w:tc>
        <w:tc>
          <w:tcPr>
            <w:tcW w:w="1464"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专业技术</w:t>
            </w:r>
          </w:p>
          <w:p>
            <w:pPr>
              <w:ind w:firstLine="0"/>
              <w:jc w:val="both"/>
              <w:rPr>
                <w:rFonts w:ascii="宋体" w:hAnsi="宋体" w:eastAsia="宋体" w:cs="宋体"/>
                <w:kern w:val="2"/>
                <w:sz w:val="28"/>
                <w:szCs w:val="28"/>
              </w:rPr>
            </w:pPr>
            <w:r>
              <w:rPr>
                <w:rFonts w:hint="eastAsia" w:ascii="宋体" w:hAnsi="宋体" w:eastAsia="宋体" w:cs="宋体"/>
                <w:kern w:val="2"/>
                <w:sz w:val="28"/>
                <w:szCs w:val="28"/>
              </w:rPr>
              <w:t>人员数量</w:t>
            </w:r>
          </w:p>
        </w:tc>
        <w:tc>
          <w:tcPr>
            <w:tcW w:w="1465" w:type="dxa"/>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pPr>
              <w:ind w:firstLine="0"/>
              <w:jc w:val="both"/>
              <w:rPr>
                <w:rFonts w:ascii="宋体" w:hAnsi="宋体" w:eastAsia="宋体" w:cs="宋体"/>
                <w:kern w:val="2"/>
                <w:sz w:val="28"/>
                <w:szCs w:val="28"/>
              </w:rPr>
            </w:pPr>
          </w:p>
        </w:tc>
        <w:tc>
          <w:tcPr>
            <w:tcW w:w="992" w:type="dxa"/>
            <w:vMerge w:val="continue"/>
          </w:tcPr>
          <w:p>
            <w:pPr>
              <w:ind w:firstLine="0"/>
              <w:jc w:val="both"/>
              <w:rPr>
                <w:rFonts w:ascii="宋体" w:hAnsi="宋体" w:eastAsia="宋体" w:cs="宋体"/>
                <w:kern w:val="2"/>
                <w:sz w:val="28"/>
                <w:szCs w:val="28"/>
              </w:rPr>
            </w:pPr>
          </w:p>
        </w:tc>
        <w:tc>
          <w:tcPr>
            <w:tcW w:w="1424"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残疾人</w:t>
            </w:r>
          </w:p>
          <w:p>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11" w:type="dxa"/>
          </w:tcPr>
          <w:p>
            <w:pPr>
              <w:ind w:firstLine="0"/>
              <w:jc w:val="both"/>
              <w:rPr>
                <w:rFonts w:ascii="宋体" w:hAnsi="宋体" w:eastAsia="宋体" w:cs="宋体"/>
                <w:kern w:val="2"/>
                <w:sz w:val="28"/>
                <w:szCs w:val="28"/>
              </w:rPr>
            </w:pPr>
          </w:p>
        </w:tc>
        <w:tc>
          <w:tcPr>
            <w:tcW w:w="1464"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少数民族</w:t>
            </w:r>
          </w:p>
          <w:p>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65" w:type="dxa"/>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关系</w:t>
            </w:r>
          </w:p>
        </w:tc>
        <w:tc>
          <w:tcPr>
            <w:tcW w:w="6756" w:type="dxa"/>
            <w:gridSpan w:val="5"/>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p>
        </w:tc>
        <w:tc>
          <w:tcPr>
            <w:tcW w:w="6756" w:type="dxa"/>
            <w:gridSpan w:val="5"/>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p>
        </w:tc>
        <w:tc>
          <w:tcPr>
            <w:tcW w:w="6756" w:type="dxa"/>
            <w:gridSpan w:val="5"/>
          </w:tcPr>
          <w:p>
            <w:pPr>
              <w:ind w:firstLine="0"/>
              <w:jc w:val="both"/>
              <w:rPr>
                <w:rFonts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说明</w:t>
            </w:r>
          </w:p>
        </w:tc>
        <w:tc>
          <w:tcPr>
            <w:tcW w:w="6756" w:type="dxa"/>
            <w:gridSpan w:val="5"/>
          </w:tcPr>
          <w:p>
            <w:pPr>
              <w:ind w:firstLine="0"/>
              <w:jc w:val="both"/>
              <w:rPr>
                <w:rFonts w:ascii="宋体" w:hAnsi="宋体" w:eastAsia="宋体" w:cs="宋体"/>
                <w:kern w:val="2"/>
                <w:sz w:val="28"/>
                <w:szCs w:val="28"/>
              </w:rPr>
            </w:pPr>
            <w:r>
              <w:rPr>
                <w:rFonts w:hint="eastAsia" w:ascii="宋体" w:hAnsi="宋体" w:eastAsia="宋体" w:cs="宋体"/>
                <w:kern w:val="2"/>
                <w:sz w:val="28"/>
                <w:szCs w:val="28"/>
              </w:rPr>
              <w:t>1.成立时间至提交投标文件截止时间不足一年的可不填写“上年度营业收入”；</w:t>
            </w:r>
          </w:p>
          <w:p>
            <w:pPr>
              <w:ind w:firstLine="0"/>
              <w:jc w:val="both"/>
              <w:rPr>
                <w:rFonts w:ascii="宋体" w:hAnsi="宋体" w:eastAsia="宋体" w:cs="宋体"/>
                <w:kern w:val="2"/>
                <w:sz w:val="28"/>
                <w:szCs w:val="28"/>
              </w:rPr>
            </w:pPr>
            <w:r>
              <w:rPr>
                <w:rFonts w:hint="eastAsia" w:ascii="宋体" w:hAnsi="宋体" w:eastAsia="宋体" w:cs="宋体"/>
                <w:kern w:val="2"/>
                <w:sz w:val="28"/>
                <w:szCs w:val="28"/>
              </w:rPr>
              <w:t>2.表格空间不足时，请自行扩展。</w:t>
            </w:r>
          </w:p>
        </w:tc>
      </w:tr>
    </w:tbl>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pStyle w:val="3"/>
        <w:ind w:firstLine="657"/>
        <w:jc w:val="center"/>
        <w:rPr>
          <w:rFonts w:ascii="宋体" w:hAnsi="宋体" w:eastAsia="宋体" w:cs="宋体"/>
        </w:rPr>
      </w:pPr>
      <w:bookmarkStart w:id="114" w:name="_Toc18263"/>
      <w:bookmarkStart w:id="115" w:name="_Toc21677"/>
      <w:r>
        <w:rPr>
          <w:rFonts w:hint="eastAsia" w:ascii="宋体" w:hAnsi="宋体" w:eastAsia="宋体" w:cs="宋体"/>
        </w:rPr>
        <w:t>第五部分  商务和需求响应偏离表</w:t>
      </w:r>
      <w:bookmarkEnd w:id="106"/>
      <w:bookmarkEnd w:id="107"/>
      <w:bookmarkEnd w:id="108"/>
      <w:bookmarkEnd w:id="109"/>
      <w:bookmarkEnd w:id="114"/>
      <w:bookmarkEnd w:id="115"/>
    </w:p>
    <w:p>
      <w:pPr>
        <w:kinsoku w:val="0"/>
        <w:spacing w:line="480" w:lineRule="auto"/>
        <w:ind w:left="1269" w:hanging="1267" w:hangingChars="440"/>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p>
    <w:tbl>
      <w:tblPr>
        <w:tblStyle w:val="33"/>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0"/>
        <w:gridCol w:w="1725"/>
        <w:gridCol w:w="2789"/>
        <w:gridCol w:w="135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63" w:type="dxa"/>
            <w:vAlign w:val="center"/>
          </w:tcPr>
          <w:p>
            <w:pPr>
              <w:pStyle w:val="20"/>
              <w:spacing w:line="480" w:lineRule="auto"/>
              <w:jc w:val="center"/>
              <w:rPr>
                <w:rFonts w:hAnsi="宋体" w:cs="宋体"/>
                <w:sz w:val="24"/>
              </w:rPr>
            </w:pPr>
            <w:r>
              <w:rPr>
                <w:rFonts w:hint="eastAsia" w:hAnsi="宋体" w:cs="宋体"/>
                <w:sz w:val="24"/>
              </w:rPr>
              <w:t>序号</w:t>
            </w:r>
          </w:p>
        </w:tc>
        <w:tc>
          <w:tcPr>
            <w:tcW w:w="1230" w:type="dxa"/>
            <w:vAlign w:val="center"/>
          </w:tcPr>
          <w:p>
            <w:pPr>
              <w:pStyle w:val="20"/>
              <w:spacing w:line="480" w:lineRule="auto"/>
              <w:rPr>
                <w:rFonts w:hAnsi="宋体" w:cs="宋体"/>
                <w:sz w:val="24"/>
              </w:rPr>
            </w:pPr>
            <w:r>
              <w:rPr>
                <w:rFonts w:hint="eastAsia" w:hAnsi="宋体" w:cs="宋体"/>
                <w:sz w:val="24"/>
              </w:rPr>
              <w:t>商务条款</w:t>
            </w:r>
          </w:p>
        </w:tc>
        <w:tc>
          <w:tcPr>
            <w:tcW w:w="1725" w:type="dxa"/>
            <w:vAlign w:val="center"/>
          </w:tcPr>
          <w:p>
            <w:pPr>
              <w:pStyle w:val="20"/>
              <w:spacing w:line="480" w:lineRule="auto"/>
              <w:rPr>
                <w:rFonts w:hAnsi="宋体" w:cs="宋体"/>
                <w:sz w:val="24"/>
              </w:rPr>
            </w:pPr>
            <w:r>
              <w:rPr>
                <w:rFonts w:hint="eastAsia" w:hAnsi="宋体" w:cs="宋体"/>
                <w:sz w:val="24"/>
              </w:rPr>
              <w:t>商务要求内容</w:t>
            </w:r>
          </w:p>
        </w:tc>
        <w:tc>
          <w:tcPr>
            <w:tcW w:w="2789" w:type="dxa"/>
            <w:vAlign w:val="center"/>
          </w:tcPr>
          <w:p>
            <w:pPr>
              <w:pStyle w:val="20"/>
              <w:spacing w:line="480" w:lineRule="auto"/>
              <w:rPr>
                <w:rFonts w:hAnsi="宋体" w:cs="宋体"/>
                <w:sz w:val="24"/>
              </w:rPr>
            </w:pPr>
            <w:r>
              <w:rPr>
                <w:rFonts w:hint="eastAsia" w:hAnsi="宋体" w:cs="宋体"/>
                <w:sz w:val="24"/>
              </w:rPr>
              <w:t>投标文件响应商务内容</w:t>
            </w:r>
          </w:p>
        </w:tc>
        <w:tc>
          <w:tcPr>
            <w:tcW w:w="1354" w:type="dxa"/>
            <w:vAlign w:val="center"/>
          </w:tcPr>
          <w:p>
            <w:pPr>
              <w:pStyle w:val="20"/>
              <w:spacing w:line="480" w:lineRule="auto"/>
              <w:jc w:val="center"/>
              <w:rPr>
                <w:rFonts w:hAnsi="宋体" w:cs="宋体"/>
                <w:sz w:val="24"/>
              </w:rPr>
            </w:pPr>
            <w:r>
              <w:rPr>
                <w:rFonts w:hint="eastAsia" w:hAnsi="宋体" w:cs="宋体"/>
                <w:sz w:val="24"/>
              </w:rPr>
              <w:t>偏离情况</w:t>
            </w:r>
          </w:p>
        </w:tc>
        <w:tc>
          <w:tcPr>
            <w:tcW w:w="1396" w:type="dxa"/>
            <w:vAlign w:val="center"/>
          </w:tcPr>
          <w:p>
            <w:pPr>
              <w:pStyle w:val="20"/>
              <w:spacing w:line="480" w:lineRule="auto"/>
              <w:jc w:val="center"/>
              <w:rPr>
                <w:rFonts w:hAnsi="宋体" w:cs="宋体"/>
                <w:sz w:val="24"/>
              </w:rPr>
            </w:pPr>
            <w:r>
              <w:rPr>
                <w:rFonts w:hint="eastAsia"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pPr>
              <w:pStyle w:val="20"/>
              <w:spacing w:line="480" w:lineRule="auto"/>
              <w:ind w:firstLine="496" w:firstLineChars="200"/>
              <w:rPr>
                <w:rFonts w:hAnsi="宋体" w:cs="宋体"/>
                <w:sz w:val="24"/>
              </w:rPr>
            </w:pPr>
          </w:p>
        </w:tc>
        <w:tc>
          <w:tcPr>
            <w:tcW w:w="1230" w:type="dxa"/>
          </w:tcPr>
          <w:p>
            <w:pPr>
              <w:pStyle w:val="20"/>
              <w:spacing w:line="480" w:lineRule="auto"/>
              <w:ind w:firstLine="496" w:firstLineChars="200"/>
              <w:rPr>
                <w:rFonts w:hAnsi="宋体" w:cs="宋体"/>
                <w:sz w:val="24"/>
              </w:rPr>
            </w:pPr>
          </w:p>
        </w:tc>
        <w:tc>
          <w:tcPr>
            <w:tcW w:w="1725" w:type="dxa"/>
            <w:vAlign w:val="center"/>
          </w:tcPr>
          <w:p>
            <w:pPr>
              <w:pStyle w:val="20"/>
              <w:spacing w:line="480" w:lineRule="auto"/>
              <w:ind w:firstLine="496" w:firstLineChars="200"/>
              <w:rPr>
                <w:rFonts w:hAnsi="宋体" w:cs="宋体"/>
                <w:sz w:val="24"/>
              </w:rPr>
            </w:pPr>
          </w:p>
        </w:tc>
        <w:tc>
          <w:tcPr>
            <w:tcW w:w="2789" w:type="dxa"/>
            <w:vAlign w:val="center"/>
          </w:tcPr>
          <w:p>
            <w:pPr>
              <w:pStyle w:val="20"/>
              <w:spacing w:line="480" w:lineRule="auto"/>
              <w:ind w:firstLine="496" w:firstLineChars="200"/>
              <w:rPr>
                <w:rFonts w:hAnsi="宋体" w:cs="宋体"/>
                <w:sz w:val="24"/>
              </w:rPr>
            </w:pPr>
          </w:p>
        </w:tc>
        <w:tc>
          <w:tcPr>
            <w:tcW w:w="1354" w:type="dxa"/>
            <w:vAlign w:val="center"/>
          </w:tcPr>
          <w:p>
            <w:pPr>
              <w:pStyle w:val="20"/>
              <w:spacing w:line="480" w:lineRule="auto"/>
              <w:ind w:firstLine="496" w:firstLineChars="200"/>
              <w:rPr>
                <w:rFonts w:hAnsi="宋体" w:cs="宋体"/>
                <w:sz w:val="24"/>
              </w:rPr>
            </w:pPr>
          </w:p>
        </w:tc>
        <w:tc>
          <w:tcPr>
            <w:tcW w:w="1396" w:type="dxa"/>
            <w:vAlign w:val="center"/>
          </w:tcPr>
          <w:p>
            <w:pPr>
              <w:pStyle w:val="20"/>
              <w:spacing w:line="480" w:lineRule="auto"/>
              <w:ind w:firstLine="496" w:firstLineChars="20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pPr>
              <w:pStyle w:val="20"/>
              <w:spacing w:line="480" w:lineRule="auto"/>
              <w:ind w:firstLine="496" w:firstLineChars="200"/>
              <w:rPr>
                <w:rFonts w:hAnsi="宋体" w:cs="宋体"/>
                <w:sz w:val="24"/>
              </w:rPr>
            </w:pPr>
          </w:p>
        </w:tc>
        <w:tc>
          <w:tcPr>
            <w:tcW w:w="1230" w:type="dxa"/>
          </w:tcPr>
          <w:p>
            <w:pPr>
              <w:pStyle w:val="20"/>
              <w:spacing w:line="480" w:lineRule="auto"/>
              <w:ind w:firstLine="496" w:firstLineChars="200"/>
              <w:rPr>
                <w:rFonts w:hAnsi="宋体" w:cs="宋体"/>
                <w:sz w:val="24"/>
              </w:rPr>
            </w:pPr>
          </w:p>
        </w:tc>
        <w:tc>
          <w:tcPr>
            <w:tcW w:w="1725" w:type="dxa"/>
          </w:tcPr>
          <w:p>
            <w:pPr>
              <w:pStyle w:val="20"/>
              <w:spacing w:line="480" w:lineRule="auto"/>
              <w:ind w:firstLine="496" w:firstLineChars="200"/>
              <w:rPr>
                <w:rFonts w:hAnsi="宋体" w:cs="宋体"/>
                <w:sz w:val="24"/>
              </w:rPr>
            </w:pPr>
          </w:p>
        </w:tc>
        <w:tc>
          <w:tcPr>
            <w:tcW w:w="2789" w:type="dxa"/>
          </w:tcPr>
          <w:p>
            <w:pPr>
              <w:pStyle w:val="20"/>
              <w:spacing w:line="480" w:lineRule="auto"/>
              <w:ind w:firstLine="496" w:firstLineChars="200"/>
              <w:rPr>
                <w:rFonts w:hAnsi="宋体" w:cs="宋体"/>
                <w:sz w:val="24"/>
              </w:rPr>
            </w:pPr>
          </w:p>
        </w:tc>
        <w:tc>
          <w:tcPr>
            <w:tcW w:w="1354" w:type="dxa"/>
          </w:tcPr>
          <w:p>
            <w:pPr>
              <w:pStyle w:val="20"/>
              <w:spacing w:line="480" w:lineRule="auto"/>
              <w:ind w:firstLine="496" w:firstLineChars="200"/>
              <w:rPr>
                <w:rFonts w:hAnsi="宋体" w:cs="宋体"/>
                <w:sz w:val="24"/>
              </w:rPr>
            </w:pPr>
          </w:p>
        </w:tc>
        <w:tc>
          <w:tcPr>
            <w:tcW w:w="1396" w:type="dxa"/>
          </w:tcPr>
          <w:p>
            <w:pPr>
              <w:pStyle w:val="20"/>
              <w:spacing w:line="480" w:lineRule="auto"/>
              <w:ind w:firstLine="496" w:firstLineChars="20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pPr>
              <w:pStyle w:val="20"/>
              <w:spacing w:line="480" w:lineRule="auto"/>
              <w:ind w:firstLine="496" w:firstLineChars="200"/>
              <w:rPr>
                <w:rFonts w:hAnsi="宋体" w:cs="宋体"/>
                <w:sz w:val="24"/>
              </w:rPr>
            </w:pPr>
          </w:p>
        </w:tc>
        <w:tc>
          <w:tcPr>
            <w:tcW w:w="1230" w:type="dxa"/>
          </w:tcPr>
          <w:p>
            <w:pPr>
              <w:pStyle w:val="20"/>
              <w:spacing w:line="480" w:lineRule="auto"/>
              <w:ind w:firstLine="496" w:firstLineChars="200"/>
              <w:rPr>
                <w:rFonts w:hAnsi="宋体" w:cs="宋体"/>
                <w:sz w:val="24"/>
              </w:rPr>
            </w:pPr>
          </w:p>
        </w:tc>
        <w:tc>
          <w:tcPr>
            <w:tcW w:w="1725" w:type="dxa"/>
          </w:tcPr>
          <w:p>
            <w:pPr>
              <w:pStyle w:val="20"/>
              <w:spacing w:line="480" w:lineRule="auto"/>
              <w:ind w:firstLine="496" w:firstLineChars="200"/>
              <w:rPr>
                <w:rFonts w:hAnsi="宋体" w:cs="宋体"/>
                <w:sz w:val="24"/>
              </w:rPr>
            </w:pPr>
          </w:p>
        </w:tc>
        <w:tc>
          <w:tcPr>
            <w:tcW w:w="2789" w:type="dxa"/>
          </w:tcPr>
          <w:p>
            <w:pPr>
              <w:pStyle w:val="20"/>
              <w:spacing w:line="480" w:lineRule="auto"/>
              <w:ind w:firstLine="496" w:firstLineChars="200"/>
              <w:rPr>
                <w:rFonts w:hAnsi="宋体" w:cs="宋体"/>
                <w:sz w:val="24"/>
              </w:rPr>
            </w:pPr>
          </w:p>
        </w:tc>
        <w:tc>
          <w:tcPr>
            <w:tcW w:w="1354" w:type="dxa"/>
          </w:tcPr>
          <w:p>
            <w:pPr>
              <w:pStyle w:val="20"/>
              <w:spacing w:line="480" w:lineRule="auto"/>
              <w:ind w:firstLine="496" w:firstLineChars="200"/>
              <w:rPr>
                <w:rFonts w:hAnsi="宋体" w:cs="宋体"/>
                <w:sz w:val="24"/>
              </w:rPr>
            </w:pPr>
          </w:p>
        </w:tc>
        <w:tc>
          <w:tcPr>
            <w:tcW w:w="1396" w:type="dxa"/>
          </w:tcPr>
          <w:p>
            <w:pPr>
              <w:pStyle w:val="20"/>
              <w:spacing w:line="480" w:lineRule="auto"/>
              <w:ind w:firstLine="496" w:firstLineChars="20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pPr>
              <w:pStyle w:val="20"/>
              <w:spacing w:line="480" w:lineRule="auto"/>
              <w:ind w:firstLine="496" w:firstLineChars="200"/>
              <w:rPr>
                <w:rFonts w:hAnsi="宋体" w:cs="宋体"/>
                <w:sz w:val="24"/>
              </w:rPr>
            </w:pPr>
          </w:p>
        </w:tc>
        <w:tc>
          <w:tcPr>
            <w:tcW w:w="1230" w:type="dxa"/>
          </w:tcPr>
          <w:p>
            <w:pPr>
              <w:pStyle w:val="20"/>
              <w:spacing w:line="480" w:lineRule="auto"/>
              <w:ind w:firstLine="496" w:firstLineChars="200"/>
              <w:rPr>
                <w:rFonts w:hAnsi="宋体" w:cs="宋体"/>
                <w:sz w:val="24"/>
              </w:rPr>
            </w:pPr>
          </w:p>
        </w:tc>
        <w:tc>
          <w:tcPr>
            <w:tcW w:w="1725" w:type="dxa"/>
          </w:tcPr>
          <w:p>
            <w:pPr>
              <w:pStyle w:val="20"/>
              <w:spacing w:line="480" w:lineRule="auto"/>
              <w:ind w:firstLine="496" w:firstLineChars="200"/>
              <w:rPr>
                <w:rFonts w:hAnsi="宋体" w:cs="宋体"/>
                <w:sz w:val="24"/>
              </w:rPr>
            </w:pPr>
          </w:p>
        </w:tc>
        <w:tc>
          <w:tcPr>
            <w:tcW w:w="2789" w:type="dxa"/>
          </w:tcPr>
          <w:p>
            <w:pPr>
              <w:pStyle w:val="20"/>
              <w:spacing w:line="480" w:lineRule="auto"/>
              <w:ind w:firstLine="496" w:firstLineChars="200"/>
              <w:rPr>
                <w:rFonts w:hAnsi="宋体" w:cs="宋体"/>
                <w:sz w:val="24"/>
              </w:rPr>
            </w:pPr>
          </w:p>
        </w:tc>
        <w:tc>
          <w:tcPr>
            <w:tcW w:w="1354" w:type="dxa"/>
          </w:tcPr>
          <w:p>
            <w:pPr>
              <w:pStyle w:val="20"/>
              <w:spacing w:line="480" w:lineRule="auto"/>
              <w:ind w:firstLine="496" w:firstLineChars="200"/>
              <w:rPr>
                <w:rFonts w:hAnsi="宋体" w:cs="宋体"/>
                <w:sz w:val="24"/>
              </w:rPr>
            </w:pPr>
          </w:p>
        </w:tc>
        <w:tc>
          <w:tcPr>
            <w:tcW w:w="1396" w:type="dxa"/>
          </w:tcPr>
          <w:p>
            <w:pPr>
              <w:pStyle w:val="20"/>
              <w:spacing w:line="480" w:lineRule="auto"/>
              <w:ind w:firstLine="496" w:firstLineChars="20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63" w:type="dxa"/>
          </w:tcPr>
          <w:p>
            <w:pPr>
              <w:pStyle w:val="20"/>
              <w:spacing w:line="480" w:lineRule="auto"/>
              <w:ind w:firstLine="496" w:firstLineChars="200"/>
              <w:rPr>
                <w:rFonts w:hAnsi="宋体" w:cs="宋体"/>
                <w:sz w:val="24"/>
              </w:rPr>
            </w:pPr>
          </w:p>
        </w:tc>
        <w:tc>
          <w:tcPr>
            <w:tcW w:w="1230" w:type="dxa"/>
          </w:tcPr>
          <w:p>
            <w:pPr>
              <w:pStyle w:val="20"/>
              <w:spacing w:line="480" w:lineRule="auto"/>
              <w:ind w:firstLine="496" w:firstLineChars="200"/>
              <w:rPr>
                <w:rFonts w:hAnsi="宋体" w:cs="宋体"/>
                <w:sz w:val="24"/>
              </w:rPr>
            </w:pPr>
          </w:p>
        </w:tc>
        <w:tc>
          <w:tcPr>
            <w:tcW w:w="1725" w:type="dxa"/>
          </w:tcPr>
          <w:p>
            <w:pPr>
              <w:pStyle w:val="20"/>
              <w:spacing w:line="480" w:lineRule="auto"/>
              <w:ind w:firstLine="496" w:firstLineChars="200"/>
              <w:rPr>
                <w:rFonts w:hAnsi="宋体" w:cs="宋体"/>
                <w:sz w:val="24"/>
              </w:rPr>
            </w:pPr>
          </w:p>
        </w:tc>
        <w:tc>
          <w:tcPr>
            <w:tcW w:w="2789" w:type="dxa"/>
          </w:tcPr>
          <w:p>
            <w:pPr>
              <w:pStyle w:val="20"/>
              <w:spacing w:line="480" w:lineRule="auto"/>
              <w:ind w:firstLine="496" w:firstLineChars="200"/>
              <w:rPr>
                <w:rFonts w:hAnsi="宋体" w:cs="宋体"/>
                <w:sz w:val="24"/>
              </w:rPr>
            </w:pPr>
          </w:p>
        </w:tc>
        <w:tc>
          <w:tcPr>
            <w:tcW w:w="1354" w:type="dxa"/>
          </w:tcPr>
          <w:p>
            <w:pPr>
              <w:pStyle w:val="20"/>
              <w:spacing w:line="480" w:lineRule="auto"/>
              <w:ind w:firstLine="496" w:firstLineChars="200"/>
              <w:rPr>
                <w:rFonts w:hAnsi="宋体" w:cs="宋体"/>
                <w:sz w:val="24"/>
              </w:rPr>
            </w:pPr>
          </w:p>
        </w:tc>
        <w:tc>
          <w:tcPr>
            <w:tcW w:w="1396" w:type="dxa"/>
          </w:tcPr>
          <w:p>
            <w:pPr>
              <w:pStyle w:val="20"/>
              <w:spacing w:line="480" w:lineRule="auto"/>
              <w:ind w:firstLine="496" w:firstLineChars="200"/>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63" w:type="dxa"/>
          </w:tcPr>
          <w:p>
            <w:pPr>
              <w:pStyle w:val="20"/>
              <w:spacing w:line="480" w:lineRule="auto"/>
              <w:rPr>
                <w:rFonts w:hAnsi="宋体" w:cs="宋体"/>
                <w:sz w:val="24"/>
              </w:rPr>
            </w:pPr>
            <w:r>
              <w:rPr>
                <w:rFonts w:hint="eastAsia" w:hAnsi="宋体" w:cs="宋体"/>
                <w:sz w:val="24"/>
              </w:rPr>
              <w:t>....</w:t>
            </w:r>
          </w:p>
        </w:tc>
        <w:tc>
          <w:tcPr>
            <w:tcW w:w="1230" w:type="dxa"/>
          </w:tcPr>
          <w:p>
            <w:pPr>
              <w:pStyle w:val="20"/>
              <w:spacing w:line="480" w:lineRule="auto"/>
              <w:rPr>
                <w:rFonts w:hAnsi="宋体" w:cs="宋体"/>
                <w:sz w:val="24"/>
              </w:rPr>
            </w:pPr>
            <w:r>
              <w:rPr>
                <w:rFonts w:hint="eastAsia" w:hAnsi="宋体" w:cs="宋体"/>
                <w:sz w:val="24"/>
              </w:rPr>
              <w:t>合同其他条款</w:t>
            </w:r>
          </w:p>
        </w:tc>
        <w:tc>
          <w:tcPr>
            <w:tcW w:w="1725" w:type="dxa"/>
          </w:tcPr>
          <w:p>
            <w:pPr>
              <w:pStyle w:val="20"/>
              <w:spacing w:line="480" w:lineRule="auto"/>
              <w:ind w:firstLine="496" w:firstLineChars="200"/>
              <w:rPr>
                <w:rFonts w:hAnsi="宋体" w:cs="宋体"/>
                <w:sz w:val="24"/>
              </w:rPr>
            </w:pPr>
          </w:p>
        </w:tc>
        <w:tc>
          <w:tcPr>
            <w:tcW w:w="2789" w:type="dxa"/>
          </w:tcPr>
          <w:p>
            <w:pPr>
              <w:pStyle w:val="20"/>
              <w:spacing w:line="480" w:lineRule="auto"/>
              <w:ind w:firstLine="496" w:firstLineChars="200"/>
              <w:rPr>
                <w:rFonts w:hAnsi="宋体" w:cs="宋体"/>
                <w:sz w:val="24"/>
              </w:rPr>
            </w:pPr>
          </w:p>
        </w:tc>
        <w:tc>
          <w:tcPr>
            <w:tcW w:w="1354" w:type="dxa"/>
          </w:tcPr>
          <w:p>
            <w:pPr>
              <w:pStyle w:val="20"/>
              <w:spacing w:line="480" w:lineRule="auto"/>
              <w:ind w:firstLine="496" w:firstLineChars="200"/>
              <w:rPr>
                <w:rFonts w:hAnsi="宋体" w:cs="宋体"/>
                <w:sz w:val="24"/>
              </w:rPr>
            </w:pPr>
          </w:p>
        </w:tc>
        <w:tc>
          <w:tcPr>
            <w:tcW w:w="1396" w:type="dxa"/>
          </w:tcPr>
          <w:p>
            <w:pPr>
              <w:pStyle w:val="20"/>
              <w:spacing w:line="480" w:lineRule="auto"/>
              <w:ind w:firstLine="496" w:firstLineChars="200"/>
              <w:rPr>
                <w:rFonts w:hAnsi="宋体" w:cs="宋体"/>
                <w:sz w:val="24"/>
              </w:rPr>
            </w:pPr>
          </w:p>
        </w:tc>
      </w:tr>
    </w:tbl>
    <w:p>
      <w:pPr>
        <w:pStyle w:val="11"/>
        <w:spacing w:line="360" w:lineRule="auto"/>
        <w:ind w:left="140" w:firstLine="0"/>
        <w:rPr>
          <w:rFonts w:ascii="宋体" w:hAnsi="宋体" w:cs="宋体"/>
          <w:b/>
          <w:bCs/>
        </w:rPr>
      </w:pPr>
      <w:r>
        <w:rPr>
          <w:rFonts w:hint="eastAsia" w:ascii="宋体" w:hAnsi="宋体" w:cs="宋体"/>
          <w:b/>
          <w:bCs/>
        </w:rPr>
        <w:t>1、本表须按“第三章招标内容及要求”中所列商务条款进行比较和响应；</w:t>
      </w:r>
    </w:p>
    <w:p>
      <w:pPr>
        <w:pStyle w:val="11"/>
        <w:spacing w:line="360" w:lineRule="auto"/>
        <w:ind w:firstLine="248" w:firstLineChars="100"/>
        <w:rPr>
          <w:rFonts w:ascii="宋体" w:hAnsi="宋体" w:cs="宋体"/>
          <w:b/>
          <w:bCs/>
        </w:rPr>
      </w:pPr>
      <w:r>
        <w:rPr>
          <w:rFonts w:hint="eastAsia" w:ascii="宋体" w:hAnsi="宋体" w:cs="宋体"/>
          <w:b/>
          <w:bCs/>
        </w:rPr>
        <w:t>2、该表必须按照招标文件要求逐条如实填写，根据情况在“偏离情况”项填写正偏离或负偏离或无偏离，在“说明”项填写正偏离或负偏离原因。</w:t>
      </w:r>
    </w:p>
    <w:p>
      <w:pPr>
        <w:pStyle w:val="11"/>
        <w:spacing w:line="360" w:lineRule="auto"/>
        <w:ind w:left="140" w:firstLine="0"/>
        <w:rPr>
          <w:rFonts w:ascii="宋体" w:hAnsi="宋体" w:cs="宋体"/>
          <w:b/>
          <w:bCs/>
        </w:rPr>
      </w:pPr>
      <w:r>
        <w:rPr>
          <w:rFonts w:hint="eastAsia" w:ascii="宋体" w:hAnsi="宋体" w:cs="宋体"/>
          <w:b/>
          <w:bCs/>
        </w:rPr>
        <w:t>3、该表可扩展。商务条款不允许负偏离；</w:t>
      </w:r>
    </w:p>
    <w:p>
      <w:pPr>
        <w:adjustRightInd w:val="0"/>
        <w:snapToGrid w:val="0"/>
        <w:spacing w:line="480" w:lineRule="auto"/>
        <w:rPr>
          <w:rFonts w:ascii="宋体" w:hAnsi="宋体" w:cs="宋体"/>
          <w:u w:val="single"/>
        </w:rPr>
      </w:pPr>
      <w:r>
        <w:rPr>
          <w:rFonts w:hint="eastAsia" w:ascii="宋体" w:hAnsi="宋体" w:cs="宋体"/>
        </w:rPr>
        <w:t>供应商（单位名称及公章）：</w:t>
      </w:r>
    </w:p>
    <w:p>
      <w:pPr>
        <w:adjustRightInd w:val="0"/>
        <w:snapToGrid w:val="0"/>
        <w:spacing w:line="480" w:lineRule="auto"/>
        <w:rPr>
          <w:rFonts w:ascii="宋体" w:hAnsi="宋体" w:cs="宋体"/>
        </w:rPr>
      </w:pPr>
      <w:r>
        <w:rPr>
          <w:rFonts w:hint="eastAsia" w:ascii="宋体" w:hAnsi="宋体" w:cs="宋体"/>
        </w:rPr>
        <w:t>法定代表人或被授权人（签字或盖章）：</w:t>
      </w:r>
    </w:p>
    <w:p>
      <w:pPr>
        <w:adjustRightInd w:val="0"/>
        <w:snapToGrid w:val="0"/>
        <w:spacing w:line="480" w:lineRule="auto"/>
        <w:rPr>
          <w:rFonts w:ascii="宋体" w:hAnsi="宋体"/>
        </w:rPr>
        <w:sectPr>
          <w:headerReference r:id="rId10" w:type="first"/>
          <w:footerReference r:id="rId12" w:type="first"/>
          <w:headerReference r:id="rId9" w:type="default"/>
          <w:footerReference r:id="rId11" w:type="default"/>
          <w:pgSz w:w="11906" w:h="16838"/>
          <w:pgMar w:top="1440" w:right="1803" w:bottom="1440" w:left="1803" w:header="850" w:footer="992" w:gutter="0"/>
          <w:pgNumType w:fmt="decimal"/>
          <w:cols w:space="0" w:num="1"/>
          <w:titlePg/>
          <w:docGrid w:type="linesAndChars" w:linePitch="395" w:charSpace="1724"/>
        </w:sectPr>
      </w:pPr>
      <w:r>
        <w:rPr>
          <w:rFonts w:hint="eastAsia" w:ascii="宋体" w:hAnsi="宋体" w:cs="宋体"/>
        </w:rPr>
        <w:t>日    期：年月日</w:t>
      </w:r>
    </w:p>
    <w:p>
      <w:pPr>
        <w:jc w:val="left"/>
        <w:rPr>
          <w:rFonts w:ascii="宋体" w:hAnsi="宋体" w:cs="宋体"/>
          <w:b w:val="0"/>
          <w:bCs w:val="0"/>
          <w:sz w:val="24"/>
          <w:szCs w:val="24"/>
        </w:rPr>
      </w:pPr>
      <w:r>
        <w:rPr>
          <w:rFonts w:hint="eastAsia" w:asciiTheme="minorEastAsia" w:hAnsiTheme="minorEastAsia" w:cstheme="minorEastAsia"/>
          <w:sz w:val="28"/>
          <w:szCs w:val="28"/>
        </w:rPr>
        <w:t>表2、</w:t>
      </w:r>
      <w:r>
        <w:rPr>
          <w:rFonts w:hint="eastAsia" w:asciiTheme="minorEastAsia" w:hAnsiTheme="minorEastAsia" w:cstheme="minorEastAsia"/>
          <w:b w:val="0"/>
          <w:bCs w:val="0"/>
          <w:color w:val="000000" w:themeColor="text1"/>
          <w:sz w:val="24"/>
          <w:szCs w:val="24"/>
          <w:lang w:eastAsia="zh-CN"/>
          <w14:textFill>
            <w14:solidFill>
              <w14:schemeClr w14:val="tx1"/>
            </w14:solidFill>
          </w14:textFill>
        </w:rPr>
        <w:t>技术</w:t>
      </w:r>
      <w:r>
        <w:rPr>
          <w:rFonts w:hint="eastAsia" w:ascii="宋体" w:hAnsi="宋体" w:cs="宋体"/>
          <w:b w:val="0"/>
          <w:bCs w:val="0"/>
          <w:sz w:val="24"/>
          <w:szCs w:val="24"/>
          <w:lang w:val="en-US" w:eastAsia="zh-CN"/>
        </w:rPr>
        <w:t>参数</w:t>
      </w:r>
      <w:r>
        <w:rPr>
          <w:rFonts w:hint="eastAsia" w:ascii="宋体" w:hAnsi="宋体" w:cs="宋体"/>
          <w:b w:val="0"/>
          <w:bCs w:val="0"/>
          <w:sz w:val="24"/>
          <w:szCs w:val="24"/>
        </w:rPr>
        <w:t>要求偏离表</w:t>
      </w:r>
    </w:p>
    <w:tbl>
      <w:tblPr>
        <w:tblStyle w:val="33"/>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80"/>
        <w:gridCol w:w="2120"/>
        <w:gridCol w:w="167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93" w:type="dxa"/>
            <w:noWrap w:val="0"/>
            <w:vAlign w:val="center"/>
          </w:tcPr>
          <w:p>
            <w:pPr>
              <w:pStyle w:val="20"/>
              <w:spacing w:line="480" w:lineRule="auto"/>
              <w:jc w:val="center"/>
              <w:rPr>
                <w:rFonts w:hAnsi="宋体" w:cs="宋体"/>
                <w:color w:val="000000"/>
                <w:sz w:val="24"/>
                <w:szCs w:val="24"/>
              </w:rPr>
            </w:pPr>
            <w:r>
              <w:rPr>
                <w:rFonts w:hint="eastAsia" w:hAnsi="宋体" w:cs="宋体"/>
                <w:color w:val="000000"/>
                <w:sz w:val="24"/>
                <w:szCs w:val="24"/>
              </w:rPr>
              <w:t>序号</w:t>
            </w:r>
          </w:p>
        </w:tc>
        <w:tc>
          <w:tcPr>
            <w:tcW w:w="2380" w:type="dxa"/>
            <w:noWrap w:val="0"/>
            <w:vAlign w:val="center"/>
          </w:tcPr>
          <w:p>
            <w:pPr>
              <w:pStyle w:val="20"/>
              <w:spacing w:line="240" w:lineRule="auto"/>
              <w:ind w:firstLine="496" w:firstLineChars="200"/>
              <w:rPr>
                <w:rFonts w:hAnsi="宋体" w:cs="宋体"/>
                <w:color w:val="000000"/>
                <w:sz w:val="24"/>
                <w:szCs w:val="24"/>
              </w:rPr>
            </w:pPr>
            <w:r>
              <w:rPr>
                <w:rFonts w:hint="eastAsia" w:hAnsi="宋体" w:cs="宋体"/>
                <w:color w:val="000000"/>
                <w:sz w:val="24"/>
                <w:szCs w:val="24"/>
              </w:rPr>
              <w:t>文件要求</w:t>
            </w:r>
          </w:p>
          <w:p>
            <w:pPr>
              <w:pStyle w:val="20"/>
              <w:spacing w:line="240" w:lineRule="auto"/>
              <w:ind w:firstLine="496" w:firstLineChars="200"/>
              <w:rPr>
                <w:rFonts w:hint="eastAsia" w:hAnsi="宋体" w:eastAsia="宋体" w:cs="宋体"/>
                <w:color w:val="000000"/>
                <w:sz w:val="24"/>
                <w:szCs w:val="24"/>
                <w:lang w:eastAsia="zh-CN"/>
              </w:rPr>
            </w:pPr>
            <w:r>
              <w:rPr>
                <w:rFonts w:hint="eastAsia" w:hAnsi="宋体" w:cs="宋体"/>
                <w:color w:val="000000"/>
                <w:sz w:val="24"/>
                <w:szCs w:val="24"/>
                <w:lang w:val="en-US" w:eastAsia="zh-CN"/>
              </w:rPr>
              <w:t>技术参数</w:t>
            </w:r>
            <w:r>
              <w:rPr>
                <w:rFonts w:hint="eastAsia" w:hAnsi="宋体" w:cs="宋体"/>
                <w:color w:val="000000"/>
                <w:sz w:val="24"/>
                <w:szCs w:val="24"/>
                <w:lang w:eastAsia="zh-CN"/>
              </w:rPr>
              <w:t>内容</w:t>
            </w:r>
          </w:p>
        </w:tc>
        <w:tc>
          <w:tcPr>
            <w:tcW w:w="2120" w:type="dxa"/>
            <w:noWrap w:val="0"/>
            <w:vAlign w:val="center"/>
          </w:tcPr>
          <w:p>
            <w:pPr>
              <w:pStyle w:val="20"/>
              <w:spacing w:line="240" w:lineRule="auto"/>
              <w:ind w:firstLine="496" w:firstLineChars="200"/>
              <w:rPr>
                <w:rFonts w:hAnsi="宋体" w:cs="宋体"/>
                <w:color w:val="000000"/>
                <w:sz w:val="24"/>
                <w:szCs w:val="24"/>
              </w:rPr>
            </w:pPr>
            <w:r>
              <w:rPr>
                <w:rFonts w:hint="eastAsia" w:hAnsi="宋体" w:cs="宋体"/>
                <w:color w:val="000000"/>
                <w:sz w:val="24"/>
                <w:szCs w:val="24"/>
                <w:lang w:val="en-US" w:eastAsia="zh-CN"/>
              </w:rPr>
              <w:t>投标</w:t>
            </w:r>
            <w:r>
              <w:rPr>
                <w:rFonts w:hint="eastAsia" w:hAnsi="宋体" w:cs="宋体"/>
                <w:color w:val="000000"/>
                <w:sz w:val="24"/>
                <w:szCs w:val="24"/>
              </w:rPr>
              <w:t>文件</w:t>
            </w:r>
          </w:p>
          <w:p>
            <w:pPr>
              <w:pStyle w:val="20"/>
              <w:spacing w:line="240" w:lineRule="auto"/>
              <w:ind w:firstLine="496" w:firstLineChars="200"/>
              <w:rPr>
                <w:rFonts w:hAnsi="宋体" w:cs="宋体"/>
                <w:color w:val="000000"/>
                <w:sz w:val="24"/>
                <w:szCs w:val="24"/>
              </w:rPr>
            </w:pPr>
            <w:r>
              <w:rPr>
                <w:rFonts w:hint="eastAsia" w:hAnsi="宋体" w:cs="宋体"/>
                <w:color w:val="000000"/>
                <w:sz w:val="24"/>
                <w:szCs w:val="24"/>
                <w:lang w:val="en-US" w:eastAsia="zh-CN"/>
              </w:rPr>
              <w:t>响应</w:t>
            </w:r>
            <w:r>
              <w:rPr>
                <w:rFonts w:hint="eastAsia" w:hAnsi="宋体" w:cs="宋体"/>
                <w:color w:val="000000"/>
                <w:sz w:val="24"/>
                <w:szCs w:val="24"/>
              </w:rPr>
              <w:t>内容</w:t>
            </w:r>
          </w:p>
        </w:tc>
        <w:tc>
          <w:tcPr>
            <w:tcW w:w="1676" w:type="dxa"/>
            <w:noWrap w:val="0"/>
            <w:vAlign w:val="center"/>
          </w:tcPr>
          <w:p>
            <w:pPr>
              <w:pStyle w:val="20"/>
              <w:spacing w:line="240" w:lineRule="auto"/>
              <w:rPr>
                <w:rFonts w:hAnsi="宋体" w:cs="宋体"/>
                <w:color w:val="000000"/>
                <w:sz w:val="24"/>
                <w:szCs w:val="24"/>
              </w:rPr>
            </w:pPr>
            <w:r>
              <w:rPr>
                <w:rFonts w:hint="eastAsia" w:hAnsi="宋体" w:cs="宋体"/>
                <w:color w:val="000000"/>
                <w:sz w:val="24"/>
                <w:szCs w:val="24"/>
              </w:rPr>
              <w:t>偏差说明</w:t>
            </w:r>
          </w:p>
        </w:tc>
        <w:tc>
          <w:tcPr>
            <w:tcW w:w="1588" w:type="dxa"/>
            <w:noWrap w:val="0"/>
            <w:vAlign w:val="center"/>
          </w:tcPr>
          <w:p>
            <w:pPr>
              <w:pStyle w:val="20"/>
              <w:spacing w:line="240" w:lineRule="auto"/>
              <w:rPr>
                <w:rFonts w:hAnsi="宋体" w:cs="宋体"/>
                <w:color w:val="000000"/>
                <w:sz w:val="24"/>
                <w:szCs w:val="24"/>
              </w:rPr>
            </w:pPr>
            <w:r>
              <w:rPr>
                <w:rFonts w:hint="eastAsia"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20"/>
              <w:spacing w:line="480" w:lineRule="auto"/>
              <w:ind w:firstLine="496" w:firstLineChars="200"/>
              <w:jc w:val="left"/>
              <w:rPr>
                <w:rFonts w:hAnsi="宋体" w:cs="宋体"/>
                <w:color w:val="000000"/>
                <w:sz w:val="24"/>
                <w:szCs w:val="24"/>
              </w:rPr>
            </w:pPr>
          </w:p>
        </w:tc>
        <w:tc>
          <w:tcPr>
            <w:tcW w:w="2380" w:type="dxa"/>
            <w:noWrap w:val="0"/>
            <w:vAlign w:val="center"/>
          </w:tcPr>
          <w:p>
            <w:pPr>
              <w:pStyle w:val="20"/>
              <w:spacing w:line="480" w:lineRule="auto"/>
              <w:ind w:firstLine="496" w:firstLineChars="200"/>
              <w:jc w:val="left"/>
              <w:rPr>
                <w:rFonts w:hAnsi="宋体" w:cs="宋体"/>
                <w:color w:val="000000"/>
                <w:sz w:val="24"/>
                <w:szCs w:val="24"/>
              </w:rPr>
            </w:pPr>
          </w:p>
        </w:tc>
        <w:tc>
          <w:tcPr>
            <w:tcW w:w="2120" w:type="dxa"/>
            <w:noWrap w:val="0"/>
            <w:vAlign w:val="center"/>
          </w:tcPr>
          <w:p>
            <w:pPr>
              <w:pStyle w:val="20"/>
              <w:spacing w:line="480" w:lineRule="auto"/>
              <w:ind w:firstLine="496" w:firstLineChars="200"/>
              <w:jc w:val="left"/>
              <w:rPr>
                <w:rFonts w:hAnsi="宋体" w:cs="宋体"/>
                <w:color w:val="000000"/>
                <w:sz w:val="24"/>
                <w:szCs w:val="24"/>
              </w:rPr>
            </w:pPr>
          </w:p>
        </w:tc>
        <w:tc>
          <w:tcPr>
            <w:tcW w:w="1676" w:type="dxa"/>
            <w:noWrap w:val="0"/>
            <w:vAlign w:val="center"/>
          </w:tcPr>
          <w:p>
            <w:pPr>
              <w:pStyle w:val="20"/>
              <w:spacing w:line="480" w:lineRule="auto"/>
              <w:ind w:firstLine="496" w:firstLineChars="200"/>
              <w:jc w:val="left"/>
              <w:rPr>
                <w:rFonts w:hAnsi="宋体" w:cs="宋体"/>
                <w:color w:val="000000"/>
                <w:sz w:val="24"/>
                <w:szCs w:val="24"/>
              </w:rPr>
            </w:pPr>
          </w:p>
        </w:tc>
        <w:tc>
          <w:tcPr>
            <w:tcW w:w="1588" w:type="dxa"/>
            <w:noWrap w:val="0"/>
            <w:vAlign w:val="center"/>
          </w:tcPr>
          <w:p>
            <w:pPr>
              <w:pStyle w:val="20"/>
              <w:spacing w:line="480" w:lineRule="auto"/>
              <w:ind w:firstLine="496"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20"/>
              <w:spacing w:line="480" w:lineRule="auto"/>
              <w:ind w:firstLine="496" w:firstLineChars="200"/>
              <w:jc w:val="left"/>
              <w:rPr>
                <w:rFonts w:hAnsi="宋体" w:cs="宋体"/>
                <w:color w:val="000000"/>
                <w:sz w:val="24"/>
                <w:szCs w:val="24"/>
              </w:rPr>
            </w:pPr>
          </w:p>
        </w:tc>
        <w:tc>
          <w:tcPr>
            <w:tcW w:w="2380" w:type="dxa"/>
            <w:noWrap w:val="0"/>
            <w:vAlign w:val="top"/>
          </w:tcPr>
          <w:p>
            <w:pPr>
              <w:pStyle w:val="20"/>
              <w:spacing w:line="480" w:lineRule="auto"/>
              <w:ind w:firstLine="496" w:firstLineChars="200"/>
              <w:jc w:val="left"/>
              <w:rPr>
                <w:rFonts w:hAnsi="宋体" w:cs="宋体"/>
                <w:color w:val="000000"/>
                <w:sz w:val="24"/>
                <w:szCs w:val="24"/>
              </w:rPr>
            </w:pPr>
          </w:p>
        </w:tc>
        <w:tc>
          <w:tcPr>
            <w:tcW w:w="2120" w:type="dxa"/>
            <w:noWrap w:val="0"/>
            <w:vAlign w:val="top"/>
          </w:tcPr>
          <w:p>
            <w:pPr>
              <w:pStyle w:val="20"/>
              <w:spacing w:line="480" w:lineRule="auto"/>
              <w:ind w:firstLine="496" w:firstLineChars="200"/>
              <w:jc w:val="left"/>
              <w:rPr>
                <w:rFonts w:hAnsi="宋体" w:cs="宋体"/>
                <w:color w:val="000000"/>
                <w:sz w:val="24"/>
                <w:szCs w:val="24"/>
              </w:rPr>
            </w:pPr>
          </w:p>
        </w:tc>
        <w:tc>
          <w:tcPr>
            <w:tcW w:w="1676" w:type="dxa"/>
            <w:noWrap w:val="0"/>
            <w:vAlign w:val="top"/>
          </w:tcPr>
          <w:p>
            <w:pPr>
              <w:pStyle w:val="20"/>
              <w:spacing w:line="480" w:lineRule="auto"/>
              <w:ind w:firstLine="496" w:firstLineChars="200"/>
              <w:jc w:val="left"/>
              <w:rPr>
                <w:rFonts w:hAnsi="宋体" w:cs="宋体"/>
                <w:color w:val="000000"/>
                <w:sz w:val="24"/>
                <w:szCs w:val="24"/>
              </w:rPr>
            </w:pPr>
          </w:p>
        </w:tc>
        <w:tc>
          <w:tcPr>
            <w:tcW w:w="1588" w:type="dxa"/>
            <w:noWrap w:val="0"/>
            <w:vAlign w:val="top"/>
          </w:tcPr>
          <w:p>
            <w:pPr>
              <w:pStyle w:val="20"/>
              <w:spacing w:line="480" w:lineRule="auto"/>
              <w:ind w:firstLine="496"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20"/>
              <w:spacing w:line="480" w:lineRule="auto"/>
              <w:ind w:firstLine="496" w:firstLineChars="200"/>
              <w:jc w:val="left"/>
              <w:rPr>
                <w:rFonts w:hAnsi="宋体" w:cs="宋体"/>
                <w:color w:val="000000"/>
                <w:sz w:val="24"/>
                <w:szCs w:val="24"/>
              </w:rPr>
            </w:pPr>
          </w:p>
        </w:tc>
        <w:tc>
          <w:tcPr>
            <w:tcW w:w="2380" w:type="dxa"/>
            <w:noWrap w:val="0"/>
            <w:vAlign w:val="top"/>
          </w:tcPr>
          <w:p>
            <w:pPr>
              <w:pStyle w:val="20"/>
              <w:spacing w:line="480" w:lineRule="auto"/>
              <w:ind w:firstLine="496" w:firstLineChars="200"/>
              <w:jc w:val="left"/>
              <w:rPr>
                <w:rFonts w:hAnsi="宋体" w:cs="宋体"/>
                <w:color w:val="000000"/>
                <w:sz w:val="24"/>
                <w:szCs w:val="24"/>
              </w:rPr>
            </w:pPr>
          </w:p>
        </w:tc>
        <w:tc>
          <w:tcPr>
            <w:tcW w:w="2120" w:type="dxa"/>
            <w:noWrap w:val="0"/>
            <w:vAlign w:val="top"/>
          </w:tcPr>
          <w:p>
            <w:pPr>
              <w:pStyle w:val="20"/>
              <w:spacing w:line="480" w:lineRule="auto"/>
              <w:ind w:firstLine="496" w:firstLineChars="200"/>
              <w:jc w:val="left"/>
              <w:rPr>
                <w:rFonts w:hAnsi="宋体" w:cs="宋体"/>
                <w:color w:val="000000"/>
                <w:sz w:val="24"/>
                <w:szCs w:val="24"/>
              </w:rPr>
            </w:pPr>
          </w:p>
        </w:tc>
        <w:tc>
          <w:tcPr>
            <w:tcW w:w="1676" w:type="dxa"/>
            <w:noWrap w:val="0"/>
            <w:vAlign w:val="top"/>
          </w:tcPr>
          <w:p>
            <w:pPr>
              <w:pStyle w:val="20"/>
              <w:spacing w:line="480" w:lineRule="auto"/>
              <w:ind w:firstLine="496" w:firstLineChars="200"/>
              <w:jc w:val="left"/>
              <w:rPr>
                <w:rFonts w:hAnsi="宋体" w:cs="宋体"/>
                <w:color w:val="000000"/>
                <w:sz w:val="24"/>
                <w:szCs w:val="24"/>
              </w:rPr>
            </w:pPr>
          </w:p>
        </w:tc>
        <w:tc>
          <w:tcPr>
            <w:tcW w:w="1588" w:type="dxa"/>
            <w:noWrap w:val="0"/>
            <w:vAlign w:val="top"/>
          </w:tcPr>
          <w:p>
            <w:pPr>
              <w:pStyle w:val="20"/>
              <w:spacing w:line="480" w:lineRule="auto"/>
              <w:ind w:firstLine="496"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20"/>
              <w:spacing w:line="480" w:lineRule="auto"/>
              <w:ind w:firstLine="496" w:firstLineChars="200"/>
              <w:jc w:val="left"/>
              <w:rPr>
                <w:rFonts w:hAnsi="宋体" w:cs="宋体"/>
                <w:color w:val="000000"/>
                <w:sz w:val="24"/>
                <w:szCs w:val="24"/>
              </w:rPr>
            </w:pPr>
          </w:p>
        </w:tc>
        <w:tc>
          <w:tcPr>
            <w:tcW w:w="2380" w:type="dxa"/>
            <w:noWrap w:val="0"/>
            <w:vAlign w:val="top"/>
          </w:tcPr>
          <w:p>
            <w:pPr>
              <w:pStyle w:val="20"/>
              <w:spacing w:line="480" w:lineRule="auto"/>
              <w:ind w:firstLine="496" w:firstLineChars="200"/>
              <w:jc w:val="left"/>
              <w:rPr>
                <w:rFonts w:hAnsi="宋体" w:cs="宋体"/>
                <w:color w:val="000000"/>
                <w:sz w:val="24"/>
                <w:szCs w:val="24"/>
              </w:rPr>
            </w:pPr>
          </w:p>
        </w:tc>
        <w:tc>
          <w:tcPr>
            <w:tcW w:w="2120" w:type="dxa"/>
            <w:noWrap w:val="0"/>
            <w:vAlign w:val="top"/>
          </w:tcPr>
          <w:p>
            <w:pPr>
              <w:pStyle w:val="20"/>
              <w:spacing w:line="480" w:lineRule="auto"/>
              <w:ind w:firstLine="496" w:firstLineChars="200"/>
              <w:jc w:val="left"/>
              <w:rPr>
                <w:rFonts w:hAnsi="宋体" w:cs="宋体"/>
                <w:color w:val="000000"/>
                <w:sz w:val="24"/>
                <w:szCs w:val="24"/>
              </w:rPr>
            </w:pPr>
          </w:p>
        </w:tc>
        <w:tc>
          <w:tcPr>
            <w:tcW w:w="1676" w:type="dxa"/>
            <w:noWrap w:val="0"/>
            <w:vAlign w:val="top"/>
          </w:tcPr>
          <w:p>
            <w:pPr>
              <w:pStyle w:val="20"/>
              <w:spacing w:line="480" w:lineRule="auto"/>
              <w:ind w:firstLine="496" w:firstLineChars="200"/>
              <w:jc w:val="left"/>
              <w:rPr>
                <w:rFonts w:hAnsi="宋体" w:cs="宋体"/>
                <w:color w:val="000000"/>
                <w:sz w:val="24"/>
                <w:szCs w:val="24"/>
              </w:rPr>
            </w:pPr>
          </w:p>
        </w:tc>
        <w:tc>
          <w:tcPr>
            <w:tcW w:w="1588" w:type="dxa"/>
            <w:noWrap w:val="0"/>
            <w:vAlign w:val="top"/>
          </w:tcPr>
          <w:p>
            <w:pPr>
              <w:pStyle w:val="20"/>
              <w:spacing w:line="480" w:lineRule="auto"/>
              <w:ind w:firstLine="496"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20"/>
              <w:spacing w:line="480" w:lineRule="auto"/>
              <w:ind w:firstLine="496" w:firstLineChars="200"/>
              <w:jc w:val="left"/>
              <w:rPr>
                <w:rFonts w:hAnsi="宋体" w:cs="宋体"/>
                <w:color w:val="000000"/>
                <w:sz w:val="24"/>
                <w:szCs w:val="24"/>
              </w:rPr>
            </w:pPr>
          </w:p>
        </w:tc>
        <w:tc>
          <w:tcPr>
            <w:tcW w:w="2380" w:type="dxa"/>
            <w:noWrap w:val="0"/>
            <w:vAlign w:val="top"/>
          </w:tcPr>
          <w:p>
            <w:pPr>
              <w:pStyle w:val="20"/>
              <w:spacing w:line="480" w:lineRule="auto"/>
              <w:ind w:firstLine="496" w:firstLineChars="200"/>
              <w:jc w:val="left"/>
              <w:rPr>
                <w:rFonts w:hAnsi="宋体" w:cs="宋体"/>
                <w:color w:val="000000"/>
                <w:sz w:val="24"/>
                <w:szCs w:val="24"/>
              </w:rPr>
            </w:pPr>
          </w:p>
        </w:tc>
        <w:tc>
          <w:tcPr>
            <w:tcW w:w="2120" w:type="dxa"/>
            <w:noWrap w:val="0"/>
            <w:vAlign w:val="top"/>
          </w:tcPr>
          <w:p>
            <w:pPr>
              <w:pStyle w:val="20"/>
              <w:spacing w:line="480" w:lineRule="auto"/>
              <w:ind w:firstLine="496" w:firstLineChars="200"/>
              <w:jc w:val="left"/>
              <w:rPr>
                <w:rFonts w:hAnsi="宋体" w:cs="宋体"/>
                <w:color w:val="000000"/>
                <w:sz w:val="24"/>
                <w:szCs w:val="24"/>
              </w:rPr>
            </w:pPr>
          </w:p>
        </w:tc>
        <w:tc>
          <w:tcPr>
            <w:tcW w:w="1676" w:type="dxa"/>
            <w:noWrap w:val="0"/>
            <w:vAlign w:val="top"/>
          </w:tcPr>
          <w:p>
            <w:pPr>
              <w:pStyle w:val="20"/>
              <w:spacing w:line="480" w:lineRule="auto"/>
              <w:ind w:firstLine="496" w:firstLineChars="200"/>
              <w:jc w:val="left"/>
              <w:rPr>
                <w:rFonts w:hAnsi="宋体" w:cs="宋体"/>
                <w:color w:val="000000"/>
                <w:sz w:val="24"/>
                <w:szCs w:val="24"/>
              </w:rPr>
            </w:pPr>
          </w:p>
        </w:tc>
        <w:tc>
          <w:tcPr>
            <w:tcW w:w="1588" w:type="dxa"/>
            <w:noWrap w:val="0"/>
            <w:vAlign w:val="top"/>
          </w:tcPr>
          <w:p>
            <w:pPr>
              <w:pStyle w:val="20"/>
              <w:spacing w:line="480" w:lineRule="auto"/>
              <w:ind w:firstLine="496"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20"/>
              <w:spacing w:line="480" w:lineRule="auto"/>
              <w:ind w:firstLine="496" w:firstLineChars="200"/>
              <w:jc w:val="left"/>
              <w:rPr>
                <w:rFonts w:hAnsi="宋体" w:cs="宋体"/>
                <w:color w:val="000000"/>
                <w:sz w:val="24"/>
                <w:szCs w:val="24"/>
              </w:rPr>
            </w:pPr>
          </w:p>
        </w:tc>
        <w:tc>
          <w:tcPr>
            <w:tcW w:w="2380" w:type="dxa"/>
            <w:noWrap w:val="0"/>
            <w:vAlign w:val="top"/>
          </w:tcPr>
          <w:p>
            <w:pPr>
              <w:pStyle w:val="20"/>
              <w:spacing w:line="480" w:lineRule="auto"/>
              <w:ind w:firstLine="496" w:firstLineChars="200"/>
              <w:jc w:val="left"/>
              <w:rPr>
                <w:rFonts w:hAnsi="宋体" w:cs="宋体"/>
                <w:color w:val="000000"/>
                <w:sz w:val="24"/>
                <w:szCs w:val="24"/>
              </w:rPr>
            </w:pPr>
          </w:p>
        </w:tc>
        <w:tc>
          <w:tcPr>
            <w:tcW w:w="2120" w:type="dxa"/>
            <w:noWrap w:val="0"/>
            <w:vAlign w:val="top"/>
          </w:tcPr>
          <w:p>
            <w:pPr>
              <w:pStyle w:val="20"/>
              <w:spacing w:line="480" w:lineRule="auto"/>
              <w:ind w:firstLine="496" w:firstLineChars="200"/>
              <w:jc w:val="left"/>
              <w:rPr>
                <w:rFonts w:hAnsi="宋体" w:cs="宋体"/>
                <w:color w:val="000000"/>
                <w:sz w:val="24"/>
                <w:szCs w:val="24"/>
              </w:rPr>
            </w:pPr>
          </w:p>
        </w:tc>
        <w:tc>
          <w:tcPr>
            <w:tcW w:w="1676" w:type="dxa"/>
            <w:noWrap w:val="0"/>
            <w:vAlign w:val="top"/>
          </w:tcPr>
          <w:p>
            <w:pPr>
              <w:pStyle w:val="20"/>
              <w:spacing w:line="480" w:lineRule="auto"/>
              <w:ind w:firstLine="496" w:firstLineChars="200"/>
              <w:jc w:val="left"/>
              <w:rPr>
                <w:rFonts w:hAnsi="宋体" w:cs="宋体"/>
                <w:color w:val="000000"/>
                <w:sz w:val="24"/>
                <w:szCs w:val="24"/>
              </w:rPr>
            </w:pPr>
          </w:p>
        </w:tc>
        <w:tc>
          <w:tcPr>
            <w:tcW w:w="1588" w:type="dxa"/>
            <w:noWrap w:val="0"/>
            <w:vAlign w:val="top"/>
          </w:tcPr>
          <w:p>
            <w:pPr>
              <w:pStyle w:val="20"/>
              <w:spacing w:line="480" w:lineRule="auto"/>
              <w:ind w:firstLine="496"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3" w:type="dxa"/>
            <w:noWrap w:val="0"/>
            <w:vAlign w:val="top"/>
          </w:tcPr>
          <w:p>
            <w:pPr>
              <w:pStyle w:val="20"/>
              <w:spacing w:line="480" w:lineRule="auto"/>
              <w:ind w:firstLine="496" w:firstLineChars="200"/>
              <w:jc w:val="left"/>
              <w:rPr>
                <w:rFonts w:hAnsi="宋体" w:cs="宋体"/>
                <w:color w:val="000000"/>
                <w:sz w:val="24"/>
                <w:szCs w:val="24"/>
              </w:rPr>
            </w:pPr>
          </w:p>
        </w:tc>
        <w:tc>
          <w:tcPr>
            <w:tcW w:w="2380" w:type="dxa"/>
            <w:noWrap w:val="0"/>
            <w:vAlign w:val="top"/>
          </w:tcPr>
          <w:p>
            <w:pPr>
              <w:pStyle w:val="20"/>
              <w:spacing w:line="480" w:lineRule="auto"/>
              <w:ind w:firstLine="496" w:firstLineChars="200"/>
              <w:jc w:val="left"/>
              <w:rPr>
                <w:rFonts w:hAnsi="宋体" w:cs="宋体"/>
                <w:color w:val="000000"/>
                <w:sz w:val="24"/>
                <w:szCs w:val="24"/>
              </w:rPr>
            </w:pPr>
          </w:p>
        </w:tc>
        <w:tc>
          <w:tcPr>
            <w:tcW w:w="2120" w:type="dxa"/>
            <w:noWrap w:val="0"/>
            <w:vAlign w:val="top"/>
          </w:tcPr>
          <w:p>
            <w:pPr>
              <w:pStyle w:val="20"/>
              <w:spacing w:line="480" w:lineRule="auto"/>
              <w:ind w:firstLine="496" w:firstLineChars="200"/>
              <w:jc w:val="left"/>
              <w:rPr>
                <w:rFonts w:hAnsi="宋体" w:cs="宋体"/>
                <w:color w:val="000000"/>
                <w:sz w:val="24"/>
                <w:szCs w:val="24"/>
              </w:rPr>
            </w:pPr>
          </w:p>
        </w:tc>
        <w:tc>
          <w:tcPr>
            <w:tcW w:w="1676" w:type="dxa"/>
            <w:noWrap w:val="0"/>
            <w:vAlign w:val="top"/>
          </w:tcPr>
          <w:p>
            <w:pPr>
              <w:pStyle w:val="20"/>
              <w:spacing w:line="480" w:lineRule="auto"/>
              <w:ind w:firstLine="496" w:firstLineChars="200"/>
              <w:jc w:val="left"/>
              <w:rPr>
                <w:rFonts w:hAnsi="宋体" w:cs="宋体"/>
                <w:color w:val="000000"/>
                <w:sz w:val="24"/>
                <w:szCs w:val="24"/>
              </w:rPr>
            </w:pPr>
          </w:p>
        </w:tc>
        <w:tc>
          <w:tcPr>
            <w:tcW w:w="1588" w:type="dxa"/>
            <w:noWrap w:val="0"/>
            <w:vAlign w:val="top"/>
          </w:tcPr>
          <w:p>
            <w:pPr>
              <w:pStyle w:val="20"/>
              <w:spacing w:line="480" w:lineRule="auto"/>
              <w:ind w:firstLine="496" w:firstLineChars="200"/>
              <w:jc w:val="left"/>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93" w:type="dxa"/>
            <w:noWrap w:val="0"/>
            <w:vAlign w:val="top"/>
          </w:tcPr>
          <w:p>
            <w:pPr>
              <w:pStyle w:val="20"/>
              <w:spacing w:line="480" w:lineRule="auto"/>
              <w:ind w:firstLine="496" w:firstLineChars="200"/>
              <w:jc w:val="left"/>
              <w:rPr>
                <w:rFonts w:hAnsi="宋体" w:cs="宋体"/>
                <w:color w:val="000000"/>
                <w:sz w:val="24"/>
                <w:szCs w:val="24"/>
              </w:rPr>
            </w:pPr>
          </w:p>
        </w:tc>
        <w:tc>
          <w:tcPr>
            <w:tcW w:w="2380" w:type="dxa"/>
            <w:noWrap w:val="0"/>
            <w:vAlign w:val="top"/>
          </w:tcPr>
          <w:p>
            <w:pPr>
              <w:pStyle w:val="20"/>
              <w:spacing w:line="480" w:lineRule="auto"/>
              <w:ind w:firstLine="496" w:firstLineChars="200"/>
              <w:jc w:val="left"/>
              <w:rPr>
                <w:rFonts w:hAnsi="宋体" w:cs="宋体"/>
                <w:color w:val="000000"/>
                <w:sz w:val="24"/>
                <w:szCs w:val="24"/>
              </w:rPr>
            </w:pPr>
          </w:p>
        </w:tc>
        <w:tc>
          <w:tcPr>
            <w:tcW w:w="2120" w:type="dxa"/>
            <w:noWrap w:val="0"/>
            <w:vAlign w:val="top"/>
          </w:tcPr>
          <w:p>
            <w:pPr>
              <w:pStyle w:val="20"/>
              <w:spacing w:line="480" w:lineRule="auto"/>
              <w:ind w:firstLine="496" w:firstLineChars="200"/>
              <w:jc w:val="left"/>
              <w:rPr>
                <w:rFonts w:hAnsi="宋体" w:cs="宋体"/>
                <w:color w:val="000000"/>
                <w:sz w:val="24"/>
                <w:szCs w:val="24"/>
              </w:rPr>
            </w:pPr>
          </w:p>
        </w:tc>
        <w:tc>
          <w:tcPr>
            <w:tcW w:w="1676" w:type="dxa"/>
            <w:noWrap w:val="0"/>
            <w:vAlign w:val="top"/>
          </w:tcPr>
          <w:p>
            <w:pPr>
              <w:pStyle w:val="20"/>
              <w:spacing w:line="480" w:lineRule="auto"/>
              <w:ind w:firstLine="496" w:firstLineChars="200"/>
              <w:jc w:val="left"/>
              <w:rPr>
                <w:rFonts w:hAnsi="宋体" w:cs="宋体"/>
                <w:color w:val="000000"/>
                <w:sz w:val="24"/>
                <w:szCs w:val="24"/>
              </w:rPr>
            </w:pPr>
          </w:p>
        </w:tc>
        <w:tc>
          <w:tcPr>
            <w:tcW w:w="1588" w:type="dxa"/>
            <w:noWrap w:val="0"/>
            <w:vAlign w:val="top"/>
          </w:tcPr>
          <w:p>
            <w:pPr>
              <w:pStyle w:val="20"/>
              <w:spacing w:line="480" w:lineRule="auto"/>
              <w:ind w:firstLine="496" w:firstLineChars="200"/>
              <w:jc w:val="left"/>
              <w:rPr>
                <w:rFonts w:hAnsi="宋体" w:cs="宋体"/>
                <w:color w:val="000000"/>
                <w:sz w:val="24"/>
                <w:szCs w:val="24"/>
              </w:rPr>
            </w:pPr>
          </w:p>
        </w:tc>
      </w:tr>
    </w:tbl>
    <w:p>
      <w:pPr>
        <w:pStyle w:val="11"/>
        <w:spacing w:line="360" w:lineRule="auto"/>
        <w:ind w:left="140" w:firstLine="0"/>
        <w:rPr>
          <w:rFonts w:ascii="宋体" w:hAnsi="宋体" w:cs="宋体"/>
          <w:b/>
          <w:bCs/>
        </w:rPr>
      </w:pPr>
      <w:r>
        <w:rPr>
          <w:rFonts w:hint="eastAsia" w:ascii="宋体" w:hAnsi="宋体" w:cs="宋体"/>
          <w:b/>
          <w:bCs/>
        </w:rPr>
        <w:t>1、本表须按“第三章招标内容及要求”中所列服务要求进行比较和响应；</w:t>
      </w:r>
    </w:p>
    <w:p>
      <w:pPr>
        <w:pStyle w:val="11"/>
        <w:spacing w:line="360" w:lineRule="auto"/>
        <w:ind w:left="140" w:firstLine="0"/>
        <w:rPr>
          <w:rFonts w:ascii="宋体" w:hAnsi="宋体" w:cs="宋体"/>
        </w:rPr>
      </w:pPr>
      <w:r>
        <w:rPr>
          <w:rFonts w:hint="eastAsia" w:ascii="宋体" w:hAnsi="宋体" w:cs="宋体"/>
          <w:b/>
          <w:bCs/>
        </w:rPr>
        <w:t>2、该表必须按照招标文件要求逐条如实填写，根据情况在“偏离情况”项填写正偏离或负偏离或无偏离，在“说明”项填写正偏离或负偏离原因。</w:t>
      </w:r>
    </w:p>
    <w:p>
      <w:pPr>
        <w:pStyle w:val="11"/>
        <w:spacing w:line="360" w:lineRule="auto"/>
        <w:ind w:left="140" w:firstLine="0"/>
        <w:rPr>
          <w:rFonts w:ascii="宋体" w:hAnsi="宋体" w:cs="宋体"/>
        </w:rPr>
      </w:pPr>
      <w:r>
        <w:rPr>
          <w:rFonts w:hint="eastAsia" w:ascii="宋体" w:hAnsi="宋体" w:cs="宋体"/>
          <w:b/>
          <w:bCs/>
        </w:rPr>
        <w:t>3、该表可扩展。</w:t>
      </w:r>
    </w:p>
    <w:p>
      <w:pPr>
        <w:adjustRightInd w:val="0"/>
        <w:snapToGrid w:val="0"/>
        <w:spacing w:line="480" w:lineRule="auto"/>
        <w:rPr>
          <w:rFonts w:asciiTheme="minorEastAsia" w:hAnsiTheme="minorEastAsia" w:cstheme="minorEastAsia"/>
        </w:rPr>
      </w:pPr>
    </w:p>
    <w:p>
      <w:pPr>
        <w:adjustRightInd w:val="0"/>
        <w:snapToGrid w:val="0"/>
        <w:spacing w:line="480" w:lineRule="auto"/>
        <w:rPr>
          <w:rFonts w:asciiTheme="minorEastAsia" w:hAnsiTheme="minorEastAsia" w:cstheme="minorEastAsia"/>
          <w:u w:val="single"/>
        </w:rPr>
      </w:pPr>
      <w:r>
        <w:rPr>
          <w:rFonts w:hint="eastAsia" w:asciiTheme="minorEastAsia" w:hAnsiTheme="minorEastAsia" w:cstheme="minorEastAsia"/>
        </w:rPr>
        <w:t>供应商（单位名称及公章）：</w:t>
      </w:r>
    </w:p>
    <w:p>
      <w:pPr>
        <w:adjustRightInd w:val="0"/>
        <w:snapToGrid w:val="0"/>
        <w:spacing w:line="480" w:lineRule="auto"/>
        <w:rPr>
          <w:rFonts w:asciiTheme="minorEastAsia" w:hAnsiTheme="minorEastAsia" w:cstheme="minorEastAsia"/>
        </w:rPr>
      </w:pPr>
      <w:r>
        <w:rPr>
          <w:rFonts w:hint="eastAsia" w:asciiTheme="minorEastAsia" w:hAnsiTheme="minorEastAsia" w:cstheme="minorEastAsia"/>
        </w:rPr>
        <w:t>法定代表人或被授权人（签字或盖章）：</w:t>
      </w:r>
    </w:p>
    <w:p>
      <w:pPr>
        <w:adjustRightInd w:val="0"/>
        <w:snapToGrid w:val="0"/>
        <w:spacing w:line="480" w:lineRule="auto"/>
        <w:rPr>
          <w:rFonts w:hint="eastAsia" w:asciiTheme="minorEastAsia" w:hAnsiTheme="minorEastAsia" w:cstheme="minorEastAsia"/>
        </w:rPr>
      </w:pPr>
      <w:r>
        <w:rPr>
          <w:rFonts w:hint="eastAsia" w:asciiTheme="minorEastAsia" w:hAnsiTheme="minorEastAsia" w:cstheme="minorEastAsia"/>
        </w:rPr>
        <w:t>日    期：年月日</w:t>
      </w:r>
    </w:p>
    <w:p>
      <w:pPr>
        <w:rPr>
          <w:rFonts w:hint="eastAsia" w:asciiTheme="minorEastAsia" w:hAnsiTheme="minorEastAsia" w:cstheme="minorEastAsia"/>
        </w:rPr>
      </w:pPr>
      <w:r>
        <w:rPr>
          <w:rFonts w:hint="eastAsia" w:asciiTheme="minorEastAsia" w:hAnsiTheme="minorEastAsia" w:cstheme="minorEastAsia"/>
        </w:rPr>
        <w:br w:type="page"/>
      </w:r>
    </w:p>
    <w:p>
      <w:pPr>
        <w:bidi w:val="0"/>
        <w:rPr>
          <w:rFonts w:hint="eastAsia" w:ascii="宋体" w:hAnsi="宋体" w:eastAsia="宋体" w:cs="宋体"/>
          <w:sz w:val="24"/>
          <w:szCs w:val="24"/>
          <w:lang w:eastAsia="zh-CN"/>
        </w:rPr>
      </w:pPr>
      <w:r>
        <w:rPr>
          <w:rFonts w:hint="eastAsia" w:ascii="宋体" w:hAnsi="宋体" w:eastAsia="宋体" w:cs="宋体"/>
          <w:sz w:val="24"/>
          <w:szCs w:val="24"/>
          <w:lang w:eastAsia="zh-CN"/>
        </w:rPr>
        <w:t>表</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合同条款响应</w:t>
      </w:r>
      <w:r>
        <w:rPr>
          <w:rFonts w:hint="eastAsia" w:ascii="宋体" w:hAnsi="宋体" w:eastAsia="宋体" w:cs="宋体"/>
          <w:sz w:val="24"/>
          <w:szCs w:val="24"/>
          <w:lang w:eastAsia="zh-CN"/>
        </w:rPr>
        <w:t>说明</w:t>
      </w:r>
    </w:p>
    <w:tbl>
      <w:tblPr>
        <w:tblStyle w:val="33"/>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449"/>
        <w:gridCol w:w="2600"/>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49"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条款名称</w:t>
            </w:r>
          </w:p>
        </w:tc>
        <w:tc>
          <w:tcPr>
            <w:tcW w:w="2449"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招标文件合同条款明细</w:t>
            </w:r>
          </w:p>
        </w:tc>
        <w:tc>
          <w:tcPr>
            <w:tcW w:w="2600"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投标文件合同条款响应</w:t>
            </w:r>
          </w:p>
        </w:tc>
        <w:tc>
          <w:tcPr>
            <w:tcW w:w="1282"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988" w:type="dxa"/>
            <w:tcBorders>
              <w:top w:val="single" w:color="auto" w:sz="2" w:space="0"/>
            </w:tcBorders>
            <w:vAlign w:val="center"/>
          </w:tcPr>
          <w:p>
            <w:pPr>
              <w:jc w:val="center"/>
              <w:rPr>
                <w:rFonts w:ascii="仿宋" w:hAnsi="仿宋" w:eastAsia="仿宋"/>
                <w:sz w:val="28"/>
                <w:szCs w:val="28"/>
              </w:rPr>
            </w:pPr>
          </w:p>
        </w:tc>
        <w:tc>
          <w:tcPr>
            <w:tcW w:w="1549" w:type="dxa"/>
            <w:tcBorders>
              <w:top w:val="single" w:color="auto" w:sz="2" w:space="0"/>
            </w:tcBorders>
            <w:vAlign w:val="center"/>
          </w:tcPr>
          <w:p>
            <w:pPr>
              <w:jc w:val="center"/>
              <w:rPr>
                <w:rFonts w:ascii="仿宋" w:hAnsi="仿宋" w:eastAsia="仿宋"/>
                <w:sz w:val="28"/>
                <w:szCs w:val="28"/>
              </w:rPr>
            </w:pPr>
          </w:p>
        </w:tc>
        <w:tc>
          <w:tcPr>
            <w:tcW w:w="2449" w:type="dxa"/>
            <w:tcBorders>
              <w:top w:val="single" w:color="auto" w:sz="2" w:space="0"/>
            </w:tcBorders>
            <w:vAlign w:val="center"/>
          </w:tcPr>
          <w:p>
            <w:pPr>
              <w:jc w:val="center"/>
              <w:rPr>
                <w:rFonts w:ascii="仿宋" w:hAnsi="仿宋" w:eastAsia="仿宋"/>
                <w:sz w:val="28"/>
                <w:szCs w:val="28"/>
              </w:rPr>
            </w:pPr>
          </w:p>
        </w:tc>
        <w:tc>
          <w:tcPr>
            <w:tcW w:w="2600" w:type="dxa"/>
            <w:tcBorders>
              <w:top w:val="single" w:color="auto" w:sz="2" w:space="0"/>
            </w:tcBorders>
            <w:vAlign w:val="center"/>
          </w:tcPr>
          <w:p>
            <w:pPr>
              <w:jc w:val="center"/>
              <w:rPr>
                <w:rFonts w:ascii="仿宋" w:hAnsi="仿宋" w:eastAsia="仿宋"/>
                <w:sz w:val="28"/>
                <w:szCs w:val="28"/>
              </w:rPr>
            </w:pPr>
          </w:p>
        </w:tc>
        <w:tc>
          <w:tcPr>
            <w:tcW w:w="1282" w:type="dxa"/>
            <w:tcBorders>
              <w:top w:val="single" w:color="auto" w:sz="2"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7"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1"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988" w:type="dxa"/>
            <w:vAlign w:val="center"/>
          </w:tcPr>
          <w:p>
            <w:pPr>
              <w:jc w:val="center"/>
              <w:rPr>
                <w:rFonts w:ascii="仿宋" w:hAnsi="仿宋" w:eastAsia="仿宋"/>
                <w:sz w:val="28"/>
                <w:szCs w:val="28"/>
              </w:rPr>
            </w:pPr>
          </w:p>
        </w:tc>
        <w:tc>
          <w:tcPr>
            <w:tcW w:w="1549" w:type="dxa"/>
            <w:vAlign w:val="center"/>
          </w:tcPr>
          <w:p>
            <w:pPr>
              <w:jc w:val="center"/>
              <w:rPr>
                <w:rFonts w:ascii="仿宋" w:hAnsi="仿宋" w:eastAsia="仿宋"/>
                <w:sz w:val="28"/>
                <w:szCs w:val="28"/>
              </w:rPr>
            </w:pPr>
          </w:p>
        </w:tc>
        <w:tc>
          <w:tcPr>
            <w:tcW w:w="2449" w:type="dxa"/>
            <w:vAlign w:val="center"/>
          </w:tcPr>
          <w:p>
            <w:pPr>
              <w:jc w:val="center"/>
              <w:rPr>
                <w:rFonts w:ascii="仿宋" w:hAnsi="仿宋" w:eastAsia="仿宋"/>
                <w:sz w:val="28"/>
                <w:szCs w:val="28"/>
              </w:rPr>
            </w:pPr>
          </w:p>
        </w:tc>
        <w:tc>
          <w:tcPr>
            <w:tcW w:w="2600" w:type="dxa"/>
            <w:vAlign w:val="center"/>
          </w:tcPr>
          <w:p>
            <w:pPr>
              <w:jc w:val="center"/>
              <w:rPr>
                <w:rFonts w:ascii="仿宋" w:hAnsi="仿宋" w:eastAsia="仿宋"/>
                <w:sz w:val="28"/>
                <w:szCs w:val="28"/>
              </w:rPr>
            </w:pPr>
          </w:p>
        </w:tc>
        <w:tc>
          <w:tcPr>
            <w:tcW w:w="128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sz w:val="28"/>
                <w:szCs w:val="28"/>
              </w:rPr>
            </w:pPr>
            <w:r>
              <w:rPr>
                <w:rFonts w:ascii="仿宋" w:hAnsi="仿宋" w:eastAsia="仿宋"/>
                <w:sz w:val="28"/>
                <w:szCs w:val="28"/>
              </w:rPr>
              <w:t>备注</w:t>
            </w:r>
          </w:p>
        </w:tc>
        <w:tc>
          <w:tcPr>
            <w:tcW w:w="7880" w:type="dxa"/>
            <w:gridSpan w:val="4"/>
            <w:vAlign w:val="center"/>
          </w:tcPr>
          <w:p>
            <w:pPr>
              <w:jc w:val="both"/>
              <w:rPr>
                <w:rFonts w:hint="eastAsia" w:ascii="宋体" w:hAnsi="宋体" w:eastAsia="宋体" w:cs="宋体"/>
                <w:sz w:val="24"/>
                <w:szCs w:val="24"/>
              </w:rPr>
            </w:pPr>
            <w:r>
              <w:rPr>
                <w:rFonts w:hint="eastAsia" w:ascii="宋体" w:hAnsi="宋体" w:eastAsia="宋体" w:cs="宋体"/>
                <w:sz w:val="24"/>
                <w:szCs w:val="24"/>
              </w:rPr>
              <w:t>1．服务商应逐条响应。</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2.响应说明填写“完全接受”、“不能接受”、“有条件接受”，</w:t>
            </w:r>
            <w:r>
              <w:rPr>
                <w:rFonts w:hint="eastAsia" w:ascii="宋体" w:hAnsi="宋体" w:eastAsia="宋体" w:cs="宋体"/>
                <w:sz w:val="24"/>
                <w:szCs w:val="24"/>
              </w:rPr>
              <w:t>对于需要供应商填报的内容，以及“不能接受”或“有条件接受”的条款，则应写明该条款名称及条款明细、以及供应商所能接受的条件。</w:t>
            </w:r>
          </w:p>
          <w:p>
            <w:pPr>
              <w:jc w:val="both"/>
              <w:rPr>
                <w:rFonts w:ascii="仿宋" w:hAnsi="仿宋" w:eastAsia="仿宋"/>
                <w:sz w:val="28"/>
                <w:szCs w:val="28"/>
              </w:rPr>
            </w:pPr>
            <w:r>
              <w:rPr>
                <w:rFonts w:hint="eastAsia" w:ascii="宋体" w:hAnsi="宋体" w:eastAsia="宋体" w:cs="宋体"/>
                <w:sz w:val="24"/>
                <w:szCs w:val="24"/>
                <w:lang w:val="en-US" w:eastAsia="zh-CN"/>
              </w:rPr>
              <w:t>3</w:t>
            </w:r>
            <w:r>
              <w:rPr>
                <w:rFonts w:hint="eastAsia" w:ascii="宋体" w:hAnsi="宋体" w:eastAsia="宋体" w:cs="宋体"/>
                <w:sz w:val="24"/>
                <w:szCs w:val="24"/>
              </w:rPr>
              <w:t>．根据《政府采购货物和服务招标投标管理办法》（财政部87号令）第六十三条，若投标文件含有采购人不能接受的附加条件的，投标无效。</w:t>
            </w:r>
          </w:p>
        </w:tc>
      </w:tr>
    </w:tbl>
    <w:p>
      <w:pPr>
        <w:spacing w:line="560" w:lineRule="exact"/>
        <w:ind w:firstLine="496" w:firstLineChars="200"/>
        <w:jc w:val="both"/>
        <w:rPr>
          <w:rFonts w:hint="eastAsia" w:ascii="宋体" w:hAnsi="宋体" w:eastAsia="宋体" w:cs="宋体"/>
          <w:sz w:val="24"/>
          <w:szCs w:val="24"/>
        </w:rPr>
      </w:pPr>
      <w:r>
        <w:rPr>
          <w:rFonts w:hint="eastAsia" w:ascii="宋体" w:hAnsi="宋体" w:eastAsia="宋体" w:cs="宋体"/>
          <w:sz w:val="24"/>
          <w:szCs w:val="24"/>
        </w:rPr>
        <w:t>声明：除上表所列的合同条款外，招标文件中的其他合同条款我方均完全接受。</w:t>
      </w:r>
    </w:p>
    <w:p>
      <w:pPr>
        <w:adjustRightInd w:val="0"/>
        <w:snapToGrid w:val="0"/>
        <w:spacing w:line="480" w:lineRule="auto"/>
        <w:jc w:val="left"/>
        <w:rPr>
          <w:rFonts w:hint="eastAsia"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480" w:lineRule="auto"/>
        <w:jc w:val="left"/>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供应商（单位名称及公章）：</w:t>
      </w:r>
    </w:p>
    <w:p>
      <w:pPr>
        <w:adjustRightInd w:val="0"/>
        <w:snapToGrid w:val="0"/>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法定代表人或被授权人（签字或盖章）：</w:t>
      </w:r>
    </w:p>
    <w:p>
      <w:pPr>
        <w:adjustRightInd w:val="0"/>
        <w:snapToGrid w:val="0"/>
        <w:spacing w:line="48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日    期：年</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日</w:t>
      </w:r>
    </w:p>
    <w:p>
      <w:pPr>
        <w:adjustRightInd w:val="0"/>
        <w:snapToGrid w:val="0"/>
        <w:spacing w:line="480" w:lineRule="auto"/>
        <w:rPr>
          <w:rFonts w:hint="eastAsia" w:asciiTheme="minorEastAsia" w:hAnsiTheme="minorEastAsia" w:cstheme="minorEastAsia"/>
        </w:rPr>
      </w:pPr>
    </w:p>
    <w:p/>
    <w:bookmarkEnd w:id="110"/>
    <w:bookmarkEnd w:id="111"/>
    <w:bookmarkEnd w:id="112"/>
    <w:bookmarkEnd w:id="113"/>
    <w:p>
      <w:pPr>
        <w:rPr>
          <w:rFonts w:asciiTheme="minorEastAsia" w:hAnsiTheme="minorEastAsia" w:cstheme="minorEastAsia"/>
          <w:sz w:val="36"/>
          <w:szCs w:val="36"/>
        </w:rPr>
      </w:pPr>
      <w:bookmarkStart w:id="116" w:name="_Toc24830"/>
      <w:r>
        <w:rPr>
          <w:rFonts w:hint="eastAsia" w:asciiTheme="minorEastAsia" w:hAnsiTheme="minorEastAsia" w:cstheme="minorEastAsia"/>
          <w:sz w:val="36"/>
          <w:szCs w:val="36"/>
        </w:rPr>
        <w:br w:type="page"/>
      </w:r>
    </w:p>
    <w:p>
      <w:pPr>
        <w:pStyle w:val="3"/>
        <w:spacing w:before="395" w:beforeLines="100" w:after="592" w:afterLines="150" w:line="500" w:lineRule="exact"/>
        <w:ind w:firstLine="657"/>
        <w:jc w:val="center"/>
        <w:rPr>
          <w:rFonts w:asciiTheme="minorEastAsia" w:hAnsiTheme="minorEastAsia" w:eastAsiaTheme="minorEastAsia" w:cstheme="minorEastAsia"/>
        </w:rPr>
      </w:pPr>
      <w:bookmarkStart w:id="117" w:name="_Toc17999"/>
      <w:bookmarkStart w:id="118" w:name="_Toc258"/>
      <w:bookmarkStart w:id="119" w:name="_Toc10746"/>
      <w:r>
        <w:rPr>
          <w:rFonts w:hint="eastAsia" w:asciiTheme="minorEastAsia" w:hAnsiTheme="minorEastAsia" w:eastAsiaTheme="minorEastAsia" w:cstheme="minorEastAsia"/>
        </w:rPr>
        <w:t xml:space="preserve">第六部分  </w:t>
      </w:r>
      <w:bookmarkEnd w:id="116"/>
      <w:bookmarkEnd w:id="117"/>
      <w:bookmarkEnd w:id="118"/>
      <w:r>
        <w:rPr>
          <w:rFonts w:hint="eastAsia" w:asciiTheme="minorEastAsia" w:hAnsiTheme="minorEastAsia" w:eastAsiaTheme="minorEastAsia" w:cstheme="minorEastAsia"/>
          <w:lang w:val="en-US" w:eastAsia="zh-CN"/>
        </w:rPr>
        <w:t>技术方案</w:t>
      </w:r>
      <w:bookmarkEnd w:id="119"/>
    </w:p>
    <w:p>
      <w:pPr>
        <w:spacing w:line="480" w:lineRule="auto"/>
        <w:rPr>
          <w:rFonts w:asciiTheme="minorEastAsia" w:hAnsiTheme="minorEastAsia" w:cstheme="minorEastAsia"/>
          <w:highlight w:val="yellow"/>
        </w:rPr>
      </w:pPr>
      <w:r>
        <w:rPr>
          <w:rFonts w:hint="eastAsia"/>
          <w:b/>
          <w:bCs/>
        </w:rPr>
        <w:t>供应商可根据评审办法自行编写，格式不限；</w:t>
      </w:r>
    </w:p>
    <w:p>
      <w:pPr>
        <w:jc w:val="both"/>
        <w:rPr>
          <w:rFonts w:asciiTheme="minorEastAsia" w:hAnsiTheme="minorEastAsia" w:cstheme="minorEastAsia"/>
        </w:rPr>
      </w:pPr>
      <w:r>
        <w:rPr>
          <w:rFonts w:hint="eastAsia" w:asciiTheme="minorEastAsia" w:hAnsiTheme="minorEastAsia" w:cstheme="minorEastAsia"/>
        </w:rPr>
        <w:t xml:space="preserve">  </w:t>
      </w:r>
    </w:p>
    <w:p>
      <w:pPr>
        <w:rPr>
          <w:rFonts w:asciiTheme="minorEastAsia" w:hAnsiTheme="minorEastAsia" w:cstheme="minorEastAsia"/>
          <w:sz w:val="32"/>
          <w:szCs w:val="32"/>
        </w:rPr>
      </w:pPr>
      <w:r>
        <w:rPr>
          <w:rFonts w:hint="eastAsia"/>
        </w:rPr>
        <w:t xml:space="preserve">                      </w:t>
      </w: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r>
        <w:rPr>
          <w:rFonts w:hint="eastAsia" w:asciiTheme="minorEastAsia" w:hAnsiTheme="minorEastAsia" w:cstheme="minorEastAsia"/>
          <w:sz w:val="32"/>
          <w:szCs w:val="32"/>
        </w:rPr>
        <w:br w:type="page"/>
      </w:r>
    </w:p>
    <w:p>
      <w:pPr>
        <w:pStyle w:val="3"/>
        <w:ind w:firstLine="657"/>
        <w:jc w:val="center"/>
        <w:rPr>
          <w:rFonts w:ascii="宋体" w:hAnsi="宋体" w:eastAsia="宋体" w:cs="宋体"/>
        </w:rPr>
      </w:pPr>
      <w:bookmarkStart w:id="120" w:name="_Toc4396"/>
      <w:bookmarkStart w:id="121" w:name="_Toc11540"/>
      <w:bookmarkStart w:id="122" w:name="_Toc24882"/>
      <w:bookmarkStart w:id="123" w:name="_Toc6020"/>
      <w:bookmarkStart w:id="124" w:name="_Toc3034"/>
      <w:bookmarkStart w:id="125" w:name="_Toc14045"/>
      <w:bookmarkStart w:id="126" w:name="_Toc30983"/>
      <w:bookmarkStart w:id="127" w:name="_Toc8494"/>
      <w:bookmarkStart w:id="128" w:name="_Toc11410"/>
      <w:bookmarkStart w:id="129" w:name="_Toc12793"/>
      <w:r>
        <w:rPr>
          <w:rFonts w:hint="eastAsia" w:ascii="宋体" w:hAnsi="宋体" w:eastAsia="宋体" w:cs="宋体"/>
        </w:rPr>
        <w:t>第</w:t>
      </w:r>
      <w:r>
        <w:rPr>
          <w:rFonts w:hint="eastAsia" w:ascii="宋体" w:hAnsi="宋体" w:eastAsia="宋体" w:cs="宋体"/>
          <w:lang w:eastAsia="zh-CN"/>
        </w:rPr>
        <w:t>七</w:t>
      </w:r>
      <w:r>
        <w:rPr>
          <w:rFonts w:hint="eastAsia" w:ascii="宋体" w:hAnsi="宋体" w:eastAsia="宋体" w:cs="宋体"/>
        </w:rPr>
        <w:t>部分  供应商业绩一览表</w:t>
      </w:r>
      <w:bookmarkEnd w:id="120"/>
      <w:bookmarkEnd w:id="121"/>
      <w:bookmarkEnd w:id="122"/>
      <w:bookmarkEnd w:id="123"/>
      <w:bookmarkEnd w:id="124"/>
      <w:bookmarkEnd w:id="125"/>
    </w:p>
    <w:p>
      <w:pPr>
        <w:rPr>
          <w:rFonts w:asciiTheme="minorEastAsia" w:hAnsiTheme="minorEastAsia" w:cstheme="minorEastAsia"/>
        </w:rPr>
      </w:pPr>
    </w:p>
    <w:tbl>
      <w:tblPr>
        <w:tblStyle w:val="33"/>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rPr>
            </w:pPr>
            <w:r>
              <w:rPr>
                <w:rFonts w:hint="eastAsia" w:asciiTheme="minorEastAsia" w:hAnsiTheme="minorEastAsia" w:cstheme="minorEastAsia"/>
                <w:bCs/>
              </w:rPr>
              <w:t>年份</w:t>
            </w:r>
          </w:p>
        </w:tc>
        <w:tc>
          <w:tcPr>
            <w:tcW w:w="1508" w:type="dxa"/>
            <w:vAlign w:val="center"/>
          </w:tcPr>
          <w:p>
            <w:pPr>
              <w:spacing w:line="400" w:lineRule="exact"/>
              <w:jc w:val="center"/>
              <w:rPr>
                <w:rFonts w:asciiTheme="minorEastAsia" w:hAnsiTheme="minorEastAsia" w:cstheme="minorEastAsia"/>
                <w:bCs/>
              </w:rPr>
            </w:pPr>
            <w:r>
              <w:rPr>
                <w:rFonts w:hint="eastAsia" w:asciiTheme="minorEastAsia" w:hAnsiTheme="minorEastAsia" w:cstheme="minorEastAsia"/>
                <w:bCs/>
              </w:rPr>
              <w:t>用户名称</w:t>
            </w:r>
          </w:p>
        </w:tc>
        <w:tc>
          <w:tcPr>
            <w:tcW w:w="1382" w:type="dxa"/>
            <w:vAlign w:val="center"/>
          </w:tcPr>
          <w:p>
            <w:pPr>
              <w:spacing w:line="400" w:lineRule="exact"/>
              <w:jc w:val="center"/>
              <w:rPr>
                <w:rFonts w:asciiTheme="minorEastAsia" w:hAnsiTheme="minorEastAsia" w:cstheme="minorEastAsia"/>
                <w:bCs/>
              </w:rPr>
            </w:pPr>
            <w:r>
              <w:rPr>
                <w:rFonts w:hint="eastAsia" w:asciiTheme="minorEastAsia" w:hAnsiTheme="minorEastAsia" w:cstheme="minorEastAsia"/>
                <w:bCs/>
              </w:rPr>
              <w:t>项目名称</w:t>
            </w:r>
          </w:p>
        </w:tc>
        <w:tc>
          <w:tcPr>
            <w:tcW w:w="1399" w:type="dxa"/>
            <w:vAlign w:val="center"/>
          </w:tcPr>
          <w:p>
            <w:pPr>
              <w:spacing w:line="400" w:lineRule="exact"/>
              <w:jc w:val="center"/>
              <w:rPr>
                <w:rFonts w:asciiTheme="minorEastAsia" w:hAnsiTheme="minorEastAsia" w:cstheme="minorEastAsia"/>
                <w:bCs/>
              </w:rPr>
            </w:pPr>
            <w:r>
              <w:rPr>
                <w:rFonts w:hint="eastAsia" w:asciiTheme="minorEastAsia" w:hAnsiTheme="minorEastAsia" w:cstheme="minorEastAsia"/>
                <w:bCs/>
              </w:rPr>
              <w:t>完成时间</w:t>
            </w:r>
          </w:p>
        </w:tc>
        <w:tc>
          <w:tcPr>
            <w:tcW w:w="1485" w:type="dxa"/>
            <w:vAlign w:val="center"/>
          </w:tcPr>
          <w:p>
            <w:pPr>
              <w:spacing w:line="400" w:lineRule="exact"/>
              <w:ind w:firstLine="124" w:firstLineChars="50"/>
              <w:rPr>
                <w:rFonts w:asciiTheme="minorEastAsia" w:hAnsiTheme="minorEastAsia" w:cstheme="minorEastAsia"/>
                <w:bCs/>
              </w:rPr>
            </w:pPr>
            <w:r>
              <w:rPr>
                <w:rFonts w:hint="eastAsia" w:asciiTheme="minorEastAsia" w:hAnsiTheme="minorEastAsia" w:cstheme="minorEastAsia"/>
                <w:bCs/>
              </w:rPr>
              <w:t>合同金额</w:t>
            </w:r>
          </w:p>
        </w:tc>
        <w:tc>
          <w:tcPr>
            <w:tcW w:w="1576" w:type="dxa"/>
            <w:tcBorders>
              <w:right w:val="single" w:color="auto" w:sz="4" w:space="0"/>
            </w:tcBorders>
            <w:vAlign w:val="center"/>
          </w:tcPr>
          <w:p>
            <w:pPr>
              <w:spacing w:line="400" w:lineRule="exact"/>
              <w:ind w:left="241" w:hanging="239" w:hangingChars="97"/>
              <w:rPr>
                <w:rFonts w:asciiTheme="minorEastAsia" w:hAnsiTheme="minorEastAsia" w:cstheme="minorEastAsia"/>
                <w:bCs/>
              </w:rPr>
            </w:pPr>
            <w:r>
              <w:rPr>
                <w:rFonts w:hint="eastAsia" w:asciiTheme="minorEastAsia" w:hAnsiTheme="minorEastAsia" w:cstheme="minorEastAsia"/>
                <w:bCs/>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rPr>
            </w:pPr>
            <w:r>
              <w:rPr>
                <w:rFonts w:hint="eastAsia" w:asciiTheme="minorEastAsia" w:hAnsiTheme="minorEastAsia" w:cstheme="minorEastAsia"/>
                <w:bCs/>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rPr>
            </w:pPr>
          </w:p>
        </w:tc>
        <w:tc>
          <w:tcPr>
            <w:tcW w:w="1508" w:type="dxa"/>
            <w:vAlign w:val="center"/>
          </w:tcPr>
          <w:p>
            <w:pPr>
              <w:spacing w:line="400" w:lineRule="exact"/>
              <w:jc w:val="center"/>
              <w:rPr>
                <w:rFonts w:asciiTheme="minorEastAsia" w:hAnsiTheme="minorEastAsia" w:cstheme="minorEastAsia"/>
                <w:bCs/>
              </w:rPr>
            </w:pPr>
          </w:p>
        </w:tc>
        <w:tc>
          <w:tcPr>
            <w:tcW w:w="1382" w:type="dxa"/>
            <w:vAlign w:val="center"/>
          </w:tcPr>
          <w:p>
            <w:pPr>
              <w:spacing w:line="400" w:lineRule="exact"/>
              <w:jc w:val="center"/>
              <w:rPr>
                <w:rFonts w:asciiTheme="minorEastAsia" w:hAnsiTheme="minorEastAsia" w:cstheme="minorEastAsia"/>
                <w:bCs/>
              </w:rPr>
            </w:pPr>
          </w:p>
        </w:tc>
        <w:tc>
          <w:tcPr>
            <w:tcW w:w="1399" w:type="dxa"/>
            <w:vAlign w:val="center"/>
          </w:tcPr>
          <w:p>
            <w:pPr>
              <w:spacing w:line="400" w:lineRule="exact"/>
              <w:jc w:val="center"/>
              <w:rPr>
                <w:rFonts w:asciiTheme="minorEastAsia" w:hAnsiTheme="minorEastAsia" w:cstheme="minorEastAsia"/>
                <w:bCs/>
              </w:rPr>
            </w:pPr>
          </w:p>
        </w:tc>
        <w:tc>
          <w:tcPr>
            <w:tcW w:w="1485" w:type="dxa"/>
            <w:vAlign w:val="center"/>
          </w:tcPr>
          <w:p>
            <w:pPr>
              <w:spacing w:line="400" w:lineRule="exact"/>
              <w:jc w:val="center"/>
              <w:rPr>
                <w:rFonts w:asciiTheme="minorEastAsia" w:hAnsiTheme="minorEastAsia" w:cstheme="minorEastAsia"/>
                <w:bCs/>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rPr>
            </w:pPr>
          </w:p>
        </w:tc>
        <w:tc>
          <w:tcPr>
            <w:tcW w:w="1508" w:type="dxa"/>
            <w:vAlign w:val="center"/>
          </w:tcPr>
          <w:p>
            <w:pPr>
              <w:spacing w:line="400" w:lineRule="exact"/>
              <w:jc w:val="center"/>
              <w:rPr>
                <w:rFonts w:asciiTheme="minorEastAsia" w:hAnsiTheme="minorEastAsia" w:cstheme="minorEastAsia"/>
                <w:bCs/>
              </w:rPr>
            </w:pPr>
          </w:p>
        </w:tc>
        <w:tc>
          <w:tcPr>
            <w:tcW w:w="1382" w:type="dxa"/>
            <w:vAlign w:val="center"/>
          </w:tcPr>
          <w:p>
            <w:pPr>
              <w:spacing w:line="400" w:lineRule="exact"/>
              <w:jc w:val="center"/>
              <w:rPr>
                <w:rFonts w:asciiTheme="minorEastAsia" w:hAnsiTheme="minorEastAsia" w:cstheme="minorEastAsia"/>
                <w:bCs/>
              </w:rPr>
            </w:pPr>
          </w:p>
        </w:tc>
        <w:tc>
          <w:tcPr>
            <w:tcW w:w="1399" w:type="dxa"/>
            <w:vAlign w:val="center"/>
          </w:tcPr>
          <w:p>
            <w:pPr>
              <w:spacing w:line="400" w:lineRule="exact"/>
              <w:jc w:val="center"/>
              <w:rPr>
                <w:rFonts w:asciiTheme="minorEastAsia" w:hAnsiTheme="minorEastAsia" w:cstheme="minorEastAsia"/>
                <w:bCs/>
              </w:rPr>
            </w:pPr>
          </w:p>
        </w:tc>
        <w:tc>
          <w:tcPr>
            <w:tcW w:w="1485" w:type="dxa"/>
            <w:vAlign w:val="center"/>
          </w:tcPr>
          <w:p>
            <w:pPr>
              <w:spacing w:line="400" w:lineRule="exact"/>
              <w:jc w:val="center"/>
              <w:rPr>
                <w:rFonts w:asciiTheme="minorEastAsia" w:hAnsiTheme="minorEastAsia" w:cstheme="minorEastAsia"/>
                <w:bCs/>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rPr>
            </w:pPr>
          </w:p>
        </w:tc>
        <w:tc>
          <w:tcPr>
            <w:tcW w:w="1508" w:type="dxa"/>
            <w:vAlign w:val="center"/>
          </w:tcPr>
          <w:p>
            <w:pPr>
              <w:spacing w:line="400" w:lineRule="exact"/>
              <w:jc w:val="center"/>
              <w:rPr>
                <w:rFonts w:asciiTheme="minorEastAsia" w:hAnsiTheme="minorEastAsia" w:cstheme="minorEastAsia"/>
                <w:bCs/>
              </w:rPr>
            </w:pPr>
          </w:p>
        </w:tc>
        <w:tc>
          <w:tcPr>
            <w:tcW w:w="1382" w:type="dxa"/>
            <w:vAlign w:val="center"/>
          </w:tcPr>
          <w:p>
            <w:pPr>
              <w:spacing w:line="400" w:lineRule="exact"/>
              <w:jc w:val="center"/>
              <w:rPr>
                <w:rFonts w:asciiTheme="minorEastAsia" w:hAnsiTheme="minorEastAsia" w:cstheme="minorEastAsia"/>
                <w:bCs/>
              </w:rPr>
            </w:pPr>
          </w:p>
        </w:tc>
        <w:tc>
          <w:tcPr>
            <w:tcW w:w="1399" w:type="dxa"/>
            <w:vAlign w:val="center"/>
          </w:tcPr>
          <w:p>
            <w:pPr>
              <w:spacing w:line="400" w:lineRule="exact"/>
              <w:jc w:val="center"/>
              <w:rPr>
                <w:rFonts w:asciiTheme="minorEastAsia" w:hAnsiTheme="minorEastAsia" w:cstheme="minorEastAsia"/>
                <w:bCs/>
              </w:rPr>
            </w:pPr>
          </w:p>
        </w:tc>
        <w:tc>
          <w:tcPr>
            <w:tcW w:w="1485" w:type="dxa"/>
            <w:vAlign w:val="center"/>
          </w:tcPr>
          <w:p>
            <w:pPr>
              <w:spacing w:line="400" w:lineRule="exact"/>
              <w:jc w:val="center"/>
              <w:rPr>
                <w:rFonts w:asciiTheme="minorEastAsia" w:hAnsiTheme="minorEastAsia" w:cstheme="minorEastAsia"/>
                <w:bCs/>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rPr>
            </w:pPr>
          </w:p>
        </w:tc>
        <w:tc>
          <w:tcPr>
            <w:tcW w:w="1399" w:type="dxa"/>
            <w:vAlign w:val="center"/>
          </w:tcPr>
          <w:p>
            <w:pPr>
              <w:spacing w:line="400" w:lineRule="exact"/>
              <w:jc w:val="center"/>
              <w:rPr>
                <w:rFonts w:asciiTheme="minorEastAsia" w:hAnsiTheme="minorEastAsia" w:cstheme="minorEastAsia"/>
                <w:bCs/>
              </w:rPr>
            </w:pPr>
          </w:p>
        </w:tc>
        <w:tc>
          <w:tcPr>
            <w:tcW w:w="1485" w:type="dxa"/>
            <w:vAlign w:val="center"/>
          </w:tcPr>
          <w:p>
            <w:pPr>
              <w:spacing w:line="400" w:lineRule="exact"/>
              <w:jc w:val="center"/>
              <w:rPr>
                <w:rFonts w:asciiTheme="minorEastAsia" w:hAnsiTheme="minorEastAsia" w:cstheme="minorEastAsia"/>
                <w:bCs/>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rPr>
            </w:pPr>
          </w:p>
        </w:tc>
        <w:tc>
          <w:tcPr>
            <w:tcW w:w="1096" w:type="dxa"/>
            <w:tcBorders>
              <w:left w:val="single" w:color="auto" w:sz="4" w:space="0"/>
            </w:tcBorders>
            <w:vAlign w:val="center"/>
          </w:tcPr>
          <w:p>
            <w:pPr>
              <w:spacing w:line="400" w:lineRule="exact"/>
              <w:rPr>
                <w:rFonts w:asciiTheme="minorEastAsia" w:hAnsi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rPr>
            </w:pPr>
          </w:p>
        </w:tc>
        <w:tc>
          <w:tcPr>
            <w:tcW w:w="1508" w:type="dxa"/>
            <w:vAlign w:val="center"/>
          </w:tcPr>
          <w:p>
            <w:pPr>
              <w:spacing w:line="400" w:lineRule="exact"/>
              <w:rPr>
                <w:rFonts w:asciiTheme="minorEastAsia" w:hAnsiTheme="minorEastAsia" w:cstheme="minorEastAsia"/>
                <w:bCs/>
              </w:rPr>
            </w:pPr>
          </w:p>
        </w:tc>
        <w:tc>
          <w:tcPr>
            <w:tcW w:w="1382" w:type="dxa"/>
            <w:vAlign w:val="center"/>
          </w:tcPr>
          <w:p>
            <w:pPr>
              <w:spacing w:line="400" w:lineRule="exact"/>
              <w:rPr>
                <w:rFonts w:asciiTheme="minorEastAsia" w:hAnsiTheme="minorEastAsia" w:cstheme="minorEastAsia"/>
                <w:bCs/>
              </w:rPr>
            </w:pPr>
          </w:p>
        </w:tc>
        <w:tc>
          <w:tcPr>
            <w:tcW w:w="1399" w:type="dxa"/>
            <w:vAlign w:val="center"/>
          </w:tcPr>
          <w:p>
            <w:pPr>
              <w:spacing w:line="400" w:lineRule="exact"/>
              <w:rPr>
                <w:rFonts w:asciiTheme="minorEastAsia" w:hAnsiTheme="minorEastAsia" w:cstheme="minorEastAsia"/>
                <w:bCs/>
              </w:rPr>
            </w:pPr>
          </w:p>
        </w:tc>
        <w:tc>
          <w:tcPr>
            <w:tcW w:w="1485" w:type="dxa"/>
            <w:tcBorders>
              <w:right w:val="single" w:color="auto" w:sz="4" w:space="0"/>
            </w:tcBorders>
            <w:vAlign w:val="center"/>
          </w:tcPr>
          <w:p>
            <w:pPr>
              <w:spacing w:line="400" w:lineRule="exact"/>
              <w:rPr>
                <w:rFonts w:asciiTheme="minorEastAsia" w:hAnsiTheme="minorEastAsia" w:cstheme="minorEastAsia"/>
                <w:bCs/>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rPr>
            </w:pPr>
          </w:p>
        </w:tc>
        <w:tc>
          <w:tcPr>
            <w:tcW w:w="1096" w:type="dxa"/>
            <w:tcBorders>
              <w:left w:val="single" w:color="auto" w:sz="4" w:space="0"/>
            </w:tcBorders>
            <w:vAlign w:val="center"/>
          </w:tcPr>
          <w:p>
            <w:pPr>
              <w:spacing w:line="400" w:lineRule="exact"/>
              <w:rPr>
                <w:rFonts w:asciiTheme="minorEastAsia" w:hAnsi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rPr>
            </w:pPr>
          </w:p>
        </w:tc>
        <w:tc>
          <w:tcPr>
            <w:tcW w:w="1508" w:type="dxa"/>
            <w:vAlign w:val="center"/>
          </w:tcPr>
          <w:p>
            <w:pPr>
              <w:spacing w:line="400" w:lineRule="exact"/>
              <w:jc w:val="center"/>
              <w:rPr>
                <w:rFonts w:asciiTheme="minorEastAsia" w:hAnsiTheme="minorEastAsia" w:cstheme="minorEastAsia"/>
                <w:bCs/>
              </w:rPr>
            </w:pPr>
          </w:p>
        </w:tc>
        <w:tc>
          <w:tcPr>
            <w:tcW w:w="1382" w:type="dxa"/>
            <w:vAlign w:val="center"/>
          </w:tcPr>
          <w:p>
            <w:pPr>
              <w:spacing w:line="400" w:lineRule="exact"/>
              <w:jc w:val="center"/>
              <w:rPr>
                <w:rFonts w:asciiTheme="minorEastAsia" w:hAnsiTheme="minorEastAsia" w:cstheme="minorEastAsia"/>
                <w:bCs/>
              </w:rPr>
            </w:pPr>
          </w:p>
        </w:tc>
        <w:tc>
          <w:tcPr>
            <w:tcW w:w="1399" w:type="dxa"/>
            <w:vAlign w:val="center"/>
          </w:tcPr>
          <w:p>
            <w:pPr>
              <w:spacing w:line="400" w:lineRule="exact"/>
              <w:jc w:val="center"/>
              <w:rPr>
                <w:rFonts w:asciiTheme="minorEastAsia" w:hAnsiTheme="minorEastAsia" w:cstheme="minorEastAsia"/>
                <w:bCs/>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rPr>
      </w:pPr>
      <w:r>
        <w:rPr>
          <w:rFonts w:hint="eastAsia" w:asciiTheme="minorEastAsia" w:hAnsiTheme="minorEastAsia" w:cstheme="minorEastAsia"/>
        </w:rPr>
        <w:t xml:space="preserve"> 注：供应商（仅限于供应商自己实施的）以上业绩需提供合同资料复印件加盖公章。</w:t>
      </w:r>
    </w:p>
    <w:p>
      <w:pPr>
        <w:spacing w:line="360" w:lineRule="auto"/>
        <w:rPr>
          <w:rFonts w:asciiTheme="minorEastAsia" w:hAnsiTheme="minorEastAsia" w:cstheme="minorEastAsia"/>
        </w:rPr>
      </w:pPr>
    </w:p>
    <w:p>
      <w:pPr>
        <w:adjustRightInd w:val="0"/>
        <w:spacing w:line="600" w:lineRule="auto"/>
        <w:rPr>
          <w:rFonts w:asciiTheme="minorEastAsia" w:hAnsiTheme="minorEastAsia" w:cstheme="minorEastAsia"/>
          <w:bCs/>
          <w:u w:val="single"/>
        </w:rPr>
      </w:pPr>
      <w:r>
        <w:rPr>
          <w:rFonts w:hint="eastAsia" w:asciiTheme="minorEastAsia" w:hAnsiTheme="minorEastAsia" w:cstheme="minorEastAsia"/>
          <w:bCs/>
        </w:rPr>
        <w:t>供应商名称：</w:t>
      </w:r>
      <w:r>
        <w:rPr>
          <w:rFonts w:hint="eastAsia" w:asciiTheme="minorEastAsia" w:hAnsiTheme="minorEastAsia" w:cstheme="minorEastAsia"/>
          <w:bCs/>
          <w:u w:val="single"/>
        </w:rPr>
        <w:t xml:space="preserve">              （全称及公章）</w:t>
      </w:r>
    </w:p>
    <w:p>
      <w:pPr>
        <w:adjustRightInd w:val="0"/>
        <w:snapToGrid w:val="0"/>
        <w:spacing w:line="600" w:lineRule="auto"/>
        <w:rPr>
          <w:rFonts w:asciiTheme="minorEastAsia" w:hAnsiTheme="minorEastAsia" w:cstheme="minorEastAsia"/>
        </w:rPr>
      </w:pPr>
      <w:r>
        <w:rPr>
          <w:rFonts w:hint="eastAsia" w:asciiTheme="minorEastAsia" w:hAnsiTheme="minorEastAsia" w:cstheme="minorEastAsia"/>
        </w:rPr>
        <w:t>法定代表人或被授权人（签字或盖章）：</w:t>
      </w:r>
    </w:p>
    <w:p>
      <w:pPr>
        <w:adjustRightInd w:val="0"/>
        <w:snapToGrid w:val="0"/>
        <w:spacing w:line="600" w:lineRule="auto"/>
        <w:rPr>
          <w:rFonts w:asciiTheme="minorEastAsia" w:hAnsiTheme="minorEastAsia" w:cstheme="minorEastAsia"/>
          <w:sz w:val="36"/>
          <w:szCs w:val="36"/>
        </w:rPr>
      </w:pPr>
      <w:r>
        <w:rPr>
          <w:rFonts w:hint="eastAsia" w:asciiTheme="minorEastAsia" w:hAnsiTheme="minorEastAsia" w:cstheme="minorEastAsia"/>
          <w:bCs/>
        </w:rPr>
        <w:t xml:space="preserve">日    </w:t>
      </w:r>
      <w:r>
        <w:rPr>
          <w:rFonts w:hint="eastAsia" w:asciiTheme="minorEastAsia" w:hAnsiTheme="minorEastAsia" w:cstheme="minorEastAsia"/>
        </w:rPr>
        <w:t xml:space="preserve">期:                   </w:t>
      </w:r>
      <w:bookmarkEnd w:id="126"/>
      <w:bookmarkEnd w:id="127"/>
      <w:bookmarkEnd w:id="128"/>
      <w:bookmarkEnd w:id="129"/>
    </w:p>
    <w:p>
      <w:r>
        <w:br w:type="page"/>
      </w:r>
    </w:p>
    <w:p>
      <w:pPr>
        <w:pStyle w:val="3"/>
        <w:ind w:firstLine="657"/>
        <w:rPr>
          <w:rFonts w:ascii="宋体" w:hAnsi="宋体" w:eastAsia="宋体" w:cs="宋体"/>
        </w:rPr>
      </w:pPr>
      <w:bookmarkStart w:id="130" w:name="_Toc12344"/>
      <w:bookmarkStart w:id="131" w:name="_Toc22400"/>
      <w:bookmarkStart w:id="132" w:name="_Toc9666"/>
      <w:bookmarkStart w:id="133" w:name="_Toc29034"/>
      <w:bookmarkStart w:id="134" w:name="_Toc18894"/>
      <w:bookmarkStart w:id="135" w:name="_Toc4431"/>
      <w:bookmarkStart w:id="136" w:name="_Toc23432"/>
      <w:r>
        <w:rPr>
          <w:rFonts w:hint="eastAsia" w:ascii="宋体" w:hAnsi="宋体" w:eastAsia="宋体" w:cs="宋体"/>
        </w:rPr>
        <w:t>第</w:t>
      </w:r>
      <w:r>
        <w:rPr>
          <w:rFonts w:hint="eastAsia" w:ascii="宋体" w:hAnsi="宋体" w:eastAsia="宋体" w:cs="宋体"/>
          <w:lang w:eastAsia="zh-CN"/>
        </w:rPr>
        <w:t>八</w:t>
      </w:r>
      <w:r>
        <w:rPr>
          <w:rFonts w:hint="eastAsia" w:ascii="宋体" w:hAnsi="宋体" w:eastAsia="宋体" w:cs="宋体"/>
        </w:rPr>
        <w:t>部分  供应商认为有必要说明的其他问题</w:t>
      </w:r>
      <w:bookmarkEnd w:id="130"/>
      <w:bookmarkEnd w:id="131"/>
      <w:bookmarkEnd w:id="132"/>
      <w:bookmarkEnd w:id="133"/>
      <w:bookmarkEnd w:id="134"/>
      <w:bookmarkEnd w:id="135"/>
      <w:bookmarkEnd w:id="136"/>
    </w:p>
    <w:p>
      <w:pPr>
        <w:rPr>
          <w:rFonts w:asciiTheme="minorEastAsia" w:hAnsiTheme="minorEastAsia" w:cstheme="minorEastAsia"/>
        </w:rPr>
      </w:pPr>
    </w:p>
    <w:p>
      <w:pPr>
        <w:rPr>
          <w:rFonts w:asciiTheme="minorEastAsia" w:hAnsiTheme="minorEastAsia" w:cstheme="minorEastAsia"/>
        </w:rPr>
      </w:pPr>
      <w:r>
        <w:rPr>
          <w:rFonts w:hint="eastAsia" w:asciiTheme="minorEastAsia" w:hAnsiTheme="minorEastAsia" w:cstheme="minorEastAsia"/>
        </w:rPr>
        <w:t>供应商认为有必要提供的其他证明文件</w:t>
      </w:r>
    </w:p>
    <w:p>
      <w:pPr>
        <w:rPr>
          <w:rFonts w:hint="eastAsia" w:asciiTheme="minorEastAsia" w:hAnsiTheme="minorEastAsia" w:cstheme="minorEastAsia"/>
        </w:rPr>
      </w:pPr>
      <w:bookmarkStart w:id="137" w:name="_Toc22866"/>
      <w:bookmarkStart w:id="138" w:name="_Toc20129"/>
      <w:bookmarkStart w:id="139" w:name="_Toc8177"/>
      <w:bookmarkStart w:id="140" w:name="_Toc22501"/>
      <w:bookmarkStart w:id="141" w:name="_Toc9607"/>
      <w:bookmarkStart w:id="142" w:name="_Toc7273"/>
      <w:r>
        <w:rPr>
          <w:rFonts w:hint="eastAsia" w:asciiTheme="minorEastAsia" w:hAnsiTheme="minorEastAsia" w:cstheme="minorEastAsia"/>
        </w:rPr>
        <w:br w:type="page"/>
      </w:r>
    </w:p>
    <w:p>
      <w:pPr>
        <w:adjustRightInd w:val="0"/>
        <w:spacing w:line="416" w:lineRule="atLeast"/>
        <w:jc w:val="center"/>
        <w:textAlignment w:val="baseline"/>
        <w:rPr>
          <w:rFonts w:asciiTheme="minorEastAsia" w:hAnsiTheme="minorEastAsia" w:cstheme="minorEastAsia"/>
        </w:rPr>
      </w:pPr>
      <w:r>
        <w:rPr>
          <w:rFonts w:hint="eastAsia" w:asciiTheme="minorEastAsia" w:hAnsiTheme="minorEastAsia" w:cstheme="minorEastAsia"/>
        </w:rPr>
        <w:t>附件一、中小企业申明</w:t>
      </w:r>
      <w:bookmarkEnd w:id="137"/>
      <w:bookmarkEnd w:id="138"/>
      <w:bookmarkEnd w:id="139"/>
      <w:bookmarkEnd w:id="140"/>
      <w:bookmarkEnd w:id="141"/>
      <w:bookmarkEnd w:id="142"/>
    </w:p>
    <w:p>
      <w:pPr>
        <w:rPr>
          <w:rFonts w:asciiTheme="minorEastAsia" w:hAnsiTheme="minorEastAsia" w:cstheme="minorEastAsia"/>
        </w:rPr>
      </w:pPr>
    </w:p>
    <w:p>
      <w:pPr>
        <w:spacing w:line="588" w:lineRule="exact"/>
        <w:ind w:firstLine="520" w:firstLineChars="200"/>
        <w:rPr>
          <w:rFonts w:ascii="宋体" w:hAnsi="宋体"/>
          <w:spacing w:val="6"/>
        </w:rPr>
      </w:pPr>
      <w:bookmarkStart w:id="143" w:name="_Toc3198"/>
      <w:bookmarkStart w:id="144" w:name="_Toc11130"/>
      <w:bookmarkStart w:id="145" w:name="_Toc30503"/>
      <w:bookmarkStart w:id="146" w:name="_Toc15467"/>
      <w:bookmarkStart w:id="147" w:name="_Toc11556"/>
      <w:r>
        <w:rPr>
          <w:rFonts w:hint="eastAsia" w:ascii="宋体" w:hAnsi="宋体"/>
          <w:spacing w:val="6"/>
        </w:rPr>
        <w:t>根据《政府采购促进中小企业发展管理办法》（财库[2020]46号）的规定，由供应商自行声明并对真实性负责。如有虚假，将依法承担相应责任。</w:t>
      </w:r>
    </w:p>
    <w:p>
      <w:pPr>
        <w:spacing w:line="312" w:lineRule="auto"/>
        <w:jc w:val="center"/>
        <w:rPr>
          <w:rFonts w:ascii="仿宋_GB2312" w:eastAsia="仿宋_GB2312"/>
          <w:b/>
          <w:spacing w:val="6"/>
        </w:rPr>
      </w:pPr>
      <w:r>
        <w:rPr>
          <w:rFonts w:hint="eastAsia" w:ascii="宋体" w:hAnsi="宋体"/>
          <w:b/>
          <w:spacing w:val="6"/>
        </w:rPr>
        <w:t>中小企业声明函</w:t>
      </w:r>
    </w:p>
    <w:p>
      <w:pPr>
        <w:pStyle w:val="28"/>
        <w:shd w:val="clear" w:color="auto" w:fill="FCFCFC"/>
        <w:spacing w:before="0" w:beforeAutospacing="0" w:after="0" w:afterAutospacing="0" w:line="510" w:lineRule="atLeast"/>
        <w:ind w:firstLine="480"/>
        <w:rPr>
          <w:spacing w:val="8"/>
        </w:rPr>
      </w:pPr>
      <w:r>
        <w:rPr>
          <w:rFonts w:hint="eastAsia"/>
          <w:spacing w:val="8"/>
        </w:rPr>
        <w:t>本公司郑重声明，根据《政府采购促进中小企业发展管理办法》（财库﹝2020﹞46 号）的规定，本公司参加</w:t>
      </w:r>
      <w:r>
        <w:rPr>
          <w:rFonts w:hint="eastAsia"/>
          <w:spacing w:val="8"/>
          <w:u w:val="single"/>
        </w:rPr>
        <w:t>（单位名称）</w:t>
      </w:r>
      <w:r>
        <w:rPr>
          <w:rFonts w:hint="eastAsia"/>
          <w:spacing w:val="8"/>
        </w:rPr>
        <w:t>的</w:t>
      </w:r>
      <w:r>
        <w:rPr>
          <w:rFonts w:hint="eastAsia"/>
          <w:spacing w:val="8"/>
          <w:u w:val="single"/>
        </w:rPr>
        <w:t>（项目名称）</w:t>
      </w:r>
      <w:r>
        <w:rPr>
          <w:rFonts w:hint="eastAsia"/>
          <w:spacing w:val="8"/>
        </w:rPr>
        <w:t>采购活动，服务全部由符合政策要求的中小企业承接。相关企业的具体情况如下：</w:t>
      </w:r>
    </w:p>
    <w:p>
      <w:pPr>
        <w:pStyle w:val="28"/>
        <w:shd w:val="clear" w:color="auto" w:fill="FCFCFC"/>
        <w:spacing w:before="0" w:beforeAutospacing="0" w:after="0" w:afterAutospacing="0" w:line="510" w:lineRule="atLeast"/>
        <w:ind w:firstLine="480"/>
        <w:rPr>
          <w:spacing w:val="8"/>
        </w:rPr>
      </w:pPr>
      <w:r>
        <w:rPr>
          <w:rFonts w:hint="eastAsia"/>
          <w:spacing w:val="8"/>
        </w:rPr>
        <w:t>1.</w:t>
      </w:r>
      <w:r>
        <w:rPr>
          <w:rFonts w:hint="eastAsia"/>
          <w:spacing w:val="8"/>
          <w:u w:val="single"/>
        </w:rPr>
        <w:t>（标的名称）</w:t>
      </w:r>
      <w:r>
        <w:rPr>
          <w:rFonts w:hint="eastAsia"/>
          <w:spacing w:val="8"/>
        </w:rPr>
        <w:t> ，属于</w:t>
      </w:r>
      <w:r>
        <w:rPr>
          <w:rFonts w:hint="eastAsia"/>
          <w:spacing w:val="8"/>
          <w:u w:val="single"/>
        </w:rPr>
        <w:t>（采购内容所属行业）</w:t>
      </w:r>
      <w:r>
        <w:rPr>
          <w:rFonts w:hint="eastAsia"/>
          <w:spacing w:val="8"/>
        </w:rPr>
        <w:t>；承接企业为</w:t>
      </w:r>
      <w:r>
        <w:rPr>
          <w:rFonts w:hint="eastAsia"/>
          <w:spacing w:val="8"/>
          <w:u w:val="single"/>
        </w:rPr>
        <w:t>（企业名称）</w:t>
      </w:r>
      <w:r>
        <w:rPr>
          <w:rFonts w:hint="eastAsia"/>
          <w:spacing w:val="8"/>
        </w:rPr>
        <w:t>，从业人员</w:t>
      </w:r>
      <w:r>
        <w:rPr>
          <w:rFonts w:hint="eastAsia"/>
          <w:spacing w:val="8"/>
          <w:u w:val="single"/>
        </w:rPr>
        <w:t xml:space="preserve">   </w:t>
      </w:r>
      <w:r>
        <w:rPr>
          <w:rFonts w:hint="eastAsia"/>
          <w:spacing w:val="8"/>
        </w:rPr>
        <w:t>人，营业收入为</w:t>
      </w:r>
      <w:r>
        <w:rPr>
          <w:rFonts w:hint="eastAsia"/>
          <w:spacing w:val="8"/>
          <w:u w:val="single"/>
        </w:rPr>
        <w:t xml:space="preserve">   </w:t>
      </w:r>
      <w:r>
        <w:rPr>
          <w:rFonts w:hint="eastAsia"/>
          <w:spacing w:val="8"/>
        </w:rPr>
        <w:t>万元，资产总额为</w:t>
      </w:r>
      <w:r>
        <w:rPr>
          <w:rFonts w:hint="eastAsia"/>
          <w:spacing w:val="8"/>
          <w:u w:val="single"/>
        </w:rPr>
        <w:t xml:space="preserve">   </w:t>
      </w:r>
      <w:r>
        <w:rPr>
          <w:rFonts w:hint="eastAsia"/>
          <w:spacing w:val="8"/>
        </w:rPr>
        <w:t>万元，属于</w:t>
      </w:r>
      <w:r>
        <w:rPr>
          <w:rFonts w:hint="eastAsia"/>
          <w:spacing w:val="8"/>
          <w:u w:val="single"/>
        </w:rPr>
        <w:t>（中型企业、小型企业、微型企业）</w:t>
      </w:r>
      <w:r>
        <w:rPr>
          <w:rFonts w:hint="eastAsia"/>
          <w:spacing w:val="8"/>
        </w:rPr>
        <w:t>；</w:t>
      </w:r>
    </w:p>
    <w:p>
      <w:pPr>
        <w:pStyle w:val="28"/>
        <w:shd w:val="clear" w:color="auto" w:fill="FCFCFC"/>
        <w:spacing w:before="0" w:beforeAutospacing="0" w:after="0" w:afterAutospacing="0" w:line="510" w:lineRule="atLeast"/>
        <w:ind w:firstLine="480"/>
        <w:rPr>
          <w:spacing w:val="8"/>
        </w:rPr>
      </w:pPr>
      <w:r>
        <w:rPr>
          <w:rFonts w:hint="eastAsia"/>
          <w:spacing w:val="8"/>
        </w:rPr>
        <w:t>2.</w:t>
      </w:r>
      <w:r>
        <w:rPr>
          <w:rFonts w:hint="eastAsia"/>
          <w:spacing w:val="8"/>
          <w:u w:val="single"/>
        </w:rPr>
        <w:t>（标的名称）</w:t>
      </w:r>
      <w:r>
        <w:rPr>
          <w:rFonts w:hint="eastAsia"/>
          <w:spacing w:val="8"/>
        </w:rPr>
        <w:t> ，属于</w:t>
      </w:r>
      <w:r>
        <w:rPr>
          <w:rFonts w:hint="eastAsia"/>
          <w:spacing w:val="8"/>
          <w:u w:val="single"/>
        </w:rPr>
        <w:t>（采购内容所属行业）</w:t>
      </w:r>
      <w:r>
        <w:rPr>
          <w:rFonts w:hint="eastAsia"/>
          <w:spacing w:val="8"/>
        </w:rPr>
        <w:t>；承建（承接）企业为</w:t>
      </w:r>
      <w:r>
        <w:rPr>
          <w:rFonts w:hint="eastAsia"/>
          <w:spacing w:val="8"/>
          <w:u w:val="single"/>
        </w:rPr>
        <w:t>（企业名称）</w:t>
      </w:r>
      <w:r>
        <w:rPr>
          <w:rFonts w:hint="eastAsia"/>
          <w:spacing w:val="8"/>
        </w:rPr>
        <w:t>，从业人员人，营业收入为万元，资产总额为万元，属于</w:t>
      </w:r>
      <w:r>
        <w:rPr>
          <w:rFonts w:hint="eastAsia"/>
          <w:spacing w:val="8"/>
          <w:u w:val="single"/>
        </w:rPr>
        <w:t>（中型企业、小型企业、微型企业）</w:t>
      </w:r>
      <w:r>
        <w:rPr>
          <w:rFonts w:hint="eastAsia"/>
          <w:spacing w:val="8"/>
        </w:rPr>
        <w:t>；</w:t>
      </w:r>
    </w:p>
    <w:p>
      <w:pPr>
        <w:pStyle w:val="28"/>
        <w:shd w:val="clear" w:color="auto" w:fill="FCFCFC"/>
        <w:spacing w:before="0" w:beforeAutospacing="0" w:after="0" w:afterAutospacing="0" w:line="510" w:lineRule="atLeast"/>
        <w:ind w:firstLine="480"/>
        <w:rPr>
          <w:spacing w:val="8"/>
        </w:rPr>
      </w:pPr>
      <w:r>
        <w:rPr>
          <w:rFonts w:hint="eastAsia"/>
          <w:spacing w:val="8"/>
        </w:rPr>
        <w:t>……</w:t>
      </w:r>
    </w:p>
    <w:p>
      <w:pPr>
        <w:pStyle w:val="28"/>
        <w:shd w:val="clear" w:color="auto" w:fill="FCFCFC"/>
        <w:spacing w:before="0" w:beforeAutospacing="0" w:after="0" w:afterAutospacing="0" w:line="510" w:lineRule="atLeast"/>
        <w:ind w:firstLine="480"/>
        <w:rPr>
          <w:spacing w:val="8"/>
        </w:rPr>
      </w:pPr>
      <w:r>
        <w:rPr>
          <w:rFonts w:hint="eastAsia"/>
          <w:spacing w:val="8"/>
        </w:rPr>
        <w:t>以上企业，不属于大企业的分支机构，不存在控股股东为大企业的情形，也不存在与大企业的负责人为同一人的情形。</w:t>
      </w:r>
    </w:p>
    <w:p>
      <w:pPr>
        <w:pStyle w:val="28"/>
        <w:shd w:val="clear" w:color="auto" w:fill="FCFCFC"/>
        <w:spacing w:before="0" w:beforeAutospacing="0" w:after="0" w:afterAutospacing="0" w:line="510" w:lineRule="atLeast"/>
        <w:ind w:firstLine="480"/>
        <w:rPr>
          <w:spacing w:val="8"/>
        </w:rPr>
      </w:pPr>
      <w:r>
        <w:rPr>
          <w:rFonts w:hint="eastAsia"/>
          <w:spacing w:val="8"/>
        </w:rPr>
        <w:t>本企业对上述声明内容的真实性负责。如有虚假，将依法承担相应责任。</w:t>
      </w:r>
    </w:p>
    <w:p>
      <w:pPr>
        <w:pStyle w:val="16"/>
        <w:spacing w:line="312" w:lineRule="auto"/>
        <w:ind w:right="372" w:firstLine="645"/>
        <w:rPr>
          <w:rFonts w:hint="default" w:ascii="宋体" w:hAnsi="宋体" w:eastAsiaTheme="minorEastAsia"/>
          <w:b/>
          <w:bCs/>
          <w:spacing w:val="6"/>
          <w:sz w:val="24"/>
          <w:lang w:val="en-US" w:eastAsia="zh-CN"/>
        </w:rPr>
      </w:pPr>
      <w:r>
        <w:rPr>
          <w:rFonts w:hint="eastAsia" w:ascii="宋体" w:hAnsi="宋体"/>
          <w:b/>
          <w:bCs/>
          <w:spacing w:val="6"/>
          <w:sz w:val="24"/>
          <w:lang w:val="en-US" w:eastAsia="zh-CN"/>
        </w:rPr>
        <w:t>所属行业：零售业。</w:t>
      </w:r>
    </w:p>
    <w:p>
      <w:pPr>
        <w:spacing w:line="312" w:lineRule="auto"/>
        <w:rPr>
          <w:rFonts w:ascii="宋体" w:hAnsi="宋体"/>
          <w:spacing w:val="6"/>
        </w:rPr>
      </w:pPr>
      <w:r>
        <w:rPr>
          <w:rFonts w:hint="eastAsia" w:ascii="宋体" w:hAnsi="宋体"/>
          <w:spacing w:val="6"/>
        </w:rPr>
        <w:t>企业名称（盖章）：</w:t>
      </w:r>
    </w:p>
    <w:p>
      <w:pPr>
        <w:spacing w:line="312" w:lineRule="auto"/>
        <w:rPr>
          <w:rFonts w:ascii="宋体" w:hAnsi="宋体" w:cs="宋体"/>
          <w:spacing w:val="6"/>
        </w:rPr>
        <w:sectPr>
          <w:headerReference r:id="rId13" w:type="default"/>
          <w:footerReference r:id="rId14" w:type="default"/>
          <w:pgSz w:w="11906" w:h="16838"/>
          <w:pgMar w:top="1440" w:right="1803" w:bottom="1440" w:left="1803" w:header="850" w:footer="992" w:gutter="0"/>
          <w:pgNumType w:fmt="decimal"/>
          <w:cols w:space="0" w:num="1"/>
          <w:titlePg/>
          <w:docGrid w:type="linesAndChars" w:linePitch="395" w:charSpace="1724"/>
        </w:sectPr>
      </w:pPr>
      <w:r>
        <w:rPr>
          <w:rFonts w:hint="eastAsia" w:ascii="宋体" w:hAnsi="宋体"/>
          <w:spacing w:val="6"/>
        </w:rPr>
        <w:t>日期：</w:t>
      </w:r>
    </w:p>
    <w:bookmarkEnd w:id="143"/>
    <w:bookmarkEnd w:id="144"/>
    <w:bookmarkEnd w:id="145"/>
    <w:bookmarkEnd w:id="146"/>
    <w:bookmarkEnd w:id="147"/>
    <w:p>
      <w:pPr>
        <w:adjustRightInd w:val="0"/>
        <w:spacing w:line="416" w:lineRule="atLeast"/>
        <w:jc w:val="center"/>
        <w:textAlignment w:val="baseline"/>
        <w:rPr>
          <w:rFonts w:asciiTheme="minorEastAsia" w:hAnsiTheme="minorEastAsia" w:cstheme="minorEastAsia"/>
        </w:rPr>
      </w:pPr>
      <w:bookmarkStart w:id="148" w:name="_Toc21466"/>
      <w:bookmarkStart w:id="149" w:name="_Toc14587"/>
      <w:bookmarkStart w:id="150" w:name="_Toc21174"/>
      <w:r>
        <w:rPr>
          <w:rFonts w:hint="eastAsia" w:asciiTheme="minorEastAsia" w:hAnsiTheme="minorEastAsia" w:cstheme="minorEastAsia"/>
        </w:rPr>
        <w:t>附件二、残疾人福利性单位声明</w:t>
      </w:r>
      <w:bookmarkEnd w:id="148"/>
      <w:bookmarkEnd w:id="149"/>
      <w:bookmarkEnd w:id="150"/>
    </w:p>
    <w:p>
      <w:pPr>
        <w:spacing w:line="588" w:lineRule="exact"/>
        <w:ind w:firstLine="504" w:firstLineChars="200"/>
        <w:rPr>
          <w:rFonts w:ascii="宋体" w:hAnsi="宋体" w:cs="宋体"/>
          <w:spacing w:val="6"/>
        </w:rPr>
      </w:pPr>
      <w:r>
        <w:rPr>
          <w:rFonts w:hint="eastAsia" w:ascii="宋体" w:hAnsi="宋体" w:cs="宋体"/>
          <w:spacing w:val="6"/>
        </w:rPr>
        <w:t>根据《三部门联合发布关于促进残疾人就业政府采购政策的通知》（财库〔2017〕141号）的规定，由供应商自行申明，并对申明真实性负责。如有虚假，将依法承担相应责任。</w:t>
      </w:r>
    </w:p>
    <w:p>
      <w:pPr>
        <w:rPr>
          <w:rFonts w:ascii="宋体" w:hAnsi="宋体" w:cs="宋体"/>
        </w:rPr>
      </w:pPr>
    </w:p>
    <w:p>
      <w:pPr>
        <w:adjustRightInd w:val="0"/>
        <w:spacing w:line="416" w:lineRule="atLeast"/>
        <w:jc w:val="center"/>
        <w:textAlignment w:val="baseline"/>
        <w:rPr>
          <w:rFonts w:asciiTheme="minorEastAsia" w:hAnsiTheme="minorEastAsia" w:cstheme="minorEastAsia"/>
        </w:rPr>
      </w:pPr>
      <w:bookmarkStart w:id="151" w:name="_Toc26193"/>
      <w:bookmarkStart w:id="152" w:name="_Toc27385"/>
      <w:bookmarkStart w:id="153" w:name="_Toc13817"/>
      <w:bookmarkStart w:id="154" w:name="_Toc13075"/>
      <w:bookmarkStart w:id="155" w:name="_Toc2723"/>
      <w:bookmarkStart w:id="156" w:name="_Toc3053"/>
      <w:r>
        <w:rPr>
          <w:rFonts w:hint="eastAsia" w:asciiTheme="minorEastAsia" w:hAnsiTheme="minorEastAsia" w:cstheme="minorEastAsia"/>
        </w:rPr>
        <w:t>附件三、监狱企业证明文件</w:t>
      </w:r>
      <w:bookmarkEnd w:id="151"/>
      <w:bookmarkEnd w:id="152"/>
      <w:bookmarkEnd w:id="153"/>
      <w:bookmarkEnd w:id="154"/>
      <w:bookmarkEnd w:id="155"/>
      <w:bookmarkEnd w:id="156"/>
    </w:p>
    <w:p>
      <w:pPr>
        <w:rPr>
          <w:rFonts w:ascii="宋体" w:hAnsi="宋体" w:cs="宋体"/>
        </w:rPr>
      </w:pPr>
    </w:p>
    <w:p>
      <w:pPr>
        <w:snapToGrid w:val="0"/>
        <w:spacing w:line="480" w:lineRule="auto"/>
        <w:ind w:firstLine="504" w:firstLineChars="200"/>
        <w:rPr>
          <w:rFonts w:ascii="宋体" w:hAnsi="宋体" w:cs="宋体"/>
          <w:b/>
          <w:bCs/>
          <w:spacing w:val="48"/>
          <w:sz w:val="72"/>
          <w:szCs w:val="72"/>
        </w:rPr>
      </w:pPr>
      <w:r>
        <w:rPr>
          <w:rFonts w:hint="eastAsia" w:ascii="宋体" w:hAnsi="宋体" w:cs="宋体"/>
          <w:spacing w:val="6"/>
        </w:rPr>
        <w:t>说明：根据</w:t>
      </w:r>
      <w:r>
        <w:rPr>
          <w:rFonts w:hint="eastAsia" w:ascii="宋体" w:hAnsi="宋体" w:cs="宋体"/>
        </w:rPr>
        <w:t>《关于政府采购支持监狱企业发展有关问题的通知》（财库〔2014〕68号）的规定，监狱企业参加政府采购活动时，应当提供由省级以上监狱管理局、戒毒管理局（含新疆生产建设兵团）出具的属于监狱企业的证明文件。</w:t>
      </w:r>
    </w:p>
    <w:p>
      <w:pPr>
        <w:adjustRightInd w:val="0"/>
        <w:spacing w:line="416" w:lineRule="atLeast"/>
        <w:ind w:firstLine="2160" w:firstLineChars="900"/>
        <w:textAlignment w:val="baseline"/>
        <w:rPr>
          <w:rFonts w:asciiTheme="minorEastAsia" w:hAnsiTheme="minorEastAsia" w:cstheme="minorEastAsia"/>
        </w:rPr>
      </w:pPr>
      <w:bookmarkStart w:id="157" w:name="_Toc15754"/>
      <w:bookmarkStart w:id="158" w:name="_Toc13122"/>
      <w:bookmarkStart w:id="159" w:name="_Toc2126"/>
      <w:bookmarkStart w:id="160" w:name="_Toc18799"/>
      <w:bookmarkStart w:id="161" w:name="_Toc13303"/>
      <w:bookmarkStart w:id="162" w:name="_Toc563"/>
      <w:bookmarkStart w:id="163" w:name="_Toc11969"/>
      <w:bookmarkStart w:id="164" w:name="_Toc3267"/>
      <w:bookmarkStart w:id="165" w:name="_Toc23930"/>
      <w:bookmarkStart w:id="166" w:name="_Toc22654"/>
      <w:r>
        <w:rPr>
          <w:rFonts w:hint="eastAsia" w:asciiTheme="minorEastAsia" w:hAnsiTheme="minorEastAsia" w:cstheme="minorEastAsia"/>
        </w:rPr>
        <w:t>附件四、“节能产品”，“环境标志产品”证明材料</w:t>
      </w:r>
      <w:bookmarkEnd w:id="157"/>
      <w:bookmarkEnd w:id="158"/>
      <w:bookmarkEnd w:id="159"/>
      <w:bookmarkEnd w:id="160"/>
      <w:bookmarkEnd w:id="161"/>
      <w:bookmarkEnd w:id="162"/>
      <w:bookmarkEnd w:id="163"/>
      <w:bookmarkEnd w:id="164"/>
      <w:bookmarkEnd w:id="165"/>
      <w:bookmarkEnd w:id="166"/>
    </w:p>
    <w:p>
      <w:pPr>
        <w:spacing w:line="360" w:lineRule="auto"/>
        <w:ind w:firstLine="504" w:firstLineChars="200"/>
        <w:rPr>
          <w:rFonts w:ascii="宋体" w:hAnsi="宋体" w:cs="宋体"/>
          <w:spacing w:val="6"/>
        </w:rPr>
      </w:pPr>
      <w:r>
        <w:rPr>
          <w:rFonts w:hint="eastAsia" w:ascii="宋体" w:hAnsi="宋体" w:cs="宋体"/>
          <w:spacing w:val="6"/>
        </w:rPr>
        <w:t>1、供应商提供的产品属于下列情形，应按照磋商文件第三部分供应商须知总则第六款规定提供产品列入“节能产品品目清单”，“环境标志产品品目清单”相应产品的国家确定的认证机构出具的、处于有效期内的节能产品、环境标志产品认证证书。</w:t>
      </w:r>
    </w:p>
    <w:p>
      <w:pPr>
        <w:spacing w:line="360" w:lineRule="auto"/>
        <w:ind w:left="480" w:leftChars="200"/>
        <w:rPr>
          <w:rFonts w:ascii="宋体" w:hAnsi="宋体" w:cs="宋体"/>
        </w:rPr>
      </w:pPr>
      <w:r>
        <w:rPr>
          <w:rFonts w:hint="eastAsia" w:ascii="宋体" w:hAnsi="宋体" w:cs="宋体"/>
        </w:rPr>
        <w:t>2、未按照上述要求提供的，评审时不予以考虑。</w:t>
      </w:r>
    </w:p>
    <w:p>
      <w:pPr>
        <w:spacing w:line="360" w:lineRule="auto"/>
        <w:ind w:left="480" w:leftChars="200"/>
        <w:rPr>
          <w:rFonts w:ascii="宋体" w:hAnsi="宋体" w:cs="宋体"/>
        </w:rPr>
      </w:pPr>
    </w:p>
    <w:p>
      <w:pPr>
        <w:spacing w:line="360" w:lineRule="auto"/>
        <w:ind w:left="480" w:leftChars="200"/>
        <w:rPr>
          <w:rFonts w:asciiTheme="minorEastAsia" w:hAnsiTheme="minorEastAsia" w:cstheme="minorEastAsia"/>
        </w:rPr>
      </w:pPr>
    </w:p>
    <w:p>
      <w:pPr>
        <w:snapToGrid w:val="0"/>
        <w:spacing w:line="360" w:lineRule="auto"/>
        <w:ind w:firstLine="480" w:firstLineChars="200"/>
        <w:rPr>
          <w:rFonts w:asciiTheme="minorEastAsia" w:hAnsiTheme="minorEastAsia" w:cstheme="minorEastAsia"/>
        </w:rPr>
      </w:pPr>
    </w:p>
    <w:p>
      <w:pPr>
        <w:rPr>
          <w:rFonts w:asciiTheme="minorEastAsia" w:hAnsiTheme="minorEastAsia" w:cstheme="minorEastAsia"/>
        </w:rPr>
      </w:pPr>
      <w:bookmarkStart w:id="167" w:name="_Toc364"/>
      <w:bookmarkStart w:id="168" w:name="_Toc4757"/>
      <w:bookmarkStart w:id="169" w:name="_Toc654"/>
      <w:bookmarkStart w:id="170" w:name="_Toc3159"/>
      <w:bookmarkStart w:id="171" w:name="_Toc11924"/>
      <w:bookmarkStart w:id="172" w:name="_Toc5338"/>
      <w:r>
        <w:rPr>
          <w:rFonts w:hint="eastAsia" w:asciiTheme="minorEastAsia" w:hAnsiTheme="minorEastAsia" w:cstheme="minorEastAsia"/>
        </w:rPr>
        <w:br w:type="page"/>
      </w:r>
    </w:p>
    <w:bookmarkEnd w:id="167"/>
    <w:p>
      <w:pPr>
        <w:adjustRightInd w:val="0"/>
        <w:spacing w:line="416" w:lineRule="atLeast"/>
        <w:textAlignment w:val="baseline"/>
        <w:rPr>
          <w:rFonts w:asciiTheme="minorEastAsia" w:hAnsiTheme="minorEastAsia" w:cstheme="minorEastAsia"/>
          <w:sz w:val="22"/>
          <w:szCs w:val="22"/>
        </w:rPr>
      </w:pPr>
      <w:r>
        <w:rPr>
          <w:rFonts w:hint="eastAsia" w:asciiTheme="minorEastAsia" w:hAnsiTheme="minorEastAsia" w:cstheme="minorEastAsia"/>
          <w:sz w:val="22"/>
          <w:szCs w:val="22"/>
          <w:lang w:val="en-US" w:eastAsia="zh-CN"/>
        </w:rPr>
        <w:t>附件五、</w:t>
      </w:r>
      <w:r>
        <w:rPr>
          <w:rFonts w:hint="eastAsia" w:asciiTheme="minorEastAsia" w:hAnsiTheme="minorEastAsia" w:cstheme="minorEastAsia"/>
          <w:sz w:val="22"/>
          <w:szCs w:val="22"/>
        </w:rPr>
        <w:t>质疑函样本</w:t>
      </w:r>
    </w:p>
    <w:p>
      <w:pPr>
        <w:adjustRightInd w:val="0"/>
        <w:spacing w:line="416" w:lineRule="atLeast"/>
        <w:textAlignment w:val="baseline"/>
        <w:rPr>
          <w:rFonts w:asciiTheme="minorEastAsia" w:hAnsiTheme="minorEastAsia" w:cstheme="minorEastAsia"/>
          <w:bCs/>
          <w:sz w:val="22"/>
          <w:szCs w:val="22"/>
        </w:rPr>
      </w:pPr>
      <w:r>
        <w:rPr>
          <w:rFonts w:hint="eastAsia" w:asciiTheme="minorEastAsia" w:hAnsiTheme="minorEastAsia" w:cstheme="minorEastAsia"/>
          <w:bCs/>
          <w:sz w:val="22"/>
          <w:szCs w:val="22"/>
        </w:rPr>
        <w:t>一、质疑供应商基本信息</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质疑供应商：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地址：                          邮编：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联系人：                      联系电话：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授权代表：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联系电话：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地址：                         邮编：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二、质疑项目基本情况</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质疑项目的名称：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质疑项目的编号：               ：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采购人名称：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采购文件获取日期：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三、质疑事项具体内容</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质疑事项1：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事实依据：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法律依据：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质疑事项2</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四、与质疑事项相关的质疑请求</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请求：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签字(签章)：                   公章：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日期：    </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质疑函制作说明：</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1.供应商提出质疑时，应提交质疑函和必要的证明材料。</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3.质疑供应商若对项目的某一分包进行质疑，质疑函中应列明具体分。</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4.质疑函的质疑事项应具体、明确，并有必要的事实依据和法律依据。</w:t>
      </w:r>
    </w:p>
    <w:p>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5.质疑函的质疑请求应与质疑事项相关。</w:t>
      </w:r>
    </w:p>
    <w:p>
      <w:pPr>
        <w:rPr>
          <w:rFonts w:hint="eastAsia" w:asciiTheme="minorEastAsia" w:hAnsiTheme="minorEastAsia" w:cstheme="minorEastAsia"/>
          <w:bCs/>
        </w:rPr>
      </w:pPr>
      <w:r>
        <w:rPr>
          <w:rFonts w:hint="eastAsia" w:asciiTheme="minorEastAsia" w:hAnsiTheme="minorEastAsia" w:cstheme="minorEastAsia"/>
          <w:bCs/>
        </w:rPr>
        <w:t>6.质疑供应商为自然人的，质疑函应由本人签字；质疑供应商为法人或者其他组织的，质疑函应由法定代表人、主要负责人，或者其授权代表签字或者盖章，并加盖公章。</w:t>
      </w:r>
    </w:p>
    <w:p>
      <w:pPr>
        <w:rPr>
          <w:rFonts w:hint="eastAsia" w:asciiTheme="minorEastAsia" w:hAnsiTheme="minorEastAsia" w:cstheme="minorEastAsia"/>
          <w:bCs/>
        </w:rPr>
      </w:pPr>
      <w:r>
        <w:rPr>
          <w:rFonts w:hint="eastAsia" w:asciiTheme="minorEastAsia" w:hAnsiTheme="minorEastAsia" w:cstheme="minorEastAsia"/>
          <w:bCs/>
        </w:rPr>
        <w:br w:type="page"/>
      </w:r>
    </w:p>
    <w:p>
      <w:pPr>
        <w:pStyle w:val="3"/>
        <w:bidi w:val="0"/>
        <w:rPr>
          <w:rFonts w:hint="eastAsia" w:ascii="宋体" w:hAnsi="宋体" w:eastAsia="宋体" w:cs="宋体"/>
          <w:b/>
          <w:bCs/>
        </w:rPr>
      </w:pPr>
      <w:r>
        <w:rPr>
          <w:rFonts w:hint="eastAsia" w:ascii="宋体" w:hAnsi="宋体" w:eastAsia="宋体" w:cs="宋体"/>
          <w:b/>
          <w:bCs/>
        </w:rPr>
        <w:t>第</w:t>
      </w:r>
      <w:r>
        <w:rPr>
          <w:rFonts w:hint="eastAsia" w:ascii="宋体" w:hAnsi="宋体" w:eastAsia="宋体" w:cs="宋体"/>
          <w:b/>
          <w:bCs/>
          <w:lang w:eastAsia="zh-CN"/>
        </w:rPr>
        <w:t>九</w:t>
      </w:r>
      <w:r>
        <w:rPr>
          <w:rFonts w:hint="eastAsia" w:ascii="宋体" w:hAnsi="宋体" w:eastAsia="宋体" w:cs="宋体"/>
          <w:b/>
          <w:bCs/>
        </w:rPr>
        <w:t>部分  供应商参加政府采购活动承诺书</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b/>
          <w:bCs/>
          <w:sz w:val="24"/>
          <w:szCs w:val="24"/>
        </w:rPr>
        <w:t>未签署下列承诺书的，将被视为无效投标，其责任由供应商自行承担。</w:t>
      </w:r>
    </w:p>
    <w:p>
      <w:pPr>
        <w:bidi w:val="0"/>
        <w:jc w:val="center"/>
        <w:rPr>
          <w:rFonts w:hint="eastAsia"/>
        </w:rPr>
      </w:pPr>
      <w:r>
        <w:rPr>
          <w:rFonts w:hint="eastAsia"/>
        </w:rPr>
        <w:t>（一）质量安全责任承诺书</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为保证本采购项目顺利进行，作为投标供应商，现郑重承诺：</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1．我方所投产品的生产（包括设计、制造、安装、改造、维修等）、投入使用的材料等均完全符合国家现行质量、安全、环保标准和要求。</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2．我方将严格按照国家现行相关储存、运输、安装调试技术标准及规范、服务标准及规范、施工标准及规范，在规定的时限内，保质、保量完成项目全部内容，并向采购人交付合格产品。</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3．对于因产品生产质量以及储存、运输、安装调试、服务、施工等过程中产生的任何安全事故，我方承担全部责任。</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4．我方提供的货物、工程、服务等符合现行的国家、行业、地区、企业标准及要求，标准不一致的，以更为严格的为准，我方对提供的货物、工程、服务等的质量、安全、环保等承担全部责任。</w:t>
      </w:r>
    </w:p>
    <w:p>
      <w:pPr>
        <w:spacing w:line="560" w:lineRule="exact"/>
        <w:ind w:firstLine="480" w:firstLineChars="200"/>
        <w:jc w:val="both"/>
        <w:rPr>
          <w:rFonts w:hint="eastAsia" w:ascii="宋体" w:hAnsi="宋体" w:eastAsia="宋体" w:cs="宋体"/>
          <w:sz w:val="24"/>
          <w:szCs w:val="24"/>
        </w:rPr>
      </w:pPr>
    </w:p>
    <w:p>
      <w:pPr>
        <w:spacing w:line="560" w:lineRule="exact"/>
        <w:ind w:firstLine="2656" w:firstLineChars="1107"/>
        <w:jc w:val="both"/>
        <w:rPr>
          <w:rFonts w:hint="eastAsia" w:ascii="宋体" w:hAnsi="宋体" w:eastAsia="宋体" w:cs="宋体"/>
          <w:sz w:val="24"/>
          <w:szCs w:val="24"/>
        </w:rPr>
      </w:pPr>
      <w:r>
        <w:rPr>
          <w:rFonts w:hint="eastAsia" w:ascii="宋体" w:hAnsi="宋体" w:eastAsia="宋体" w:cs="宋体"/>
          <w:sz w:val="24"/>
          <w:szCs w:val="24"/>
        </w:rPr>
        <w:t>供应商：（供应商全称并加盖公章）</w:t>
      </w:r>
    </w:p>
    <w:p>
      <w:pPr>
        <w:spacing w:line="560" w:lineRule="exact"/>
        <w:ind w:firstLine="2656" w:firstLineChars="1107"/>
        <w:jc w:val="both"/>
        <w:rPr>
          <w:rFonts w:hint="eastAsia" w:ascii="宋体" w:hAnsi="宋体" w:eastAsia="宋体" w:cs="宋体"/>
          <w:sz w:val="24"/>
          <w:szCs w:val="24"/>
        </w:rPr>
      </w:pPr>
      <w:r>
        <w:rPr>
          <w:rFonts w:hint="eastAsia" w:ascii="宋体" w:hAnsi="宋体" w:eastAsia="宋体" w:cs="宋体"/>
          <w:sz w:val="24"/>
          <w:szCs w:val="24"/>
        </w:rPr>
        <w:t>日  期：    年  月  日</w:t>
      </w:r>
    </w:p>
    <w:p>
      <w:pPr>
        <w:spacing w:line="560" w:lineRule="exact"/>
        <w:ind w:firstLine="560" w:firstLineChars="200"/>
        <w:jc w:val="both"/>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bidi w:val="0"/>
        <w:jc w:val="center"/>
        <w:rPr>
          <w:rFonts w:hint="eastAsia"/>
        </w:rPr>
      </w:pPr>
      <w:r>
        <w:rPr>
          <w:rFonts w:hint="eastAsia"/>
        </w:rPr>
        <w:t>（二）参加政府采购活动行为自律承诺书</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作为参加本次政府采购项目的供应商，我方郑重承诺在参与政府采购活动中遵纪守法、公平竞争、诚实守信，如有违反愿承担一切责任及后果：</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1．不与采购人、采购代理机构、政府采购评审专家恶意串通，不向其行贿或提供其他不正当利益；</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2．不与其他供应商恶意串通，采取“围标、串标、陪标”等商业欺诈手段谋取中标、成交；</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3．不提供虚假或无效证明文件（包括但不限于资格证明文件、合同及验收文件、检验检测报告、从业人员资格证书、机构或所投产品的各类认证证书等）或虚假材料谋取中标、成交；</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4．不采取不正当手段诋毁、排挤其他供应商；</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5．不以不正当理由拒不与采购人签订政府采购合同，或逾期签订政府采购合同，或不按照采购文件确定的事项签订政府采购合同；</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6．不以不正当理由拒绝履行合同义务，不会擅自变更、中止或者终止政府采购合同或将政府采购合同转包；</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7．不在提供商品、服务或工程施工过程中提供假冒伪劣产品，损害采购人的合法权益或公共利益；</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8．不采取捏造事实、提供虚假材料或者以非法手段取得证明材料进行质疑和投诉；</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9．不发生其他有悖于政府采购公开、公平、公正和诚信原则的行为。</w:t>
      </w:r>
    </w:p>
    <w:p>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10．尊重和接受政府采购监督管理部门的监督和采购人、采购代理机构的政府采购工作要求，愿意承担因违约行为给采购人造成的损失。</w:t>
      </w:r>
    </w:p>
    <w:p>
      <w:pPr>
        <w:spacing w:line="560" w:lineRule="exact"/>
        <w:ind w:firstLine="480" w:firstLineChars="200"/>
        <w:jc w:val="both"/>
        <w:rPr>
          <w:rFonts w:hint="eastAsia" w:ascii="宋体" w:hAnsi="宋体" w:eastAsia="宋体" w:cs="宋体"/>
          <w:sz w:val="24"/>
          <w:szCs w:val="24"/>
        </w:rPr>
      </w:pPr>
    </w:p>
    <w:p>
      <w:pPr>
        <w:spacing w:line="560" w:lineRule="exact"/>
        <w:ind w:firstLine="2656" w:firstLineChars="1107"/>
        <w:jc w:val="both"/>
        <w:rPr>
          <w:rFonts w:hint="eastAsia" w:ascii="宋体" w:hAnsi="宋体" w:eastAsia="宋体" w:cs="宋体"/>
          <w:sz w:val="24"/>
          <w:szCs w:val="24"/>
        </w:rPr>
      </w:pPr>
      <w:r>
        <w:rPr>
          <w:rFonts w:hint="eastAsia" w:ascii="宋体" w:hAnsi="宋体" w:eastAsia="宋体" w:cs="宋体"/>
          <w:sz w:val="24"/>
          <w:szCs w:val="24"/>
        </w:rPr>
        <w:t>供应商：（供应商全称并加盖公章）</w:t>
      </w:r>
    </w:p>
    <w:p>
      <w:pPr>
        <w:spacing w:line="560" w:lineRule="exact"/>
        <w:ind w:firstLine="2656" w:firstLineChars="1107"/>
        <w:jc w:val="both"/>
        <w:rPr>
          <w:rFonts w:hint="eastAsia" w:asciiTheme="minorEastAsia" w:hAnsiTheme="minorEastAsia" w:cstheme="minorEastAsia"/>
          <w:bCs/>
        </w:rPr>
      </w:pPr>
      <w:r>
        <w:rPr>
          <w:rFonts w:hint="eastAsia" w:ascii="宋体" w:hAnsi="宋体" w:eastAsia="宋体" w:cs="宋体"/>
          <w:sz w:val="24"/>
          <w:szCs w:val="24"/>
        </w:rPr>
        <w:t>日  期：    年  月  日</w:t>
      </w:r>
    </w:p>
    <w:bookmarkEnd w:id="168"/>
    <w:bookmarkEnd w:id="169"/>
    <w:bookmarkEnd w:id="170"/>
    <w:bookmarkEnd w:id="171"/>
    <w:bookmarkEnd w:id="172"/>
    <w:p>
      <w:pPr>
        <w:rPr>
          <w:rFonts w:asciiTheme="minorEastAsia" w:hAnsiTheme="minorEastAsia" w:cstheme="minorEastAsia"/>
          <w:b/>
          <w:bCs/>
          <w:spacing w:val="48"/>
          <w:sz w:val="72"/>
          <w:szCs w:val="72"/>
        </w:rPr>
      </w:pPr>
      <w:r>
        <w:rPr>
          <w:rFonts w:hint="eastAsia" w:asciiTheme="minorEastAsia" w:hAnsiTheme="minorEastAsia" w:cstheme="minorEastAsia"/>
          <w:b/>
          <w:bCs/>
          <w:spacing w:val="48"/>
          <w:sz w:val="72"/>
          <w:szCs w:val="72"/>
        </w:rPr>
        <w:br w:type="page"/>
      </w:r>
    </w:p>
    <w:p>
      <w:pPr>
        <w:rPr>
          <w:rFonts w:asciiTheme="minorEastAsia" w:hAnsiTheme="minorEastAsia" w:cstheme="minorEastAsia"/>
          <w:sz w:val="72"/>
          <w:szCs w:val="72"/>
        </w:rPr>
      </w:pPr>
      <w:r>
        <w:rPr>
          <w:rFonts w:hint="eastAsia" w:asciiTheme="minorEastAsia" w:hAnsiTheme="minorEastAsia" w:cstheme="minorEastAsia"/>
          <w:b/>
          <w:bCs/>
          <w:spacing w:val="48"/>
          <w:sz w:val="72"/>
          <w:szCs w:val="72"/>
        </w:rPr>
        <w:t>公平</w:t>
      </w:r>
    </w:p>
    <w:p>
      <w:pPr>
        <w:rPr>
          <w:rFonts w:asciiTheme="minorEastAsia" w:hAnsiTheme="minorEastAsia" w:cstheme="minorEastAsia"/>
          <w:sz w:val="72"/>
          <w:szCs w:val="72"/>
        </w:rPr>
      </w:pPr>
    </w:p>
    <w:p>
      <w:pPr>
        <w:jc w:val="center"/>
        <w:rPr>
          <w:rFonts w:asciiTheme="minorEastAsia" w:hAnsiTheme="minorEastAsia" w:cstheme="minorEastAsia"/>
          <w:b/>
          <w:bCs/>
          <w:spacing w:val="48"/>
          <w:sz w:val="72"/>
          <w:szCs w:val="72"/>
        </w:rPr>
      </w:pPr>
    </w:p>
    <w:p>
      <w:pPr>
        <w:jc w:val="center"/>
        <w:rPr>
          <w:rFonts w:asciiTheme="minorEastAsia" w:hAnsiTheme="minorEastAsia" w:cstheme="minorEastAsia"/>
          <w:b/>
          <w:bCs/>
          <w:spacing w:val="48"/>
          <w:sz w:val="72"/>
          <w:szCs w:val="72"/>
        </w:rPr>
      </w:pPr>
      <w:r>
        <w:rPr>
          <w:rFonts w:hint="eastAsia" w:asciiTheme="minorEastAsia" w:hAnsiTheme="minorEastAsia" w:cstheme="minorEastAsia"/>
          <w:b/>
          <w:bCs/>
          <w:spacing w:val="48"/>
          <w:sz w:val="72"/>
          <w:szCs w:val="72"/>
        </w:rPr>
        <w:t>公正</w:t>
      </w:r>
    </w:p>
    <w:p>
      <w:pPr>
        <w:rPr>
          <w:rFonts w:asciiTheme="minorEastAsia" w:hAnsiTheme="minorEastAsia" w:cstheme="minorEastAsia"/>
          <w:b/>
          <w:bCs/>
          <w:spacing w:val="48"/>
          <w:sz w:val="72"/>
          <w:szCs w:val="72"/>
        </w:rPr>
      </w:pPr>
    </w:p>
    <w:p>
      <w:pPr>
        <w:rPr>
          <w:rFonts w:asciiTheme="minorEastAsia" w:hAnsiTheme="minorEastAsia" w:cstheme="minorEastAsia"/>
          <w:b/>
          <w:bCs/>
          <w:spacing w:val="48"/>
          <w:sz w:val="72"/>
          <w:szCs w:val="72"/>
        </w:rPr>
      </w:pPr>
    </w:p>
    <w:p>
      <w:pPr>
        <w:jc w:val="right"/>
        <w:rPr>
          <w:rFonts w:asciiTheme="minorEastAsia" w:hAnsiTheme="minorEastAsia" w:cstheme="minorEastAsia"/>
          <w:b/>
          <w:bCs/>
          <w:spacing w:val="48"/>
          <w:sz w:val="72"/>
          <w:szCs w:val="72"/>
        </w:rPr>
      </w:pPr>
      <w:r>
        <w:rPr>
          <w:rFonts w:hint="eastAsia" w:asciiTheme="minorEastAsia" w:hAnsiTheme="minorEastAsia" w:cstheme="minorEastAsia"/>
          <w:b/>
          <w:bCs/>
          <w:spacing w:val="48"/>
          <w:sz w:val="72"/>
          <w:szCs w:val="72"/>
        </w:rPr>
        <w:t>公开</w:t>
      </w:r>
    </w:p>
    <w:p>
      <w:pPr>
        <w:jc w:val="right"/>
        <w:rPr>
          <w:rFonts w:asciiTheme="minorEastAsia" w:hAnsiTheme="minorEastAsia" w:cstheme="minorEastAsia"/>
          <w:b/>
          <w:bCs/>
          <w:spacing w:val="48"/>
          <w:sz w:val="32"/>
          <w:szCs w:val="32"/>
        </w:rPr>
      </w:pPr>
    </w:p>
    <w:p>
      <w:pPr>
        <w:ind w:firstLine="1059" w:firstLineChars="353"/>
        <w:rPr>
          <w:rFonts w:asciiTheme="minorEastAsia" w:hAnsiTheme="minorEastAsia" w:cstheme="minorEastAsia"/>
          <w:b/>
          <w:bCs/>
          <w:sz w:val="30"/>
          <w:szCs w:val="30"/>
        </w:rPr>
      </w:pPr>
    </w:p>
    <w:p>
      <w:pPr>
        <w:ind w:firstLine="1059" w:firstLineChars="353"/>
        <w:rPr>
          <w:rFonts w:asciiTheme="minorEastAsia" w:hAnsiTheme="minorEastAsia" w:cstheme="minorEastAsia"/>
          <w:b/>
          <w:bCs/>
          <w:sz w:val="30"/>
          <w:szCs w:val="30"/>
        </w:rPr>
      </w:pPr>
    </w:p>
    <w:p>
      <w:pPr>
        <w:rPr>
          <w:rFonts w:asciiTheme="minorEastAsia" w:hAnsiTheme="minorEastAsia" w:cstheme="minorEastAsia"/>
          <w:b/>
          <w:bCs/>
          <w:sz w:val="30"/>
          <w:szCs w:val="30"/>
        </w:rPr>
      </w:pPr>
    </w:p>
    <w:p>
      <w:pPr>
        <w:rPr>
          <w:rFonts w:asciiTheme="minorEastAsia" w:hAnsiTheme="minorEastAsia" w:cstheme="minorEastAsia"/>
          <w:b/>
          <w:bCs/>
          <w:sz w:val="30"/>
          <w:szCs w:val="30"/>
        </w:rPr>
      </w:pPr>
    </w:p>
    <w:p>
      <w:pPr>
        <w:rPr>
          <w:rFonts w:asciiTheme="minorEastAsia" w:hAnsiTheme="minorEastAsia" w:cstheme="minorEastAsia"/>
          <w:b/>
          <w:bCs/>
          <w:sz w:val="30"/>
          <w:szCs w:val="30"/>
        </w:rPr>
      </w:pPr>
      <w:r>
        <w:rPr>
          <w:rFonts w:hint="eastAsia" w:asciiTheme="minorEastAsia" w:hAnsiTheme="minorEastAsia" w:cstheme="minorEastAsia"/>
          <w:b/>
          <w:bCs/>
          <w:sz w:val="30"/>
          <w:szCs w:val="30"/>
        </w:rPr>
        <w:t>企业名称：陕西万泽招标有限公司</w:t>
      </w:r>
    </w:p>
    <w:p>
      <w:pPr>
        <w:rPr>
          <w:rFonts w:asciiTheme="minorEastAsia" w:hAnsiTheme="minorEastAsia" w:cstheme="minorEastAsia"/>
          <w:b/>
          <w:bCs/>
          <w:sz w:val="30"/>
          <w:szCs w:val="30"/>
        </w:rPr>
      </w:pPr>
      <w:r>
        <w:rPr>
          <w:rFonts w:hint="eastAsia" w:asciiTheme="minorEastAsia" w:hAnsiTheme="minorEastAsia" w:cstheme="minorEastAsia"/>
          <w:b/>
          <w:bCs/>
          <w:sz w:val="30"/>
          <w:szCs w:val="30"/>
        </w:rPr>
        <w:t>地    址：西安市西关正街英达大厦150</w:t>
      </w:r>
      <w:r>
        <w:rPr>
          <w:rFonts w:hint="eastAsia" w:asciiTheme="minorEastAsia" w:hAnsiTheme="minorEastAsia" w:cstheme="minorEastAsia"/>
          <w:b/>
          <w:bCs/>
          <w:sz w:val="30"/>
          <w:szCs w:val="30"/>
          <w:lang w:val="en-US" w:eastAsia="zh-CN"/>
        </w:rPr>
        <w:t>6</w:t>
      </w:r>
      <w:r>
        <w:rPr>
          <w:rFonts w:hint="eastAsia" w:asciiTheme="minorEastAsia" w:hAnsiTheme="minorEastAsia" w:cstheme="minorEastAsia"/>
          <w:b/>
          <w:bCs/>
          <w:sz w:val="30"/>
          <w:szCs w:val="30"/>
        </w:rPr>
        <w:t>室</w:t>
      </w:r>
    </w:p>
    <w:p>
      <w:pPr>
        <w:rPr>
          <w:rFonts w:asciiTheme="minorEastAsia" w:hAnsiTheme="minorEastAsia" w:cstheme="minorEastAsia"/>
          <w:b/>
          <w:bCs/>
          <w:sz w:val="30"/>
          <w:szCs w:val="30"/>
        </w:rPr>
      </w:pPr>
      <w:r>
        <w:rPr>
          <w:rFonts w:hint="eastAsia" w:asciiTheme="minorEastAsia" w:hAnsiTheme="minorEastAsia" w:cstheme="minorEastAsia"/>
          <w:b/>
          <w:bCs/>
          <w:sz w:val="30"/>
          <w:szCs w:val="30"/>
        </w:rPr>
        <w:t>邮政编码：710082</w:t>
      </w:r>
    </w:p>
    <w:p>
      <w:pPr>
        <w:rPr>
          <w:rFonts w:asciiTheme="minorEastAsia" w:hAnsiTheme="minorEastAsia" w:cstheme="minorEastAsia"/>
          <w:b/>
          <w:bCs/>
          <w:sz w:val="30"/>
          <w:szCs w:val="30"/>
        </w:rPr>
      </w:pPr>
      <w:r>
        <w:rPr>
          <w:rFonts w:hint="eastAsia" w:asciiTheme="minorEastAsia" w:hAnsiTheme="minorEastAsia" w:cstheme="minorEastAsia"/>
          <w:b/>
          <w:bCs/>
          <w:sz w:val="30"/>
          <w:szCs w:val="30"/>
        </w:rPr>
        <w:t>电    话：029-88319689</w:t>
      </w:r>
    </w:p>
    <w:p>
      <w:pPr>
        <w:spacing w:line="560" w:lineRule="exact"/>
        <w:rPr>
          <w:rFonts w:ascii="宋体" w:hAnsi="宋体" w:eastAsia="宋体" w:cs="宋体"/>
          <w:sz w:val="32"/>
          <w:szCs w:val="32"/>
        </w:rPr>
      </w:pPr>
      <w:r>
        <w:rPr>
          <w:rFonts w:hint="eastAsia" w:asciiTheme="minorEastAsia" w:hAnsiTheme="minorEastAsia" w:cstheme="minorEastAsia"/>
          <w:b/>
          <w:bCs/>
          <w:sz w:val="30"/>
          <w:szCs w:val="30"/>
        </w:rPr>
        <w:t>传    真：029-88319689</w:t>
      </w:r>
    </w:p>
    <w:sectPr>
      <w:headerReference r:id="rId15" w:type="default"/>
      <w:footerReference r:id="rId17" w:type="default"/>
      <w:headerReference r:id="rId16" w:type="even"/>
      <w:pgSz w:w="11906" w:h="16838"/>
      <w:pgMar w:top="1440" w:right="1800" w:bottom="1440" w:left="1800" w:header="851" w:footer="992" w:gutter="0"/>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54</w:t>
                          </w:r>
                          <w:r>
                            <w:fldChar w:fldCharType="end"/>
                          </w:r>
                          <w:r>
                            <w:t xml:space="preserve"> 页 共 </w:t>
                          </w:r>
                          <w:r>
                            <w:rPr>
                              <w:rFonts w:hint="eastAsia"/>
                              <w:lang w:val="en-US" w:eastAsia="zh-CN"/>
                            </w:rPr>
                            <w:t>83</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54</w:t>
                    </w:r>
                    <w:r>
                      <w:fldChar w:fldCharType="end"/>
                    </w:r>
                    <w:r>
                      <w:t xml:space="preserve"> 页 共 </w:t>
                    </w:r>
                    <w:r>
                      <w:rPr>
                        <w:rFonts w:hint="eastAsia"/>
                        <w:lang w:val="en-US" w:eastAsia="zh-CN"/>
                      </w:rPr>
                      <w:t>83</w:t>
                    </w:r>
                    <w:r>
                      <w:t xml:space="preserve"> 页</w:t>
                    </w:r>
                  </w:p>
                </w:txbxContent>
              </v:textbox>
            </v:shape>
          </w:pict>
        </mc:Fallback>
      </mc:AlternateContent>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 xml:space="preserve">83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53</w:t>
                    </w:r>
                    <w:r>
                      <w:fldChar w:fldCharType="end"/>
                    </w:r>
                    <w:r>
                      <w:t xml:space="preserve"> 页 共 </w:t>
                    </w:r>
                    <w:r>
                      <w:rPr>
                        <w:rFonts w:hint="eastAsia"/>
                        <w:lang w:val="en-US" w:eastAsia="zh-CN"/>
                      </w:rPr>
                      <w:t xml:space="preserve">83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0"/>
        <w:tab w:val="right" w:pos="8420"/>
        <w:tab w:val="clear" w:pos="4153"/>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66</w:t>
                          </w:r>
                          <w:r>
                            <w:fldChar w:fldCharType="end"/>
                          </w:r>
                          <w:r>
                            <w:t xml:space="preserve"> 页 共 </w:t>
                          </w:r>
                          <w:r>
                            <w:rPr>
                              <w:rFonts w:hint="eastAsia"/>
                              <w:lang w:val="en-US" w:eastAsia="zh-CN"/>
                            </w:rPr>
                            <w:t>83</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66</w:t>
                    </w:r>
                    <w:r>
                      <w:fldChar w:fldCharType="end"/>
                    </w:r>
                    <w:r>
                      <w:t xml:space="preserve"> 页 共 </w:t>
                    </w:r>
                    <w:r>
                      <w:rPr>
                        <w:rFonts w:hint="eastAsia"/>
                        <w:lang w:val="en-US" w:eastAsia="zh-CN"/>
                      </w:rPr>
                      <w:t>83</w:t>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0"/>
        <w:tab w:val="right" w:pos="8420"/>
        <w:tab w:val="clear" w:pos="4153"/>
      </w:tabs>
      <w:rPr>
        <w:rFonts w:ascii="宋体" w:hAns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t xml:space="preserve">第 </w:t>
                          </w:r>
                          <w:r>
                            <w:fldChar w:fldCharType="begin"/>
                          </w:r>
                          <w:r>
                            <w:instrText xml:space="preserve"> PAGE  \* MERGEFORMAT </w:instrText>
                          </w:r>
                          <w:r>
                            <w:fldChar w:fldCharType="separate"/>
                          </w:r>
                          <w:r>
                            <w:t>71</w:t>
                          </w:r>
                          <w:r>
                            <w:fldChar w:fldCharType="end"/>
                          </w:r>
                          <w:r>
                            <w:t xml:space="preserve"> 页 共</w:t>
                          </w:r>
                          <w:r>
                            <w:rPr>
                              <w:rFonts w:hint="eastAsia"/>
                              <w:lang w:val="en-US" w:eastAsia="zh-CN"/>
                            </w:rPr>
                            <w:t>83</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71</w:t>
                    </w:r>
                    <w:r>
                      <w:fldChar w:fldCharType="end"/>
                    </w:r>
                    <w:r>
                      <w:t xml:space="preserve"> 页 共</w:t>
                    </w:r>
                    <w:r>
                      <w:rPr>
                        <w:rFonts w:hint="eastAsia"/>
                        <w:lang w:val="en-US" w:eastAsia="zh-CN"/>
                      </w:rPr>
                      <w:t>83</w:t>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r>
      <w:rPr>
        <w:rFonts w:hint="eastAsia" w:ascii="宋体"/>
        <w:sz w:val="15"/>
        <w:szCs w:val="15"/>
        <w:u w:val="single"/>
        <w:lang w:eastAsia="zh-CN"/>
      </w:rPr>
      <w:t>西安市中心血站2024年无偿献血食品类采购项目（二次）</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SXWZ2024ZB-XAXZ--015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uto"/>
    </w:pPr>
    <w:r>
      <w:rPr>
        <w:rFonts w:hint="eastAsia" w:ascii="宋体"/>
        <w:sz w:val="15"/>
        <w:szCs w:val="15"/>
        <w:u w:val="single"/>
        <w:lang w:eastAsia="zh-CN"/>
      </w:rPr>
      <w:t>西安市中心血站2024年无偿献血食品类采购项目（二次）</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SXWZ2024ZB-XAXZ--015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rPr>
        <w:rFonts w:hint="eastAsia" w:eastAsiaTheme="minorEastAsia"/>
        <w:lang w:eastAsia="zh-CN"/>
      </w:rPr>
    </w:pPr>
    <w:r>
      <w:rPr>
        <w:rFonts w:hint="eastAsia" w:ascii="宋体" w:cs="Times New Roman"/>
        <w:sz w:val="15"/>
        <w:szCs w:val="15"/>
        <w:u w:val="single"/>
        <w:lang w:eastAsia="zh-CN"/>
      </w:rPr>
      <w:t>西安市中心血站2024年无偿献血食品类采购项目（二次）</w:t>
    </w:r>
    <w:r>
      <w:rPr>
        <w:rFonts w:ascii="宋体" w:cs="Times New Roman"/>
        <w:sz w:val="15"/>
        <w:szCs w:val="15"/>
        <w:u w:val="single"/>
      </w:rPr>
      <w:t xml:space="preserve">           </w:t>
    </w:r>
    <w:r>
      <w:rPr>
        <w:rFonts w:hint="eastAsia" w:ascii="宋体" w:cs="Times New Roman"/>
        <w:sz w:val="15"/>
        <w:szCs w:val="15"/>
        <w:u w:val="single"/>
        <w:lang w:val="en-US" w:eastAsia="zh-CN"/>
      </w:rPr>
      <w:t xml:space="preserve">                               </w:t>
    </w:r>
    <w:r>
      <w:rPr>
        <w:rFonts w:hint="eastAsia" w:ascii="宋体" w:cs="Times New Roman"/>
        <w:sz w:val="15"/>
        <w:szCs w:val="15"/>
        <w:u w:val="single"/>
        <w:lang w:eastAsia="zh-CN"/>
      </w:rPr>
      <w:t>SXWZ2024ZB-XAXZ--015</w:t>
    </w:r>
  </w:p>
  <w:p>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rPr>
        <w:rFonts w:hint="eastAsia" w:eastAsiaTheme="minorEastAsia"/>
        <w:lang w:eastAsia="zh-CN"/>
      </w:rPr>
    </w:pPr>
    <w:r>
      <w:rPr>
        <w:rFonts w:hint="eastAsia" w:ascii="宋体" w:cs="Times New Roman"/>
        <w:sz w:val="15"/>
        <w:szCs w:val="15"/>
        <w:u w:val="single"/>
        <w:lang w:eastAsia="zh-CN"/>
      </w:rPr>
      <w:t>西安市中心血站2024年无偿献血食品类采购项目（二次）</w:t>
    </w:r>
    <w:r>
      <w:rPr>
        <w:rFonts w:ascii="宋体" w:cs="Times New Roman"/>
        <w:sz w:val="15"/>
        <w:szCs w:val="15"/>
        <w:u w:val="single"/>
      </w:rPr>
      <w:t xml:space="preserve">          </w:t>
    </w:r>
    <w:r>
      <w:rPr>
        <w:rFonts w:hint="eastAsia" w:ascii="宋体" w:cs="Times New Roman"/>
        <w:sz w:val="15"/>
        <w:szCs w:val="15"/>
        <w:u w:val="single"/>
        <w:lang w:val="en-US" w:eastAsia="zh-CN"/>
      </w:rPr>
      <w:t xml:space="preserve">                                </w:t>
    </w:r>
    <w:r>
      <w:rPr>
        <w:rFonts w:hint="eastAsia" w:ascii="宋体" w:cs="Times New Roman"/>
        <w:sz w:val="15"/>
        <w:szCs w:val="15"/>
        <w:u w:val="single"/>
        <w:lang w:eastAsia="zh-CN"/>
      </w:rPr>
      <w:t>SXWZ2024ZB-XAXZ--015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rPr>
        <w:rFonts w:hint="eastAsia" w:ascii="宋体" w:eastAsiaTheme="minorEastAsia"/>
        <w:sz w:val="15"/>
        <w:szCs w:val="15"/>
        <w:highlight w:val="yellow"/>
        <w:u w:val="single"/>
        <w:lang w:eastAsia="zh-CN"/>
      </w:rPr>
    </w:pPr>
    <w:r>
      <w:rPr>
        <w:rFonts w:hint="eastAsia" w:ascii="宋体"/>
        <w:sz w:val="15"/>
        <w:szCs w:val="15"/>
        <w:u w:val="single"/>
        <w:lang w:eastAsia="zh-CN"/>
      </w:rPr>
      <w:t>西安市中心血站2024年无偿献血食品类采购项目（二次）</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SXWZ2024ZB-XAXZ--015</w:t>
    </w:r>
  </w:p>
  <w:p>
    <w:pPr>
      <w:pStyle w:val="2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rPr>
        <w:rFonts w:hint="eastAsia" w:ascii="宋体" w:eastAsiaTheme="minorEastAsia"/>
        <w:sz w:val="15"/>
        <w:szCs w:val="15"/>
        <w:highlight w:val="yellow"/>
        <w:u w:val="single"/>
        <w:lang w:eastAsia="zh-CN"/>
      </w:rPr>
    </w:pPr>
    <w:r>
      <w:rPr>
        <w:rFonts w:hint="eastAsia" w:ascii="宋体"/>
        <w:sz w:val="15"/>
        <w:szCs w:val="15"/>
        <w:u w:val="single"/>
        <w:lang w:eastAsia="zh-CN"/>
      </w:rPr>
      <w:t>西安市中心血站2024年无偿献血食品类采购项目（二次）</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SXWZ2024ZB-XAXZ--015</w:t>
    </w:r>
  </w:p>
  <w:p>
    <w:pPr>
      <w:pStyle w:val="2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uto"/>
    </w:pPr>
    <w:r>
      <w:rPr>
        <w:rFonts w:hint="eastAsia" w:ascii="宋体"/>
        <w:sz w:val="15"/>
        <w:szCs w:val="15"/>
        <w:u w:val="single"/>
        <w:lang w:eastAsia="zh-CN"/>
      </w:rPr>
      <w:t>西安市中心血站2024年无偿献血食品类采购项目（二次）</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lang w:eastAsia="zh-CN"/>
      </w:rPr>
      <w:t>SXWZ2024ZB-XAXZ--015</w:t>
    </w:r>
  </w:p>
  <w:p>
    <w:pPr>
      <w:pStyle w:val="24"/>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rPr>
        <w:rFonts w:hint="eastAsia" w:ascii="宋体" w:eastAsiaTheme="minorEastAsia"/>
        <w:sz w:val="15"/>
        <w:szCs w:val="15"/>
        <w:highlight w:val="yellow"/>
        <w:u w:val="single"/>
        <w:lang w:eastAsia="zh-CN"/>
      </w:rPr>
    </w:pPr>
    <w:r>
      <w:rPr>
        <w:rFonts w:hint="eastAsia" w:ascii="宋体"/>
        <w:sz w:val="15"/>
        <w:szCs w:val="15"/>
        <w:u w:val="single"/>
        <w:lang w:eastAsia="zh-CN"/>
      </w:rPr>
      <w:t>西安市中心血站2024年无偿献血食品类采购项目（二次）</w:t>
    </w:r>
    <w:r>
      <w:rPr>
        <w:rFonts w:hint="eastAsia" w:ascii="宋体"/>
        <w:sz w:val="15"/>
        <w:szCs w:val="15"/>
        <w:u w:val="single"/>
      </w:rPr>
      <w:t xml:space="preserve"> </w:t>
    </w:r>
    <w:r>
      <w:rPr>
        <w:rFonts w:ascii="宋体"/>
        <w:sz w:val="15"/>
        <w:szCs w:val="15"/>
        <w:u w:val="single"/>
      </w:rPr>
      <w:t xml:space="preserve">                </w:t>
    </w:r>
    <w:r>
      <w:rPr>
        <w:rFonts w:hint="eastAsia" w:ascii="宋体"/>
        <w:sz w:val="15"/>
        <w:szCs w:val="15"/>
        <w:u w:val="single"/>
      </w:rPr>
      <w:t xml:space="preserve">      </w:t>
    </w:r>
    <w:r>
      <w:rPr>
        <w:rFonts w:hint="eastAsia" w:ascii="宋体"/>
        <w:sz w:val="15"/>
        <w:szCs w:val="15"/>
        <w:u w:val="single"/>
        <w:lang w:val="en-US" w:eastAsia="zh-CN"/>
      </w:rPr>
      <w:t xml:space="preserve">          </w:t>
    </w:r>
    <w:r>
      <w:rPr>
        <w:rFonts w:hint="eastAsia" w:ascii="宋体"/>
        <w:sz w:val="15"/>
        <w:szCs w:val="15"/>
        <w:u w:val="single"/>
      </w:rPr>
      <w:t xml:space="preserve">        </w:t>
    </w:r>
    <w:r>
      <w:rPr>
        <w:rFonts w:hint="eastAsia" w:ascii="宋体"/>
        <w:sz w:val="15"/>
        <w:szCs w:val="15"/>
        <w:u w:val="single"/>
        <w:lang w:eastAsia="zh-CN"/>
      </w:rPr>
      <w:t>SXWZ2024ZB-XAXZ--015</w:t>
    </w:r>
  </w:p>
  <w:p>
    <w:pPr>
      <w:pStyle w:val="2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69134"/>
    <w:multiLevelType w:val="singleLevel"/>
    <w:tmpl w:val="93069134"/>
    <w:lvl w:ilvl="0" w:tentative="0">
      <w:start w:val="1"/>
      <w:numFmt w:val="decimal"/>
      <w:lvlText w:val="%1."/>
      <w:lvlJc w:val="left"/>
      <w:pPr>
        <w:tabs>
          <w:tab w:val="left" w:pos="312"/>
        </w:tabs>
      </w:pPr>
    </w:lvl>
  </w:abstractNum>
  <w:abstractNum w:abstractNumId="1">
    <w:nsid w:val="C8560D05"/>
    <w:multiLevelType w:val="singleLevel"/>
    <w:tmpl w:val="C8560D05"/>
    <w:lvl w:ilvl="0" w:tentative="0">
      <w:start w:val="2"/>
      <w:numFmt w:val="chineseCounting"/>
      <w:suff w:val="space"/>
      <w:lvlText w:val="第%1部分"/>
      <w:lvlJc w:val="left"/>
      <w:rPr>
        <w:rFonts w:hint="eastAsia"/>
      </w:rPr>
    </w:lvl>
  </w:abstractNum>
  <w:abstractNum w:abstractNumId="2">
    <w:nsid w:val="0C2B697E"/>
    <w:multiLevelType w:val="singleLevel"/>
    <w:tmpl w:val="0C2B697E"/>
    <w:lvl w:ilvl="0" w:tentative="0">
      <w:start w:val="4"/>
      <w:numFmt w:val="chineseCounting"/>
      <w:suff w:val="space"/>
      <w:lvlText w:val="第%1章"/>
      <w:lvlJc w:val="left"/>
      <w:rPr>
        <w:rFonts w:hint="eastAsia"/>
      </w:rPr>
    </w:lvl>
  </w:abstractNum>
  <w:abstractNum w:abstractNumId="3">
    <w:nsid w:val="0D193907"/>
    <w:multiLevelType w:val="singleLevel"/>
    <w:tmpl w:val="0D193907"/>
    <w:lvl w:ilvl="0" w:tentative="0">
      <w:start w:val="2"/>
      <w:numFmt w:val="decimal"/>
      <w:suff w:val="nothing"/>
      <w:lvlText w:val="%1．"/>
      <w:lvlJc w:val="left"/>
    </w:lvl>
  </w:abstractNum>
  <w:abstractNum w:abstractNumId="4">
    <w:nsid w:val="221C489B"/>
    <w:multiLevelType w:val="singleLevel"/>
    <w:tmpl w:val="221C489B"/>
    <w:lvl w:ilvl="0" w:tentative="0">
      <w:start w:val="2"/>
      <w:numFmt w:val="chineseCounting"/>
      <w:suff w:val="nothing"/>
      <w:lvlText w:val="%1、"/>
      <w:lvlJc w:val="left"/>
      <w:rPr>
        <w:rFonts w:hint="eastAsia"/>
        <w:highlight w:val="none"/>
      </w:rPr>
    </w:lvl>
  </w:abstractNum>
  <w:abstractNum w:abstractNumId="5">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3MDM4Y2ZjYzg2MWM5ZWM0ZjQ4YjhmNjIyODc3Y2Q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3B62"/>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B50"/>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7A1"/>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390E"/>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36E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2C8"/>
    <w:rsid w:val="0037531B"/>
    <w:rsid w:val="00375819"/>
    <w:rsid w:val="00375C89"/>
    <w:rsid w:val="0037664E"/>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2CE1"/>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77D"/>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5AE4"/>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559F1"/>
    <w:rsid w:val="005601F6"/>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5F59"/>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46B8"/>
    <w:rsid w:val="006E6E8B"/>
    <w:rsid w:val="006E7C76"/>
    <w:rsid w:val="006F04CD"/>
    <w:rsid w:val="006F07C9"/>
    <w:rsid w:val="006F0A6B"/>
    <w:rsid w:val="006F0F75"/>
    <w:rsid w:val="006F3496"/>
    <w:rsid w:val="006F4633"/>
    <w:rsid w:val="006F5AC8"/>
    <w:rsid w:val="006F5F50"/>
    <w:rsid w:val="006F721C"/>
    <w:rsid w:val="006F7A75"/>
    <w:rsid w:val="007000B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0B3"/>
    <w:rsid w:val="007A0298"/>
    <w:rsid w:val="007A0EED"/>
    <w:rsid w:val="007A1F61"/>
    <w:rsid w:val="007A2D00"/>
    <w:rsid w:val="007A3433"/>
    <w:rsid w:val="007A5B38"/>
    <w:rsid w:val="007A7AC5"/>
    <w:rsid w:val="007B1707"/>
    <w:rsid w:val="007B1F48"/>
    <w:rsid w:val="007B4190"/>
    <w:rsid w:val="007B5A22"/>
    <w:rsid w:val="007B7608"/>
    <w:rsid w:val="007B7795"/>
    <w:rsid w:val="007C0677"/>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6750D"/>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386E"/>
    <w:rsid w:val="00915570"/>
    <w:rsid w:val="0091611D"/>
    <w:rsid w:val="00916267"/>
    <w:rsid w:val="009162E4"/>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21CB"/>
    <w:rsid w:val="00994B4C"/>
    <w:rsid w:val="00994E42"/>
    <w:rsid w:val="00995178"/>
    <w:rsid w:val="009960E6"/>
    <w:rsid w:val="00996A50"/>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37F9A"/>
    <w:rsid w:val="00A4098F"/>
    <w:rsid w:val="00A4193A"/>
    <w:rsid w:val="00A42D4A"/>
    <w:rsid w:val="00A45C6F"/>
    <w:rsid w:val="00A46DCC"/>
    <w:rsid w:val="00A5014E"/>
    <w:rsid w:val="00A55DD6"/>
    <w:rsid w:val="00A562E3"/>
    <w:rsid w:val="00A569D3"/>
    <w:rsid w:val="00A6062B"/>
    <w:rsid w:val="00A62089"/>
    <w:rsid w:val="00A62B50"/>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87BF3"/>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18B"/>
    <w:rsid w:val="00B76EAC"/>
    <w:rsid w:val="00B81ECA"/>
    <w:rsid w:val="00B838D7"/>
    <w:rsid w:val="00B83DCC"/>
    <w:rsid w:val="00B84B47"/>
    <w:rsid w:val="00B84FA9"/>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227"/>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0D5"/>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D40"/>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2748"/>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0CE5"/>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0986"/>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6C9"/>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1A24F4"/>
    <w:rsid w:val="01EC5C3E"/>
    <w:rsid w:val="0233386D"/>
    <w:rsid w:val="02A058B1"/>
    <w:rsid w:val="02AD5394"/>
    <w:rsid w:val="02C2748F"/>
    <w:rsid w:val="02DD42B6"/>
    <w:rsid w:val="02E828A9"/>
    <w:rsid w:val="030516AD"/>
    <w:rsid w:val="037A4244"/>
    <w:rsid w:val="03A860ED"/>
    <w:rsid w:val="03C35E37"/>
    <w:rsid w:val="043F474B"/>
    <w:rsid w:val="047917E6"/>
    <w:rsid w:val="049727D9"/>
    <w:rsid w:val="049B195A"/>
    <w:rsid w:val="049D0FAA"/>
    <w:rsid w:val="04D56E5D"/>
    <w:rsid w:val="05017C52"/>
    <w:rsid w:val="05444DBA"/>
    <w:rsid w:val="05696E27"/>
    <w:rsid w:val="056F2F31"/>
    <w:rsid w:val="058014BF"/>
    <w:rsid w:val="0580749C"/>
    <w:rsid w:val="058D14E6"/>
    <w:rsid w:val="05CB03A1"/>
    <w:rsid w:val="068C0C4B"/>
    <w:rsid w:val="06BD51D5"/>
    <w:rsid w:val="06DA4BFF"/>
    <w:rsid w:val="06E641C9"/>
    <w:rsid w:val="06EB2968"/>
    <w:rsid w:val="07292EE8"/>
    <w:rsid w:val="075524D7"/>
    <w:rsid w:val="075B159E"/>
    <w:rsid w:val="077D6974"/>
    <w:rsid w:val="07866B35"/>
    <w:rsid w:val="08430582"/>
    <w:rsid w:val="086123AA"/>
    <w:rsid w:val="08874912"/>
    <w:rsid w:val="08AE1E9F"/>
    <w:rsid w:val="08E61090"/>
    <w:rsid w:val="08FF26FB"/>
    <w:rsid w:val="090D12BC"/>
    <w:rsid w:val="09B64C14"/>
    <w:rsid w:val="09C019C7"/>
    <w:rsid w:val="0A402FCB"/>
    <w:rsid w:val="0A825391"/>
    <w:rsid w:val="0A9D2138"/>
    <w:rsid w:val="0B0E4E77"/>
    <w:rsid w:val="0B370D50"/>
    <w:rsid w:val="0B5847B0"/>
    <w:rsid w:val="0B61144B"/>
    <w:rsid w:val="0C452B1A"/>
    <w:rsid w:val="0CC77AB3"/>
    <w:rsid w:val="0CD96C5B"/>
    <w:rsid w:val="0CEE6D0E"/>
    <w:rsid w:val="0D26294C"/>
    <w:rsid w:val="0D4E1EA3"/>
    <w:rsid w:val="0D5C18E6"/>
    <w:rsid w:val="0DF97AA6"/>
    <w:rsid w:val="0EB4110F"/>
    <w:rsid w:val="0EC37A58"/>
    <w:rsid w:val="0ED10695"/>
    <w:rsid w:val="0F3D5D2B"/>
    <w:rsid w:val="0F674D39"/>
    <w:rsid w:val="0F8E6586"/>
    <w:rsid w:val="0FAD1102"/>
    <w:rsid w:val="102962AF"/>
    <w:rsid w:val="10703EDE"/>
    <w:rsid w:val="10B4026F"/>
    <w:rsid w:val="111F7DDE"/>
    <w:rsid w:val="11A227BD"/>
    <w:rsid w:val="11BC7F56"/>
    <w:rsid w:val="11F74311"/>
    <w:rsid w:val="12291BED"/>
    <w:rsid w:val="12492C39"/>
    <w:rsid w:val="126C1FE6"/>
    <w:rsid w:val="1270065B"/>
    <w:rsid w:val="12AA7B7B"/>
    <w:rsid w:val="12C02EFB"/>
    <w:rsid w:val="12EF6300"/>
    <w:rsid w:val="13010B40"/>
    <w:rsid w:val="131F7E9C"/>
    <w:rsid w:val="132208B4"/>
    <w:rsid w:val="132711CC"/>
    <w:rsid w:val="13283952"/>
    <w:rsid w:val="134A4EBA"/>
    <w:rsid w:val="134E49AB"/>
    <w:rsid w:val="137B5074"/>
    <w:rsid w:val="13946135"/>
    <w:rsid w:val="14066FF8"/>
    <w:rsid w:val="147459F5"/>
    <w:rsid w:val="14757D15"/>
    <w:rsid w:val="14F00745"/>
    <w:rsid w:val="14F42AF1"/>
    <w:rsid w:val="15232540"/>
    <w:rsid w:val="154B1D2C"/>
    <w:rsid w:val="155E2E9F"/>
    <w:rsid w:val="156F5A84"/>
    <w:rsid w:val="15F40F57"/>
    <w:rsid w:val="1662251B"/>
    <w:rsid w:val="167F30CD"/>
    <w:rsid w:val="16C06226"/>
    <w:rsid w:val="16C40870"/>
    <w:rsid w:val="16F257D3"/>
    <w:rsid w:val="16FC64CC"/>
    <w:rsid w:val="17051824"/>
    <w:rsid w:val="17087642"/>
    <w:rsid w:val="175B1444"/>
    <w:rsid w:val="17B71A01"/>
    <w:rsid w:val="189D78AF"/>
    <w:rsid w:val="18BA4890"/>
    <w:rsid w:val="18DD019F"/>
    <w:rsid w:val="18EE702A"/>
    <w:rsid w:val="18F30610"/>
    <w:rsid w:val="19094ED0"/>
    <w:rsid w:val="19111D5D"/>
    <w:rsid w:val="19185113"/>
    <w:rsid w:val="19254690"/>
    <w:rsid w:val="19266489"/>
    <w:rsid w:val="19673E6C"/>
    <w:rsid w:val="198D78AF"/>
    <w:rsid w:val="19A83B7A"/>
    <w:rsid w:val="19B4308D"/>
    <w:rsid w:val="19C13E98"/>
    <w:rsid w:val="1A246465"/>
    <w:rsid w:val="1A584361"/>
    <w:rsid w:val="1A755380"/>
    <w:rsid w:val="1A766595"/>
    <w:rsid w:val="1A8B4301"/>
    <w:rsid w:val="1AAE50AD"/>
    <w:rsid w:val="1AB570BD"/>
    <w:rsid w:val="1AD4799A"/>
    <w:rsid w:val="1B1A7868"/>
    <w:rsid w:val="1B487F31"/>
    <w:rsid w:val="1B5A1C2E"/>
    <w:rsid w:val="1BF63E31"/>
    <w:rsid w:val="1C275D99"/>
    <w:rsid w:val="1C6963B1"/>
    <w:rsid w:val="1C881AC3"/>
    <w:rsid w:val="1C9E7F7A"/>
    <w:rsid w:val="1CB95703"/>
    <w:rsid w:val="1CD04682"/>
    <w:rsid w:val="1D0B1216"/>
    <w:rsid w:val="1D0B56FE"/>
    <w:rsid w:val="1D835834"/>
    <w:rsid w:val="1E206F43"/>
    <w:rsid w:val="1E4C1C9B"/>
    <w:rsid w:val="1E7159F1"/>
    <w:rsid w:val="1E9C42C4"/>
    <w:rsid w:val="1EF16A18"/>
    <w:rsid w:val="1EF2430B"/>
    <w:rsid w:val="1F321241"/>
    <w:rsid w:val="1FA31BDA"/>
    <w:rsid w:val="20315438"/>
    <w:rsid w:val="20486A71"/>
    <w:rsid w:val="20A17A40"/>
    <w:rsid w:val="20AF45AF"/>
    <w:rsid w:val="20B77B84"/>
    <w:rsid w:val="20DF4E94"/>
    <w:rsid w:val="213C22E6"/>
    <w:rsid w:val="215A2F22"/>
    <w:rsid w:val="219263AA"/>
    <w:rsid w:val="21B66C7B"/>
    <w:rsid w:val="21E52424"/>
    <w:rsid w:val="220B1D86"/>
    <w:rsid w:val="2228286B"/>
    <w:rsid w:val="22D652C2"/>
    <w:rsid w:val="230B30E1"/>
    <w:rsid w:val="233F7E6C"/>
    <w:rsid w:val="23460D9A"/>
    <w:rsid w:val="23627FFE"/>
    <w:rsid w:val="24082954"/>
    <w:rsid w:val="24084702"/>
    <w:rsid w:val="24305A06"/>
    <w:rsid w:val="245C67FB"/>
    <w:rsid w:val="2483373B"/>
    <w:rsid w:val="248F4E23"/>
    <w:rsid w:val="24EE550A"/>
    <w:rsid w:val="24F1163A"/>
    <w:rsid w:val="251E5D62"/>
    <w:rsid w:val="254B598A"/>
    <w:rsid w:val="259D70CC"/>
    <w:rsid w:val="25BC57A4"/>
    <w:rsid w:val="26834513"/>
    <w:rsid w:val="2685028B"/>
    <w:rsid w:val="269E759F"/>
    <w:rsid w:val="26F176CF"/>
    <w:rsid w:val="271C34C2"/>
    <w:rsid w:val="27221F7E"/>
    <w:rsid w:val="274F0899"/>
    <w:rsid w:val="276E2ACE"/>
    <w:rsid w:val="278C389C"/>
    <w:rsid w:val="27B74703"/>
    <w:rsid w:val="27BF157B"/>
    <w:rsid w:val="28133675"/>
    <w:rsid w:val="2841511C"/>
    <w:rsid w:val="28416802"/>
    <w:rsid w:val="284B491A"/>
    <w:rsid w:val="2A494C1D"/>
    <w:rsid w:val="2A67558D"/>
    <w:rsid w:val="2A763AAC"/>
    <w:rsid w:val="2ABE312B"/>
    <w:rsid w:val="2AC56C1B"/>
    <w:rsid w:val="2AD15E4A"/>
    <w:rsid w:val="2AE53A01"/>
    <w:rsid w:val="2AE947B0"/>
    <w:rsid w:val="2BAE2033"/>
    <w:rsid w:val="2BB84E58"/>
    <w:rsid w:val="2BE07D12"/>
    <w:rsid w:val="2C940823"/>
    <w:rsid w:val="2CB35427"/>
    <w:rsid w:val="2CC96B0A"/>
    <w:rsid w:val="2CDA6E57"/>
    <w:rsid w:val="2D2F71A3"/>
    <w:rsid w:val="2D3B5436"/>
    <w:rsid w:val="2D3E1538"/>
    <w:rsid w:val="2DC007FD"/>
    <w:rsid w:val="2DC31699"/>
    <w:rsid w:val="2DD33E59"/>
    <w:rsid w:val="2E00469C"/>
    <w:rsid w:val="2E1F2D74"/>
    <w:rsid w:val="2E503607"/>
    <w:rsid w:val="2E522BCA"/>
    <w:rsid w:val="2E6B4140"/>
    <w:rsid w:val="2EBC4A66"/>
    <w:rsid w:val="2EFA558F"/>
    <w:rsid w:val="2F3945C8"/>
    <w:rsid w:val="2F6942CC"/>
    <w:rsid w:val="2FC45A02"/>
    <w:rsid w:val="2FF03F3B"/>
    <w:rsid w:val="300D66C8"/>
    <w:rsid w:val="304545E8"/>
    <w:rsid w:val="30B74016"/>
    <w:rsid w:val="30C45585"/>
    <w:rsid w:val="310926B9"/>
    <w:rsid w:val="318D4498"/>
    <w:rsid w:val="31A31F0E"/>
    <w:rsid w:val="31FE7144"/>
    <w:rsid w:val="31FF6DC2"/>
    <w:rsid w:val="321E3078"/>
    <w:rsid w:val="322C6B36"/>
    <w:rsid w:val="328364F5"/>
    <w:rsid w:val="32C01FEB"/>
    <w:rsid w:val="32D16607"/>
    <w:rsid w:val="32DE2C68"/>
    <w:rsid w:val="32FF3174"/>
    <w:rsid w:val="33896EE1"/>
    <w:rsid w:val="339616AF"/>
    <w:rsid w:val="33C4118F"/>
    <w:rsid w:val="33E42387"/>
    <w:rsid w:val="340001A2"/>
    <w:rsid w:val="3434509F"/>
    <w:rsid w:val="34386694"/>
    <w:rsid w:val="344572AC"/>
    <w:rsid w:val="3448340A"/>
    <w:rsid w:val="34496D9C"/>
    <w:rsid w:val="34527680"/>
    <w:rsid w:val="345C0152"/>
    <w:rsid w:val="345E42D2"/>
    <w:rsid w:val="34A264AC"/>
    <w:rsid w:val="34BC25CF"/>
    <w:rsid w:val="350E3B42"/>
    <w:rsid w:val="356D78C0"/>
    <w:rsid w:val="359C22EA"/>
    <w:rsid w:val="35A27517"/>
    <w:rsid w:val="35B357AD"/>
    <w:rsid w:val="36105698"/>
    <w:rsid w:val="36167D1D"/>
    <w:rsid w:val="362E7B72"/>
    <w:rsid w:val="367E6AA5"/>
    <w:rsid w:val="371A7359"/>
    <w:rsid w:val="371F3F69"/>
    <w:rsid w:val="377D5C98"/>
    <w:rsid w:val="3781771E"/>
    <w:rsid w:val="37841E99"/>
    <w:rsid w:val="378C52B2"/>
    <w:rsid w:val="37D20CCA"/>
    <w:rsid w:val="383275F7"/>
    <w:rsid w:val="383B2EA0"/>
    <w:rsid w:val="38425CC1"/>
    <w:rsid w:val="386E7489"/>
    <w:rsid w:val="387C0287"/>
    <w:rsid w:val="38867D66"/>
    <w:rsid w:val="38894404"/>
    <w:rsid w:val="38DD3F57"/>
    <w:rsid w:val="391A0F70"/>
    <w:rsid w:val="39240A54"/>
    <w:rsid w:val="39673821"/>
    <w:rsid w:val="39817C38"/>
    <w:rsid w:val="39A46823"/>
    <w:rsid w:val="39B73932"/>
    <w:rsid w:val="3A0747AD"/>
    <w:rsid w:val="3A0A33D2"/>
    <w:rsid w:val="3A3F654C"/>
    <w:rsid w:val="3A5A79CB"/>
    <w:rsid w:val="3B0468D6"/>
    <w:rsid w:val="3B5B5699"/>
    <w:rsid w:val="3B5F5322"/>
    <w:rsid w:val="3B6C3370"/>
    <w:rsid w:val="3C2725F2"/>
    <w:rsid w:val="3C5E582A"/>
    <w:rsid w:val="3C667DC0"/>
    <w:rsid w:val="3C7D63C0"/>
    <w:rsid w:val="3C830972"/>
    <w:rsid w:val="3C936A65"/>
    <w:rsid w:val="3CB31AB6"/>
    <w:rsid w:val="3D1E504B"/>
    <w:rsid w:val="3D5D3F14"/>
    <w:rsid w:val="3D8175A7"/>
    <w:rsid w:val="3D9D5A63"/>
    <w:rsid w:val="3DB334D8"/>
    <w:rsid w:val="3DCF42D5"/>
    <w:rsid w:val="3E0C4997"/>
    <w:rsid w:val="3E0E6961"/>
    <w:rsid w:val="3E1E76C5"/>
    <w:rsid w:val="3E2B6BFA"/>
    <w:rsid w:val="3E5F71BC"/>
    <w:rsid w:val="3E6511DF"/>
    <w:rsid w:val="3EAF3CA0"/>
    <w:rsid w:val="3EF32122"/>
    <w:rsid w:val="3F277CDA"/>
    <w:rsid w:val="3F80563C"/>
    <w:rsid w:val="3F8A0269"/>
    <w:rsid w:val="3FA0183A"/>
    <w:rsid w:val="3FB15BEC"/>
    <w:rsid w:val="40050B81"/>
    <w:rsid w:val="4013200C"/>
    <w:rsid w:val="40444900"/>
    <w:rsid w:val="40782F31"/>
    <w:rsid w:val="408A11A1"/>
    <w:rsid w:val="409018AF"/>
    <w:rsid w:val="40AB493B"/>
    <w:rsid w:val="40D043A1"/>
    <w:rsid w:val="41076015"/>
    <w:rsid w:val="41504494"/>
    <w:rsid w:val="41874A60"/>
    <w:rsid w:val="419709CB"/>
    <w:rsid w:val="41E8753E"/>
    <w:rsid w:val="423F17DF"/>
    <w:rsid w:val="427B20EB"/>
    <w:rsid w:val="427C0258"/>
    <w:rsid w:val="42D84F45"/>
    <w:rsid w:val="42EF4FB3"/>
    <w:rsid w:val="43104A84"/>
    <w:rsid w:val="43164A80"/>
    <w:rsid w:val="432F53AF"/>
    <w:rsid w:val="4348021F"/>
    <w:rsid w:val="43642539"/>
    <w:rsid w:val="43712B1F"/>
    <w:rsid w:val="43811864"/>
    <w:rsid w:val="43B92B1D"/>
    <w:rsid w:val="43C95804"/>
    <w:rsid w:val="441311BF"/>
    <w:rsid w:val="44721E55"/>
    <w:rsid w:val="44B50C18"/>
    <w:rsid w:val="44DD1EC2"/>
    <w:rsid w:val="45D65FB6"/>
    <w:rsid w:val="45FC3543"/>
    <w:rsid w:val="46445615"/>
    <w:rsid w:val="46584C1D"/>
    <w:rsid w:val="46A9191C"/>
    <w:rsid w:val="46FE497F"/>
    <w:rsid w:val="47015186"/>
    <w:rsid w:val="472471F5"/>
    <w:rsid w:val="47567208"/>
    <w:rsid w:val="47B02837"/>
    <w:rsid w:val="47C572D2"/>
    <w:rsid w:val="47CB141F"/>
    <w:rsid w:val="484C255F"/>
    <w:rsid w:val="486C7C4E"/>
    <w:rsid w:val="48A71E8C"/>
    <w:rsid w:val="48BB2A88"/>
    <w:rsid w:val="4915615D"/>
    <w:rsid w:val="491925EE"/>
    <w:rsid w:val="492D408E"/>
    <w:rsid w:val="49C777B9"/>
    <w:rsid w:val="49CC2D15"/>
    <w:rsid w:val="49EC426F"/>
    <w:rsid w:val="49F904C5"/>
    <w:rsid w:val="4A4111CE"/>
    <w:rsid w:val="4A6C513B"/>
    <w:rsid w:val="4A8C209A"/>
    <w:rsid w:val="4AE573BB"/>
    <w:rsid w:val="4B0F6777"/>
    <w:rsid w:val="4B187071"/>
    <w:rsid w:val="4B217CD3"/>
    <w:rsid w:val="4B2652EA"/>
    <w:rsid w:val="4B2C61A0"/>
    <w:rsid w:val="4B8E2902"/>
    <w:rsid w:val="4BA157AB"/>
    <w:rsid w:val="4BCA036B"/>
    <w:rsid w:val="4BD74836"/>
    <w:rsid w:val="4BE70615"/>
    <w:rsid w:val="4C3B589F"/>
    <w:rsid w:val="4C9177F3"/>
    <w:rsid w:val="4CBC3CCA"/>
    <w:rsid w:val="4D5C5088"/>
    <w:rsid w:val="4D5D0D6B"/>
    <w:rsid w:val="4DEB45C9"/>
    <w:rsid w:val="4E0A3905"/>
    <w:rsid w:val="4E2324E3"/>
    <w:rsid w:val="4E4F1C34"/>
    <w:rsid w:val="4E5559FC"/>
    <w:rsid w:val="4EB30FD4"/>
    <w:rsid w:val="4EC453D2"/>
    <w:rsid w:val="4ED137BE"/>
    <w:rsid w:val="4EDA1343"/>
    <w:rsid w:val="4EED611E"/>
    <w:rsid w:val="4F41298B"/>
    <w:rsid w:val="4F552641"/>
    <w:rsid w:val="4F7B372A"/>
    <w:rsid w:val="4FCF3870"/>
    <w:rsid w:val="4FD97C73"/>
    <w:rsid w:val="4FF41C44"/>
    <w:rsid w:val="500656EA"/>
    <w:rsid w:val="50160DEC"/>
    <w:rsid w:val="50882C03"/>
    <w:rsid w:val="50C03AEB"/>
    <w:rsid w:val="50D17AA6"/>
    <w:rsid w:val="50EA6DB9"/>
    <w:rsid w:val="50EF43D0"/>
    <w:rsid w:val="51165E00"/>
    <w:rsid w:val="51593147"/>
    <w:rsid w:val="51612D03"/>
    <w:rsid w:val="51844B18"/>
    <w:rsid w:val="51D66CF6"/>
    <w:rsid w:val="51DE4CD1"/>
    <w:rsid w:val="52104C64"/>
    <w:rsid w:val="521A36CE"/>
    <w:rsid w:val="521F2A93"/>
    <w:rsid w:val="5242431B"/>
    <w:rsid w:val="5373753A"/>
    <w:rsid w:val="537A06C8"/>
    <w:rsid w:val="53B8319F"/>
    <w:rsid w:val="54102FDB"/>
    <w:rsid w:val="547612B3"/>
    <w:rsid w:val="54921AE9"/>
    <w:rsid w:val="54A84FC1"/>
    <w:rsid w:val="54BF230B"/>
    <w:rsid w:val="55006BAB"/>
    <w:rsid w:val="55023F28"/>
    <w:rsid w:val="55220677"/>
    <w:rsid w:val="55264138"/>
    <w:rsid w:val="55337C19"/>
    <w:rsid w:val="553E5926"/>
    <w:rsid w:val="554747DA"/>
    <w:rsid w:val="55520454"/>
    <w:rsid w:val="55942F06"/>
    <w:rsid w:val="55CE6CAA"/>
    <w:rsid w:val="560207F0"/>
    <w:rsid w:val="56530F5D"/>
    <w:rsid w:val="56E524FD"/>
    <w:rsid w:val="56F141EB"/>
    <w:rsid w:val="57057286"/>
    <w:rsid w:val="58690F0C"/>
    <w:rsid w:val="58871392"/>
    <w:rsid w:val="58B42ACE"/>
    <w:rsid w:val="591A2BA2"/>
    <w:rsid w:val="596F4300"/>
    <w:rsid w:val="59BB5630"/>
    <w:rsid w:val="59E0076C"/>
    <w:rsid w:val="59F52F43"/>
    <w:rsid w:val="5A1D5212"/>
    <w:rsid w:val="5A9807CC"/>
    <w:rsid w:val="5B022F52"/>
    <w:rsid w:val="5B0E2D83"/>
    <w:rsid w:val="5B1419A0"/>
    <w:rsid w:val="5B2130BD"/>
    <w:rsid w:val="5B647768"/>
    <w:rsid w:val="5BA83AF9"/>
    <w:rsid w:val="5BD411A1"/>
    <w:rsid w:val="5BE2525D"/>
    <w:rsid w:val="5C4C0928"/>
    <w:rsid w:val="5D33100E"/>
    <w:rsid w:val="5D447851"/>
    <w:rsid w:val="5D942587"/>
    <w:rsid w:val="5D997B9D"/>
    <w:rsid w:val="5DEA2212"/>
    <w:rsid w:val="5DEE6B02"/>
    <w:rsid w:val="5E2C5D14"/>
    <w:rsid w:val="5F5226F9"/>
    <w:rsid w:val="5FD13E6F"/>
    <w:rsid w:val="603242D9"/>
    <w:rsid w:val="60C41052"/>
    <w:rsid w:val="60CA338B"/>
    <w:rsid w:val="60E7015E"/>
    <w:rsid w:val="61181721"/>
    <w:rsid w:val="61DB7FC2"/>
    <w:rsid w:val="61F37E6F"/>
    <w:rsid w:val="621F4974"/>
    <w:rsid w:val="62312A9A"/>
    <w:rsid w:val="62377985"/>
    <w:rsid w:val="623D4FBE"/>
    <w:rsid w:val="62625436"/>
    <w:rsid w:val="62637F5B"/>
    <w:rsid w:val="627C282E"/>
    <w:rsid w:val="62B17737"/>
    <w:rsid w:val="634A0DD6"/>
    <w:rsid w:val="6446362D"/>
    <w:rsid w:val="64722EF6"/>
    <w:rsid w:val="648030C6"/>
    <w:rsid w:val="64D517A6"/>
    <w:rsid w:val="64D540D3"/>
    <w:rsid w:val="650F4BE9"/>
    <w:rsid w:val="653463FD"/>
    <w:rsid w:val="653C2A02"/>
    <w:rsid w:val="6546685C"/>
    <w:rsid w:val="65496236"/>
    <w:rsid w:val="65566EB6"/>
    <w:rsid w:val="6556792C"/>
    <w:rsid w:val="65840B07"/>
    <w:rsid w:val="659550EE"/>
    <w:rsid w:val="65BC376E"/>
    <w:rsid w:val="663012BB"/>
    <w:rsid w:val="66DE6B36"/>
    <w:rsid w:val="66F422E8"/>
    <w:rsid w:val="67541BF9"/>
    <w:rsid w:val="67590E92"/>
    <w:rsid w:val="677D408C"/>
    <w:rsid w:val="684459A5"/>
    <w:rsid w:val="68627F47"/>
    <w:rsid w:val="68761884"/>
    <w:rsid w:val="68833E4A"/>
    <w:rsid w:val="688F642C"/>
    <w:rsid w:val="68B27D65"/>
    <w:rsid w:val="69004013"/>
    <w:rsid w:val="69110F2F"/>
    <w:rsid w:val="69937B96"/>
    <w:rsid w:val="69B24E94"/>
    <w:rsid w:val="69C16861"/>
    <w:rsid w:val="69CC12FA"/>
    <w:rsid w:val="69F22DFC"/>
    <w:rsid w:val="6A2E3D63"/>
    <w:rsid w:val="6A7177BA"/>
    <w:rsid w:val="6A8348AD"/>
    <w:rsid w:val="6AC344AB"/>
    <w:rsid w:val="6B4F21E3"/>
    <w:rsid w:val="6BBD6709"/>
    <w:rsid w:val="6C2F0D7C"/>
    <w:rsid w:val="6C4E46B2"/>
    <w:rsid w:val="6C6D0B73"/>
    <w:rsid w:val="6C8E2897"/>
    <w:rsid w:val="6C90660F"/>
    <w:rsid w:val="6CEF1588"/>
    <w:rsid w:val="6D9E3E83"/>
    <w:rsid w:val="6DCF4F15"/>
    <w:rsid w:val="6DD16EDF"/>
    <w:rsid w:val="6DDC4F47"/>
    <w:rsid w:val="6E2C2368"/>
    <w:rsid w:val="6E963C85"/>
    <w:rsid w:val="6EE113A4"/>
    <w:rsid w:val="6F1928EC"/>
    <w:rsid w:val="6F631DB9"/>
    <w:rsid w:val="6F6347F5"/>
    <w:rsid w:val="6F7D268E"/>
    <w:rsid w:val="6FEA0B0A"/>
    <w:rsid w:val="701C5C8F"/>
    <w:rsid w:val="702F681D"/>
    <w:rsid w:val="706A7177"/>
    <w:rsid w:val="707029DF"/>
    <w:rsid w:val="71A835FB"/>
    <w:rsid w:val="71BC131F"/>
    <w:rsid w:val="71DA68ED"/>
    <w:rsid w:val="720B75D4"/>
    <w:rsid w:val="72264D1E"/>
    <w:rsid w:val="725A1399"/>
    <w:rsid w:val="725D4F25"/>
    <w:rsid w:val="72AF5315"/>
    <w:rsid w:val="72DB5586"/>
    <w:rsid w:val="734144FB"/>
    <w:rsid w:val="734168B5"/>
    <w:rsid w:val="73494DAB"/>
    <w:rsid w:val="73B303E7"/>
    <w:rsid w:val="73B93C21"/>
    <w:rsid w:val="73C87C8A"/>
    <w:rsid w:val="73E159A2"/>
    <w:rsid w:val="73EA0CFB"/>
    <w:rsid w:val="73EE4C15"/>
    <w:rsid w:val="73FB5841"/>
    <w:rsid w:val="7424107C"/>
    <w:rsid w:val="74E6194D"/>
    <w:rsid w:val="752F340A"/>
    <w:rsid w:val="75483C11"/>
    <w:rsid w:val="758807CB"/>
    <w:rsid w:val="761C7166"/>
    <w:rsid w:val="763E0E8A"/>
    <w:rsid w:val="76A37A02"/>
    <w:rsid w:val="76CF58C2"/>
    <w:rsid w:val="77057CDF"/>
    <w:rsid w:val="77CB2BF1"/>
    <w:rsid w:val="78870188"/>
    <w:rsid w:val="78D54B94"/>
    <w:rsid w:val="790156A7"/>
    <w:rsid w:val="798218C8"/>
    <w:rsid w:val="7A923769"/>
    <w:rsid w:val="7ADE68DB"/>
    <w:rsid w:val="7B792336"/>
    <w:rsid w:val="7B7C01FC"/>
    <w:rsid w:val="7BA2142F"/>
    <w:rsid w:val="7BA4768F"/>
    <w:rsid w:val="7BFD4CFD"/>
    <w:rsid w:val="7C1D7794"/>
    <w:rsid w:val="7C6C2355"/>
    <w:rsid w:val="7C7E6484"/>
    <w:rsid w:val="7C8156B2"/>
    <w:rsid w:val="7C9327DE"/>
    <w:rsid w:val="7C991867"/>
    <w:rsid w:val="7CE00EED"/>
    <w:rsid w:val="7D592A4D"/>
    <w:rsid w:val="7D9B1948"/>
    <w:rsid w:val="7DA10BFA"/>
    <w:rsid w:val="7DBB1012"/>
    <w:rsid w:val="7DCD78AB"/>
    <w:rsid w:val="7DF534F4"/>
    <w:rsid w:val="7E33329E"/>
    <w:rsid w:val="7E4A7F29"/>
    <w:rsid w:val="7E9F3366"/>
    <w:rsid w:val="7ECE5C3A"/>
    <w:rsid w:val="7EFD782D"/>
    <w:rsid w:val="7F6F6E75"/>
    <w:rsid w:val="7F9D70F1"/>
    <w:rsid w:val="7FA426A6"/>
    <w:rsid w:val="7FB1091F"/>
    <w:rsid w:val="7FB34907"/>
    <w:rsid w:val="7FE3265A"/>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74"/>
    <w:autoRedefine/>
    <w:qFormat/>
    <w:uiPriority w:val="9"/>
    <w:pPr>
      <w:spacing w:line="360" w:lineRule="auto"/>
      <w:jc w:val="center"/>
      <w:outlineLvl w:val="0"/>
    </w:pPr>
    <w:rPr>
      <w:rFonts w:ascii="方正小标宋_GBK" w:hAnsi="仿宋" w:eastAsia="方正小标宋_GBK"/>
      <w:sz w:val="44"/>
      <w:szCs w:val="44"/>
    </w:rPr>
  </w:style>
  <w:style w:type="paragraph" w:styleId="3">
    <w:name w:val="heading 2"/>
    <w:basedOn w:val="1"/>
    <w:next w:val="1"/>
    <w:link w:val="75"/>
    <w:autoRedefine/>
    <w:unhideWhenUsed/>
    <w:qFormat/>
    <w:uiPriority w:val="9"/>
    <w:pPr>
      <w:spacing w:line="560" w:lineRule="exact"/>
      <w:ind w:firstLine="640" w:firstLineChars="200"/>
      <w:jc w:val="both"/>
      <w:outlineLvl w:val="1"/>
    </w:pPr>
    <w:rPr>
      <w:rFonts w:ascii="楷体" w:hAnsi="楷体" w:eastAsia="黑体"/>
      <w:sz w:val="32"/>
      <w:szCs w:val="32"/>
    </w:rPr>
  </w:style>
  <w:style w:type="paragraph" w:styleId="4">
    <w:name w:val="heading 3"/>
    <w:basedOn w:val="1"/>
    <w:next w:val="1"/>
    <w:link w:val="76"/>
    <w:autoRedefine/>
    <w:unhideWhenUsed/>
    <w:qFormat/>
    <w:uiPriority w:val="9"/>
    <w:pPr>
      <w:spacing w:line="560" w:lineRule="exact"/>
      <w:jc w:val="center"/>
      <w:outlineLvl w:val="2"/>
    </w:pPr>
    <w:rPr>
      <w:rFonts w:ascii="方正小标宋_GBK" w:hAnsi="仿宋" w:eastAsia="方正小标宋_GBK"/>
      <w:sz w:val="36"/>
      <w:szCs w:val="36"/>
    </w:rPr>
  </w:style>
  <w:style w:type="paragraph" w:styleId="5">
    <w:name w:val="heading 4"/>
    <w:basedOn w:val="1"/>
    <w:next w:val="1"/>
    <w:link w:val="77"/>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8"/>
    <w:autoRedefine/>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79"/>
    <w:autoRedefine/>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0"/>
    <w:autoRedefine/>
    <w:semiHidden/>
    <w:unhideWhenUsed/>
    <w:qFormat/>
    <w:uiPriority w:val="9"/>
    <w:pPr>
      <w:numPr>
        <w:ilvl w:val="6"/>
        <w:numId w:val="1"/>
      </w:numPr>
      <w:spacing w:before="240" w:after="60"/>
      <w:outlineLvl w:val="6"/>
    </w:pPr>
  </w:style>
  <w:style w:type="paragraph" w:styleId="9">
    <w:name w:val="heading 8"/>
    <w:basedOn w:val="1"/>
    <w:next w:val="1"/>
    <w:link w:val="81"/>
    <w:autoRedefine/>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82"/>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2"/>
    <w:autoRedefine/>
    <w:qFormat/>
    <w:uiPriority w:val="99"/>
    <w:pPr>
      <w:ind w:firstLine="420"/>
    </w:pPr>
  </w:style>
  <w:style w:type="paragraph" w:styleId="12">
    <w:name w:val="toc 4"/>
    <w:basedOn w:val="1"/>
    <w:next w:val="1"/>
    <w:autoRedefine/>
    <w:qFormat/>
    <w:uiPriority w:val="39"/>
    <w:pPr>
      <w:ind w:left="630"/>
    </w:pPr>
    <w:rPr>
      <w:rFonts w:cs="Calibri"/>
      <w:sz w:val="18"/>
      <w:szCs w:val="18"/>
    </w:rPr>
  </w:style>
  <w:style w:type="paragraph" w:styleId="13">
    <w:name w:val="caption"/>
    <w:basedOn w:val="1"/>
    <w:next w:val="1"/>
    <w:autoRedefine/>
    <w:semiHidden/>
    <w:unhideWhenUsed/>
    <w:qFormat/>
    <w:uiPriority w:val="35"/>
    <w:rPr>
      <w:rFonts w:eastAsia="黑体" w:asciiTheme="majorHAnsi" w:hAnsiTheme="majorHAnsi" w:cstheme="majorBidi"/>
      <w:sz w:val="20"/>
      <w:szCs w:val="20"/>
    </w:rPr>
  </w:style>
  <w:style w:type="paragraph" w:styleId="14">
    <w:name w:val="Document Map"/>
    <w:basedOn w:val="1"/>
    <w:link w:val="106"/>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98"/>
    <w:autoRedefine/>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next w:val="1"/>
    <w:autoRedefine/>
    <w:qFormat/>
    <w:uiPriority w:val="99"/>
    <w:rPr>
      <w:sz w:val="20"/>
    </w:rPr>
  </w:style>
  <w:style w:type="paragraph" w:styleId="17">
    <w:name w:val="Body Text Indent"/>
    <w:basedOn w:val="1"/>
    <w:autoRedefine/>
    <w:qFormat/>
    <w:uiPriority w:val="99"/>
    <w:pPr>
      <w:spacing w:after="120"/>
      <w:ind w:left="420" w:leftChars="200"/>
    </w:pPr>
    <w:rPr>
      <w:sz w:val="20"/>
    </w:rPr>
  </w:style>
  <w:style w:type="paragraph" w:styleId="18">
    <w:name w:val="Block Text"/>
    <w:basedOn w:val="1"/>
    <w:autoRedefine/>
    <w:qFormat/>
    <w:uiPriority w:val="0"/>
    <w:pPr>
      <w:tabs>
        <w:tab w:val="left" w:pos="773"/>
      </w:tabs>
      <w:ind w:left="592" w:leftChars="282" w:right="78"/>
    </w:pPr>
    <w:rPr>
      <w:rFonts w:ascii="宋体" w:hAnsi="宋体"/>
      <w:sz w:val="24"/>
      <w:szCs w:val="20"/>
    </w:rPr>
  </w:style>
  <w:style w:type="paragraph" w:styleId="19">
    <w:name w:val="toc 3"/>
    <w:basedOn w:val="1"/>
    <w:next w:val="1"/>
    <w:autoRedefine/>
    <w:semiHidden/>
    <w:unhideWhenUsed/>
    <w:qFormat/>
    <w:uiPriority w:val="39"/>
    <w:pPr>
      <w:ind w:left="840" w:leftChars="400"/>
    </w:pPr>
  </w:style>
  <w:style w:type="paragraph" w:styleId="20">
    <w:name w:val="Plain Text"/>
    <w:basedOn w:val="1"/>
    <w:autoRedefine/>
    <w:qFormat/>
    <w:uiPriority w:val="99"/>
    <w:pPr>
      <w:spacing w:line="324" w:lineRule="auto"/>
    </w:pPr>
    <w:rPr>
      <w:rFonts w:ascii="宋体" w:hAnsi="Courier New"/>
      <w:sz w:val="20"/>
    </w:rPr>
  </w:style>
  <w:style w:type="paragraph" w:styleId="21">
    <w:name w:val="Date"/>
    <w:basedOn w:val="1"/>
    <w:next w:val="1"/>
    <w:link w:val="71"/>
    <w:autoRedefine/>
    <w:semiHidden/>
    <w:unhideWhenUsed/>
    <w:qFormat/>
    <w:uiPriority w:val="99"/>
    <w:pPr>
      <w:ind w:left="100" w:leftChars="2500"/>
    </w:pPr>
  </w:style>
  <w:style w:type="paragraph" w:styleId="22">
    <w:name w:val="Balloon Text"/>
    <w:basedOn w:val="1"/>
    <w:link w:val="97"/>
    <w:autoRedefine/>
    <w:semiHidden/>
    <w:unhideWhenUsed/>
    <w:qFormat/>
    <w:uiPriority w:val="99"/>
    <w:rPr>
      <w:sz w:val="18"/>
      <w:szCs w:val="18"/>
    </w:rPr>
  </w:style>
  <w:style w:type="paragraph" w:styleId="23">
    <w:name w:val="footer"/>
    <w:basedOn w:val="1"/>
    <w:link w:val="73"/>
    <w:autoRedefine/>
    <w:unhideWhenUsed/>
    <w:qFormat/>
    <w:uiPriority w:val="99"/>
    <w:pPr>
      <w:tabs>
        <w:tab w:val="center" w:pos="4153"/>
        <w:tab w:val="right" w:pos="8306"/>
      </w:tabs>
      <w:snapToGrid w:val="0"/>
      <w:spacing w:line="240" w:lineRule="atLeast"/>
    </w:pPr>
    <w:rPr>
      <w:sz w:val="18"/>
      <w:szCs w:val="18"/>
    </w:rPr>
  </w:style>
  <w:style w:type="paragraph" w:styleId="24">
    <w:name w:val="header"/>
    <w:basedOn w:val="1"/>
    <w:link w:val="72"/>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6">
    <w:name w:val="Subtitle"/>
    <w:basedOn w:val="1"/>
    <w:next w:val="1"/>
    <w:link w:val="84"/>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7">
    <w:name w:val="toc 2"/>
    <w:basedOn w:val="1"/>
    <w:next w:val="1"/>
    <w:autoRedefine/>
    <w:semiHidden/>
    <w:unhideWhenUsed/>
    <w:qFormat/>
    <w:uiPriority w:val="39"/>
    <w:pPr>
      <w:ind w:left="420" w:leftChars="200"/>
    </w:pPr>
  </w:style>
  <w:style w:type="paragraph" w:styleId="28">
    <w:name w:val="Normal (Web)"/>
    <w:basedOn w:val="1"/>
    <w:autoRedefine/>
    <w:qFormat/>
    <w:uiPriority w:val="99"/>
    <w:pPr>
      <w:spacing w:before="100" w:beforeAutospacing="1" w:after="100" w:afterAutospacing="1"/>
    </w:pPr>
    <w:rPr>
      <w:rFonts w:ascii="宋体" w:hAnsi="宋体" w:cs="宋体"/>
    </w:rPr>
  </w:style>
  <w:style w:type="paragraph" w:styleId="29">
    <w:name w:val="Title"/>
    <w:basedOn w:val="1"/>
    <w:next w:val="1"/>
    <w:link w:val="83"/>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0">
    <w:name w:val="annotation subject"/>
    <w:basedOn w:val="15"/>
    <w:next w:val="15"/>
    <w:link w:val="105"/>
    <w:autoRedefine/>
    <w:semiHidden/>
    <w:unhideWhenUsed/>
    <w:qFormat/>
    <w:uiPriority w:val="99"/>
    <w:rPr>
      <w:b/>
      <w:bCs/>
    </w:rPr>
  </w:style>
  <w:style w:type="paragraph" w:styleId="31">
    <w:name w:val="Body Text First Indent"/>
    <w:basedOn w:val="16"/>
    <w:autoRedefine/>
    <w:qFormat/>
    <w:uiPriority w:val="0"/>
    <w:pPr>
      <w:spacing w:line="300" w:lineRule="auto"/>
      <w:ind w:firstLine="602"/>
    </w:pPr>
  </w:style>
  <w:style w:type="paragraph" w:styleId="32">
    <w:name w:val="Body Text First Indent 2"/>
    <w:basedOn w:val="17"/>
    <w:autoRedefine/>
    <w:qFormat/>
    <w:uiPriority w:val="0"/>
    <w:pPr>
      <w:ind w:firstLine="420"/>
    </w:p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22"/>
    <w:rPr>
      <w:b/>
      <w:bCs/>
    </w:rPr>
  </w:style>
  <w:style w:type="character" w:styleId="37">
    <w:name w:val="page number"/>
    <w:autoRedefine/>
    <w:qFormat/>
    <w:uiPriority w:val="0"/>
    <w:rPr>
      <w:rFonts w:ascii="Times New Roman" w:hAnsi="Times New Roman" w:eastAsia="宋体" w:cs="Times New Roman"/>
    </w:rPr>
  </w:style>
  <w:style w:type="character" w:styleId="38">
    <w:name w:val="FollowedHyperlink"/>
    <w:basedOn w:val="35"/>
    <w:autoRedefine/>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autoRedefine/>
    <w:qFormat/>
    <w:uiPriority w:val="20"/>
    <w:rPr>
      <w:rFonts w:asciiTheme="minorHAnsi" w:hAnsiTheme="minorHAnsi"/>
      <w:b/>
      <w:i/>
      <w:iCs/>
    </w:rPr>
  </w:style>
  <w:style w:type="character" w:styleId="40">
    <w:name w:val="HTML Definition"/>
    <w:basedOn w:val="35"/>
    <w:autoRedefine/>
    <w:semiHidden/>
    <w:unhideWhenUsed/>
    <w:qFormat/>
    <w:uiPriority w:val="99"/>
    <w:rPr>
      <w:color w:val="FFFFFF"/>
      <w:shd w:val="clear" w:color="auto" w:fill="048FD2"/>
    </w:rPr>
  </w:style>
  <w:style w:type="character" w:styleId="41">
    <w:name w:val="HTML Typewriter"/>
    <w:basedOn w:val="35"/>
    <w:autoRedefine/>
    <w:semiHidden/>
    <w:unhideWhenUsed/>
    <w:qFormat/>
    <w:uiPriority w:val="99"/>
    <w:rPr>
      <w:rFonts w:hint="default" w:ascii="monospace" w:hAnsi="monospace" w:eastAsia="monospace" w:cs="monospace"/>
      <w:sz w:val="20"/>
    </w:rPr>
  </w:style>
  <w:style w:type="character" w:styleId="42">
    <w:name w:val="HTML Acronym"/>
    <w:basedOn w:val="35"/>
    <w:autoRedefine/>
    <w:semiHidden/>
    <w:unhideWhenUsed/>
    <w:qFormat/>
    <w:uiPriority w:val="99"/>
  </w:style>
  <w:style w:type="character" w:styleId="43">
    <w:name w:val="HTML Variable"/>
    <w:basedOn w:val="35"/>
    <w:autoRedefine/>
    <w:semiHidden/>
    <w:unhideWhenUsed/>
    <w:qFormat/>
    <w:uiPriority w:val="99"/>
  </w:style>
  <w:style w:type="character" w:styleId="44">
    <w:name w:val="Hyperlink"/>
    <w:basedOn w:val="35"/>
    <w:autoRedefine/>
    <w:unhideWhenUsed/>
    <w:qFormat/>
    <w:uiPriority w:val="99"/>
    <w:rPr>
      <w:color w:val="0563C1" w:themeColor="hyperlink"/>
      <w:u w:val="single"/>
      <w14:textFill>
        <w14:solidFill>
          <w14:schemeClr w14:val="hlink"/>
        </w14:solidFill>
      </w14:textFill>
    </w:rPr>
  </w:style>
  <w:style w:type="character" w:styleId="45">
    <w:name w:val="HTML Code"/>
    <w:basedOn w:val="35"/>
    <w:autoRedefine/>
    <w:semiHidden/>
    <w:unhideWhenUsed/>
    <w:qFormat/>
    <w:uiPriority w:val="99"/>
    <w:rPr>
      <w:rFonts w:hint="default" w:ascii="monospace" w:hAnsi="monospace" w:eastAsia="monospace" w:cs="monospace"/>
      <w:sz w:val="20"/>
    </w:rPr>
  </w:style>
  <w:style w:type="character" w:styleId="46">
    <w:name w:val="annotation reference"/>
    <w:basedOn w:val="35"/>
    <w:autoRedefine/>
    <w:semiHidden/>
    <w:unhideWhenUsed/>
    <w:qFormat/>
    <w:uiPriority w:val="99"/>
    <w:rPr>
      <w:sz w:val="21"/>
      <w:szCs w:val="21"/>
    </w:rPr>
  </w:style>
  <w:style w:type="character" w:styleId="47">
    <w:name w:val="HTML Cite"/>
    <w:basedOn w:val="35"/>
    <w:autoRedefine/>
    <w:semiHidden/>
    <w:unhideWhenUsed/>
    <w:qFormat/>
    <w:uiPriority w:val="99"/>
  </w:style>
  <w:style w:type="character" w:styleId="48">
    <w:name w:val="HTML Keyboard"/>
    <w:basedOn w:val="35"/>
    <w:autoRedefine/>
    <w:semiHidden/>
    <w:unhideWhenUsed/>
    <w:qFormat/>
    <w:uiPriority w:val="99"/>
    <w:rPr>
      <w:rFonts w:ascii="monospace" w:hAnsi="monospace" w:eastAsia="monospace" w:cs="monospace"/>
      <w:sz w:val="20"/>
    </w:rPr>
  </w:style>
  <w:style w:type="character" w:styleId="49">
    <w:name w:val="HTML Sample"/>
    <w:basedOn w:val="35"/>
    <w:autoRedefine/>
    <w:semiHidden/>
    <w:unhideWhenUsed/>
    <w:qFormat/>
    <w:uiPriority w:val="99"/>
    <w:rPr>
      <w:rFonts w:hint="default" w:ascii="monospace" w:hAnsi="monospace" w:eastAsia="monospace" w:cs="monospace"/>
    </w:rPr>
  </w:style>
  <w:style w:type="paragraph" w:customStyle="1" w:styleId="50">
    <w:name w:val="font5"/>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1">
    <w:name w:val="※封面大标题"/>
    <w:basedOn w:val="1"/>
    <w:next w:val="1"/>
    <w:autoRedefine/>
    <w:qFormat/>
    <w:uiPriority w:val="0"/>
    <w:pPr>
      <w:jc w:val="center"/>
    </w:pPr>
    <w:rPr>
      <w:rFonts w:ascii="华文中宋" w:hAnsi="华文中宋" w:eastAsia="华文中宋"/>
      <w:sz w:val="96"/>
      <w:szCs w:val="96"/>
    </w:rPr>
  </w:style>
  <w:style w:type="paragraph" w:customStyle="1" w:styleId="52">
    <w:name w:val="※封面题颌"/>
    <w:basedOn w:val="1"/>
    <w:next w:val="1"/>
    <w:autoRedefine/>
    <w:qFormat/>
    <w:uiPriority w:val="0"/>
    <w:pPr>
      <w:jc w:val="center"/>
    </w:pPr>
    <w:rPr>
      <w:rFonts w:ascii="Calibri Light" w:hAnsi="Calibri Light" w:eastAsia="华文仿宋"/>
      <w:sz w:val="36"/>
      <w:szCs w:val="36"/>
    </w:rPr>
  </w:style>
  <w:style w:type="paragraph" w:customStyle="1" w:styleId="53">
    <w:name w:val="※封面题眉"/>
    <w:basedOn w:val="1"/>
    <w:next w:val="51"/>
    <w:autoRedefine/>
    <w:qFormat/>
    <w:uiPriority w:val="0"/>
    <w:pPr>
      <w:jc w:val="center"/>
    </w:pPr>
    <w:rPr>
      <w:rFonts w:ascii="华文仿宋" w:hAnsi="华文仿宋" w:eastAsia="华文仿宋"/>
      <w:sz w:val="52"/>
      <w:szCs w:val="28"/>
    </w:rPr>
  </w:style>
  <w:style w:type="paragraph" w:customStyle="1" w:styleId="54">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55">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6">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7">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8">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9">
    <w:name w:val="※小标题 一"/>
    <w:basedOn w:val="58"/>
    <w:next w:val="58"/>
    <w:autoRedefine/>
    <w:qFormat/>
    <w:uiPriority w:val="0"/>
    <w:pPr>
      <w:spacing w:before="120" w:line="240" w:lineRule="auto"/>
      <w:outlineLvl w:val="2"/>
    </w:pPr>
    <w:rPr>
      <w:b/>
      <w:color w:val="203864" w:themeColor="accent5" w:themeShade="80"/>
      <w:sz w:val="32"/>
    </w:rPr>
  </w:style>
  <w:style w:type="paragraph" w:customStyle="1" w:styleId="60">
    <w:name w:val="※小标题（1）"/>
    <w:basedOn w:val="1"/>
    <w:next w:val="58"/>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1">
    <w:name w:val="※小标题（一）"/>
    <w:basedOn w:val="1"/>
    <w:next w:val="58"/>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2">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63">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64">
    <w:name w:val="※页眉"/>
    <w:basedOn w:val="58"/>
    <w:autoRedefine/>
    <w:qFormat/>
    <w:uiPriority w:val="0"/>
    <w:pPr>
      <w:pBdr>
        <w:bottom w:val="single" w:color="auto" w:sz="4" w:space="1"/>
      </w:pBdr>
      <w:spacing w:line="240" w:lineRule="atLeast"/>
      <w:jc w:val="right"/>
    </w:pPr>
    <w:rPr>
      <w:rFonts w:ascii="宋体" w:hAnsi="宋体" w:eastAsia="宋体"/>
      <w:sz w:val="18"/>
    </w:rPr>
  </w:style>
  <w:style w:type="paragraph" w:customStyle="1" w:styleId="65">
    <w:name w:val="※章节标题（第X章）"/>
    <w:basedOn w:val="1"/>
    <w:autoRedefine/>
    <w:qFormat/>
    <w:uiPriority w:val="0"/>
    <w:pPr>
      <w:jc w:val="center"/>
      <w:outlineLvl w:val="0"/>
    </w:pPr>
    <w:rPr>
      <w:rFonts w:ascii="Calibri Light" w:hAnsi="Calibri Light" w:eastAsia="黑体"/>
      <w:sz w:val="36"/>
      <w:szCs w:val="28"/>
    </w:rPr>
  </w:style>
  <w:style w:type="paragraph" w:customStyle="1" w:styleId="66">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paragraph" w:customStyle="1" w:styleId="67">
    <w:name w:val="※章节标题（第Z部分分项）"/>
    <w:basedOn w:val="66"/>
    <w:autoRedefine/>
    <w:qFormat/>
    <w:uiPriority w:val="0"/>
    <w:pPr>
      <w:outlineLvl w:val="2"/>
    </w:pPr>
  </w:style>
  <w:style w:type="paragraph" w:customStyle="1" w:styleId="68">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9">
    <w:name w:val="※正文（缩进2）"/>
    <w:basedOn w:val="58"/>
    <w:autoRedefine/>
    <w:qFormat/>
    <w:uiPriority w:val="0"/>
    <w:pPr>
      <w:ind w:firstLine="200" w:firstLineChars="200"/>
    </w:pPr>
  </w:style>
  <w:style w:type="paragraph" w:customStyle="1" w:styleId="70">
    <w:name w:val="※正文（缩进4）"/>
    <w:basedOn w:val="58"/>
    <w:autoRedefine/>
    <w:qFormat/>
    <w:uiPriority w:val="0"/>
    <w:pPr>
      <w:ind w:firstLine="400" w:firstLineChars="400"/>
    </w:pPr>
  </w:style>
  <w:style w:type="character" w:customStyle="1" w:styleId="71">
    <w:name w:val="日期 字符"/>
    <w:basedOn w:val="35"/>
    <w:link w:val="21"/>
    <w:autoRedefine/>
    <w:semiHidden/>
    <w:qFormat/>
    <w:uiPriority w:val="99"/>
    <w:rPr>
      <w:rFonts w:ascii="华文仿宋" w:hAnsi="华文仿宋" w:eastAsia="华文仿宋"/>
      <w:sz w:val="28"/>
      <w:szCs w:val="28"/>
    </w:rPr>
  </w:style>
  <w:style w:type="character" w:customStyle="1" w:styleId="72">
    <w:name w:val="页眉 字符"/>
    <w:basedOn w:val="35"/>
    <w:link w:val="24"/>
    <w:autoRedefine/>
    <w:qFormat/>
    <w:uiPriority w:val="0"/>
    <w:rPr>
      <w:rFonts w:ascii="华文仿宋" w:hAnsi="华文仿宋" w:eastAsia="华文仿宋"/>
      <w:sz w:val="18"/>
      <w:szCs w:val="18"/>
    </w:rPr>
  </w:style>
  <w:style w:type="character" w:customStyle="1" w:styleId="73">
    <w:name w:val="页脚 字符"/>
    <w:basedOn w:val="35"/>
    <w:link w:val="23"/>
    <w:autoRedefine/>
    <w:qFormat/>
    <w:uiPriority w:val="99"/>
    <w:rPr>
      <w:rFonts w:ascii="华文仿宋" w:hAnsi="华文仿宋" w:eastAsia="华文仿宋"/>
      <w:sz w:val="18"/>
      <w:szCs w:val="18"/>
    </w:rPr>
  </w:style>
  <w:style w:type="character" w:customStyle="1" w:styleId="74">
    <w:name w:val="标题 1 字符"/>
    <w:basedOn w:val="35"/>
    <w:link w:val="2"/>
    <w:autoRedefine/>
    <w:qFormat/>
    <w:uiPriority w:val="9"/>
    <w:rPr>
      <w:rFonts w:ascii="方正小标宋_GBK" w:hAnsi="仿宋" w:eastAsia="方正小标宋_GBK"/>
      <w:sz w:val="44"/>
      <w:szCs w:val="44"/>
    </w:rPr>
  </w:style>
  <w:style w:type="character" w:customStyle="1" w:styleId="75">
    <w:name w:val="标题 2 字符"/>
    <w:basedOn w:val="35"/>
    <w:link w:val="3"/>
    <w:autoRedefine/>
    <w:qFormat/>
    <w:uiPriority w:val="9"/>
    <w:rPr>
      <w:rFonts w:ascii="楷体" w:hAnsi="楷体" w:eastAsia="黑体"/>
      <w:sz w:val="32"/>
      <w:szCs w:val="32"/>
    </w:rPr>
  </w:style>
  <w:style w:type="character" w:customStyle="1" w:styleId="76">
    <w:name w:val="标题 3 字符"/>
    <w:basedOn w:val="35"/>
    <w:link w:val="4"/>
    <w:autoRedefine/>
    <w:qFormat/>
    <w:uiPriority w:val="9"/>
    <w:rPr>
      <w:rFonts w:ascii="方正小标宋_GBK" w:hAnsi="仿宋" w:eastAsia="方正小标宋_GBK"/>
      <w:sz w:val="36"/>
      <w:szCs w:val="36"/>
    </w:rPr>
  </w:style>
  <w:style w:type="character" w:customStyle="1" w:styleId="77">
    <w:name w:val="标题 4 字符"/>
    <w:basedOn w:val="35"/>
    <w:link w:val="5"/>
    <w:autoRedefine/>
    <w:semiHidden/>
    <w:qFormat/>
    <w:uiPriority w:val="9"/>
    <w:rPr>
      <w:rFonts w:cstheme="majorBidi"/>
      <w:b/>
      <w:bCs/>
      <w:sz w:val="28"/>
      <w:szCs w:val="28"/>
    </w:rPr>
  </w:style>
  <w:style w:type="character" w:customStyle="1" w:styleId="78">
    <w:name w:val="标题 5 字符"/>
    <w:basedOn w:val="35"/>
    <w:link w:val="6"/>
    <w:autoRedefine/>
    <w:semiHidden/>
    <w:qFormat/>
    <w:uiPriority w:val="9"/>
    <w:rPr>
      <w:b/>
      <w:bCs/>
      <w:i/>
      <w:iCs/>
      <w:sz w:val="26"/>
      <w:szCs w:val="26"/>
    </w:rPr>
  </w:style>
  <w:style w:type="character" w:customStyle="1" w:styleId="79">
    <w:name w:val="标题 6 字符"/>
    <w:basedOn w:val="35"/>
    <w:link w:val="7"/>
    <w:autoRedefine/>
    <w:semiHidden/>
    <w:qFormat/>
    <w:uiPriority w:val="9"/>
    <w:rPr>
      <w:rFonts w:cstheme="majorBidi"/>
      <w:b/>
      <w:bCs/>
    </w:rPr>
  </w:style>
  <w:style w:type="character" w:customStyle="1" w:styleId="80">
    <w:name w:val="标题 7 字符"/>
    <w:basedOn w:val="35"/>
    <w:link w:val="8"/>
    <w:autoRedefine/>
    <w:semiHidden/>
    <w:qFormat/>
    <w:uiPriority w:val="9"/>
    <w:rPr>
      <w:sz w:val="24"/>
      <w:szCs w:val="24"/>
    </w:rPr>
  </w:style>
  <w:style w:type="character" w:customStyle="1" w:styleId="81">
    <w:name w:val="标题 8 字符"/>
    <w:basedOn w:val="35"/>
    <w:link w:val="9"/>
    <w:autoRedefine/>
    <w:semiHidden/>
    <w:qFormat/>
    <w:uiPriority w:val="9"/>
    <w:rPr>
      <w:rFonts w:cstheme="majorBidi"/>
      <w:i/>
      <w:iCs/>
      <w:sz w:val="24"/>
      <w:szCs w:val="24"/>
    </w:rPr>
  </w:style>
  <w:style w:type="character" w:customStyle="1" w:styleId="82">
    <w:name w:val="标题 9 字符"/>
    <w:basedOn w:val="35"/>
    <w:link w:val="10"/>
    <w:autoRedefine/>
    <w:semiHidden/>
    <w:qFormat/>
    <w:uiPriority w:val="9"/>
    <w:rPr>
      <w:rFonts w:asciiTheme="majorHAnsi" w:hAnsiTheme="majorHAnsi" w:eastAsiaTheme="majorEastAsia" w:cstheme="majorBidi"/>
    </w:rPr>
  </w:style>
  <w:style w:type="character" w:customStyle="1" w:styleId="83">
    <w:name w:val="标题 字符"/>
    <w:basedOn w:val="35"/>
    <w:link w:val="29"/>
    <w:autoRedefine/>
    <w:qFormat/>
    <w:uiPriority w:val="10"/>
    <w:rPr>
      <w:rFonts w:asciiTheme="majorHAnsi" w:hAnsiTheme="majorHAnsi" w:eastAsiaTheme="majorEastAsia" w:cstheme="majorBidi"/>
      <w:b/>
      <w:bCs/>
      <w:kern w:val="28"/>
      <w:sz w:val="32"/>
      <w:szCs w:val="32"/>
    </w:rPr>
  </w:style>
  <w:style w:type="character" w:customStyle="1" w:styleId="84">
    <w:name w:val="副标题 字符"/>
    <w:basedOn w:val="35"/>
    <w:link w:val="26"/>
    <w:autoRedefine/>
    <w:qFormat/>
    <w:uiPriority w:val="11"/>
    <w:rPr>
      <w:rFonts w:ascii="Calibri" w:hAnsi="Calibri" w:eastAsia="黑体" w:cstheme="majorBidi"/>
      <w:sz w:val="32"/>
      <w:szCs w:val="24"/>
    </w:rPr>
  </w:style>
  <w:style w:type="paragraph" w:styleId="85">
    <w:name w:val="No Spacing"/>
    <w:basedOn w:val="1"/>
    <w:autoRedefine/>
    <w:qFormat/>
    <w:uiPriority w:val="1"/>
    <w:rPr>
      <w:szCs w:val="32"/>
    </w:rPr>
  </w:style>
  <w:style w:type="paragraph" w:styleId="86">
    <w:name w:val="List Paragraph"/>
    <w:basedOn w:val="1"/>
    <w:autoRedefine/>
    <w:qFormat/>
    <w:uiPriority w:val="0"/>
    <w:pPr>
      <w:ind w:left="720"/>
      <w:contextualSpacing/>
    </w:pPr>
  </w:style>
  <w:style w:type="paragraph" w:styleId="87">
    <w:name w:val="Quote"/>
    <w:basedOn w:val="1"/>
    <w:next w:val="1"/>
    <w:link w:val="88"/>
    <w:autoRedefine/>
    <w:qFormat/>
    <w:uiPriority w:val="29"/>
    <w:rPr>
      <w:i/>
    </w:rPr>
  </w:style>
  <w:style w:type="character" w:customStyle="1" w:styleId="88">
    <w:name w:val="引用 字符"/>
    <w:basedOn w:val="35"/>
    <w:link w:val="87"/>
    <w:autoRedefine/>
    <w:qFormat/>
    <w:uiPriority w:val="29"/>
    <w:rPr>
      <w:i/>
      <w:sz w:val="24"/>
      <w:szCs w:val="24"/>
    </w:rPr>
  </w:style>
  <w:style w:type="paragraph" w:styleId="89">
    <w:name w:val="Intense Quote"/>
    <w:basedOn w:val="1"/>
    <w:next w:val="1"/>
    <w:link w:val="90"/>
    <w:autoRedefine/>
    <w:qFormat/>
    <w:uiPriority w:val="30"/>
    <w:pPr>
      <w:ind w:left="720" w:right="720"/>
    </w:pPr>
    <w:rPr>
      <w:b/>
      <w:i/>
      <w:szCs w:val="22"/>
    </w:rPr>
  </w:style>
  <w:style w:type="character" w:customStyle="1" w:styleId="90">
    <w:name w:val="明显引用 字符"/>
    <w:basedOn w:val="35"/>
    <w:link w:val="89"/>
    <w:autoRedefine/>
    <w:qFormat/>
    <w:uiPriority w:val="30"/>
    <w:rPr>
      <w:b/>
      <w:i/>
      <w:sz w:val="24"/>
    </w:rPr>
  </w:style>
  <w:style w:type="character" w:customStyle="1" w:styleId="91">
    <w:name w:val="不明显强调1"/>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92">
    <w:name w:val="明显强调1"/>
    <w:basedOn w:val="35"/>
    <w:autoRedefine/>
    <w:qFormat/>
    <w:uiPriority w:val="21"/>
    <w:rPr>
      <w:b/>
      <w:i/>
      <w:sz w:val="24"/>
      <w:szCs w:val="24"/>
      <w:u w:val="single"/>
    </w:rPr>
  </w:style>
  <w:style w:type="character" w:customStyle="1" w:styleId="93">
    <w:name w:val="不明显参考1"/>
    <w:basedOn w:val="35"/>
    <w:autoRedefine/>
    <w:qFormat/>
    <w:uiPriority w:val="31"/>
    <w:rPr>
      <w:sz w:val="24"/>
      <w:szCs w:val="24"/>
      <w:u w:val="single"/>
    </w:rPr>
  </w:style>
  <w:style w:type="character" w:customStyle="1" w:styleId="94">
    <w:name w:val="明显参考1"/>
    <w:basedOn w:val="35"/>
    <w:autoRedefine/>
    <w:qFormat/>
    <w:uiPriority w:val="32"/>
    <w:rPr>
      <w:b/>
      <w:sz w:val="24"/>
      <w:u w:val="single"/>
    </w:rPr>
  </w:style>
  <w:style w:type="character" w:customStyle="1" w:styleId="95">
    <w:name w:val="书籍标题1"/>
    <w:basedOn w:val="35"/>
    <w:autoRedefine/>
    <w:qFormat/>
    <w:uiPriority w:val="33"/>
    <w:rPr>
      <w:rFonts w:asciiTheme="majorHAnsi" w:hAnsiTheme="majorHAnsi" w:eastAsiaTheme="majorEastAsia"/>
      <w:b/>
      <w:i/>
      <w:sz w:val="24"/>
      <w:szCs w:val="24"/>
    </w:rPr>
  </w:style>
  <w:style w:type="paragraph" w:customStyle="1" w:styleId="96">
    <w:name w:val="TOC 标题1"/>
    <w:basedOn w:val="2"/>
    <w:next w:val="1"/>
    <w:autoRedefine/>
    <w:semiHidden/>
    <w:unhideWhenUsed/>
    <w:qFormat/>
    <w:uiPriority w:val="39"/>
    <w:pPr>
      <w:outlineLvl w:val="9"/>
    </w:pPr>
  </w:style>
  <w:style w:type="character" w:customStyle="1" w:styleId="97">
    <w:name w:val="批注框文本 字符"/>
    <w:basedOn w:val="35"/>
    <w:link w:val="22"/>
    <w:autoRedefine/>
    <w:semiHidden/>
    <w:qFormat/>
    <w:uiPriority w:val="99"/>
    <w:rPr>
      <w:sz w:val="18"/>
      <w:szCs w:val="18"/>
    </w:rPr>
  </w:style>
  <w:style w:type="character" w:customStyle="1" w:styleId="98">
    <w:name w:val="批注文字 字符"/>
    <w:basedOn w:val="35"/>
    <w:link w:val="15"/>
    <w:autoRedefine/>
    <w:qFormat/>
    <w:uiPriority w:val="99"/>
    <w:rPr>
      <w:rFonts w:ascii="Calibri Light" w:hAnsi="Calibri Light" w:eastAsia="华文仿宋" w:cs="Calibri Light"/>
      <w:kern w:val="2"/>
      <w:sz w:val="28"/>
      <w:szCs w:val="28"/>
    </w:rPr>
  </w:style>
  <w:style w:type="paragraph" w:customStyle="1" w:styleId="99">
    <w:name w:val="@正文"/>
    <w:basedOn w:val="58"/>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00">
    <w:name w:val="@一级小标题"/>
    <w:basedOn w:val="1"/>
    <w:next w:val="99"/>
    <w:autoRedefine/>
    <w:qFormat/>
    <w:uiPriority w:val="0"/>
    <w:pPr>
      <w:keepNext/>
      <w:spacing w:before="120" w:after="60"/>
      <w:outlineLvl w:val="2"/>
    </w:pPr>
    <w:rPr>
      <w:rFonts w:ascii="Calibri" w:hAnsi="Calibri" w:eastAsia="黑体"/>
      <w:kern w:val="28"/>
      <w:sz w:val="28"/>
    </w:rPr>
  </w:style>
  <w:style w:type="paragraph" w:customStyle="1" w:styleId="101">
    <w:name w:val="@标题"/>
    <w:basedOn w:val="1"/>
    <w:next w:val="99"/>
    <w:autoRedefine/>
    <w:qFormat/>
    <w:uiPriority w:val="0"/>
    <w:pPr>
      <w:keepNext/>
      <w:spacing w:before="50" w:beforeLines="50" w:after="50" w:afterLines="50"/>
      <w:jc w:val="center"/>
      <w:outlineLvl w:val="1"/>
    </w:pPr>
    <w:rPr>
      <w:rFonts w:ascii="Calibri" w:hAnsi="Calibri" w:eastAsia="黑体"/>
      <w:kern w:val="32"/>
      <w:sz w:val="32"/>
    </w:rPr>
  </w:style>
  <w:style w:type="table" w:customStyle="1" w:styleId="102">
    <w:name w:val="网格型1"/>
    <w:basedOn w:val="33"/>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3">
    <w:name w:val="页眉 Char1"/>
    <w:basedOn w:val="35"/>
    <w:autoRedefine/>
    <w:semiHidden/>
    <w:qFormat/>
    <w:uiPriority w:val="99"/>
    <w:rPr>
      <w:rFonts w:cs="Calibri Light"/>
      <w:sz w:val="18"/>
      <w:szCs w:val="18"/>
    </w:rPr>
  </w:style>
  <w:style w:type="character" w:customStyle="1" w:styleId="104">
    <w:name w:val="页脚 Char1"/>
    <w:basedOn w:val="35"/>
    <w:autoRedefine/>
    <w:semiHidden/>
    <w:qFormat/>
    <w:uiPriority w:val="99"/>
    <w:rPr>
      <w:rFonts w:cs="Calibri Light"/>
      <w:sz w:val="18"/>
      <w:szCs w:val="18"/>
    </w:rPr>
  </w:style>
  <w:style w:type="character" w:customStyle="1" w:styleId="105">
    <w:name w:val="批注主题 字符"/>
    <w:basedOn w:val="98"/>
    <w:link w:val="30"/>
    <w:autoRedefine/>
    <w:semiHidden/>
    <w:qFormat/>
    <w:uiPriority w:val="99"/>
    <w:rPr>
      <w:rFonts w:ascii="Calibri Light" w:hAnsi="Calibri Light" w:eastAsia="华文仿宋" w:cs="Calibri Light"/>
      <w:b/>
      <w:bCs/>
      <w:kern w:val="2"/>
      <w:sz w:val="28"/>
      <w:szCs w:val="28"/>
    </w:rPr>
  </w:style>
  <w:style w:type="character" w:customStyle="1" w:styleId="106">
    <w:name w:val="文档结构图 字符"/>
    <w:basedOn w:val="35"/>
    <w:link w:val="14"/>
    <w:autoRedefine/>
    <w:semiHidden/>
    <w:qFormat/>
    <w:uiPriority w:val="99"/>
    <w:rPr>
      <w:rFonts w:ascii="宋体" w:hAnsi="Calibri Light" w:eastAsia="宋体" w:cs="Calibri Light"/>
      <w:kern w:val="2"/>
      <w:sz w:val="18"/>
      <w:szCs w:val="18"/>
    </w:rPr>
  </w:style>
  <w:style w:type="character" w:styleId="107">
    <w:name w:val="Placeholder Text"/>
    <w:basedOn w:val="35"/>
    <w:autoRedefine/>
    <w:semiHidden/>
    <w:qFormat/>
    <w:uiPriority w:val="99"/>
    <w:rPr>
      <w:color w:val="808080"/>
    </w:rPr>
  </w:style>
  <w:style w:type="character" w:customStyle="1" w:styleId="108">
    <w:name w:val="未处理的提及1"/>
    <w:basedOn w:val="35"/>
    <w:autoRedefine/>
    <w:semiHidden/>
    <w:unhideWhenUsed/>
    <w:qFormat/>
    <w:uiPriority w:val="99"/>
    <w:rPr>
      <w:color w:val="605E5C"/>
      <w:shd w:val="clear" w:color="auto" w:fill="E1DFDD"/>
    </w:rPr>
  </w:style>
  <w:style w:type="paragraph" w:customStyle="1" w:styleId="109">
    <w:name w:val="样式1"/>
    <w:basedOn w:val="4"/>
    <w:link w:val="111"/>
    <w:autoRedefine/>
    <w:qFormat/>
    <w:uiPriority w:val="0"/>
    <w:pPr>
      <w:jc w:val="left"/>
    </w:pPr>
    <w:rPr>
      <w:rFonts w:eastAsia="楷体"/>
      <w:sz w:val="32"/>
    </w:rPr>
  </w:style>
  <w:style w:type="paragraph" w:customStyle="1" w:styleId="110">
    <w:name w:val="样式2"/>
    <w:basedOn w:val="101"/>
    <w:link w:val="113"/>
    <w:autoRedefine/>
    <w:qFormat/>
    <w:uiPriority w:val="0"/>
    <w:pPr>
      <w:spacing w:line="560" w:lineRule="exact"/>
      <w:ind w:firstLine="643" w:firstLineChars="200"/>
      <w:jc w:val="both"/>
    </w:pPr>
    <w:rPr>
      <w:rFonts w:ascii="仿宋_GB2312" w:hAnsi="仿宋" w:eastAsia="仿宋_GB2312"/>
      <w:b/>
      <w:bCs/>
      <w:szCs w:val="32"/>
    </w:rPr>
  </w:style>
  <w:style w:type="character" w:customStyle="1" w:styleId="111">
    <w:name w:val="样式1 字符"/>
    <w:basedOn w:val="75"/>
    <w:link w:val="109"/>
    <w:autoRedefine/>
    <w:qFormat/>
    <w:uiPriority w:val="0"/>
    <w:rPr>
      <w:rFonts w:ascii="方正小标宋_GBK" w:hAnsi="仿宋" w:eastAsia="楷体"/>
      <w:sz w:val="32"/>
      <w:szCs w:val="36"/>
    </w:rPr>
  </w:style>
  <w:style w:type="paragraph" w:customStyle="1" w:styleId="112">
    <w:name w:val="样式3"/>
    <w:basedOn w:val="1"/>
    <w:link w:val="114"/>
    <w:autoRedefine/>
    <w:qFormat/>
    <w:uiPriority w:val="0"/>
    <w:pPr>
      <w:spacing w:line="560" w:lineRule="exact"/>
      <w:jc w:val="center"/>
    </w:pPr>
    <w:rPr>
      <w:rFonts w:ascii="方正小标宋_GBK" w:hAnsi="仿宋" w:eastAsia="方正小标宋_GBK"/>
      <w:sz w:val="36"/>
      <w:szCs w:val="36"/>
    </w:rPr>
  </w:style>
  <w:style w:type="character" w:customStyle="1" w:styleId="113">
    <w:name w:val="样式2 字符"/>
    <w:basedOn w:val="35"/>
    <w:link w:val="110"/>
    <w:autoRedefine/>
    <w:qFormat/>
    <w:uiPriority w:val="0"/>
    <w:rPr>
      <w:rFonts w:ascii="仿宋_GB2312" w:hAnsi="仿宋" w:eastAsia="仿宋_GB2312"/>
      <w:b/>
      <w:bCs/>
      <w:kern w:val="32"/>
      <w:sz w:val="32"/>
      <w:szCs w:val="32"/>
    </w:rPr>
  </w:style>
  <w:style w:type="character" w:customStyle="1" w:styleId="114">
    <w:name w:val="样式3 字符"/>
    <w:basedOn w:val="35"/>
    <w:link w:val="112"/>
    <w:autoRedefine/>
    <w:qFormat/>
    <w:uiPriority w:val="0"/>
    <w:rPr>
      <w:rFonts w:ascii="方正小标宋_GBK" w:hAnsi="仿宋" w:eastAsia="方正小标宋_GBK"/>
      <w:sz w:val="36"/>
      <w:szCs w:val="36"/>
    </w:rPr>
  </w:style>
  <w:style w:type="paragraph" w:customStyle="1" w:styleId="115">
    <w:name w:val="无间隔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Table Paragraph"/>
    <w:basedOn w:val="1"/>
    <w:autoRedefine/>
    <w:qFormat/>
    <w:uiPriority w:val="1"/>
  </w:style>
  <w:style w:type="paragraph" w:customStyle="1" w:styleId="117">
    <w:name w:val="纯文本1"/>
    <w:basedOn w:val="1"/>
    <w:autoRedefine/>
    <w:qFormat/>
    <w:uiPriority w:val="0"/>
    <w:rPr>
      <w:rFonts w:ascii="宋体" w:hAnsi="Courier New" w:eastAsia="宋体"/>
      <w:szCs w:val="22"/>
    </w:rPr>
  </w:style>
  <w:style w:type="paragraph" w:customStyle="1" w:styleId="118">
    <w:name w:val="WPSOffice手动目录 1"/>
    <w:autoRedefine/>
    <w:qFormat/>
    <w:uiPriority w:val="0"/>
    <w:rPr>
      <w:rFonts w:ascii="Times New Roman" w:hAnsi="Times New Roman" w:eastAsia="宋体" w:cs="Times New Roman"/>
      <w:lang w:val="en-US" w:eastAsia="zh-CN" w:bidi="ar-SA"/>
    </w:rPr>
  </w:style>
  <w:style w:type="paragraph" w:customStyle="1" w:styleId="11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20">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121">
    <w:name w:val="mini-outputtext1"/>
    <w:basedOn w:val="35"/>
    <w:autoRedefine/>
    <w:qFormat/>
    <w:uiPriority w:val="0"/>
  </w:style>
  <w:style w:type="paragraph" w:customStyle="1" w:styleId="122">
    <w:name w:val="KS表格"/>
    <w:basedOn w:val="1"/>
    <w:autoRedefine/>
    <w:qFormat/>
    <w:uiPriority w:val="0"/>
    <w:pPr>
      <w:spacing w:line="300" w:lineRule="auto"/>
    </w:pPr>
    <w:rPr>
      <w:rFonts w:ascii="Times New Roman" w:hAnsi="Times New Roman" w:cs="黑体"/>
    </w:rPr>
  </w:style>
  <w:style w:type="paragraph" w:customStyle="1" w:styleId="123">
    <w:name w:val="列出段落1"/>
    <w:basedOn w:val="1"/>
    <w:autoRedefine/>
    <w:qFormat/>
    <w:uiPriority w:val="34"/>
    <w:pPr>
      <w:ind w:firstLine="420" w:firstLineChars="200"/>
    </w:pPr>
    <w:rPr>
      <w:rFonts w:ascii="Calibri" w:hAnsi="Calibri"/>
    </w:rPr>
  </w:style>
  <w:style w:type="paragraph" w:customStyle="1" w:styleId="124">
    <w:name w:val="修订1"/>
    <w:autoRedefine/>
    <w:hidden/>
    <w:semiHidden/>
    <w:qFormat/>
    <w:uiPriority w:val="99"/>
    <w:rPr>
      <w:rFonts w:cs="Times New Roman" w:asciiTheme="minorHAnsi" w:hAnsiTheme="minorHAnsi" w:eastAsiaTheme="minorEastAsia"/>
      <w:sz w:val="24"/>
      <w:szCs w:val="24"/>
      <w:lang w:val="en-US" w:eastAsia="zh-CN" w:bidi="ar-SA"/>
    </w:rPr>
  </w:style>
  <w:style w:type="paragraph" w:customStyle="1" w:styleId="125">
    <w:name w:val="列出段落6"/>
    <w:basedOn w:val="1"/>
    <w:autoRedefine/>
    <w:qFormat/>
    <w:uiPriority w:val="99"/>
    <w:pPr>
      <w:ind w:firstLine="420" w:firstLineChars="200"/>
    </w:pPr>
  </w:style>
  <w:style w:type="paragraph" w:customStyle="1" w:styleId="126">
    <w:name w:val="正文缩进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3139D-6D2E-4C98-BA93-349F1318FD4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81</Pages>
  <Words>30982</Words>
  <Characters>33486</Characters>
  <Lines>553</Lines>
  <Paragraphs>155</Paragraphs>
  <TotalTime>0</TotalTime>
  <ScaleCrop>false</ScaleCrop>
  <LinksUpToDate>false</LinksUpToDate>
  <CharactersWithSpaces>34778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2022-11-07T02:12:00Z</dcterms:created>
  <dc:creator>lenovo</dc:creator>
  <cp:lastModifiedBy>C</cp:lastModifiedBy>
  <cp:lastPrinted>2024-02-05T01:28:00Z</cp:lastPrinted>
  <dcterms:modified xsi:type="dcterms:W3CDTF">2024-03-22T01:53:19Z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102B22E6BFB1492FA6896D05B977E125_13</vt:lpwstr>
  </property>
</Properties>
</file>