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2024年承办市级比赛服务项目</w:t>
      </w:r>
    </w:p>
    <w:p>
      <w:pPr>
        <w:pStyle w:val="null3"/>
        <w:jc w:val="center"/>
        <w:outlineLvl w:val="2"/>
      </w:pPr>
      <w:r>
        <w:rPr>
          <w:b/>
          <w:sz w:val="28"/>
        </w:rPr>
        <w:t>采购项目编号：</w:t>
      </w:r>
      <w:r>
        <w:rPr>
          <w:b/>
          <w:sz w:val="28"/>
        </w:rPr>
        <w:t>ZX2024-03-52</w:t>
      </w:r>
      <w:r>
        <w:br/>
      </w:r>
      <w:r>
        <w:br/>
      </w:r>
      <w:r>
        <w:br/>
      </w:r>
    </w:p>
    <w:p>
      <w:pPr>
        <w:pStyle w:val="null3"/>
        <w:jc w:val="center"/>
        <w:outlineLvl w:val="2"/>
      </w:pPr>
      <w:r>
        <w:rPr>
          <w:b/>
          <w:sz w:val="28"/>
        </w:rPr>
        <w:t>西安市田径运动管理中心</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2024年03月29日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陕西正信招标有限公司</w:t>
      </w:r>
      <w:r>
        <w:rPr/>
        <w:t>（以下简称“代理机构”）受</w:t>
      </w:r>
      <w:r>
        <w:rPr/>
        <w:t>西安市田径运动管理中心</w:t>
      </w:r>
      <w:r>
        <w:rPr/>
        <w:t>委托，拟对</w:t>
      </w:r>
      <w:r>
        <w:rPr/>
        <w:t>2024年承办市级比赛服务项目</w:t>
      </w:r>
      <w:r>
        <w:rPr/>
        <w:t>采用竞争性磋商采购方式进行采购，兹邀请供应商参加本项目的竞争性磋商。</w:t>
      </w:r>
    </w:p>
    <w:p>
      <w:pPr>
        <w:pStyle w:val="null3"/>
        <w:outlineLvl w:val="2"/>
      </w:pPr>
      <w:r>
        <w:rPr>
          <w:b/>
          <w:sz w:val="28"/>
        </w:rPr>
        <w:t>一、项目编号：</w:t>
      </w:r>
      <w:r>
        <w:rPr>
          <w:b/>
          <w:sz w:val="28"/>
        </w:rPr>
        <w:t>ZX2024-03-52</w:t>
      </w:r>
    </w:p>
    <w:p>
      <w:pPr>
        <w:pStyle w:val="null3"/>
        <w:outlineLvl w:val="2"/>
      </w:pPr>
      <w:r>
        <w:rPr>
          <w:b/>
          <w:sz w:val="28"/>
        </w:rPr>
        <w:t>二、项目名称：</w:t>
      </w:r>
      <w:r>
        <w:rPr>
          <w:b/>
          <w:sz w:val="28"/>
        </w:rPr>
        <w:t>2024年承办市级比赛服务项目</w:t>
      </w:r>
    </w:p>
    <w:p>
      <w:pPr>
        <w:pStyle w:val="null3"/>
        <w:outlineLvl w:val="2"/>
      </w:pPr>
      <w:r>
        <w:rPr>
          <w:b/>
          <w:sz w:val="28"/>
        </w:rPr>
        <w:t>三、磋商项目简介</w:t>
      </w:r>
    </w:p>
    <w:p>
      <w:pPr>
        <w:pStyle w:val="null3"/>
        <w:ind w:firstLine="480"/>
      </w:pPr>
      <w:r>
        <w:rPr/>
        <w:t>西安市田径运动管理中心2024年承办市级比赛服务项目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采购包1（2024年承办市级比赛服务）：属于专门面向中小企业采购。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投标的，须出示身份证；法定代表人授权他人参加投标的，须提供法定代表人授权委托书、被授权人提交身份证。供应商需在项目电子化交易系统中按要求填写《法定代表人授权委托书》并进 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西安市田径运动管理中心</w:t>
      </w:r>
    </w:p>
    <w:p>
      <w:pPr>
        <w:pStyle w:val="null3"/>
      </w:pPr>
      <w:r>
        <w:rPr/>
        <w:t xml:space="preserve"> 地址： </w:t>
      </w:r>
      <w:r>
        <w:rPr/>
        <w:t>西安市碑林区伞塔路89号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029-88060598</w:t>
      </w:r>
    </w:p>
    <w:p>
      <w:pPr>
        <w:pStyle w:val="null3"/>
        <w:outlineLvl w:val="3"/>
      </w:pPr>
      <w:r>
        <w:rPr>
          <w:b/>
          <w:sz w:val="24"/>
        </w:rPr>
        <w:t>代理机构：</w:t>
      </w:r>
      <w:r>
        <w:rPr>
          <w:b/>
          <w:sz w:val="24"/>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柯敏 崔文 曹婷 蔡丹 王琦</w:t>
      </w:r>
    </w:p>
    <w:p>
      <w:pPr>
        <w:pStyle w:val="null3"/>
      </w:pPr>
      <w:r>
        <w:rPr/>
        <w:t xml:space="preserve"> 联系电话： </w:t>
      </w:r>
      <w:r>
        <w:rPr/>
        <w:t>029-88411508/88411169转8020</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代理服务费收费标准：参照国家计委计价格[2002]1980号及发改办价格[2003]857号通知规定，由成交供应商支付代理服务费。 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西安市田径运动管理中心</w:t>
      </w:r>
      <w:r>
        <w:rPr/>
        <w:t>和</w:t>
      </w:r>
      <w:r>
        <w:rPr/>
        <w:t>陕西正信招标有限公司</w:t>
      </w:r>
      <w:r>
        <w:rPr/>
        <w:t>享有。对磋商文件中供应商参加本次政府采购活动应当具备的条件，磋商项目技术、服务、商务及其他要求，评审细则及标准由</w:t>
      </w:r>
      <w:r>
        <w:rPr/>
        <w:t>西安市田径运动管理中心</w:t>
      </w:r>
      <w:r>
        <w:rPr/>
        <w:t>负责解释。除上述磋商文件内容，其他内容由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西安市田径运动管理中心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按照磋商文件、响应文件以及合同要求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联系人：崔文 柯敏</w:t>
      </w:r>
    </w:p>
    <w:p>
      <w:pPr>
        <w:pStyle w:val="null3"/>
      </w:pPr>
      <w:r>
        <w:rPr/>
        <w:t>联系电话：029-88411508转8020</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西安市田径运动管理中心2024年承办市级比赛服务,1项，具体内容详见采购需求</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2024年承办市级比赛服务</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标的名称：2024年承办市级比赛服务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452"/>
              <w:gridCol w:w="429"/>
              <w:gridCol w:w="253"/>
              <w:gridCol w:w="258"/>
              <w:gridCol w:w="994"/>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序号</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名称</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技术参数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数量</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单位</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具体要求</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电子设备（采购</w:t>
                  </w:r>
                  <w:r>
                    <w:rPr>
                      <w:rFonts w:ascii="宋体" w:hAnsi="宋体" w:cs="宋体" w:eastAsia="宋体"/>
                      <w:b/>
                      <w:sz w:val="21"/>
                    </w:rPr>
                    <w:t>人</w:t>
                  </w:r>
                  <w:r>
                    <w:rPr>
                      <w:rFonts w:ascii="宋体" w:hAnsi="宋体" w:cs="宋体" w:eastAsia="宋体"/>
                      <w:b/>
                      <w:sz w:val="21"/>
                    </w:rPr>
                    <w:t>提供）</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网络报名系统</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竞赛编排</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电计</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含终点摄像，技术员</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检录大屏</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用于检录</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风速仪</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超声波风速仪含显示屏</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影像测量</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起跳判罚</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激光测距系统</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田赛成绩显示屏</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时限显示器</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检录系统设备</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电脑，指纹仪、人脸识别</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发令系统</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起跑犯规检测系统</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含</w:t>
                  </w:r>
                  <w:r>
                    <w:rPr>
                      <w:rFonts w:ascii="宋体" w:hAnsi="宋体" w:cs="宋体" w:eastAsia="宋体"/>
                      <w:sz w:val="21"/>
                    </w:rPr>
                    <w:t>16个电子起跑器</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仲裁智判系统</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根据比赛需求配置</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分段计时系统</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电子余圈显示器</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包含铃铛</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长距离自动记圈系统</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竞赛网络设备</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根据比赛需求配备</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通用器材</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桌子</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60</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张</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双人折叠桌</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椅子</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折叠椅子</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把</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帐篷</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顶</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黑板或白板</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0.9m高1.2m宽</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成绩公告及</w:t>
                  </w:r>
                  <w:r>
                    <w:rPr>
                      <w:rFonts w:ascii="宋体" w:hAnsi="宋体" w:cs="宋体" w:eastAsia="宋体"/>
                      <w:color w:val="000000"/>
                      <w:sz w:val="21"/>
                    </w:rPr>
                    <w:t>TIC信息发布</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电动自行车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辆</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竞走传卡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服装转运车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辆</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衣服收纳箱</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特大号，方形塑料箱</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8</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安全别针</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根据比赛需求配备</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9</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扩音喇叭</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（备电池）</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器材收纳箱</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方形塑料箱</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11</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胶布</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卷</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秒表</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13</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彩色胶带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不同颜色各</w:t>
                  </w:r>
                  <w:r>
                    <w:rPr>
                      <w:rFonts w:ascii="宋体" w:hAnsi="宋体" w:cs="宋体" w:eastAsia="宋体"/>
                      <w:color w:val="000000"/>
                      <w:sz w:val="21"/>
                    </w:rPr>
                    <w:t>5卷</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卷</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跳远用彩色标记</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彩色积木代替</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15</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钢钎</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支</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16</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手套</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双</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17</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电子钟表</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座</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检录用</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18</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海绵块（竞走和长跑用）</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块</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19</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托盘</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饮水、纸杯</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21</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橡皮泥刮刀</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把</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铁锨</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把</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23</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平沙耙</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镁粉</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含镁粉盒</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25</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线绳</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2米*2根</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2米*2根</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26</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电源线</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x米</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根据场地情况电源</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27</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插板</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10米长</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28</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线轴</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50米</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29</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布基胶带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5公分宽</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卷</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三种颜色（白、黄、蓝）各</w:t>
                  </w:r>
                  <w:r>
                    <w:rPr>
                      <w:rFonts w:ascii="宋体" w:hAnsi="宋体" w:cs="宋体" w:eastAsia="宋体"/>
                      <w:color w:val="000000"/>
                      <w:sz w:val="21"/>
                    </w:rPr>
                    <w:t>10卷</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30</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雨衣</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涉赛人员</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31</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比赛用水</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所有涉赛人员用水，每人每天</w:t>
                  </w:r>
                  <w:r>
                    <w:rPr>
                      <w:rFonts w:ascii="宋体" w:hAnsi="宋体" w:cs="宋体" w:eastAsia="宋体"/>
                      <w:color w:val="000000"/>
                      <w:sz w:val="21"/>
                    </w:rPr>
                    <w:t>5*500ml；</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木质奖牌</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规格及数量按照田管中心</w:t>
                  </w:r>
                </w:p>
                <w:p>
                  <w:pPr>
                    <w:pStyle w:val="null3"/>
                    <w:jc w:val="center"/>
                  </w:pPr>
                  <w:r>
                    <w:rPr>
                      <w:rFonts w:ascii="宋体" w:hAnsi="宋体" w:cs="宋体" w:eastAsia="宋体"/>
                      <w:color w:val="000000"/>
                      <w:sz w:val="21"/>
                    </w:rPr>
                    <w:t>及竞赛规程要求制作，如有赞助经中心审核，按照中心要求制作在相应的物料上。</w:t>
                  </w:r>
                </w:p>
                <w:p>
                  <w:pPr>
                    <w:pStyle w:val="null3"/>
                    <w:jc w:val="center"/>
                  </w:pPr>
                  <w:r>
                    <w:rPr>
                      <w:rFonts w:ascii="宋体" w:hAnsi="宋体" w:cs="宋体" w:eastAsia="宋体"/>
                      <w:color w:val="000000"/>
                      <w:sz w:val="21"/>
                    </w:rPr>
                    <w:t>A字板尺寸：场心50cm*300cm；秩序册、成绩册、分秩序册的封皮、底页及新关部分需铜版纸、彩页</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33</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秩序册</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vMerge/>
                  <w:tcBorders>
                    <w:top w:val="non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成绩册</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vMerge/>
                  <w:tcBorders>
                    <w:top w:val="non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35</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横幅</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vMerge/>
                  <w:tcBorders>
                    <w:top w:val="non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36</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A字板</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vMerge/>
                  <w:tcBorders>
                    <w:top w:val="non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37</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背景板</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vMerge/>
                  <w:tcBorders>
                    <w:top w:val="non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38</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指引牌</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vMerge/>
                  <w:tcBorders>
                    <w:top w:val="non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39</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笔记本电脑</w:t>
                  </w:r>
                </w:p>
                <w:p>
                  <w:pPr>
                    <w:pStyle w:val="null3"/>
                    <w:jc w:val="center"/>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c>
                <w:tcPr>
                  <w:tcW w:type="dxa" w:w="9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含相关耗材</w:t>
                  </w:r>
                </w:p>
              </w:tc>
            </w:tr>
            <w:tr>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w:t>
                  </w:r>
                </w:p>
              </w:tc>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打印机</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针式打印机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c>
                <w:tcPr>
                  <w:tcW w:type="dxa" w:w="994"/>
                  <w:vMerge/>
                  <w:tcBorders>
                    <w:top w:val="none" w:color="000000" w:sz="4"/>
                    <w:left w:val="single" w:color="000000" w:sz="4"/>
                    <w:bottom w:val="single" w:color="000000" w:sz="4"/>
                    <w:right w:val="single" w:color="000000" w:sz="4"/>
                  </w:tcBorders>
                </w:tcPr>
                <w:p/>
              </w:tc>
            </w:tr>
            <w:tr>
              <w:tc>
                <w:tcPr>
                  <w:tcW w:type="dxa" w:w="167"/>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激光打印机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c>
                <w:tcPr>
                  <w:tcW w:type="dxa" w:w="994"/>
                  <w:vMerge/>
                  <w:tcBorders>
                    <w:top w:val="non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41</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复印机</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c>
                <w:tcPr>
                  <w:tcW w:type="dxa" w:w="994"/>
                  <w:vMerge/>
                  <w:tcBorders>
                    <w:top w:val="none" w:color="000000" w:sz="4"/>
                    <w:left w:val="single" w:color="000000" w:sz="4"/>
                    <w:bottom w:val="single" w:color="000000" w:sz="4"/>
                    <w:right w:val="single" w:color="000000" w:sz="4"/>
                  </w:tcBorders>
                </w:tc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竞赛专用及辅助器材</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竞赛专用器材</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需经中田协以上认证，（数量）根据本次比赛的竞赛规程规则要求配备，采购人提供，不足部分由供应商补齐。</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竞赛辅助器材</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数量、规格根据本次比赛的竞赛规程规则要求配备，采购人提供，不足部分由供应商补齐。</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运动员号码布</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2*N</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张</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根据比赛报名运动员人数制作，</w:t>
                  </w:r>
                  <w:r>
                    <w:rPr>
                      <w:rFonts w:ascii="宋体" w:hAnsi="宋体" w:cs="宋体" w:eastAsia="宋体"/>
                      <w:color w:val="000000"/>
                      <w:sz w:val="21"/>
                    </w:rPr>
                    <w:t>N=参赛人数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小号码布（侧号）</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根据比赛要求制作（不干胶）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顺序号</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根据比赛项目人数配备（不干胶）</w:t>
                  </w:r>
                </w:p>
              </w:tc>
            </w:tr>
            <w:tr>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w:t>
                  </w:r>
                </w:p>
              </w:tc>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胸牌</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运动员</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根据比赛报名人数</w:t>
                  </w:r>
                </w:p>
              </w:tc>
            </w:tr>
            <w:tr>
              <w:tc>
                <w:tcPr>
                  <w:tcW w:type="dxa" w:w="167"/>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领队、教练员</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含技术代表及官员、仲裁、志愿者等</w:t>
                  </w:r>
                </w:p>
              </w:tc>
            </w:tr>
            <w:tr>
              <w:tc>
                <w:tcPr>
                  <w:tcW w:type="dxa" w:w="167"/>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裁判员及工作人员</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994"/>
                  <w:vMerge/>
                  <w:tcBorders>
                    <w:top w:val="non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袖标</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120个</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内容及规格按采购人及竞赛规则</w:t>
                  </w:r>
                  <w:r>
                    <w:br/>
                  </w:r>
                  <w:r>
                    <w:rPr>
                      <w:rFonts w:ascii="宋体" w:hAnsi="宋体" w:cs="宋体" w:eastAsia="宋体"/>
                      <w:color w:val="000000"/>
                      <w:sz w:val="21"/>
                    </w:rPr>
                    <w:t>制定，采购方提供</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人员</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主裁及以上（国家级及以上）</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30</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根据竞赛日程天数</w:t>
                  </w:r>
                  <w:r>
                    <w:rPr>
                      <w:rFonts w:ascii="宋体" w:hAnsi="宋体" w:cs="宋体" w:eastAsia="宋体"/>
                      <w:color w:val="000000"/>
                      <w:sz w:val="21"/>
                    </w:rPr>
                    <w:t>+报到赛前培训联调2天+赛后收纳器材及总结1天进行核算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竞赛秘书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根据竞赛日程天数</w:t>
                  </w:r>
                  <w:r>
                    <w:rPr>
                      <w:rFonts w:ascii="宋体" w:hAnsi="宋体" w:cs="宋体" w:eastAsia="宋体"/>
                      <w:color w:val="000000"/>
                      <w:sz w:val="21"/>
                    </w:rPr>
                    <w:t>+编排4天+报到赛前培训联调2天+赛后收纳器材及总结1天进行核算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裁判员（二级及以上）</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根据竞赛日程天数</w:t>
                  </w:r>
                  <w:r>
                    <w:rPr>
                      <w:rFonts w:ascii="宋体" w:hAnsi="宋体" w:cs="宋体" w:eastAsia="宋体"/>
                      <w:color w:val="000000"/>
                      <w:sz w:val="21"/>
                    </w:rPr>
                    <w:t>+报到赛前培训联调2天+赛后收纳器材及总结1天进行核算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电子裁判</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根据竞赛日程天数</w:t>
                  </w:r>
                  <w:r>
                    <w:rPr>
                      <w:rFonts w:ascii="宋体" w:hAnsi="宋体" w:cs="宋体" w:eastAsia="宋体"/>
                      <w:color w:val="000000"/>
                      <w:sz w:val="21"/>
                    </w:rPr>
                    <w:t>+报到赛前培训联调2天+赛后收纳器材及总结1天进行核算，另承担往返差旅及食宿</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志愿者</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80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根据竞赛日程天数</w:t>
                  </w:r>
                  <w:r>
                    <w:rPr>
                      <w:rFonts w:ascii="宋体" w:hAnsi="宋体" w:cs="宋体" w:eastAsia="宋体"/>
                      <w:color w:val="000000"/>
                      <w:sz w:val="21"/>
                    </w:rPr>
                    <w:t>+报到赛前培训联调2天+赛后收纳器材及总结1天进行核算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工作人员</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根据竞赛日程天数</w:t>
                  </w:r>
                  <w:r>
                    <w:rPr>
                      <w:rFonts w:ascii="宋体" w:hAnsi="宋体" w:cs="宋体" w:eastAsia="宋体"/>
                      <w:color w:val="000000"/>
                      <w:sz w:val="21"/>
                    </w:rPr>
                    <w:t>+报到赛前培训联调2天+赛后收纳器材及总结1天进行核算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医疗救护</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1医生1护士（除颤仪、呼吸机、医疗用品），要有相应的定点医院。</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8</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救护车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1司机1医生1护士</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9</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安保人员</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按实际天数结算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保洁人员</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按实际天数结算</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比赛场地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比赛场地及夜场灯光</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中国田协认证的合格证书，场地类别</w:t>
                  </w:r>
                  <w:r>
                    <w:rPr>
                      <w:rFonts w:ascii="宋体" w:hAnsi="宋体" w:cs="宋体" w:eastAsia="宋体"/>
                      <w:color w:val="000000"/>
                      <w:sz w:val="21"/>
                    </w:rPr>
                    <w:t>1类，标准400米场地，并有容纳1000人观众看台，最终场地确认需经采购人同意</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赛时报备</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赛时报备</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负责公安赛事报备、交通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保险</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涉赛人员</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涉赛人员保险</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服装</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全体裁判员及工作人员</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（遮阳帽：帆布、短</w:t>
                  </w:r>
                  <w:r>
                    <w:rPr>
                      <w:rFonts w:ascii="宋体" w:hAnsi="宋体" w:cs="宋体" w:eastAsia="宋体"/>
                      <w:sz w:val="21"/>
                    </w:rPr>
                    <w:t>T聚酯纤维、长裤）</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志愿者</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（遮阳帽：帆布、短</w:t>
                  </w:r>
                  <w:r>
                    <w:rPr>
                      <w:rFonts w:ascii="宋体" w:hAnsi="宋体" w:cs="宋体" w:eastAsia="宋体"/>
                      <w:sz w:val="21"/>
                    </w:rPr>
                    <w:t>T聚酯纤维、长裤）</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交通</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租赁车辆</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器材转运</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接送志愿者</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接送志愿者，供应商根据志愿者数量自行考虑接送所需车辆</w:t>
                  </w:r>
                </w:p>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停车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裁判员、工作人员</w:t>
                  </w:r>
                  <w:r>
                    <w:br/>
                  </w:r>
                  <w:r>
                    <w:rPr>
                      <w:rFonts w:ascii="宋体" w:hAnsi="宋体" w:cs="宋体" w:eastAsia="宋体"/>
                      <w:sz w:val="21"/>
                    </w:rPr>
                    <w:t>免费停车</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食宿</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住宿</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40</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离赛场</w:t>
                  </w:r>
                  <w:r>
                    <w:rPr>
                      <w:rFonts w:ascii="宋体" w:hAnsi="宋体" w:cs="宋体" w:eastAsia="宋体"/>
                      <w:sz w:val="21"/>
                    </w:rPr>
                    <w:t>1-3公里内，标间，部分裁判及工作人员</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用餐</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涉赛人员早餐</w:t>
                  </w:r>
                  <w:r>
                    <w:rPr>
                      <w:rFonts w:ascii="宋体" w:hAnsi="宋体" w:cs="宋体" w:eastAsia="宋体"/>
                      <w:sz w:val="21"/>
                    </w:rPr>
                    <w:t>+午餐，午餐1荤（大荤）两素，含主食，水果或酸奶，早餐：鸡蛋牛奶冷餐包，按实际竞赛日程+联调1天</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媒体宣传</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摄影</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赛事专业拍照及摄影</w:t>
                  </w:r>
                  <w:r>
                    <w:br/>
                  </w:r>
                  <w:r>
                    <w:rPr>
                      <w:rFonts w:ascii="宋体" w:hAnsi="宋体" w:cs="宋体" w:eastAsia="宋体"/>
                      <w:sz w:val="21"/>
                    </w:rPr>
                    <w:t>并制作后期视频</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宣传</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官方媒体及网络媒体</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会议室、功能房</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技术会</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场</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容纳</w:t>
                  </w:r>
                  <w:r>
                    <w:rPr>
                      <w:rFonts w:ascii="宋体" w:hAnsi="宋体" w:cs="宋体" w:eastAsia="宋体"/>
                      <w:sz w:val="21"/>
                    </w:rPr>
                    <w:t>200人会议室，含多媒体，需提前布置好会场，桌签，桌标等；使用时间半天。</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功能房</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间</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竞赛秘书室、视屏室、电计器材、器材存放室裁判员休息室、志愿者休息室等、按照采购人要求布置；使用时限为赛事筹备起至赛事结束。</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现场指挥室</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含音频设备，话筒等</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所有制作、宣传需经采购人审核同意后方可发布，赛事所有原始资料报采购人留存。</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竞赛组织、报名资审由</w:t>
                  </w:r>
                  <w:r>
                    <w:rPr>
                      <w:rFonts w:ascii="宋体" w:hAnsi="宋体" w:cs="宋体" w:eastAsia="宋体"/>
                      <w:sz w:val="21"/>
                    </w:rPr>
                    <w:t>采购人</w:t>
                  </w:r>
                  <w:r>
                    <w:rPr>
                      <w:rFonts w:ascii="宋体" w:hAnsi="宋体" w:cs="宋体" w:eastAsia="宋体"/>
                      <w:sz w:val="21"/>
                    </w:rPr>
                    <w:t>负责，裁判员、志愿者、工作人员由</w:t>
                  </w:r>
                  <w:r>
                    <w:rPr>
                      <w:rFonts w:ascii="宋体" w:hAnsi="宋体" w:cs="宋体" w:eastAsia="宋体"/>
                      <w:sz w:val="21"/>
                    </w:rPr>
                    <w:t>采购人</w:t>
                  </w:r>
                  <w:r>
                    <w:rPr>
                      <w:rFonts w:ascii="宋体" w:hAnsi="宋体" w:cs="宋体" w:eastAsia="宋体"/>
                      <w:sz w:val="21"/>
                    </w:rPr>
                    <w:t>指派。</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供应商除竞赛组织、报名资审，裁判员、志愿者、工作人员指派事宜以外事项，</w:t>
                  </w:r>
                </w:p>
                <w:p>
                  <w:pPr>
                    <w:pStyle w:val="null3"/>
                    <w:jc w:val="center"/>
                  </w:pPr>
                  <w:r>
                    <w:rPr>
                      <w:rFonts w:ascii="宋体" w:hAnsi="宋体" w:cs="宋体" w:eastAsia="宋体"/>
                      <w:sz w:val="21"/>
                    </w:rPr>
                    <w:t>均需做好相应服务保障，场地设施布置、器材准备、电计设备、物料及宣传类制作、劳务发放、食宿安排、会议组织（含会场布置、参赛相关物资分类发放）、安全报备、市场运营、医疗救护、媒体报道宣传制</w:t>
                  </w:r>
                  <w:r>
                    <w:rPr>
                      <w:rFonts w:ascii="宋体" w:hAnsi="宋体" w:cs="宋体" w:eastAsia="宋体"/>
                      <w:sz w:val="21"/>
                    </w:rPr>
                    <w:t>作等。</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1"/>
                    </w:rPr>
                    <w:t>本项目分为两场赛事；上述清单中所列数量为单场赛事数量；</w:t>
                  </w:r>
                </w:p>
                <w:p>
                  <w:pPr>
                    <w:pStyle w:val="null3"/>
                    <w:jc w:val="both"/>
                  </w:pPr>
                  <w:r>
                    <w:rPr>
                      <w:rFonts w:ascii="宋体" w:hAnsi="宋体" w:cs="宋体" w:eastAsia="宋体"/>
                      <w:b/>
                      <w:sz w:val="21"/>
                    </w:rPr>
                    <w:t>2024年西安市青少年田径锦标赛最高限价16万元；竞赛日为三天，约800名运动员；</w:t>
                  </w:r>
                  <w:r>
                    <w:rPr>
                      <w:rFonts w:ascii="宋体" w:hAnsi="宋体" w:cs="宋体" w:eastAsia="宋体"/>
                      <w:b/>
                      <w:color w:val="333333"/>
                      <w:sz w:val="21"/>
                      <w:shd w:fill="FFFFFF" w:val="clear"/>
                    </w:rPr>
                    <w:t>2024年西安市中小学生田径锦标赛（体传校组）</w:t>
                  </w:r>
                  <w:r>
                    <w:rPr>
                      <w:rFonts w:ascii="宋体" w:hAnsi="宋体" w:cs="宋体" w:eastAsia="宋体"/>
                      <w:b/>
                      <w:color w:val="333333"/>
                      <w:sz w:val="21"/>
                      <w:shd w:fill="FFFFFF" w:val="clear"/>
                    </w:rPr>
                    <w:t>最高限价</w:t>
                  </w:r>
                  <w:r>
                    <w:rPr>
                      <w:rFonts w:ascii="宋体" w:hAnsi="宋体" w:cs="宋体" w:eastAsia="宋体"/>
                      <w:b/>
                      <w:color w:val="333333"/>
                      <w:sz w:val="21"/>
                      <w:shd w:fill="FFFFFF" w:val="clear"/>
                    </w:rPr>
                    <w:t>19万元；竞赛日四天，约1500名运动员</w:t>
                  </w:r>
                </w:p>
              </w:tc>
            </w:tr>
          </w:tbl>
          <w:p/>
        </w:tc>
      </w:tr>
    </w:tbl>
    <w:p>
      <w:pPr>
        <w:pStyle w:val="null3"/>
        <w:outlineLvl w:val="2"/>
      </w:pPr>
      <w:r>
        <w:rPr>
          <w:b/>
          <w:sz w:val="28"/>
        </w:rPr>
        <w:t>3.2.3人员配置要求</w:t>
      </w:r>
    </w:p>
    <w:p>
      <w:pPr>
        <w:pStyle w:val="null3"/>
      </w:pPr>
      <w:r>
        <w:rPr/>
        <w:t>采购包1：</w:t>
      </w:r>
    </w:p>
    <w:p>
      <w:pPr>
        <w:pStyle w:val="null3"/>
      </w:pPr>
      <w:r>
        <w:rPr/>
        <w:t>满足项目需求</w:t>
      </w:r>
    </w:p>
    <w:p>
      <w:pPr>
        <w:pStyle w:val="null3"/>
        <w:outlineLvl w:val="2"/>
      </w:pPr>
      <w:r>
        <w:rPr>
          <w:b/>
          <w:sz w:val="28"/>
        </w:rPr>
        <w:t>3.2.4设施设备要求</w:t>
      </w:r>
    </w:p>
    <w:p>
      <w:pPr>
        <w:pStyle w:val="null3"/>
      </w:pPr>
      <w:r>
        <w:rPr/>
        <w:t>采购包1：</w:t>
      </w:r>
    </w:p>
    <w:p>
      <w:pPr>
        <w:pStyle w:val="null3"/>
      </w:pPr>
      <w:r>
        <w:rPr/>
        <w:t>满足项目需求</w:t>
      </w:r>
    </w:p>
    <w:p>
      <w:pPr>
        <w:pStyle w:val="null3"/>
        <w:outlineLvl w:val="2"/>
      </w:pPr>
      <w:r>
        <w:rPr>
          <w:b/>
          <w:sz w:val="28"/>
        </w:rPr>
        <w:t>3.2.5其他要求</w:t>
      </w:r>
    </w:p>
    <w:p>
      <w:pPr>
        <w:pStyle w:val="null3"/>
      </w:pPr>
      <w:r>
        <w:rPr/>
        <w:t>采购包1：</w:t>
      </w:r>
    </w:p>
    <w:p>
      <w:pPr>
        <w:pStyle w:val="null3"/>
      </w:pPr>
      <w:r>
        <w:rPr/>
        <w:t>满足项目需求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合同签订之日起至赛事活动结束</w:t>
      </w:r>
    </w:p>
    <w:p>
      <w:pPr>
        <w:pStyle w:val="null3"/>
        <w:outlineLvl w:val="3"/>
      </w:pPr>
      <w:r>
        <w:rPr>
          <w:b/>
          <w:sz w:val="24"/>
        </w:rPr>
        <w:t>3.3.2服务地点</w:t>
      </w:r>
    </w:p>
    <w:p>
      <w:pPr>
        <w:pStyle w:val="null3"/>
      </w:pPr>
      <w:r>
        <w:rPr/>
        <w:t>采购包1：</w:t>
      </w:r>
    </w:p>
    <w:p>
      <w:pPr>
        <w:pStyle w:val="null3"/>
      </w:pPr>
      <w:r>
        <w:rPr/>
        <w:t>西安市田径运动管理中心指定地点</w:t>
      </w:r>
    </w:p>
    <w:p>
      <w:pPr>
        <w:pStyle w:val="null3"/>
        <w:outlineLvl w:val="3"/>
      </w:pPr>
      <w:r>
        <w:rPr>
          <w:b/>
          <w:sz w:val="24"/>
        </w:rPr>
        <w:t>3.3.3考核（验收）标准和方法</w:t>
      </w:r>
    </w:p>
    <w:p>
      <w:pPr>
        <w:pStyle w:val="null3"/>
      </w:pPr>
      <w:r>
        <w:rPr/>
        <w:t>采购包1：</w:t>
      </w:r>
    </w:p>
    <w:p>
      <w:pPr>
        <w:pStyle w:val="null3"/>
      </w:pPr>
      <w:r>
        <w:rPr/>
        <w:t>按照磋商文件以及合同要求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合同签订后每场赛事前支付当场赛事金额40%作为预付款</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每场赛事完成且完成后续相应工作经采购人同意后支付当场赛事剩余合同款项</w:t>
      </w:r>
      <w:r>
        <w:rPr/>
        <w:t xml:space="preserve"> ，达到付款条件起 </w:t>
      </w:r>
      <w:r>
        <w:rPr/>
        <w:t>10</w:t>
      </w:r>
      <w:r>
        <w:rPr/>
        <w:t xml:space="preserve"> 日内，支付合同总金额的 </w:t>
      </w:r>
      <w:r>
        <w:rPr/>
        <w:t>60.00</w:t>
      </w:r>
      <w:r>
        <w:rPr/>
        <w:t>%。</w:t>
      </w:r>
    </w:p>
    <w:p>
      <w:pPr>
        <w:pStyle w:val="null3"/>
        <w:outlineLvl w:val="3"/>
      </w:pPr>
      <w:r>
        <w:rPr>
          <w:b/>
          <w:sz w:val="24"/>
        </w:rPr>
        <w:t>3.3.6违约责任及解决争议的方法</w:t>
      </w:r>
    </w:p>
    <w:p>
      <w:pPr>
        <w:pStyle w:val="null3"/>
      </w:pPr>
      <w:r>
        <w:rPr/>
        <w:t>采购包1：</w:t>
      </w:r>
    </w:p>
    <w:p>
      <w:pPr>
        <w:pStyle w:val="null3"/>
      </w:pPr>
      <w:r>
        <w:rPr/>
        <w:t>按照磋商文件以及合同要求</w:t>
      </w:r>
    </w:p>
    <w:p>
      <w:pPr>
        <w:pStyle w:val="null3"/>
        <w:outlineLvl w:val="2"/>
      </w:pPr>
      <w:r>
        <w:rPr>
          <w:b/>
          <w:sz w:val="28"/>
        </w:rPr>
        <w:t>3.4其他要求</w:t>
      </w:r>
    </w:p>
    <w:p>
      <w:pPr>
        <w:pStyle w:val="null3"/>
      </w:pPr>
      <w:r>
        <w:rPr/>
        <w:t>1、落实的政府采购政策： （1）《政府采购促进中小企业发展管理办法》的通知-财库[2020]46号 （2）财政部司法部关于政府采购支持监狱企业发展有关问题的通知-财库〔2014〕68号 （3）《国务院办公厅关于建立政府强制采购节能产品制度的通知》-国办发〔2007〕51号 （4）《财政部发展改革委生态环境部市场监督总局关于调整优化节能产品、环境标志产品政府采购执行机制的通知》-（财库[2019]9号） （5）《关于印发环境标志产品政府采购品目清单的通知》-（财库〔2019〕18号） （6）《关于印发节能产品政府采购品目清单的通知》-（财库〔2019〕19号） （7）《财政部民政部中国残疾人联合会关于促进残疾人就业政府采购政策的通知》-（财库〔2017〕141号） （8）《关于运用政府采购政策支持乡村产业振兴的通知》-（财库〔2021〕19号） （9）陕西省财政厅关于印发《陕西省中小企业政府采购信用融资办法》-（陕财办采〔2018〕23号） （10）《陕西省财政厅关于加快推进我省中小企业政府采购信用融资工作的通知》-（陕财办采〔2020〕15号） （11）《关于进一步加强政府绿色采购有关问题的通知》-（陕财办采〔2021〕29号） 若享受以上政策优惠的企业，提供相应声明函或品目范围内产品有效认证证书。 2、 为顺利推进政府采购电子化交易平台试点应用工作，供应商需要在线提交所有通过电子化交易平台实施的政府采购项目的响应文件，同时，线下提交纸质版交响应文件（应当密封）。正本壹份、副本贰份、电子版壹份（U盘形式递交，内含响应文件正本的Word版本及盖章扫描后的PDF版本，标明供应商名称）。若电子响应文件与纸质响应文件不一致的，以纸质响应文件为准；若正本和副本不符，以正本为准。 纸质版响应文件递交地点：陕西省西安市碑林区红缨路南口6号均明拍卖广场3层。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（1）具有独立承担民事责任能力的法人、其他组织或自然人，提供合法有效的统一社会信用代码 营业执照（事业单位法人证书/专业服务机构执业许可证/民办非企业单位登记证书，自然人提供身 份证）； （2）税收缴纳证明：法人提供自2023年3月1日以来至少一个月的纳税证明或完税证明，纳税证明或完税证明上应有代收机构或税务机关的公章或业务专用章；其他组织和自然人提供自2023年3月1日以来至少一个月缴纳税收的凭据；依法免税的供应商应提供相关文件证明； （3）社会保障资金缴纳证明：提供自2023年3月1日以来至少一个月已缴纳的社会保障资金的证明（社会保障资金缴存单 据或社保机构开具的社会保险参保缴费情况证明等）；依法不需要缴纳社会保障资金的供应商应 提供相关文件证明； （4）提供具有履行本合同所必需的设备和专业技术能力的声明； （5）参加本次政府采购活动前3年内在经营活动中没有重大违纪，以及未被列入失信被执行人、重大税收 违法案件当事人名单、政府采购严重违法失信行为记录名单的书面声明。 以上（2）-（3）项，提供“陕西省政府采购供应商信用承诺书”的，可不再提供其他证明文件；</w:t>
            </w:r>
          </w:p>
        </w:tc>
        <w:tc>
          <w:tcPr>
            <w:tcW w:type="dxa" w:w="1661"/>
          </w:tcPr>
          <w:p>
            <w:pPr>
              <w:pStyle w:val="null3"/>
            </w:pPr>
            <w:r>
              <w:rPr/>
              <w:t>响应函 2资格证明材料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供应商需在项目电子化交易系统中按要求上传相应证明文件并进行电子签章。财务状况报告：法人提供会计师事务所出具的有效的2022年度或2023年度审计报告（成立时 间至提交响应文件截止时间不足一年的可提供成立后任意时段的资产负债表），或提交自2023年9月1日以来银行出具的资信证明，或信用担保机构出具的投标担保函，（以上三种形式的资料提 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2资格证明材料</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2资格证明材料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投标的，须出示身份证；法定代表人授权他人参加投标的，须提供法定代表人授权委托书、被授权人提交身份证。供应商需在项目电子化交易系统中按要求填写《法定代表人授权委托书》并进 行电子签章。</w:t>
            </w:r>
          </w:p>
        </w:tc>
        <w:tc>
          <w:tcPr>
            <w:tcW w:type="dxa" w:w="1661"/>
          </w:tcPr>
          <w:p>
            <w:pPr>
              <w:pStyle w:val="null3"/>
            </w:pPr>
            <w:r>
              <w:rPr/>
              <w:t>2资格证明材料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1分项报价 3服务响应偏离表 商务应答表 标的清单 报价表 15其他承诺 响应函</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(1)响应文件未按照磋商文件规定要求签署、盖章的； (2)不满足本招标文件中“服务时间、交付地点、交付期、采购资金的支付方式及约定”的实质性条款要求的； (3)投标有效期不足的或无有效期的； (4)报价未超过招标文件中规定的预算金额或最高限价； (5)法律、法规和招标文件规定的其他无效情形。</w:t>
            </w:r>
          </w:p>
        </w:tc>
        <w:tc>
          <w:tcPr>
            <w:tcW w:type="dxa" w:w="1661"/>
          </w:tcPr>
          <w:p>
            <w:pPr>
              <w:pStyle w:val="null3"/>
            </w:pPr>
            <w:r>
              <w:rPr/>
              <w:t>1分项报价 标的清单</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场地</w:t>
            </w:r>
          </w:p>
        </w:tc>
        <w:tc>
          <w:tcPr>
            <w:tcW w:type="dxa" w:w="2492"/>
          </w:tcPr>
          <w:p>
            <w:pPr>
              <w:pStyle w:val="null3"/>
            </w:pPr>
            <w:r>
              <w:rPr/>
              <w:t>针对本项目提供关于背景搭建、主席台，音响，引导指示牌，裁判员休息区，记录员记录台，运动员休息区、铁马、警戒带等场地，完全满足本次采购需求。 满足磋商文件要求，无瑕疵：12分； 场地内容存在1处瑕疵：9分； 场地内容存在2处瑕疵：6分； 场地内容存在3处瑕疵：3分； 未提供方案或不满足磋商文件要求或内容存在4处及以上瑕疵：0分；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8场地</w:t>
            </w:r>
          </w:p>
        </w:tc>
      </w:tr>
      <w:tr>
        <w:tc>
          <w:tcPr>
            <w:tcW w:type="dxa" w:w="831"/>
            <w:vMerge/>
          </w:tcPr>
          <w:p/>
        </w:tc>
        <w:tc>
          <w:tcPr>
            <w:tcW w:type="dxa" w:w="1661"/>
          </w:tcPr>
          <w:p>
            <w:pPr>
              <w:pStyle w:val="null3"/>
            </w:pPr>
            <w:r>
              <w:rPr/>
              <w:t>安全保障</w:t>
            </w:r>
          </w:p>
        </w:tc>
        <w:tc>
          <w:tcPr>
            <w:tcW w:type="dxa" w:w="2492"/>
          </w:tcPr>
          <w:p>
            <w:pPr>
              <w:pStyle w:val="null3"/>
            </w:pPr>
            <w:r>
              <w:rPr/>
              <w:t>针对本项目制定安全保障方案， 满足磋商文件要求，无瑕疵：5分； 方案内容存在1处瑕疵：3分； 方案内容存在2处瑕疵：1分；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10安全保障</w:t>
            </w:r>
          </w:p>
        </w:tc>
      </w:tr>
      <w:tr>
        <w:tc>
          <w:tcPr>
            <w:tcW w:type="dxa" w:w="831"/>
            <w:vMerge/>
          </w:tcPr>
          <w:p/>
        </w:tc>
        <w:tc>
          <w:tcPr>
            <w:tcW w:type="dxa" w:w="1661"/>
          </w:tcPr>
          <w:p>
            <w:pPr>
              <w:pStyle w:val="null3"/>
            </w:pPr>
            <w:r>
              <w:rPr/>
              <w:t>策划及实施方案</w:t>
            </w:r>
          </w:p>
        </w:tc>
        <w:tc>
          <w:tcPr>
            <w:tcW w:type="dxa" w:w="2492"/>
          </w:tcPr>
          <w:p>
            <w:pPr>
              <w:pStyle w:val="null3"/>
            </w:pPr>
            <w:r>
              <w:rPr/>
              <w:t>供应商针对本项目提供赛事实施方案。 1、方案完整，能够体现赛事的主题并充分理解采购需求，保证整个活动的流畅和顺利实施； 满足磋商文件要求，无瑕疵：10分； 方案内容存在1处瑕疵：8分； 方案内容存在2处瑕疵：6分； 方案内容存在3处瑕疵：3分； 未提供方案或不满足磋商文件要求或内容存在4处及以上瑕疵：0分；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4策划及实施方案</w:t>
            </w:r>
          </w:p>
        </w:tc>
      </w:tr>
      <w:tr>
        <w:tc>
          <w:tcPr>
            <w:tcW w:type="dxa" w:w="831"/>
            <w:vMerge/>
          </w:tcPr>
          <w:p/>
        </w:tc>
        <w:tc>
          <w:tcPr>
            <w:tcW w:type="dxa" w:w="1661"/>
          </w:tcPr>
          <w:p>
            <w:pPr>
              <w:pStyle w:val="null3"/>
            </w:pPr>
            <w:r>
              <w:rPr/>
              <w:t>服务团队</w:t>
            </w:r>
          </w:p>
        </w:tc>
        <w:tc>
          <w:tcPr>
            <w:tcW w:type="dxa" w:w="2492"/>
          </w:tcPr>
          <w:p>
            <w:pPr>
              <w:pStyle w:val="null3"/>
            </w:pPr>
            <w:r>
              <w:rPr/>
              <w:t>供应商针对本项目要求提供详细的人员配置方案及赛事人员补贴方案（人员包括但不限于主裁判、竞赛秘书、裁判员、志愿者等）），并提供相关证明材料（包括但不限于人员履历、相关资质、相关经验），能力及技术人员完整合理，管理构架合理； 满足磋商文件要求，无瑕疵：13分； 人员存在1处瑕疵：11分； 人员存在2处瑕疵：9分； 人员存在3处瑕疵：6分； 人员存在4处瑕疵：3分； 未提供方案或不满足磋商文件要求或内容存在5处及以上瑕疵：0分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13.00</w:t>
            </w:r>
          </w:p>
        </w:tc>
        <w:tc>
          <w:tcPr>
            <w:tcW w:type="dxa" w:w="831"/>
          </w:tcPr>
          <w:p>
            <w:pPr>
              <w:pStyle w:val="null3"/>
            </w:pPr>
            <w:r>
              <w:rPr/>
              <w:t>主观</w:t>
            </w:r>
          </w:p>
        </w:tc>
        <w:tc>
          <w:tcPr>
            <w:tcW w:type="dxa" w:w="1661"/>
          </w:tcPr>
          <w:p>
            <w:pPr>
              <w:pStyle w:val="null3"/>
            </w:pPr>
            <w:r>
              <w:rPr/>
              <w:t>5服务团队</w:t>
            </w:r>
          </w:p>
        </w:tc>
      </w:tr>
      <w:tr>
        <w:tc>
          <w:tcPr>
            <w:tcW w:type="dxa" w:w="831"/>
            <w:vMerge/>
          </w:tcPr>
          <w:p/>
        </w:tc>
        <w:tc>
          <w:tcPr>
            <w:tcW w:type="dxa" w:w="1661"/>
          </w:tcPr>
          <w:p>
            <w:pPr>
              <w:pStyle w:val="null3"/>
            </w:pPr>
            <w:r>
              <w:rPr/>
              <w:t>物料及设备清单</w:t>
            </w:r>
          </w:p>
        </w:tc>
        <w:tc>
          <w:tcPr>
            <w:tcW w:type="dxa" w:w="2492"/>
          </w:tcPr>
          <w:p>
            <w:pPr>
              <w:pStyle w:val="null3"/>
            </w:pPr>
            <w:r>
              <w:rPr/>
              <w:t>供应商针对本项目提供物料及设备清单（包括设备齐全、清单内容详细、数量充足）。 满足磋商文件要求，无瑕疵：10分； 清单内容存在1处瑕疵：8分； 清单内容存在2处瑕疵：6分； 清单内容存在3处瑕疵：3分； 未提供方案或不满足磋商文件要求或内容存在4处及以上瑕疵：0分；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6物料及设备清单</w:t>
            </w:r>
          </w:p>
        </w:tc>
      </w:tr>
      <w:tr>
        <w:tc>
          <w:tcPr>
            <w:tcW w:type="dxa" w:w="831"/>
            <w:vMerge/>
          </w:tcPr>
          <w:p/>
        </w:tc>
        <w:tc>
          <w:tcPr>
            <w:tcW w:type="dxa" w:w="1661"/>
          </w:tcPr>
          <w:p>
            <w:pPr>
              <w:pStyle w:val="null3"/>
            </w:pPr>
            <w:r>
              <w:rPr/>
              <w:t>宣传方案</w:t>
            </w:r>
          </w:p>
        </w:tc>
        <w:tc>
          <w:tcPr>
            <w:tcW w:type="dxa" w:w="2492"/>
          </w:tcPr>
          <w:p>
            <w:pPr>
              <w:pStyle w:val="null3"/>
            </w:pPr>
            <w:r>
              <w:rPr/>
              <w:t>供应商提供针对本项目的宣传方案及拟邀请的相关宣传媒体详细清单及以往合作证明材料。方案包含针对各环节中的宣传报道及宣传思路。 满足磋商文件要求，无瑕疵：10分； 方案内容存在1处瑕疵：8分； 方案内容存在2处瑕疵：6分； 方案内容存在3处瑕疵：3分； 未提供方案或不满足磋商文件要求或内容存在4处及以上瑕疵：0分；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7宣传方案</w:t>
            </w:r>
          </w:p>
        </w:tc>
      </w:tr>
      <w:tr>
        <w:tc>
          <w:tcPr>
            <w:tcW w:type="dxa" w:w="831"/>
            <w:vMerge/>
          </w:tcPr>
          <w:p/>
        </w:tc>
        <w:tc>
          <w:tcPr>
            <w:tcW w:type="dxa" w:w="1661"/>
          </w:tcPr>
          <w:p>
            <w:pPr>
              <w:pStyle w:val="null3"/>
            </w:pPr>
            <w:r>
              <w:rPr/>
              <w:t>后勤保障</w:t>
            </w:r>
          </w:p>
        </w:tc>
        <w:tc>
          <w:tcPr>
            <w:tcW w:type="dxa" w:w="2492"/>
          </w:tcPr>
          <w:p>
            <w:pPr>
              <w:pStyle w:val="null3"/>
            </w:pPr>
            <w:r>
              <w:rPr/>
              <w:t>针对本项目制定后勤保障方案，包括但不限于开幕式组织和颁奖仪式，比赛所需车辆，倒计时实施进度计划等。 满足磋商文件要求，无瑕疵：5分； 方案内容存在1处瑕疵：3分； 方案内容存在2处瑕疵：1分；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9后勤保障</w:t>
            </w:r>
          </w:p>
        </w:tc>
      </w:tr>
      <w:tr>
        <w:tc>
          <w:tcPr>
            <w:tcW w:type="dxa" w:w="831"/>
            <w:vMerge/>
          </w:tcPr>
          <w:p/>
        </w:tc>
        <w:tc>
          <w:tcPr>
            <w:tcW w:type="dxa" w:w="1661"/>
          </w:tcPr>
          <w:p>
            <w:pPr>
              <w:pStyle w:val="null3"/>
            </w:pPr>
            <w:r>
              <w:rPr/>
              <w:t>医疗救援</w:t>
            </w:r>
          </w:p>
        </w:tc>
        <w:tc>
          <w:tcPr>
            <w:tcW w:type="dxa" w:w="2492"/>
          </w:tcPr>
          <w:p>
            <w:pPr>
              <w:pStyle w:val="null3"/>
            </w:pPr>
            <w:r>
              <w:rPr/>
              <w:t>供应商针对本项目提供医疗保障救援方案。 满足磋商文件要求，无瑕疵：5分； 方案内容存在1处瑕疵：3分； 方案内容存在2处瑕疵：1分；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11医疗救援</w:t>
            </w:r>
          </w:p>
        </w:tc>
      </w:tr>
      <w:tr>
        <w:tc>
          <w:tcPr>
            <w:tcW w:type="dxa" w:w="831"/>
            <w:vMerge/>
          </w:tcPr>
          <w:p/>
        </w:tc>
        <w:tc>
          <w:tcPr>
            <w:tcW w:type="dxa" w:w="1661"/>
          </w:tcPr>
          <w:p>
            <w:pPr>
              <w:pStyle w:val="null3"/>
            </w:pPr>
            <w:r>
              <w:rPr/>
              <w:t>应急方案</w:t>
            </w:r>
          </w:p>
        </w:tc>
        <w:tc>
          <w:tcPr>
            <w:tcW w:type="dxa" w:w="2492"/>
          </w:tcPr>
          <w:p>
            <w:pPr>
              <w:pStyle w:val="null3"/>
            </w:pPr>
            <w:r>
              <w:rPr/>
              <w:t>制定完整的赛事应急工作方案（包括但不限于突发公共事件应急预案）。 满足磋商文件要求，无瑕疵：10分； 方案内容存在1处瑕疵：8分； 方案内容存在2处瑕疵：6分； 方案内容存在3处瑕疵：3分；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12应急方案</w:t>
            </w:r>
          </w:p>
        </w:tc>
      </w:tr>
      <w:tr>
        <w:tc>
          <w:tcPr>
            <w:tcW w:type="dxa" w:w="831"/>
            <w:vMerge/>
          </w:tcPr>
          <w:p/>
        </w:tc>
        <w:tc>
          <w:tcPr>
            <w:tcW w:type="dxa" w:w="1661"/>
          </w:tcPr>
          <w:p>
            <w:pPr>
              <w:pStyle w:val="null3"/>
            </w:pPr>
            <w:r>
              <w:rPr/>
              <w:t>业绩</w:t>
            </w:r>
          </w:p>
        </w:tc>
        <w:tc>
          <w:tcPr>
            <w:tcW w:type="dxa" w:w="2492"/>
          </w:tcPr>
          <w:p>
            <w:pPr>
              <w:pStyle w:val="null3"/>
            </w:pPr>
            <w:r>
              <w:rPr/>
              <w:t>业绩：提供供应商2021年1月1日至今同类项目合同，每提供1个得1分，最高得5分。（以合同签订日期为准） 备注：响应文件中提供合同复印件加盖公章。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13业绩</w:t>
            </w:r>
          </w:p>
        </w:tc>
      </w:tr>
      <w:tr>
        <w:tc>
          <w:tcPr>
            <w:tcW w:type="dxa" w:w="831"/>
            <w:vMerge/>
          </w:tcPr>
          <w:p/>
        </w:tc>
        <w:tc>
          <w:tcPr>
            <w:tcW w:type="dxa" w:w="1661"/>
          </w:tcPr>
          <w:p>
            <w:pPr>
              <w:pStyle w:val="null3"/>
            </w:pPr>
            <w:r>
              <w:rPr/>
              <w:t>服务承诺</w:t>
            </w:r>
          </w:p>
        </w:tc>
        <w:tc>
          <w:tcPr>
            <w:tcW w:type="dxa" w:w="2492"/>
          </w:tcPr>
          <w:p>
            <w:pPr>
              <w:pStyle w:val="null3"/>
            </w:pPr>
            <w:r>
              <w:rPr/>
              <w:t>供应商针对本项目有详细的服务承诺，且承诺内容具有可行性。 满足项目要求，无瑕疵：5分； 承诺内容存在1处瑕疵：3分； 承诺内容存在2处瑕疵：1分；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14服务承诺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价格分统一采用低价优先法计算，即满足磋商文件要求且投标价格最低的投标报价为评标基准价，其价格分为满分。其他供应商的价格分统一按照下列公式计算： 价格分=(评标基准价／投标报价)×报价分值 注：计算分数时四舍五入取小数点后两位；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详见附件：1分项报价</w:t>
      </w:r>
    </w:p>
    <w:p>
      <w:pPr>
        <w:pStyle w:val="null3"/>
        <w:ind w:firstLine="960"/>
      </w:pPr>
      <w:r>
        <w:rPr/>
        <w:t>详见附件：2资格证明材料</w:t>
      </w:r>
    </w:p>
    <w:p>
      <w:pPr>
        <w:pStyle w:val="null3"/>
        <w:ind w:firstLine="960"/>
      </w:pPr>
      <w:r>
        <w:rPr/>
        <w:t>详见附件：3服务响应偏离表</w:t>
      </w:r>
    </w:p>
    <w:p>
      <w:pPr>
        <w:pStyle w:val="null3"/>
        <w:ind w:firstLine="960"/>
      </w:pPr>
      <w:r>
        <w:rPr/>
        <w:t>详见附件：4策划及实施方案</w:t>
      </w:r>
    </w:p>
    <w:p>
      <w:pPr>
        <w:pStyle w:val="null3"/>
        <w:ind w:firstLine="960"/>
      </w:pPr>
      <w:r>
        <w:rPr/>
        <w:t>详见附件：5服务团队</w:t>
      </w:r>
    </w:p>
    <w:p>
      <w:pPr>
        <w:pStyle w:val="null3"/>
        <w:ind w:firstLine="960"/>
      </w:pPr>
      <w:r>
        <w:rPr/>
        <w:t>详见附件：6物料及设备清单</w:t>
      </w:r>
    </w:p>
    <w:p>
      <w:pPr>
        <w:pStyle w:val="null3"/>
        <w:ind w:firstLine="960"/>
      </w:pPr>
      <w:r>
        <w:rPr/>
        <w:t>详见附件：7宣传方案</w:t>
      </w:r>
    </w:p>
    <w:p>
      <w:pPr>
        <w:pStyle w:val="null3"/>
        <w:ind w:firstLine="960"/>
      </w:pPr>
      <w:r>
        <w:rPr/>
        <w:t>详见附件：8场地</w:t>
      </w:r>
    </w:p>
    <w:p>
      <w:pPr>
        <w:pStyle w:val="null3"/>
        <w:ind w:firstLine="960"/>
      </w:pPr>
      <w:r>
        <w:rPr/>
        <w:t>详见附件：9后勤保障</w:t>
      </w:r>
    </w:p>
    <w:p>
      <w:pPr>
        <w:pStyle w:val="null3"/>
        <w:ind w:firstLine="960"/>
      </w:pPr>
      <w:r>
        <w:rPr/>
        <w:t>详见附件：10安全保障</w:t>
      </w:r>
    </w:p>
    <w:p>
      <w:pPr>
        <w:pStyle w:val="null3"/>
        <w:ind w:firstLine="960"/>
      </w:pPr>
      <w:r>
        <w:rPr/>
        <w:t>详见附件：11医疗救援</w:t>
      </w:r>
    </w:p>
    <w:p>
      <w:pPr>
        <w:pStyle w:val="null3"/>
        <w:ind w:firstLine="960"/>
      </w:pPr>
      <w:r>
        <w:rPr/>
        <w:t>详见附件：12应急方案</w:t>
      </w:r>
    </w:p>
    <w:p>
      <w:pPr>
        <w:pStyle w:val="null3"/>
        <w:ind w:firstLine="960"/>
      </w:pPr>
      <w:r>
        <w:rPr/>
        <w:t>详见附件：13业绩</w:t>
      </w:r>
    </w:p>
    <w:p>
      <w:pPr>
        <w:pStyle w:val="null3"/>
        <w:ind w:firstLine="960"/>
      </w:pPr>
      <w:r>
        <w:rPr/>
        <w:t>详见附件：14服务承诺</w:t>
      </w:r>
    </w:p>
    <w:p>
      <w:pPr>
        <w:pStyle w:val="null3"/>
        <w:ind w:firstLine="960"/>
      </w:pPr>
      <w:r>
        <w:rPr/>
        <w:t>详见附件：15其他承诺</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