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服务响应偏离表</w:t>
      </w:r>
    </w:p>
    <w:p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</w:p>
    <w:tbl>
      <w:tblPr>
        <w:tblStyle w:val="4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701"/>
        <w:gridCol w:w="1659"/>
        <w:gridCol w:w="1504"/>
        <w:gridCol w:w="1659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ind w:firstLine="240" w:firstLineChars="100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采购需求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磋商要求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…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N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1、“磋商要求”一栏应</w:t>
      </w:r>
      <w:r>
        <w:rPr>
          <w:rFonts w:hint="eastAsia" w:ascii="仿宋" w:hAnsi="仿宋" w:eastAsia="仿宋" w:cs="仿宋"/>
          <w:b/>
          <w:sz w:val="24"/>
        </w:rPr>
        <w:t>填写磋商文件第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24"/>
        </w:rPr>
        <w:t xml:space="preserve">章 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3.2.2</w:t>
      </w:r>
      <w:r>
        <w:rPr>
          <w:rFonts w:hint="eastAsia" w:ascii="仿宋" w:hAnsi="仿宋" w:eastAsia="仿宋" w:cs="仿宋"/>
          <w:sz w:val="24"/>
        </w:rPr>
        <w:t>“</w:t>
      </w:r>
      <w:r>
        <w:rPr>
          <w:rFonts w:hint="eastAsia" w:ascii="仿宋" w:hAnsi="仿宋" w:eastAsia="仿宋" w:cs="仿宋"/>
          <w:sz w:val="24"/>
          <w:lang w:val="en-US" w:eastAsia="zh-CN"/>
        </w:rPr>
        <w:t>服务要求</w:t>
      </w:r>
      <w:r>
        <w:rPr>
          <w:rFonts w:hint="eastAsia" w:ascii="仿宋" w:hAnsi="仿宋" w:eastAsia="仿宋" w:cs="仿宋"/>
          <w:sz w:val="24"/>
        </w:rPr>
        <w:t>”的内容；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2、“响应情况”一栏必须详细填写服务内容，并应对照磋商文件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要求一一对应响应；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3、“偏离情况”一栏应如实填写“正偏离”、“负偏离”或“无偏离”；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4、供应商应完整响应磋商</w:t>
      </w:r>
      <w:r>
        <w:rPr>
          <w:rFonts w:hint="eastAsia" w:ascii="仿宋" w:hAnsi="仿宋" w:eastAsia="仿宋" w:cs="仿宋"/>
          <w:sz w:val="24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</w:rPr>
        <w:t>要求，并逐条填写《</w:t>
      </w:r>
      <w:r>
        <w:rPr>
          <w:rFonts w:hint="eastAsia" w:ascii="仿宋" w:hAnsi="仿宋" w:eastAsia="仿宋" w:cs="仿宋"/>
          <w:sz w:val="24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</w:rPr>
        <w:t>响应与偏离表》，如有漏项或缺项，将被视为未实质性满足磋商文件要求按无效响应处理。</w:t>
      </w:r>
    </w:p>
    <w:p>
      <w:pPr>
        <w:pStyle w:val="3"/>
        <w:ind w:firstLine="480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5、供应商所填写的“偏离情况”与评审委员会判定不一致时</w:t>
      </w:r>
      <w:r>
        <w:rPr>
          <w:rFonts w:hint="eastAsia" w:ascii="仿宋" w:hAnsi="仿宋" w:eastAsia="仿宋" w:cs="仿宋"/>
          <w:b/>
          <w:sz w:val="24"/>
        </w:rPr>
        <w:t>，以磋商小组意见为主。</w:t>
      </w:r>
    </w:p>
    <w:p>
      <w:pPr>
        <w:pStyle w:val="3"/>
        <w:ind w:firstLine="482" w:firstLineChars="200"/>
        <w:rPr>
          <w:rFonts w:hint="eastAsia" w:ascii="仿宋" w:hAnsi="仿宋" w:eastAsia="仿宋" w:cs="仿宋"/>
          <w:b/>
          <w:sz w:val="24"/>
        </w:rPr>
      </w:pPr>
    </w:p>
    <w:p>
      <w:pPr>
        <w:pStyle w:val="3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</w:t>
      </w:r>
    </w:p>
    <w:p>
      <w:pPr>
        <w:pStyle w:val="3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pStyle w:val="3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说明：授权用投标专用章的，与公章具有相同法律效力。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0F5A553B"/>
    <w:rsid w:val="113B273E"/>
    <w:rsid w:val="2296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2024-03-29T10:27:53Z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2E1BA07188734A7EB97415E649D28840_12</vt:lpwstr>
  </property>
</Properties>
</file>