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br/>
      </w:r>
      <w:r>
        <w:br/>
      </w:r>
      <w:r>
        <w:br/>
      </w:r>
      <w:r>
        <w:br/>
      </w:r>
      <w:r>
        <w:br/>
      </w:r>
    </w:p>
    <w:p>
      <w:pPr>
        <w:pStyle w:val="null3"/>
        <w:jc w:val="center"/>
        <w:outlineLvl w:val="0"/>
      </w:pPr>
      <w:r>
        <w:rPr>
          <w:b/>
          <w:sz w:val="48"/>
        </w:rPr>
        <w:t>磋 商 文 件</w:t>
      </w:r>
      <w:r>
        <w:br/>
      </w:r>
      <w:r>
        <w:br/>
      </w:r>
      <w:r>
        <w:br/>
      </w:r>
    </w:p>
    <w:p>
      <w:pPr>
        <w:pStyle w:val="null3"/>
        <w:jc w:val="center"/>
        <w:outlineLvl w:val="1"/>
      </w:pPr>
      <w:r>
        <w:rPr>
          <w:b/>
          <w:sz w:val="36"/>
        </w:rPr>
        <w:t>（服务类）</w:t>
      </w:r>
      <w:r>
        <w:br/>
      </w:r>
      <w:r>
        <w:br/>
      </w:r>
      <w:r>
        <w:br/>
      </w:r>
      <w:r>
        <w:br/>
      </w:r>
      <w:r>
        <w:br/>
      </w:r>
      <w:r>
        <w:br/>
      </w:r>
      <w:r>
        <w:br/>
      </w:r>
      <w:r>
        <w:br/>
      </w:r>
      <w:r>
        <w:br/>
      </w:r>
      <w:r>
        <w:br/>
      </w:r>
      <w:r>
        <w:br/>
      </w:r>
    </w:p>
    <w:p>
      <w:pPr>
        <w:pStyle w:val="null3"/>
        <w:jc w:val="center"/>
        <w:outlineLvl w:val="2"/>
      </w:pPr>
      <w:r>
        <w:rPr>
          <w:b/>
          <w:sz w:val="28"/>
        </w:rPr>
        <w:t>采购项目名称：</w:t>
      </w:r>
      <w:r>
        <w:rPr>
          <w:b/>
          <w:sz w:val="28"/>
        </w:rPr>
        <w:t>信息系统、数据中心、网络安全及边界防火墙运维保续费</w:t>
      </w:r>
    </w:p>
    <w:p>
      <w:pPr>
        <w:pStyle w:val="null3"/>
        <w:jc w:val="center"/>
        <w:outlineLvl w:val="2"/>
      </w:pPr>
      <w:r>
        <w:rPr>
          <w:b/>
          <w:sz w:val="28"/>
        </w:rPr>
        <w:t>采购项目编号：</w:t>
      </w:r>
      <w:r>
        <w:rPr>
          <w:b/>
          <w:sz w:val="28"/>
        </w:rPr>
        <w:t>0617-2421FZ0633.</w:t>
      </w:r>
      <w:r>
        <w:br/>
      </w:r>
      <w:r>
        <w:br/>
      </w:r>
      <w:r>
        <w:br/>
      </w:r>
    </w:p>
    <w:p>
      <w:pPr>
        <w:pStyle w:val="null3"/>
        <w:jc w:val="center"/>
        <w:outlineLvl w:val="2"/>
      </w:pPr>
      <w:r>
        <w:rPr>
          <w:b/>
          <w:sz w:val="28"/>
        </w:rPr>
        <w:t>西安职业技术学院</w:t>
      </w:r>
    </w:p>
    <w:p>
      <w:pPr>
        <w:pStyle w:val="null3"/>
        <w:jc w:val="center"/>
        <w:outlineLvl w:val="2"/>
      </w:pPr>
      <w:r>
        <w:rPr>
          <w:b/>
          <w:sz w:val="28"/>
        </w:rPr>
        <w:t>西北(陕西)国际招标有限公司</w:t>
      </w:r>
      <w:r>
        <w:rPr>
          <w:b/>
          <w:sz w:val="28"/>
        </w:rPr>
        <w:t>共同编制</w:t>
      </w:r>
    </w:p>
    <w:p>
      <w:pPr>
        <w:pStyle w:val="null3"/>
        <w:jc w:val="center"/>
        <w:outlineLvl w:val="2"/>
      </w:pPr>
      <w:r>
        <w:rPr>
          <w:b/>
          <w:sz w:val="28"/>
        </w:rPr>
        <w:t>2024年04月15日</w:t>
      </w:r>
    </w:p>
    <w:p>
      <w:pPr>
        <w:pStyle w:val="null3"/>
      </w:pPr>
      <w:r>
        <w:rPr/>
        <w:t xml:space="preserve"> </w:t>
        <w:br/>
        <w:br w:type="page"/>
      </w:r>
    </w:p>
    <w:p>
      <w:pPr>
        <w:pStyle w:val="null3"/>
        <w:jc w:val="center"/>
        <w:outlineLvl w:val="1"/>
      </w:pPr>
      <w:r>
        <w:rPr>
          <w:b/>
          <w:sz w:val="36"/>
        </w:rPr>
        <w:t>第一章 竞争性磋商邀请</w:t>
      </w:r>
    </w:p>
    <w:p>
      <w:pPr>
        <w:pStyle w:val="null3"/>
        <w:ind w:firstLine="480"/>
      </w:pPr>
      <w:r>
        <w:rPr/>
        <w:t>西北(陕西)国际招标有限公司</w:t>
      </w:r>
      <w:r>
        <w:rPr/>
        <w:t>（以下简称“代理机构”）受</w:t>
      </w:r>
      <w:r>
        <w:rPr/>
        <w:t>西安职业技术学院</w:t>
      </w:r>
      <w:r>
        <w:rPr/>
        <w:t>委托，拟对</w:t>
      </w:r>
      <w:r>
        <w:rPr/>
        <w:t>信息系统、数据中心、网络安全及边界防火墙运维保续费</w:t>
      </w:r>
      <w:r>
        <w:rPr/>
        <w:t>采用竞争性磋商采购方式进行采购，兹邀请供应商参加本项目的竞争性磋商。</w:t>
      </w:r>
    </w:p>
    <w:p>
      <w:pPr>
        <w:pStyle w:val="null3"/>
        <w:outlineLvl w:val="2"/>
      </w:pPr>
      <w:r>
        <w:rPr>
          <w:b/>
          <w:sz w:val="28"/>
        </w:rPr>
        <w:t>一、项目编号：</w:t>
      </w:r>
      <w:r>
        <w:rPr>
          <w:b/>
          <w:sz w:val="28"/>
        </w:rPr>
        <w:t>0617-2421FZ0633.</w:t>
      </w:r>
    </w:p>
    <w:p>
      <w:pPr>
        <w:pStyle w:val="null3"/>
        <w:outlineLvl w:val="2"/>
      </w:pPr>
      <w:r>
        <w:rPr>
          <w:b/>
          <w:sz w:val="28"/>
        </w:rPr>
        <w:t>二、项目名称：</w:t>
      </w:r>
      <w:r>
        <w:rPr>
          <w:b/>
          <w:sz w:val="28"/>
        </w:rPr>
        <w:t>信息系统、数据中心、网络安全及边界防火墙运维保续费</w:t>
      </w:r>
    </w:p>
    <w:p>
      <w:pPr>
        <w:pStyle w:val="null3"/>
        <w:outlineLvl w:val="2"/>
      </w:pPr>
      <w:r>
        <w:rPr>
          <w:b/>
          <w:sz w:val="28"/>
        </w:rPr>
        <w:t>三、磋商项目简介</w:t>
      </w:r>
    </w:p>
    <w:p>
      <w:pPr>
        <w:pStyle w:val="null3"/>
        <w:ind w:firstLine="480"/>
      </w:pPr>
      <w:r>
        <w:rPr/>
        <w:t>西安职业技术学院的各信息系统已经到达维保期限。通过信息系统、数据中心、网络安全及边界防火墙运维项目提供服务，使学院各信息系统、数据中心、边界防火墙及各网络安全设备能够正常运行，并为其提供日常运维，从而提升学院信息化教学和办公的效率。</w:t>
      </w:r>
    </w:p>
    <w:p>
      <w:pPr>
        <w:pStyle w:val="null3"/>
        <w:outlineLvl w:val="2"/>
      </w:pPr>
      <w:r>
        <w:rPr>
          <w:b/>
          <w:sz w:val="28"/>
        </w:rPr>
        <w:t>四、邀请供应商</w:t>
      </w:r>
    </w:p>
    <w:p>
      <w:pPr>
        <w:pStyle w:val="null3"/>
      </w:pPr>
      <w:r>
        <w:rPr/>
        <w:t>本次采购采取公告征集邀请磋商的供应商。</w:t>
      </w:r>
    </w:p>
    <w:p>
      <w:pPr>
        <w:pStyle w:val="null3"/>
      </w:pPr>
      <w:r>
        <w:rPr/>
        <w:t xml:space="preserve"> 公告征集：本次竞争性磋商在“陕西省政府采购网（www.ccgp-shaanxi.gov.cn）”上以公告形式发布，兹邀请符合本次采购要求的供应商参加本项目的竞争性磋商。</w:t>
      </w:r>
    </w:p>
    <w:p>
      <w:pPr>
        <w:pStyle w:val="null3"/>
        <w:outlineLvl w:val="2"/>
      </w:pPr>
      <w:r>
        <w:rPr>
          <w:b/>
          <w:sz w:val="28"/>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 xml:space="preserve"> 无</w:t>
      </w:r>
    </w:p>
    <w:p>
      <w:pPr>
        <w:pStyle w:val="null3"/>
        <w:outlineLvl w:val="2"/>
      </w:pPr>
      <w:r>
        <w:rPr>
          <w:b/>
          <w:sz w:val="28"/>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服务专区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服务专区-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CA及签章服务：通过陕西省政府采购网-服务专区-CA及签章服务进行查询</w:t>
      </w:r>
    </w:p>
    <w:p>
      <w:pPr>
        <w:pStyle w:val="null3"/>
        <w:outlineLvl w:val="2"/>
      </w:pPr>
      <w:r>
        <w:rPr>
          <w:b/>
          <w:sz w:val="28"/>
        </w:rPr>
        <w:t>七、竞争性磋商文件获取时间、方式及地址</w:t>
      </w:r>
    </w:p>
    <w:p>
      <w:pPr>
        <w:pStyle w:val="null3"/>
        <w:ind w:firstLine="480"/>
      </w:pPr>
      <w:r>
        <w:rPr/>
        <w:t>（一）磋商文件获取时间：详见采购公告或邀请书。</w:t>
      </w:r>
    </w:p>
    <w:p>
      <w:pPr>
        <w:pStyle w:val="null3"/>
        <w:ind w:firstLine="480"/>
      </w:pPr>
      <w:r>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t xml:space="preserve"> 注：获取的磋商文件主体格式包括pdf、word两种格式版本，其中以pdf格式为准。</w:t>
      </w:r>
    </w:p>
    <w:p>
      <w:pPr>
        <w:pStyle w:val="null3"/>
        <w:outlineLvl w:val="2"/>
      </w:pPr>
      <w:r>
        <w:rPr>
          <w:b/>
          <w:sz w:val="28"/>
        </w:rPr>
        <w:t>八、首次响应文件提交截止时间及开启时间、地点、方式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b/>
          <w:sz w:val="28"/>
        </w:rPr>
        <w:t>九、磋商方式</w:t>
      </w:r>
    </w:p>
    <w:p>
      <w:pPr>
        <w:pStyle w:val="null3"/>
        <w:ind w:firstLine="480"/>
      </w:pPr>
      <w:r>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b/>
          <w:sz w:val="28"/>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信用融资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b/>
          <w:sz w:val="28"/>
        </w:rPr>
        <w:t>十一、联系方式</w:t>
      </w:r>
    </w:p>
    <w:p>
      <w:pPr>
        <w:pStyle w:val="null3"/>
        <w:outlineLvl w:val="3"/>
      </w:pPr>
      <w:r>
        <w:rPr>
          <w:b/>
          <w:sz w:val="24"/>
        </w:rPr>
        <w:t xml:space="preserve">采购人： </w:t>
      </w:r>
      <w:r>
        <w:rPr>
          <w:b/>
          <w:sz w:val="24"/>
        </w:rPr>
        <w:t>西安职业技术学院</w:t>
      </w:r>
    </w:p>
    <w:p>
      <w:pPr>
        <w:pStyle w:val="null3"/>
      </w:pPr>
      <w:r>
        <w:rPr/>
        <w:t xml:space="preserve"> 地址： </w:t>
      </w:r>
      <w:r>
        <w:rPr/>
        <w:t>雁塔区鱼斗路251号</w:t>
      </w:r>
    </w:p>
    <w:p>
      <w:pPr>
        <w:pStyle w:val="null3"/>
      </w:pPr>
      <w:r>
        <w:rPr/>
        <w:t xml:space="preserve"> 邮编： </w:t>
      </w:r>
      <w:r>
        <w:rPr/>
        <w:t>710077</w:t>
      </w:r>
    </w:p>
    <w:p>
      <w:pPr>
        <w:pStyle w:val="null3"/>
      </w:pPr>
      <w:r>
        <w:rPr/>
        <w:t xml:space="preserve"> 联系人： </w:t>
      </w:r>
      <w:r>
        <w:rPr/>
        <w:t>西安职业技术学院经办</w:t>
      </w:r>
    </w:p>
    <w:p>
      <w:pPr>
        <w:pStyle w:val="null3"/>
      </w:pPr>
      <w:r>
        <w:rPr/>
        <w:t xml:space="preserve"> 联系电话： </w:t>
      </w:r>
      <w:r>
        <w:rPr/>
        <w:t>029-88511408</w:t>
      </w:r>
    </w:p>
    <w:p>
      <w:pPr>
        <w:pStyle w:val="null3"/>
        <w:outlineLvl w:val="3"/>
      </w:pPr>
      <w:r>
        <w:rPr>
          <w:b/>
          <w:sz w:val="24"/>
        </w:rPr>
        <w:t>代理机构：</w:t>
      </w:r>
      <w:r>
        <w:rPr>
          <w:b/>
          <w:sz w:val="24"/>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710075</w:t>
      </w:r>
    </w:p>
    <w:p>
      <w:pPr>
        <w:pStyle w:val="null3"/>
      </w:pPr>
      <w:r>
        <w:rPr/>
        <w:t xml:space="preserve"> 联系人： </w:t>
      </w:r>
      <w:r>
        <w:rPr/>
        <w:t>刘洁茜、宋鹏飞、张喆</w:t>
      </w:r>
    </w:p>
    <w:p>
      <w:pPr>
        <w:pStyle w:val="null3"/>
      </w:pPr>
      <w:r>
        <w:rPr/>
        <w:t xml:space="preserve"> 联系电话： </w:t>
      </w:r>
      <w:r>
        <w:rPr/>
        <w:t>029-89651851</w:t>
      </w:r>
    </w:p>
    <w:p>
      <w:pPr>
        <w:pStyle w:val="null3"/>
        <w:outlineLvl w:val="3"/>
      </w:pPr>
      <w:r>
        <w:rPr>
          <w:b/>
          <w:sz w:val="24"/>
        </w:rPr>
        <w:t>采购监督机构：</w:t>
      </w:r>
      <w:r>
        <w:rPr>
          <w:b/>
          <w:sz w:val="24"/>
        </w:rPr>
        <w:t>西安市财政局政府采购管理处</w:t>
      </w:r>
    </w:p>
    <w:p>
      <w:pPr>
        <w:pStyle w:val="null3"/>
        <w:ind w:firstLine="480"/>
      </w:pPr>
      <w:r>
        <w:rPr/>
        <w:t>联系人：</w:t>
      </w:r>
      <w:r>
        <w:rPr/>
        <w:t>王鹏</w:t>
      </w:r>
    </w:p>
    <w:p>
      <w:pPr>
        <w:pStyle w:val="null3"/>
        <w:ind w:firstLine="480"/>
      </w:pPr>
      <w:r>
        <w:rPr/>
        <w:t>联系电话：</w:t>
      </w:r>
      <w:r>
        <w:rPr/>
        <w:t>029-89821848</w:t>
      </w:r>
    </w:p>
    <w:p>
      <w:pPr>
        <w:pStyle w:val="null3"/>
      </w:pPr>
      <w:r>
        <w:rPr/>
        <w:t xml:space="preserve"> </w:t>
        <w:br/>
        <w:br w:type="page"/>
      </w:r>
    </w:p>
    <w:p>
      <w:pPr>
        <w:pStyle w:val="null3"/>
        <w:jc w:val="center"/>
        <w:outlineLvl w:val="1"/>
      </w:pPr>
      <w:r>
        <w:rPr>
          <w:b/>
          <w:sz w:val="36"/>
        </w:rPr>
        <w:t>第二章 供应商须知</w:t>
      </w:r>
    </w:p>
    <w:p>
      <w:pPr>
        <w:pStyle w:val="null3"/>
        <w:outlineLvl w:val="2"/>
      </w:pPr>
      <w:r>
        <w:rPr>
          <w:b/>
          <w:sz w:val="28"/>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采购包1：800,000.00元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综合评分法(详见第六章)。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如以联合体响应的，联合体各方均应当具备本磋商文件要求的资格条件和能力。</w:t>
            </w:r>
          </w:p>
          <w:p>
            <w:pPr>
              <w:pStyle w:val="null3"/>
            </w:pPr>
            <w:r>
              <w:rPr/>
              <w:t xml:space="preserve"> （1）联合体各方均应具有承担本磋商项目必备的条件，如相应的人力、物力、资金等。</w:t>
            </w:r>
          </w:p>
          <w:p>
            <w:pPr>
              <w:pStyle w:val="null3"/>
            </w:pPr>
            <w:r>
              <w:rPr/>
              <w:t xml:space="preserve"> （2）磋商文件对供应商资格条件有特殊要求的，联合体各个成员都应当具备规定的相应资格条件。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落实节能、环保、无线局域网认证产品政策</w:t>
            </w:r>
          </w:p>
        </w:tc>
        <w:tc>
          <w:tcPr>
            <w:tcW w:type="dxa" w:w="5004"/>
          </w:tcPr>
          <w:p>
            <w:pPr>
              <w:pStyle w:val="null3"/>
            </w:pPr>
            <w:r>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产品属于环境标志产品政府采购品目清单中应优先采购的产品范围，评审得分相同的，按供应商提供的优先采购产品认证证书数量由多到少顺序排列。</w:t>
            </w:r>
          </w:p>
          <w:p>
            <w:pPr>
              <w:pStyle w:val="null3"/>
            </w:pPr>
            <w:r>
              <w:rPr/>
              <w:t xml:space="preserve"> 4.响应产品属于中国政府采购网公布的《无线局域网认证产品政府采购清单》且在有效期内的，按《财政部 国家发展改革委 信息产业部关于印发无线局域网产品政府采购实施意见的通知》（财库〔2005〕366号）要求优先采购。</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t>9</w:t>
            </w:r>
          </w:p>
        </w:tc>
        <w:tc>
          <w:tcPr>
            <w:tcW w:type="dxa" w:w="2252"/>
          </w:tcPr>
          <w:p>
            <w:pPr>
              <w:pStyle w:val="null3"/>
            </w:pPr>
            <w:r>
              <w:rPr/>
              <w:t>磋商保证金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提交首次响应文件的截止之日起不少于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代理服务费收费标准：参照国家计委关于印发《招标代理服务收费管理暂行办法》的通知（计 价格〔2002〕1980号）、《国家发展和改革委员会办公厅关于招标代理服务收费有关问题的 通知》（发改办价格〔2003〕857号）规定的收费标准进行收费。</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出现下列情形之一的，采购人或者代理机构应当中止电子化采购活动，并保留相关证明材料备查： </w:t>
            </w:r>
          </w:p>
          <w:p>
            <w:pPr>
              <w:pStyle w:val="null3"/>
            </w:pPr>
            <w:r>
              <w:rPr/>
              <w:t>（一）交易系统发生故障（包括感染病毒、应用或数据库出错）而无法正常使用的；</w:t>
            </w:r>
          </w:p>
          <w:p>
            <w:pPr>
              <w:pStyle w:val="null3"/>
            </w:pPr>
            <w:r>
              <w:rPr/>
              <w:t>（二）因组织场所停电、断网等原因，导致采购活动无法继续通过交易系统实施的；</w:t>
            </w:r>
          </w:p>
          <w:p>
            <w:pPr>
              <w:pStyle w:val="null3"/>
            </w:pPr>
            <w:r>
              <w:rPr/>
              <w:t>（三）其他无法保证电子化交易的公平、公正和安全的情况。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b/>
          <w:sz w:val="28"/>
        </w:rPr>
        <w:t>2.2总则</w:t>
      </w:r>
    </w:p>
    <w:p>
      <w:pPr>
        <w:pStyle w:val="null3"/>
        <w:outlineLvl w:val="3"/>
      </w:pPr>
      <w:r>
        <w:rPr>
          <w:b/>
          <w:sz w:val="24"/>
        </w:rPr>
        <w:t xml:space="preserve"> 2.2.1适用范围</w:t>
      </w:r>
    </w:p>
    <w:p>
      <w:pPr>
        <w:pStyle w:val="null3"/>
        <w:ind w:firstLine="480"/>
      </w:pPr>
      <w:r>
        <w:rPr/>
        <w:t>一、本磋商文件仅适用于本次竞争性磋商采购项目。</w:t>
      </w:r>
    </w:p>
    <w:p>
      <w:pPr>
        <w:pStyle w:val="null3"/>
        <w:ind w:firstLine="480"/>
      </w:pPr>
      <w:r>
        <w:rPr/>
        <w:t xml:space="preserve"> 二、本磋商文件的最终解释权由</w:t>
      </w:r>
      <w:r>
        <w:rPr/>
        <w:t>西安职业技术学院</w:t>
      </w:r>
      <w:r>
        <w:rPr/>
        <w:t>和</w:t>
      </w:r>
      <w:r>
        <w:rPr/>
        <w:t>西北(陕西)国际招标有限公司</w:t>
      </w:r>
      <w:r>
        <w:rPr/>
        <w:t>享有。对磋商文件中供应商参加本次政府采购活动应当具备的条件，磋商项目技术、服务、商务及其他要求，评审细则及标准由</w:t>
      </w:r>
      <w:r>
        <w:rPr/>
        <w:t>西安职业技术学院</w:t>
      </w:r>
      <w:r>
        <w:rPr/>
        <w:t>负责解释。除上述磋商文件内容，其他内容由</w:t>
      </w:r>
      <w:r>
        <w:rPr/>
        <w:t>西北(陕西)国际招标有限公司</w:t>
      </w:r>
      <w:r>
        <w:rPr/>
        <w:t>负责解释。</w:t>
      </w:r>
    </w:p>
    <w:p>
      <w:pPr>
        <w:pStyle w:val="null3"/>
        <w:outlineLvl w:val="3"/>
      </w:pPr>
      <w:r>
        <w:rPr>
          <w:b/>
          <w:sz w:val="24"/>
        </w:rPr>
        <w:t>2.2.2有关定义</w:t>
      </w:r>
    </w:p>
    <w:p>
      <w:pPr>
        <w:pStyle w:val="null3"/>
        <w:ind w:firstLine="480"/>
      </w:pPr>
      <w:r>
        <w:rPr/>
        <w:t xml:space="preserve"> 一、“采购人”是指依法进行政府采购的各级国家机关、事业单位、团体组织。本次磋商的采购人是</w:t>
      </w:r>
      <w:r>
        <w:rPr/>
        <w:t>西安职业技术学院</w:t>
      </w:r>
      <w:r>
        <w:rPr/>
        <w:t>。</w:t>
      </w:r>
    </w:p>
    <w:p>
      <w:pPr>
        <w:pStyle w:val="null3"/>
        <w:ind w:firstLine="480"/>
      </w:pPr>
      <w:r>
        <w:rPr/>
        <w:t xml:space="preserve"> 二、“供应商”是指在按照磋商公告规定获取磋商文件，拟参加响应和向采购人提供货物、工程或服务的法人、其他组织或自然人。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b/>
          <w:sz w:val="24"/>
        </w:rPr>
        <w:t xml:space="preserve"> 2.2.3响应费用（实质性要求）</w:t>
      </w:r>
    </w:p>
    <w:p>
      <w:pPr>
        <w:pStyle w:val="null3"/>
        <w:ind w:firstLine="480"/>
      </w:pPr>
      <w:r>
        <w:rPr/>
        <w:t>供应商应自行承担参加竞争性磋商采购活动的全部费用。</w:t>
      </w:r>
    </w:p>
    <w:p>
      <w:pPr>
        <w:pStyle w:val="null3"/>
        <w:outlineLvl w:val="2"/>
      </w:pPr>
      <w:r>
        <w:rPr>
          <w:b/>
          <w:sz w:val="28"/>
        </w:rPr>
        <w:t>2.3磋商文件</w:t>
      </w:r>
    </w:p>
    <w:p>
      <w:pPr>
        <w:pStyle w:val="null3"/>
        <w:outlineLvl w:val="3"/>
      </w:pPr>
      <w:r>
        <w:rPr>
          <w:b/>
          <w:sz w:val="24"/>
        </w:rPr>
        <w:t xml:space="preserve"> 2.3.1磋商文件的构成</w:t>
      </w:r>
    </w:p>
    <w:p>
      <w:pPr>
        <w:pStyle w:val="null3"/>
        <w:ind w:firstLine="480"/>
      </w:pPr>
      <w:r>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t>（一）竞争性磋商邀请；</w:t>
      </w:r>
    </w:p>
    <w:p>
      <w:pPr>
        <w:pStyle w:val="null3"/>
        <w:ind w:firstLine="480"/>
      </w:pPr>
      <w:r>
        <w:rPr/>
        <w:t>（二）供应商须知；</w:t>
      </w:r>
    </w:p>
    <w:p>
      <w:pPr>
        <w:pStyle w:val="null3"/>
        <w:ind w:firstLine="480"/>
      </w:pPr>
      <w:r>
        <w:rPr/>
        <w:t>（三）磋商项目技术、服务、商务及其他要求；</w:t>
      </w:r>
    </w:p>
    <w:p>
      <w:pPr>
        <w:pStyle w:val="null3"/>
        <w:ind w:firstLine="480"/>
      </w:pPr>
      <w:r>
        <w:rPr/>
        <w:t>（四）资格审查；</w:t>
      </w:r>
    </w:p>
    <w:p>
      <w:pPr>
        <w:pStyle w:val="null3"/>
        <w:ind w:firstLine="480"/>
      </w:pPr>
      <w:r>
        <w:rPr/>
        <w:t>（五）磋商过程中可实质性变动的内容；</w:t>
      </w:r>
    </w:p>
    <w:p>
      <w:pPr>
        <w:pStyle w:val="null3"/>
        <w:ind w:firstLine="480"/>
      </w:pPr>
      <w:r>
        <w:rPr/>
        <w:t>（六）磋商办法；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b/>
          <w:sz w:val="24"/>
        </w:rPr>
        <w:t xml:space="preserve"> 2.3.2磋商文件的澄清和修改</w:t>
      </w:r>
    </w:p>
    <w:p>
      <w:pPr>
        <w:pStyle w:val="null3"/>
        <w:ind w:firstLine="480"/>
      </w:pPr>
      <w:r>
        <w:rPr/>
        <w:t>一、在提交首次响应文件截止时间前，采购人或者代理机构可以对已发出的磋商文件进行必要的澄清或者修改。</w:t>
      </w:r>
    </w:p>
    <w:p>
      <w:pPr>
        <w:pStyle w:val="null3"/>
        <w:ind w:firstLine="480"/>
        <w:jc w:val="left"/>
      </w:pPr>
      <w:r>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b/>
          <w:sz w:val="28"/>
        </w:rPr>
        <w:t>2.4响应文件</w:t>
      </w:r>
    </w:p>
    <w:p>
      <w:pPr>
        <w:pStyle w:val="null3"/>
        <w:outlineLvl w:val="3"/>
      </w:pPr>
      <w:r>
        <w:rPr>
          <w:b/>
          <w:sz w:val="24"/>
        </w:rPr>
        <w:t xml:space="preserve"> 2.4.1响应文件的语言</w:t>
      </w:r>
    </w:p>
    <w:p>
      <w:pPr>
        <w:pStyle w:val="null3"/>
        <w:ind w:firstLine="480"/>
      </w:pPr>
      <w:r>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b/>
          <w:sz w:val="24"/>
        </w:rPr>
        <w:t>2.4.2计量单位</w:t>
      </w:r>
    </w:p>
    <w:p>
      <w:pPr>
        <w:pStyle w:val="null3"/>
        <w:ind w:firstLine="480"/>
      </w:pPr>
      <w:r>
        <w:rPr/>
        <w:t>除磋商文件中另有规定外，本项目均采用国家法定的计量单位。</w:t>
      </w:r>
    </w:p>
    <w:p>
      <w:pPr>
        <w:pStyle w:val="null3"/>
        <w:outlineLvl w:val="3"/>
      </w:pPr>
      <w:r>
        <w:rPr>
          <w:b/>
          <w:sz w:val="24"/>
        </w:rPr>
        <w:t>2.4.3响应货币</w:t>
      </w:r>
    </w:p>
    <w:p>
      <w:pPr>
        <w:pStyle w:val="null3"/>
        <w:ind w:firstLine="480"/>
      </w:pPr>
      <w:r>
        <w:rPr/>
        <w:t>本次项目均以人民币报价。</w:t>
      </w:r>
    </w:p>
    <w:p>
      <w:pPr>
        <w:pStyle w:val="null3"/>
        <w:outlineLvl w:val="3"/>
      </w:pPr>
      <w:r>
        <w:rPr>
          <w:b/>
          <w:sz w:val="24"/>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四、构成本磋商文件的各组成部分，未经采购人书面同意，供应商不得擅自复印或用于非本磋商项目所需的其他目的。</w:t>
      </w:r>
    </w:p>
    <w:p>
      <w:pPr>
        <w:pStyle w:val="null3"/>
        <w:outlineLvl w:val="3"/>
      </w:pPr>
      <w:r>
        <w:rPr>
          <w:b/>
          <w:sz w:val="24"/>
        </w:rPr>
        <w:t>2.4.5响应文件的组成（实质性要求）</w:t>
      </w:r>
    </w:p>
    <w:p>
      <w:pPr>
        <w:pStyle w:val="null3"/>
        <w:ind w:firstLine="480"/>
      </w:pPr>
      <w:r>
        <w:rPr/>
        <w:t>供应商应按照磋商文件的规定和要求编制响应文件。</w:t>
      </w:r>
    </w:p>
    <w:p>
      <w:pPr>
        <w:pStyle w:val="null3"/>
        <w:ind w:firstLine="480"/>
      </w:pPr>
      <w:r>
        <w:rPr/>
        <w:t>响应文件具体内容详见第七章。</w:t>
      </w:r>
    </w:p>
    <w:p>
      <w:pPr>
        <w:pStyle w:val="null3"/>
        <w:outlineLvl w:val="3"/>
      </w:pPr>
      <w:r>
        <w:rPr>
          <w:b/>
          <w:sz w:val="24"/>
        </w:rPr>
        <w:t xml:space="preserve"> 2.4.6响应文件格式</w:t>
      </w:r>
    </w:p>
    <w:p>
      <w:pPr>
        <w:pStyle w:val="null3"/>
        <w:ind w:firstLine="480"/>
      </w:pPr>
      <w:r>
        <w:rPr/>
        <w:t>一、供应商应按照磋商文件第七章中提供的“响应文件格式”填写相关内容。</w:t>
      </w:r>
    </w:p>
    <w:p>
      <w:pPr>
        <w:pStyle w:val="null3"/>
        <w:ind w:firstLine="480"/>
      </w:pPr>
      <w:r>
        <w:rPr/>
        <w:t>二、对于没有格式要求的响应文件由供应商自行编写。</w:t>
      </w:r>
    </w:p>
    <w:p>
      <w:pPr>
        <w:pStyle w:val="null3"/>
        <w:outlineLvl w:val="3"/>
      </w:pPr>
      <w:r>
        <w:rPr>
          <w:b/>
          <w:sz w:val="24"/>
        </w:rPr>
        <w:t>2.4.7响应报价（实质性要求）</w:t>
      </w:r>
    </w:p>
    <w:p>
      <w:pPr>
        <w:pStyle w:val="null3"/>
        <w:ind w:firstLine="480"/>
      </w:pPr>
      <w:r>
        <w:rPr/>
        <w:t xml:space="preserve"> 一、供应商的报价是供应商响应磋商项目要求的全部工作内容的价格体现，包括供应商完成本项目所需的一切费用。</w:t>
      </w:r>
    </w:p>
    <w:p>
      <w:pPr>
        <w:pStyle w:val="null3"/>
        <w:ind w:firstLine="480"/>
      </w:pPr>
      <w:r>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b/>
          <w:sz w:val="24"/>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b/>
          <w:sz w:val="24"/>
        </w:rPr>
        <w:t xml:space="preserve"> 2.4.9响应文件的制作、签章和加密</w:t>
      </w:r>
    </w:p>
    <w:p>
      <w:pPr>
        <w:pStyle w:val="null3"/>
        <w:ind w:firstLine="480"/>
      </w:pPr>
      <w:r>
        <w:rPr/>
        <w:t xml:space="preserve"> 一、投标文件应当根据招标文件进行编制，投标人应通过陕西省政府采购网-服务专区-CA及签章服务下载投标（响应）客户端，使用客户端编制投标文件。</w:t>
      </w:r>
    </w:p>
    <w:p>
      <w:pPr>
        <w:pStyle w:val="null3"/>
        <w:ind w:firstLine="480"/>
      </w:pPr>
      <w:r>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b/>
          <w:sz w:val="24"/>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b/>
          <w:sz w:val="24"/>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b/>
          <w:sz w:val="28"/>
        </w:rPr>
        <w:t>2.5开启、资格审查、磋商和确定成交供应商</w:t>
      </w:r>
    </w:p>
    <w:p>
      <w:pPr>
        <w:pStyle w:val="null3"/>
        <w:outlineLvl w:val="3"/>
      </w:pPr>
      <w:r>
        <w:rPr>
          <w:b/>
          <w:sz w:val="24"/>
        </w:rPr>
        <w:t>2.5.1磋商开启程序</w:t>
      </w:r>
    </w:p>
    <w:p>
      <w:pPr>
        <w:pStyle w:val="null3"/>
        <w:ind w:firstLine="480"/>
      </w:pPr>
      <w:r>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t>二、磋商开启准备工作</w:t>
      </w:r>
    </w:p>
    <w:p>
      <w:pPr>
        <w:pStyle w:val="null3"/>
        <w:ind w:firstLine="480"/>
        <w:jc w:val="left"/>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60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b/>
          <w:sz w:val="24"/>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b/>
          <w:sz w:val="24"/>
        </w:rPr>
        <w:t>2.5.3资格审查</w:t>
      </w:r>
    </w:p>
    <w:p>
      <w:pPr>
        <w:pStyle w:val="null3"/>
        <w:ind w:firstLine="480"/>
      </w:pPr>
      <w:r>
        <w:rPr/>
        <w:t>详见磋商文件第四章。</w:t>
      </w:r>
    </w:p>
    <w:p>
      <w:pPr>
        <w:pStyle w:val="null3"/>
        <w:outlineLvl w:val="3"/>
      </w:pPr>
      <w:r>
        <w:rPr>
          <w:b/>
          <w:sz w:val="24"/>
        </w:rPr>
        <w:t>2.5.4磋商</w:t>
      </w:r>
    </w:p>
    <w:p>
      <w:pPr>
        <w:pStyle w:val="null3"/>
        <w:ind w:firstLine="480"/>
      </w:pPr>
      <w:r>
        <w:rPr/>
        <w:t>详见磋商文件第六章。</w:t>
      </w:r>
    </w:p>
    <w:p>
      <w:pPr>
        <w:pStyle w:val="null3"/>
        <w:outlineLvl w:val="3"/>
      </w:pPr>
      <w:r>
        <w:rPr>
          <w:b/>
          <w:sz w:val="24"/>
        </w:rPr>
        <w:t>2.5.5成交通知书</w:t>
      </w:r>
    </w:p>
    <w:p>
      <w:pPr>
        <w:pStyle w:val="null3"/>
        <w:ind w:firstLine="480"/>
      </w:pPr>
      <w:r>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b/>
          <w:sz w:val="28"/>
        </w:rPr>
        <w:t>2.6签订及履行合同和验收</w:t>
      </w:r>
    </w:p>
    <w:p>
      <w:pPr>
        <w:pStyle w:val="null3"/>
        <w:outlineLvl w:val="3"/>
      </w:pPr>
      <w:r>
        <w:rPr>
          <w:b/>
          <w:sz w:val="24"/>
        </w:rPr>
        <w:t xml:space="preserve"> 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二、采购人和成交供应商签订的采购合同不得对磋商文件确定的事项以及成交供应商的响应文件作实质性修改。</w:t>
      </w:r>
    </w:p>
    <w:p>
      <w:pPr>
        <w:pStyle w:val="null3"/>
        <w:outlineLvl w:val="3"/>
      </w:pPr>
      <w:r>
        <w:rPr>
          <w:b/>
          <w:sz w:val="24"/>
        </w:rPr>
        <w:t>2.6.2合同分包和转包（实质性要求）</w:t>
      </w:r>
    </w:p>
    <w:p>
      <w:pPr>
        <w:pStyle w:val="null3"/>
        <w:outlineLvl w:val="3"/>
      </w:pPr>
      <w:r>
        <w:rPr>
          <w:b/>
          <w:sz w:val="24"/>
        </w:rPr>
        <w:t>2.6.2.1合同分包</w:t>
      </w:r>
    </w:p>
    <w:p>
      <w:pPr>
        <w:pStyle w:val="null3"/>
        <w:ind w:firstLine="480"/>
      </w:pPr>
      <w:r>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b/>
          <w:sz w:val="24"/>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t>二、成交供应商转包的，视同拒绝履行政府采购合同，将依法追究法律责任。</w:t>
      </w:r>
    </w:p>
    <w:p>
      <w:pPr>
        <w:pStyle w:val="null3"/>
        <w:outlineLvl w:val="3"/>
      </w:pPr>
      <w:r>
        <w:rPr>
          <w:b/>
          <w:sz w:val="24"/>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b/>
          <w:sz w:val="24"/>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b/>
          <w:sz w:val="24"/>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b/>
          <w:sz w:val="24"/>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b/>
          <w:sz w:val="24"/>
        </w:rPr>
        <w:t>2.6.7履约验收方案</w:t>
      </w:r>
    </w:p>
    <w:p>
      <w:pPr>
        <w:pStyle w:val="null3"/>
      </w:pPr>
      <w:r>
        <w:rPr/>
        <w:t>采购包1：</w:t>
      </w:r>
    </w:p>
    <w:p>
      <w:pPr>
        <w:pStyle w:val="null3"/>
      </w:pPr>
      <w:r>
        <w:rPr/>
        <w:t>按采购文件、响应文件及合同要求</w:t>
      </w:r>
    </w:p>
    <w:p>
      <w:pPr>
        <w:pStyle w:val="null3"/>
        <w:outlineLvl w:val="3"/>
      </w:pPr>
      <w:r>
        <w:rPr>
          <w:b/>
          <w:sz w:val="24"/>
        </w:rPr>
        <w:t>2.6.8资金支付</w:t>
      </w:r>
    </w:p>
    <w:p>
      <w:pPr>
        <w:pStyle w:val="null3"/>
        <w:ind w:firstLine="480"/>
      </w:pPr>
      <w:r>
        <w:rPr/>
        <w:t>采购人按财政部门的相关规定及采购合同的约定进行支付。</w:t>
      </w:r>
    </w:p>
    <w:p>
      <w:pPr>
        <w:pStyle w:val="null3"/>
        <w:outlineLvl w:val="2"/>
      </w:pPr>
      <w:r>
        <w:rPr>
          <w:b/>
          <w:sz w:val="28"/>
        </w:rPr>
        <w:t>2.7纪律要求</w:t>
      </w:r>
    </w:p>
    <w:p>
      <w:pPr>
        <w:pStyle w:val="null3"/>
        <w:outlineLvl w:val="3"/>
      </w:pPr>
      <w:r>
        <w:rPr>
          <w:b/>
          <w:sz w:val="24"/>
        </w:rPr>
        <w:t xml:space="preserve"> 2.7.1磋商活动纪律要求</w:t>
      </w:r>
    </w:p>
    <w:p>
      <w:pPr>
        <w:pStyle w:val="null3"/>
        <w:ind w:firstLine="480"/>
      </w:pPr>
      <w:r>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t>对各供应商的商业秘密，磋商小组成员应予以保密，不得泄露给其他供应商。</w:t>
      </w:r>
    </w:p>
    <w:p>
      <w:pPr>
        <w:pStyle w:val="null3"/>
        <w:outlineLvl w:val="3"/>
      </w:pPr>
      <w:r>
        <w:rPr>
          <w:b/>
          <w:sz w:val="24"/>
        </w:rPr>
        <w:t>2.7.2供应商不得具有的情形（实质性要求）</w:t>
      </w:r>
    </w:p>
    <w:p>
      <w:pPr>
        <w:pStyle w:val="null3"/>
        <w:ind w:firstLine="480"/>
      </w:pPr>
      <w:r>
        <w:rPr/>
        <w:t>供应商参加响应不得有下列情形：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（二）不同供应商委托同一单位或者个人办理磋商事宜；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五、向采购人或代理机构、磋商小组成员行贿或者提供其他不正当利益；</w:t>
      </w:r>
    </w:p>
    <w:p>
      <w:pPr>
        <w:pStyle w:val="null3"/>
        <w:ind w:firstLine="480"/>
      </w:pPr>
      <w:r>
        <w:rPr/>
        <w:t>六、在磋商过程中与采购人或代理机构进行协商磋商；</w:t>
      </w:r>
    </w:p>
    <w:p>
      <w:pPr>
        <w:pStyle w:val="null3"/>
        <w:ind w:firstLine="480"/>
      </w:pPr>
      <w:r>
        <w:rPr/>
        <w:t>七、成交后无正当理由拒不与采购人签订政府采购合同；</w:t>
      </w:r>
    </w:p>
    <w:p>
      <w:pPr>
        <w:pStyle w:val="null3"/>
        <w:ind w:firstLine="480"/>
      </w:pPr>
      <w:r>
        <w:rPr/>
        <w:t>八、未按照磋商文件确定的事项签订政府采购合同；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供应商有上述情形的，按照规定追究法律责任，具有前述一至十一条情形之一的，其响应文件无效，或取消被确认为成交供应商的资格或认定成交无效。</w:t>
      </w:r>
    </w:p>
    <w:p>
      <w:pPr>
        <w:pStyle w:val="null3"/>
        <w:outlineLvl w:val="3"/>
      </w:pPr>
      <w:r>
        <w:rPr>
          <w:b/>
          <w:sz w:val="24"/>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b/>
          <w:sz w:val="28"/>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t xml:space="preserve"> （一）对可以质疑的采购文件提出质疑的，为收到采购文件之日或者采购文件公告期限届满之日；</w:t>
      </w:r>
    </w:p>
    <w:p>
      <w:pPr>
        <w:pStyle w:val="null3"/>
        <w:ind w:firstLine="480"/>
        <w:jc w:val="left"/>
      </w:pPr>
      <w:r>
        <w:rPr/>
        <w:t>（二）对采购过程提出质疑的，为各采购程序环节结束之日；</w:t>
      </w:r>
    </w:p>
    <w:p>
      <w:pPr>
        <w:pStyle w:val="null3"/>
        <w:ind w:firstLine="480"/>
        <w:jc w:val="left"/>
      </w:pPr>
      <w:r>
        <w:rPr/>
        <w:t xml:space="preserve"> （三）对中标或者成交结果提出质疑的，为中标或者成交结果公告期限届满之日。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（五）针对质疑事项必要的证明材料（针对磋商文件提出的质疑，需提交从项目电子化交易系统获取的磋商文件回执单）。</w:t>
      </w:r>
    </w:p>
    <w:p>
      <w:pPr>
        <w:pStyle w:val="null3"/>
        <w:ind w:firstLine="480"/>
      </w:pPr>
      <w:r>
        <w:rPr/>
        <w:t>接收质疑函方式：书面形式。</w:t>
      </w:r>
    </w:p>
    <w:p>
      <w:pPr>
        <w:pStyle w:val="null3"/>
      </w:pPr>
      <w:r>
        <w:rPr/>
        <w:t>答复主体：代理机构</w:t>
      </w:r>
    </w:p>
    <w:p>
      <w:pPr>
        <w:pStyle w:val="null3"/>
      </w:pPr>
      <w:r>
        <w:rPr/>
        <w:t>联系人：西北（陕西）国际招标有限公司综合监督处</w:t>
      </w:r>
    </w:p>
    <w:p>
      <w:pPr>
        <w:pStyle w:val="null3"/>
      </w:pPr>
      <w:r>
        <w:rPr/>
        <w:t>联系电话：029-85362812</w:t>
      </w:r>
    </w:p>
    <w:p>
      <w:pPr>
        <w:pStyle w:val="null3"/>
      </w:pPr>
      <w:r>
        <w:rPr/>
        <w:t>地址：陕西省西安市南二环西段58号成长大厦12楼1203室</w:t>
      </w:r>
    </w:p>
    <w:p>
      <w:pPr>
        <w:pStyle w:val="null3"/>
      </w:pPr>
      <w:r>
        <w:rPr/>
        <w:t>邮编：710075</w:t>
      </w:r>
    </w:p>
    <w:p>
      <w:pPr>
        <w:pStyle w:val="null3"/>
        <w:ind w:firstLine="480"/>
      </w:pPr>
      <w:r>
        <w:rPr/>
        <w:t>注：根据《中华人民共和国政府采购法》的规定，供应商质疑不得超出磋商文件、采购过程、采购结果的范围。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b/>
          <w:sz w:val="36"/>
        </w:rPr>
        <w:t>第三章 磋商项目技术、服务、商务及其他要求</w:t>
      </w:r>
    </w:p>
    <w:p>
      <w:pPr>
        <w:pStyle w:val="null3"/>
        <w:ind w:firstLine="480"/>
      </w:pPr>
      <w:r>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b/>
          <w:sz w:val="28"/>
        </w:rPr>
        <w:t>3.1采购项目概况</w:t>
      </w:r>
    </w:p>
    <w:p>
      <w:pPr>
        <w:pStyle w:val="null3"/>
        <w:ind w:firstLine="480"/>
      </w:pPr>
      <w:r>
        <w:rPr/>
        <w:t>西安职业技术学院的各信息系统已经到达维保期限。通过信息系统、数据中心、网络安全及边界防火墙运维项目提供服务，使学院各信息系统、数据中心、边界防火墙及各网络安全设备能够正常运行，并为其提供日常运维，从而提升学院信息化教学和办公的效率。</w:t>
      </w:r>
    </w:p>
    <w:p>
      <w:pPr>
        <w:pStyle w:val="null3"/>
        <w:outlineLvl w:val="2"/>
      </w:pPr>
      <w:r>
        <w:rPr>
          <w:b/>
          <w:sz w:val="28"/>
        </w:rPr>
        <w:t>3.2服务内容及服务要求</w:t>
      </w:r>
    </w:p>
    <w:p>
      <w:pPr>
        <w:pStyle w:val="null3"/>
        <w:outlineLvl w:val="3"/>
      </w:pPr>
      <w:r>
        <w:rPr>
          <w:b/>
          <w:sz w:val="24"/>
        </w:rPr>
        <w:t>3.2.1服务内容</w:t>
      </w:r>
    </w:p>
    <w:p>
      <w:pPr>
        <w:pStyle w:val="null3"/>
      </w:pPr>
      <w:r>
        <w:rPr/>
        <w:t>采购包1：</w:t>
      </w:r>
    </w:p>
    <w:p>
      <w:pPr>
        <w:pStyle w:val="null3"/>
      </w:pPr>
      <w:r>
        <w:rPr/>
        <w:t>采购包预算金额（元）: 800,000.00</w:t>
      </w:r>
    </w:p>
    <w:p>
      <w:pPr>
        <w:pStyle w:val="null3"/>
      </w:pPr>
      <w:r>
        <w:rPr/>
        <w:t>采购包最高限价（元）: 800,000.00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数据维护</w:t>
            </w:r>
          </w:p>
        </w:tc>
        <w:tc>
          <w:tcPr>
            <w:tcW w:type="dxa" w:w="831"/>
          </w:tcPr>
          <w:p>
            <w:pPr>
              <w:pStyle w:val="null3"/>
              <w:jc w:val="right"/>
            </w:pPr>
            <w:r>
              <w:rPr/>
              <w:t>1.00</w:t>
            </w:r>
          </w:p>
        </w:tc>
        <w:tc>
          <w:tcPr>
            <w:tcW w:type="dxa" w:w="831"/>
          </w:tcPr>
          <w:p>
            <w:pPr>
              <w:pStyle w:val="null3"/>
              <w:jc w:val="right"/>
            </w:pPr>
            <w:r>
              <w:rPr/>
              <w:t>800,000.00</w:t>
            </w:r>
          </w:p>
        </w:tc>
        <w:tc>
          <w:tcPr>
            <w:tcW w:type="dxa" w:w="831"/>
          </w:tcPr>
          <w:p>
            <w:pPr>
              <w:pStyle w:val="null3"/>
            </w:pPr>
            <w:r>
              <w:rPr/>
              <w:t>批</w:t>
            </w:r>
          </w:p>
        </w:tc>
        <w:tc>
          <w:tcPr>
            <w:tcW w:type="dxa" w:w="831"/>
          </w:tcPr>
          <w:p>
            <w:pPr>
              <w:pStyle w:val="null3"/>
            </w:pPr>
            <w:r>
              <w:rPr/>
              <w:t>软件和信息技术服务业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b/>
          <w:sz w:val="28"/>
        </w:rPr>
        <w:t>3.2.2服务要求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标的名称：数据维护</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pPr>
              <w:pStyle w:val="null3"/>
            </w:pPr>
            <w:r>
              <w:rPr/>
              <w:t>▲</w:t>
            </w:r>
          </w:p>
        </w:tc>
        <w:tc>
          <w:tcPr>
            <w:tcW w:type="dxa" w:w="2769"/>
          </w:tcPr>
          <w:p>
            <w:pPr>
              <w:pStyle w:val="null3"/>
            </w:pPr>
            <w:r>
              <w:rPr/>
              <w:t>1</w:t>
            </w:r>
          </w:p>
        </w:tc>
        <w:tc>
          <w:tcPr>
            <w:tcW w:type="dxa" w:w="2769"/>
          </w:tcPr>
          <w:p>
            <w:pPr>
              <w:pStyle w:val="null3"/>
              <w:spacing w:before="120"/>
              <w:ind w:firstLine="422"/>
              <w:jc w:val="left"/>
            </w:pPr>
            <w:r>
              <w:rPr>
                <w:rFonts w:ascii="宋体" w:hAnsi="宋体" w:cs="宋体" w:eastAsia="宋体"/>
                <w:sz w:val="21"/>
              </w:rPr>
              <w:t>一、项目概况</w:t>
            </w:r>
          </w:p>
          <w:p>
            <w:pPr>
              <w:pStyle w:val="null3"/>
              <w:ind w:firstLine="422"/>
              <w:jc w:val="both"/>
            </w:pPr>
            <w:r>
              <w:rPr>
                <w:rFonts w:ascii="宋体" w:hAnsi="宋体" w:cs="宋体" w:eastAsia="宋体"/>
                <w:sz w:val="21"/>
              </w:rPr>
              <w:t>学院的各信息系统已经到达维保期限。通过信息系统、数据中心、网络安全及边界防火墙运维项目提供服务，使学院各信息系统、数据中心、边界防火墙及各网络安全设备能够正常运行，并为其提供日常运维，从而提升学院信息化教学和办公的效率。</w:t>
            </w:r>
          </w:p>
          <w:p>
            <w:pPr>
              <w:pStyle w:val="null3"/>
              <w:ind w:firstLine="422"/>
              <w:jc w:val="both"/>
            </w:pPr>
            <w:r>
              <w:rPr>
                <w:rFonts w:ascii="宋体" w:hAnsi="宋体" w:cs="宋体" w:eastAsia="宋体"/>
                <w:sz w:val="21"/>
              </w:rPr>
              <w:t>二、服务内容</w:t>
            </w:r>
          </w:p>
          <w:tbl>
            <w:tblPr>
              <w:tblInd w:type="dxa" w:w="105"/>
              <w:tblBorders>
                <w:top w:val="none" w:color="000000" w:sz="4"/>
                <w:left w:val="none" w:color="000000" w:sz="4"/>
                <w:bottom w:val="none" w:color="000000" w:sz="4"/>
                <w:right w:val="none" w:color="000000" w:sz="4"/>
                <w:insideH w:val="none"/>
                <w:insideV w:val="none"/>
              </w:tblBorders>
            </w:tblPr>
            <w:tblGrid>
              <w:gridCol w:w="265"/>
              <w:gridCol w:w="536"/>
              <w:gridCol w:w="1475"/>
              <w:gridCol w:w="265"/>
            </w:tblGrid>
            <w:tr>
              <w:tc>
                <w:tcPr>
                  <w:tcW w:type="dxa" w:w="26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序号</w:t>
                  </w:r>
                </w:p>
              </w:tc>
              <w:tc>
                <w:tcPr>
                  <w:tcW w:type="dxa" w:w="53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产品名称</w:t>
                  </w:r>
                </w:p>
              </w:tc>
              <w:tc>
                <w:tcPr>
                  <w:tcW w:type="dxa" w:w="147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描述</w:t>
                  </w:r>
                </w:p>
              </w:tc>
              <w:tc>
                <w:tcPr>
                  <w:tcW w:type="dxa" w:w="2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数量</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防火墙</w:t>
                  </w:r>
                </w:p>
              </w:tc>
              <w:tc>
                <w:tcPr>
                  <w:tcW w:type="dxa" w:w="14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WEB</w:t>
                  </w:r>
                  <w:r>
                    <w:rPr>
                      <w:rFonts w:ascii="仿宋_gb2312" w:hAnsi="仿宋_gb2312" w:cs="仿宋_gb2312" w:eastAsia="仿宋_gb2312"/>
                      <w:sz w:val="24"/>
                    </w:rPr>
                    <w:t>应用防火墙</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入侵检测</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VPN</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上网行为管理</w:t>
                  </w:r>
                </w:p>
              </w:tc>
              <w:tc>
                <w:tcPr>
                  <w:tcW w:type="dxa" w:w="1475"/>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p>
                  <w:pPr>
                    <w:pStyle w:val="null3"/>
                    <w:spacing w:after="120"/>
                    <w:ind w:firstLine="420"/>
                    <w:jc w:val="both"/>
                  </w:pPr>
                  <w:r>
                    <w:rPr>
                      <w:rFonts w:ascii="仿宋_gb2312" w:hAnsi="仿宋_gb2312" w:cs="仿宋_gb2312" w:eastAsia="仿宋_gb2312"/>
                      <w:sz w:val="24"/>
                    </w:rPr>
                    <w:t>产品质保服务：硬件设备出现故障后提供维修和更换。</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防火墙</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路由器</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核心交换机</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9</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分布式存储</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10</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集中式存储</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11</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超融合服务器</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5</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12</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无线控制器</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13</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汇聚交换机</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7</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14</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堡垒机</w:t>
                  </w:r>
                </w:p>
              </w:tc>
              <w:tc>
                <w:tcPr>
                  <w:tcW w:type="dxa" w:w="1475"/>
                  <w:vMerge/>
                  <w:tcBorders>
                    <w:top w:val="none" w:color="000000" w:sz="4"/>
                    <w:left w:val="none" w:color="000000" w:sz="4"/>
                    <w:bottom w:val="none" w:color="000000" w:sz="4"/>
                    <w:right w:val="single" w:color="000000" w:sz="4"/>
                  </w:tcBorders>
                </w:tcP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15</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DCS</w:t>
                  </w:r>
                  <w:r>
                    <w:rPr>
                      <w:rFonts w:ascii="仿宋_gb2312" w:hAnsi="仿宋_gb2312" w:cs="仿宋_gb2312" w:eastAsia="仿宋_gb2312"/>
                      <w:sz w:val="24"/>
                    </w:rPr>
                    <w:t>虚拟化套件标准版</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10</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16</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网络管理软件</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17</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上网认证系统</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修复及升级服务、故障处理、咨询答疑、突发事件响应及处理、软件配置维护、软件版本更新、运行支持、现场技术服务。提供重大设备切换的现场保障服务。</w:t>
                  </w:r>
                </w:p>
                <w:p>
                  <w:pPr>
                    <w:pStyle w:val="null3"/>
                    <w:spacing w:after="120"/>
                    <w:ind w:firstLine="420"/>
                    <w:jc w:val="both"/>
                  </w:pPr>
                  <w:r>
                    <w:rPr>
                      <w:rFonts w:ascii="&quot;times new roman&quot;" w:hAnsi="&quot;times new roman&quot;" w:cs="&quot;times new roman&quot;" w:eastAsia="&quot;times new roman&quot;"/>
                      <w:sz w:val="24"/>
                    </w:rPr>
                    <w:t>License</w:t>
                  </w:r>
                  <w:r>
                    <w:rPr>
                      <w:rFonts w:ascii="仿宋_gb2312" w:hAnsi="仿宋_gb2312" w:cs="仿宋_gb2312" w:eastAsia="仿宋_gb2312"/>
                      <w:sz w:val="24"/>
                    </w:rPr>
                    <w:t>升级：增加</w:t>
                  </w:r>
                  <w:r>
                    <w:rPr>
                      <w:rFonts w:ascii="&quot;times new roman&quot;" w:hAnsi="&quot;times new roman&quot;" w:cs="&quot;times new roman&quot;" w:eastAsia="&quot;times new roman&quot;"/>
                      <w:sz w:val="24"/>
                    </w:rPr>
                    <w:t>3000</w:t>
                  </w:r>
                  <w:r>
                    <w:rPr>
                      <w:rFonts w:ascii="仿宋_gb2312" w:hAnsi="仿宋_gb2312" w:cs="仿宋_gb2312" w:eastAsia="仿宋_gb2312"/>
                      <w:sz w:val="24"/>
                    </w:rPr>
                    <w:t>用户授权。</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2</w:t>
                  </w:r>
                </w:p>
              </w:tc>
            </w:tr>
            <w:tr>
              <w:tc>
                <w:tcPr>
                  <w:tcW w:type="dxa" w:w="26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18</w:t>
                  </w:r>
                </w:p>
              </w:tc>
              <w:tc>
                <w:tcPr>
                  <w:tcW w:type="dxa" w:w="53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仿宋_gb2312" w:hAnsi="仿宋_gb2312" w:cs="仿宋_gb2312" w:eastAsia="仿宋_gb2312"/>
                      <w:sz w:val="24"/>
                    </w:rPr>
                    <w:t>智慧校园管理平台</w:t>
                  </w:r>
                </w:p>
              </w:tc>
              <w:tc>
                <w:tcPr>
                  <w:tcW w:type="dxa" w:w="147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2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center"/>
                  </w:pPr>
                  <w:r>
                    <w:rPr>
                      <w:rFonts w:ascii="&quot;times new roman&quot;" w:hAnsi="&quot;times new roman&quot;" w:cs="&quot;times new roman&quot;" w:eastAsia="&quot;times new roman&quot;"/>
                      <w:sz w:val="24"/>
                    </w:rPr>
                    <w:t>1</w:t>
                  </w:r>
                </w:p>
              </w:tc>
            </w:tr>
          </w:tbl>
          <w:p>
            <w:pPr>
              <w:pStyle w:val="null3"/>
              <w:spacing w:before="120"/>
              <w:ind w:firstLine="420"/>
              <w:jc w:val="left"/>
            </w:pPr>
            <w:r>
              <w:rPr>
                <w:rFonts w:ascii="宋体" w:hAnsi="宋体" w:cs="宋体" w:eastAsia="宋体"/>
                <w:sz w:val="21"/>
              </w:rPr>
              <w:t>三、技术要求</w:t>
            </w:r>
          </w:p>
          <w:tbl>
            <w:tblPr>
              <w:tblInd w:type="dxa" w:w="120"/>
              <w:tblBorders>
                <w:top w:val="none" w:color="000000" w:sz="4"/>
                <w:left w:val="none" w:color="000000" w:sz="4"/>
                <w:bottom w:val="none" w:color="000000" w:sz="4"/>
                <w:right w:val="none" w:color="000000" w:sz="4"/>
                <w:insideH w:val="none"/>
                <w:insideV w:val="none"/>
              </w:tblBorders>
            </w:tblPr>
            <w:tblGrid>
              <w:gridCol w:w="301"/>
              <w:gridCol w:w="301"/>
              <w:gridCol w:w="542"/>
              <w:gridCol w:w="301"/>
              <w:gridCol w:w="506"/>
              <w:gridCol w:w="301"/>
              <w:gridCol w:w="301"/>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序号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产品名称</w:t>
                  </w:r>
                </w:p>
              </w:tc>
              <w:tc>
                <w:tcPr>
                  <w:tcW w:type="dxa" w:w="5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描述</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品牌</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型号</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单位</w:t>
                  </w:r>
                </w:p>
              </w:tc>
              <w:tc>
                <w:tcPr>
                  <w:tcW w:type="dxa" w:w="30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数量</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防火墙</w:t>
                  </w:r>
                </w:p>
              </w:tc>
              <w:tc>
                <w:tcPr>
                  <w:tcW w:type="dxa" w:w="54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ind w:firstLine="420"/>
                    <w:jc w:val="left"/>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深信服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AF-2000-H644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WEB</w:t>
                  </w:r>
                  <w:r>
                    <w:rPr>
                      <w:rFonts w:ascii="仿宋_gb2312" w:hAnsi="仿宋_gb2312" w:cs="仿宋_gb2312" w:eastAsia="仿宋_gb2312"/>
                      <w:sz w:val="24"/>
                    </w:rPr>
                    <w:t>应用防火墙</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深信服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AF-2000-H644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入侵检测</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深信服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AF-2000-I484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VPN</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深信服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VPN-1000-B400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上网行为管理</w:t>
                  </w:r>
                </w:p>
              </w:tc>
              <w:tc>
                <w:tcPr>
                  <w:tcW w:type="dxa" w:w="542"/>
                  <w:vMerge w:val="restart"/>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spacing w:after="120"/>
                    <w:ind w:firstLine="420"/>
                    <w:jc w:val="left"/>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p>
                  <w:pPr>
                    <w:pStyle w:val="null3"/>
                    <w:spacing w:after="120"/>
                    <w:ind w:firstLine="420"/>
                    <w:jc w:val="left"/>
                  </w:pPr>
                  <w:r>
                    <w:rPr>
                      <w:rFonts w:ascii="仿宋_gb2312" w:hAnsi="仿宋_gb2312" w:cs="仿宋_gb2312" w:eastAsia="仿宋_gb2312"/>
                      <w:sz w:val="24"/>
                    </w:rPr>
                    <w:t>产品质保服务：硬件设备出现故障后提供维修和更换。</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深信服</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AC-1000-L444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防火墙</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USG9520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路由器</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ME60-X8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核心交换机</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S12712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9</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分布式存储</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OceanStor 9000V5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集中式存储</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5300V5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超融合服务器</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2288H V5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5</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无线控制器</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锐捷</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RG-WS6812</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13</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汇聚交换机</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锐捷</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RG-S5750C-28SFP4XS-H</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7</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14</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堡垒机</w:t>
                  </w:r>
                </w:p>
              </w:tc>
              <w:tc>
                <w:tcPr>
                  <w:tcW w:type="dxa" w:w="542"/>
                  <w:vMerge/>
                  <w:tcBorders>
                    <w:top w:val="none" w:color="000000" w:sz="4"/>
                    <w:left w:val="none" w:color="000000" w:sz="4"/>
                    <w:bottom w:val="none" w:color="000000" w:sz="4"/>
                    <w:right w:val="single" w:color="000000" w:sz="4"/>
                  </w:tcBorders>
                </w:tcP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思福迪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LogBase-B3500</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台</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15</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DCS</w:t>
                  </w:r>
                  <w:r>
                    <w:rPr>
                      <w:rFonts w:ascii="仿宋_gb2312" w:hAnsi="仿宋_gb2312" w:cs="仿宋_gb2312" w:eastAsia="仿宋_gb2312"/>
                      <w:sz w:val="24"/>
                    </w:rPr>
                    <w:t>虚拟化套件标准版</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left"/>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华为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FS0S6FVSSA01</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10</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16</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网络管理软件</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left"/>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锐捷</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RG-SNC-Pro-Base</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17</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上网认证系统</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left"/>
                  </w:pPr>
                  <w:r>
                    <w:rPr>
                      <w:rFonts w:ascii="仿宋_gb2312" w:hAnsi="仿宋_gb2312" w:cs="仿宋_gb2312" w:eastAsia="仿宋_gb2312"/>
                      <w:sz w:val="24"/>
                    </w:rPr>
                    <w:t>服务内容：</w:t>
                  </w: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修复及升级服务、故障处理、咨询答疑、突发事件响应及处理、软件配置维护、软件版本更新、运行支持、现场技术服务。提供重大设备切换的现场保障服务。</w:t>
                  </w:r>
                </w:p>
                <w:p>
                  <w:pPr>
                    <w:pStyle w:val="null3"/>
                    <w:spacing w:after="120"/>
                    <w:ind w:firstLine="420"/>
                    <w:jc w:val="left"/>
                  </w:pPr>
                  <w:r>
                    <w:rPr>
                      <w:rFonts w:ascii="&quot;times new roman&quot;" w:hAnsi="&quot;times new roman&quot;" w:cs="&quot;times new roman&quot;" w:eastAsia="&quot;times new roman&quot;"/>
                      <w:sz w:val="24"/>
                    </w:rPr>
                    <w:t>License</w:t>
                  </w:r>
                  <w:r>
                    <w:rPr>
                      <w:rFonts w:ascii="仿宋_gb2312" w:hAnsi="仿宋_gb2312" w:cs="仿宋_gb2312" w:eastAsia="仿宋_gb2312"/>
                      <w:sz w:val="24"/>
                    </w:rPr>
                    <w:t>升级：增加</w:t>
                  </w:r>
                  <w:r>
                    <w:rPr>
                      <w:rFonts w:ascii="&quot;times new roman&quot;" w:hAnsi="&quot;times new roman&quot;" w:cs="&quot;times new roman&quot;" w:eastAsia="&quot;times new roman&quot;"/>
                      <w:sz w:val="24"/>
                    </w:rPr>
                    <w:t>3000</w:t>
                  </w:r>
                  <w:r>
                    <w:rPr>
                      <w:rFonts w:ascii="仿宋_gb2312" w:hAnsi="仿宋_gb2312" w:cs="仿宋_gb2312" w:eastAsia="仿宋_gb2312"/>
                      <w:sz w:val="24"/>
                    </w:rPr>
                    <w:t>用户授权。</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城市热点</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2166-10G</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2</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18</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智慧校园管理平台</w:t>
                  </w:r>
                </w:p>
              </w:tc>
              <w:tc>
                <w:tcPr>
                  <w:tcW w:type="dxa" w:w="5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left"/>
                  </w:pPr>
                  <w:r>
                    <w:rPr>
                      <w:rFonts w:ascii="&quot;times new roman&quot;" w:hAnsi="&quot;times new roman&quot;" w:cs="&quot;times new roman&quot;" w:eastAsia="&quot;times new roman&quot;"/>
                      <w:sz w:val="24"/>
                    </w:rPr>
                    <w:t>BUG</w:t>
                  </w:r>
                  <w:r>
                    <w:rPr>
                      <w:rFonts w:ascii="仿宋_gb2312" w:hAnsi="仿宋_gb2312" w:cs="仿宋_gb2312" w:eastAsia="仿宋_gb2312"/>
                      <w:sz w:val="24"/>
                    </w:rPr>
                    <w:t>修复及升级服务、故障处理、咨询答疑、突发事件响应及处理、软件配置维护、软件版本更新、运行支持、现场技术服务。</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金智</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教育开放平台应用管理平台软件</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仿宋_gb2312" w:hAnsi="仿宋_gb2312" w:cs="仿宋_gb2312" w:eastAsia="仿宋_gb2312"/>
                      <w:sz w:val="24"/>
                    </w:rPr>
                    <w:t>套</w:t>
                  </w:r>
                </w:p>
              </w:tc>
              <w:tc>
                <w:tcPr>
                  <w:tcW w:type="dxa" w:w="30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20"/>
                    <w:ind w:firstLine="420"/>
                    <w:jc w:val="both"/>
                  </w:pPr>
                  <w:r>
                    <w:rPr>
                      <w:rFonts w:ascii="&quot;times new roman&quot;" w:hAnsi="&quot;times new roman&quot;" w:cs="&quot;times new roman&quot;" w:eastAsia="&quot;times new roman&quot;"/>
                      <w:sz w:val="24"/>
                    </w:rPr>
                    <w:t>1</w:t>
                  </w:r>
                </w:p>
              </w:tc>
            </w:tr>
          </w:tbl>
          <w:p>
            <w:pPr>
              <w:pStyle w:val="null3"/>
              <w:ind w:left="420" w:firstLine="420"/>
              <w:jc w:val="left"/>
            </w:pPr>
            <w:r>
              <w:rPr>
                <w:rFonts w:ascii="宋体" w:hAnsi="宋体" w:cs="宋体" w:eastAsia="宋体"/>
                <w:sz w:val="21"/>
              </w:rPr>
              <w:t>四、服务要求</w:t>
            </w:r>
          </w:p>
          <w:p>
            <w:pPr>
              <w:pStyle w:val="null3"/>
              <w:ind w:firstLine="56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、技术支持服务</w:t>
            </w:r>
          </w:p>
          <w:p>
            <w:pPr>
              <w:pStyle w:val="null3"/>
              <w:ind w:firstLine="560"/>
              <w:jc w:val="both"/>
            </w:pPr>
            <w:r>
              <w:rPr>
                <w:rFonts w:ascii="仿宋_gb2312" w:hAnsi="仿宋_gb2312" w:cs="仿宋_gb2312" w:eastAsia="仿宋_gb2312"/>
                <w:sz w:val="24"/>
              </w:rPr>
              <w:t>通过确定故障的原因，提供一个解决方案，使设备恢复到正常的运行状态。该服务提供电话、远程和现场技术支持。</w:t>
            </w:r>
          </w:p>
          <w:p>
            <w:pPr>
              <w:pStyle w:val="null3"/>
              <w:ind w:firstLine="560"/>
              <w:jc w:val="both"/>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7</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24</w:t>
            </w:r>
            <w:r>
              <w:rPr>
                <w:rFonts w:ascii="仿宋_gb2312" w:hAnsi="仿宋_gb2312" w:cs="仿宋_gb2312" w:eastAsia="仿宋_gb2312"/>
                <w:sz w:val="24"/>
              </w:rPr>
              <w:t>小时在线技术支持服务</w:t>
            </w:r>
          </w:p>
          <w:p>
            <w:pPr>
              <w:pStyle w:val="null3"/>
              <w:ind w:firstLine="560"/>
              <w:jc w:val="both"/>
            </w:pPr>
            <w:r>
              <w:rPr>
                <w:rFonts w:ascii="仿宋_gb2312" w:hAnsi="仿宋_gb2312" w:cs="仿宋_gb2312" w:eastAsia="仿宋_gb2312"/>
                <w:sz w:val="24"/>
              </w:rPr>
              <w:t>提供</w:t>
            </w:r>
            <w:r>
              <w:rPr>
                <w:rFonts w:ascii="&quot;times new roman&quot;" w:hAnsi="&quot;times new roman&quot;" w:cs="&quot;times new roman&quot;" w:eastAsia="&quot;times new roman&quot;"/>
                <w:sz w:val="24"/>
              </w:rPr>
              <w:t>7</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24</w:t>
            </w:r>
            <w:r>
              <w:rPr>
                <w:rFonts w:ascii="仿宋_gb2312" w:hAnsi="仿宋_gb2312" w:cs="仿宋_gb2312" w:eastAsia="仿宋_gb2312"/>
                <w:sz w:val="24"/>
              </w:rPr>
              <w:t>小时在线技术支持服务，可以通过电话联系服务台处理所有服务请求。</w:t>
            </w:r>
          </w:p>
          <w:p>
            <w:pPr>
              <w:pStyle w:val="null3"/>
              <w:ind w:firstLine="56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、远程支持服务</w:t>
            </w:r>
          </w:p>
          <w:p>
            <w:pPr>
              <w:pStyle w:val="null3"/>
              <w:ind w:firstLine="560"/>
              <w:jc w:val="both"/>
            </w:pPr>
            <w:r>
              <w:rPr>
                <w:rFonts w:ascii="仿宋_gb2312" w:hAnsi="仿宋_gb2312" w:cs="仿宋_gb2312" w:eastAsia="仿宋_gb2312"/>
                <w:sz w:val="24"/>
              </w:rPr>
              <w:t>当设备问题无法通过在线技术支持服务解决时，工程师将在获得许可的情况下远程登录系统，诊断问题，找出原因，制定解决方案，并安排技术人员进行处理。</w:t>
            </w:r>
          </w:p>
          <w:p>
            <w:pPr>
              <w:pStyle w:val="null3"/>
              <w:ind w:firstLine="560"/>
              <w:jc w:val="both"/>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、现场支持服务</w:t>
            </w:r>
          </w:p>
          <w:p>
            <w:pPr>
              <w:pStyle w:val="null3"/>
              <w:ind w:firstLine="560"/>
              <w:jc w:val="both"/>
            </w:pPr>
            <w:r>
              <w:rPr>
                <w:rFonts w:ascii="仿宋_gb2312" w:hAnsi="仿宋_gb2312" w:cs="仿宋_gb2312" w:eastAsia="仿宋_gb2312"/>
                <w:sz w:val="24"/>
              </w:rPr>
              <w:t>对于无法通过电话支持和远程访问解决的设备问题，将及时提供现场故障排除服务，并安排有经验的技术工程师或技术专家团队协助进行数据分析，制定解决方案，现场消除故障。</w:t>
            </w:r>
          </w:p>
          <w:p>
            <w:pPr>
              <w:pStyle w:val="null3"/>
              <w:ind w:firstLine="560"/>
              <w:jc w:val="both"/>
            </w:pPr>
            <w:r>
              <w:rPr>
                <w:rFonts w:ascii="仿宋_gb2312" w:hAnsi="仿宋_gb2312" w:cs="仿宋_gb2312" w:eastAsia="仿宋_gb2312"/>
                <w:sz w:val="24"/>
              </w:rPr>
              <w:t>如发生严重影响业务的设备故障和其他紧急问题。在发生紧急故障时，立即提供电话支持和远程支持，并联系相应区域的技术工程师第一时间前往现场支持。</w:t>
            </w:r>
          </w:p>
          <w:p>
            <w:pPr>
              <w:pStyle w:val="null3"/>
              <w:ind w:firstLine="560"/>
              <w:jc w:val="both"/>
            </w:pPr>
            <w:r>
              <w:rPr>
                <w:rFonts w:ascii="仿宋_gb2312" w:hAnsi="仿宋_gb2312" w:cs="仿宋_gb2312" w:eastAsia="仿宋_gb2312"/>
                <w:sz w:val="24"/>
              </w:rPr>
              <w:t>紧急故障恢复的主要目的是使设备保持运行，或者在出现故障时尽快恢复运行，以防止遭受重大损失。</w:t>
            </w:r>
          </w:p>
          <w:p>
            <w:pPr>
              <w:pStyle w:val="null3"/>
              <w:ind w:firstLine="560"/>
              <w:jc w:val="both"/>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、软件升级服务</w:t>
            </w:r>
          </w:p>
          <w:p>
            <w:pPr>
              <w:pStyle w:val="null3"/>
              <w:ind w:firstLine="560"/>
              <w:jc w:val="both"/>
            </w:pPr>
            <w:r>
              <w:rPr>
                <w:rFonts w:ascii="仿宋_gb2312" w:hAnsi="仿宋_gb2312" w:cs="仿宋_gb2312" w:eastAsia="仿宋_gb2312"/>
                <w:sz w:val="24"/>
              </w:rPr>
              <w:t>提供主机版本软件的维护</w:t>
            </w:r>
            <w:r>
              <w:rPr>
                <w:rFonts w:ascii="&quot;times new roman&quot;" w:hAnsi="&quot;times new roman&quot;" w:cs="&quot;times new roman&quot;" w:eastAsia="&quot;times new roman&quot;"/>
                <w:sz w:val="24"/>
              </w:rPr>
              <w:t>(</w:t>
            </w:r>
            <w:r>
              <w:rPr>
                <w:rFonts w:ascii="仿宋_gb2312" w:hAnsi="仿宋_gb2312" w:cs="仿宋_gb2312" w:eastAsia="仿宋_gb2312"/>
                <w:sz w:val="24"/>
              </w:rPr>
              <w:t>版本升级、规则升级、补丁升级</w:t>
            </w:r>
            <w:r>
              <w:rPr>
                <w:rFonts w:ascii="&quot;times new roman&quot;" w:hAnsi="&quot;times new roman&quot;" w:cs="&quot;times new roman&quot;" w:eastAsia="&quot;times new roman&quot;"/>
                <w:sz w:val="24"/>
              </w:rPr>
              <w:t>)</w:t>
            </w:r>
            <w:r>
              <w:rPr>
                <w:rFonts w:ascii="仿宋_gb2312" w:hAnsi="仿宋_gb2312" w:cs="仿宋_gb2312" w:eastAsia="仿宋_gb2312"/>
                <w:sz w:val="24"/>
              </w:rPr>
              <w:t>，以确保设备始终处于最优性能。防止潜在问题和风险因素威胁系统和网络安全。</w:t>
            </w:r>
          </w:p>
          <w:p>
            <w:pPr>
              <w:pStyle w:val="null3"/>
              <w:ind w:firstLine="560"/>
              <w:jc w:val="both"/>
            </w:pPr>
            <w:r>
              <w:rPr>
                <w:rFonts w:ascii="times new roman" w:hAnsi="times new roman" w:cs="times new roman" w:eastAsia="times new roman"/>
                <w:sz w:val="24"/>
              </w:rPr>
              <w:t>6</w:t>
            </w:r>
            <w:r>
              <w:rPr>
                <w:rFonts w:ascii="仿宋_gb2312" w:hAnsi="仿宋_gb2312" w:cs="仿宋_gb2312" w:eastAsia="仿宋_gb2312"/>
                <w:sz w:val="24"/>
              </w:rPr>
              <w:t>、产品质保服务</w:t>
            </w:r>
          </w:p>
          <w:p>
            <w:pPr>
              <w:pStyle w:val="null3"/>
              <w:ind w:firstLine="560"/>
              <w:jc w:val="both"/>
            </w:pPr>
            <w:r>
              <w:rPr>
                <w:rFonts w:ascii="仿宋_gb2312" w:hAnsi="仿宋_gb2312" w:cs="仿宋_gb2312" w:eastAsia="仿宋_gb2312"/>
                <w:sz w:val="24"/>
              </w:rPr>
              <w:t>在服务期内，如果设备出现硬件故障问题，技术人员前往现场进行故障定位，如判断为硬件故障，尝试进行现场维修，现场无法维修的情况下，将故障部件返厂维修，在承诺的时间内维修完成并送回该设备。如故障部件严重损坏，判断已无法修复或修复时间将超过承诺的时间，需提供不低于故障部件配置的备件进行更换，以保障设备的正常运行。</w:t>
            </w:r>
          </w:p>
          <w:p>
            <w:pPr>
              <w:pStyle w:val="null3"/>
              <w:ind w:firstLine="560"/>
              <w:jc w:val="both"/>
            </w:pPr>
            <w:r>
              <w:rPr>
                <w:rFonts w:ascii="宋体" w:hAnsi="宋体" w:cs="宋体" w:eastAsia="宋体"/>
                <w:sz w:val="24"/>
              </w:rPr>
              <w:t>五、</w:t>
            </w:r>
            <w:r>
              <w:rPr>
                <w:rFonts w:ascii="宋体" w:hAnsi="宋体" w:cs="宋体" w:eastAsia="宋体"/>
                <w:sz w:val="21"/>
              </w:rPr>
              <w:t>其他要求</w:t>
            </w:r>
          </w:p>
          <w:p>
            <w:pPr>
              <w:pStyle w:val="null3"/>
              <w:ind w:firstLine="560"/>
              <w:jc w:val="both"/>
            </w:pPr>
            <w:r>
              <w:rPr>
                <w:rFonts w:ascii="仿宋_gb2312" w:hAnsi="仿宋_gb2312" w:cs="仿宋_gb2312" w:eastAsia="仿宋_gb2312"/>
                <w:sz w:val="24"/>
              </w:rPr>
              <w:t>售后要求</w:t>
            </w:r>
          </w:p>
          <w:p>
            <w:pPr>
              <w:pStyle w:val="null3"/>
              <w:ind w:firstLine="56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、交付要求：所有服务安装调试到位。</w:t>
            </w:r>
          </w:p>
          <w:p>
            <w:pPr>
              <w:pStyle w:val="null3"/>
              <w:ind w:firstLine="560"/>
              <w:jc w:val="both"/>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、服务期内，提供</w:t>
            </w:r>
            <w:r>
              <w:rPr>
                <w:rFonts w:ascii="&quot;times new roman&quot;" w:hAnsi="&quot;times new roman&quot;" w:cs="&quot;times new roman&quot;" w:eastAsia="&quot;times new roman&quot;"/>
                <w:sz w:val="24"/>
              </w:rPr>
              <w:t>7*24</w:t>
            </w:r>
            <w:r>
              <w:rPr>
                <w:rFonts w:ascii="仿宋_gb2312" w:hAnsi="仿宋_gb2312" w:cs="仿宋_gb2312" w:eastAsia="仿宋_gb2312"/>
                <w:sz w:val="24"/>
              </w:rPr>
              <w:t>小时服务响应。</w:t>
            </w:r>
          </w:p>
          <w:p>
            <w:pPr>
              <w:pStyle w:val="null3"/>
              <w:ind w:firstLine="56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、发生故障，接到甲方通知后，应于</w:t>
            </w:r>
            <w:r>
              <w:rPr>
                <w:rFonts w:ascii="&quot;times new roman&quot;" w:hAnsi="&quot;times new roman&quot;" w:cs="&quot;times new roman&quot;" w:eastAsia="&quot;times new roman&quot;"/>
                <w:sz w:val="24"/>
              </w:rPr>
              <w:t>2</w:t>
            </w:r>
            <w:r>
              <w:rPr>
                <w:rFonts w:ascii="仿宋_gb2312" w:hAnsi="仿宋_gb2312" w:cs="仿宋_gb2312" w:eastAsia="仿宋_gb2312"/>
                <w:sz w:val="24"/>
              </w:rPr>
              <w:t>小时内派出专业的维修人员到现场进行检测维修。</w:t>
            </w:r>
          </w:p>
          <w:p>
            <w:pPr>
              <w:pStyle w:val="null3"/>
              <w:ind w:firstLine="560"/>
              <w:jc w:val="both"/>
            </w:pPr>
            <w:r>
              <w:rPr>
                <w:rFonts w:ascii="&quot;times new roman&quot;" w:hAnsi="&quot;times new roman&quot;" w:cs="&quot;times new roman&quot;" w:eastAsia="&quot;times new roman&quot;"/>
                <w:sz w:val="24"/>
              </w:rPr>
              <w:t>4</w:t>
            </w:r>
            <w:r>
              <w:rPr>
                <w:rFonts w:ascii="仿宋_gb2312" w:hAnsi="仿宋_gb2312" w:cs="仿宋_gb2312" w:eastAsia="仿宋_gb2312"/>
                <w:sz w:val="24"/>
              </w:rPr>
              <w:t>、每月至少</w:t>
            </w:r>
            <w:r>
              <w:rPr>
                <w:rFonts w:ascii="&quot;times new roman&quot;" w:hAnsi="&quot;times new roman&quot;" w:cs="&quot;times new roman&quot;" w:eastAsia="&quot;times new roman&quot;"/>
                <w:sz w:val="24"/>
              </w:rPr>
              <w:t>2</w:t>
            </w:r>
            <w:r>
              <w:rPr>
                <w:rFonts w:ascii="仿宋_gb2312" w:hAnsi="仿宋_gb2312" w:cs="仿宋_gb2312" w:eastAsia="仿宋_gb2312"/>
                <w:sz w:val="24"/>
              </w:rPr>
              <w:t>次派技术人员到现场巡检，给予检查维护并出具记录单。</w:t>
            </w:r>
          </w:p>
          <w:p>
            <w:pPr>
              <w:pStyle w:val="null3"/>
              <w:ind w:firstLine="560"/>
              <w:jc w:val="both"/>
            </w:pPr>
            <w:r>
              <w:rPr>
                <w:rFonts w:ascii="&quot;times new roman&quot;" w:hAnsi="&quot;times new roman&quot;" w:cs="&quot;times new roman&quot;" w:eastAsia="&quot;times new roman&quot;"/>
                <w:sz w:val="24"/>
              </w:rPr>
              <w:t>5</w:t>
            </w:r>
            <w:r>
              <w:rPr>
                <w:rFonts w:ascii="仿宋_gb2312" w:hAnsi="仿宋_gb2312" w:cs="仿宋_gb2312" w:eastAsia="仿宋_gb2312"/>
                <w:sz w:val="24"/>
              </w:rPr>
              <w:t>、排除故障的期限不得超过</w:t>
            </w:r>
            <w:r>
              <w:rPr>
                <w:rFonts w:ascii="&quot;times new roman&quot;" w:hAnsi="&quot;times new roman&quot;" w:cs="&quot;times new roman&quot;" w:eastAsia="&quot;times new roman&quot;"/>
                <w:sz w:val="24"/>
              </w:rPr>
              <w:t>24</w:t>
            </w:r>
            <w:r>
              <w:rPr>
                <w:rFonts w:ascii="仿宋_gb2312" w:hAnsi="仿宋_gb2312" w:cs="仿宋_gb2312" w:eastAsia="仿宋_gb2312"/>
                <w:sz w:val="24"/>
              </w:rPr>
              <w:t>小时（工作日）。</w:t>
            </w:r>
          </w:p>
          <w:p>
            <w:pPr>
              <w:pStyle w:val="null3"/>
              <w:ind w:firstLine="560"/>
              <w:jc w:val="both"/>
            </w:pPr>
            <w:r>
              <w:rPr>
                <w:rFonts w:ascii="&quot;times new roman&quot;" w:hAnsi="&quot;times new roman&quot;" w:cs="&quot;times new roman&quot;" w:eastAsia="&quot;times new roman&quot;"/>
                <w:sz w:val="24"/>
              </w:rPr>
              <w:t>6</w:t>
            </w:r>
            <w:r>
              <w:rPr>
                <w:rFonts w:ascii="仿宋_gb2312" w:hAnsi="仿宋_gb2312" w:cs="仿宋_gb2312" w:eastAsia="仿宋_gb2312"/>
                <w:sz w:val="24"/>
              </w:rPr>
              <w:t>、建立完备的运维台账。</w:t>
            </w:r>
          </w:p>
          <w:p>
            <w:pPr>
              <w:pStyle w:val="null3"/>
              <w:ind w:firstLine="560"/>
              <w:jc w:val="both"/>
            </w:pPr>
            <w:r>
              <w:rPr>
                <w:rFonts w:ascii="仿宋_gb2312" w:hAnsi="仿宋_gb2312" w:cs="仿宋_gb2312" w:eastAsia="仿宋_gb2312"/>
                <w:sz w:val="24"/>
              </w:rPr>
              <w:t>验收：</w:t>
            </w:r>
          </w:p>
          <w:p>
            <w:pPr>
              <w:pStyle w:val="null3"/>
              <w:ind w:firstLine="56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服务内容完成后先由乙方进行自检，自检合格后邀请甲方进行验收。甲方确认乙方的自检内容后，组织乙方进行验收，验收合格后，填写项目验收单作为对服务的最终认可。</w:t>
            </w:r>
          </w:p>
          <w:p>
            <w:pPr>
              <w:pStyle w:val="null3"/>
              <w:ind w:firstLine="560"/>
              <w:jc w:val="both"/>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乙方向甲方提交服务相关所有资料，以便甲方日后管理和维护。</w:t>
            </w:r>
          </w:p>
          <w:p>
            <w:pPr>
              <w:pStyle w:val="null3"/>
              <w:ind w:firstLine="56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、验收依据：</w:t>
            </w:r>
          </w:p>
          <w:p>
            <w:pPr>
              <w:pStyle w:val="null3"/>
              <w:ind w:firstLine="560"/>
              <w:jc w:val="both"/>
            </w:pPr>
            <w:r>
              <w:rPr>
                <w:rFonts w:ascii="仿宋_gb2312" w:hAnsi="仿宋_gb2312" w:cs="仿宋_gb2312" w:eastAsia="仿宋_gb2312"/>
                <w:sz w:val="24"/>
              </w:rPr>
              <w:t>（</w:t>
            </w:r>
            <w:r>
              <w:rPr>
                <w:rFonts w:ascii="&quot;times new roman&quot;" w:hAnsi="&quot;times new roman&quot;" w:cs="&quot;times new roman&quot;" w:eastAsia="&quot;times new roman&quot;"/>
                <w:sz w:val="24"/>
              </w:rPr>
              <w:t>1</w:t>
            </w:r>
            <w:r>
              <w:rPr>
                <w:rFonts w:ascii="仿宋_gb2312" w:hAnsi="仿宋_gb2312" w:cs="仿宋_gb2312" w:eastAsia="仿宋_gb2312"/>
                <w:sz w:val="24"/>
              </w:rPr>
              <w:t>）采购文件、响应文件、澄清表（函）；</w:t>
            </w:r>
          </w:p>
          <w:p>
            <w:pPr>
              <w:pStyle w:val="null3"/>
              <w:ind w:firstLine="560"/>
              <w:jc w:val="both"/>
            </w:pPr>
            <w:r>
              <w:rPr>
                <w:rFonts w:ascii="仿宋_gb2312" w:hAnsi="仿宋_gb2312" w:cs="仿宋_gb2312" w:eastAsia="仿宋_gb2312"/>
                <w:sz w:val="24"/>
              </w:rPr>
              <w:t>（</w:t>
            </w:r>
            <w:r>
              <w:rPr>
                <w:rFonts w:ascii="&quot;times new roman&quot;" w:hAnsi="&quot;times new roman&quot;" w:cs="&quot;times new roman&quot;" w:eastAsia="&quot;times new roman&quot;"/>
                <w:sz w:val="24"/>
              </w:rPr>
              <w:t>2</w:t>
            </w:r>
            <w:r>
              <w:rPr>
                <w:rFonts w:ascii="仿宋_gb2312" w:hAnsi="仿宋_gb2312" w:cs="仿宋_gb2312" w:eastAsia="仿宋_gb2312"/>
                <w:sz w:val="24"/>
              </w:rPr>
              <w:t>）本合同及附件文本；</w:t>
            </w:r>
          </w:p>
          <w:p>
            <w:pPr>
              <w:pStyle w:val="null3"/>
              <w:ind w:firstLine="560"/>
              <w:jc w:val="both"/>
            </w:pPr>
            <w:r>
              <w:rPr>
                <w:rFonts w:ascii="仿宋_gb2312" w:hAnsi="仿宋_gb2312" w:cs="仿宋_gb2312" w:eastAsia="仿宋_gb2312"/>
                <w:sz w:val="24"/>
              </w:rPr>
              <w:t>（</w:t>
            </w:r>
            <w:r>
              <w:rPr>
                <w:rFonts w:ascii="&quot;times new roman&quot;" w:hAnsi="&quot;times new roman&quot;" w:cs="&quot;times new roman&quot;" w:eastAsia="&quot;times new roman&quot;"/>
                <w:sz w:val="24"/>
              </w:rPr>
              <w:t>3</w:t>
            </w:r>
            <w:r>
              <w:rPr>
                <w:rFonts w:ascii="仿宋_gb2312" w:hAnsi="仿宋_gb2312" w:cs="仿宋_gb2312" w:eastAsia="仿宋_gb2312"/>
                <w:sz w:val="24"/>
              </w:rPr>
              <w:t>）国家相应的标准、规范。</w:t>
            </w:r>
          </w:p>
          <w:p>
            <w:pPr>
              <w:pStyle w:val="null3"/>
              <w:ind w:firstLine="560"/>
              <w:jc w:val="both"/>
            </w:pPr>
            <w:r>
              <w:rPr>
                <w:rFonts w:ascii="仿宋_gb2312" w:hAnsi="仿宋_gb2312" w:cs="仿宋_gb2312" w:eastAsia="仿宋_gb2312"/>
                <w:sz w:val="24"/>
              </w:rPr>
              <w:t>违约责任</w:t>
            </w:r>
          </w:p>
          <w:p>
            <w:pPr>
              <w:pStyle w:val="null3"/>
              <w:ind w:firstLine="56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、按《政府采购法》、《合同法》中的相关条款执行。</w:t>
            </w:r>
          </w:p>
          <w:p>
            <w:pPr>
              <w:pStyle w:val="null3"/>
              <w:ind w:firstLine="560"/>
              <w:jc w:val="both"/>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、乙方未按要求提供服务或服务质量不能满足合同要求，乙方必须无条件提高技术，完善服务产品质量，否则，甲方会同确认方有权解除合同，并对乙方的违约行为报监管机构进行相应的处罚。</w:t>
            </w:r>
          </w:p>
          <w:p>
            <w:pPr>
              <w:pStyle w:val="null3"/>
              <w:ind w:firstLine="56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、乙方未能按照约定时间提供服务或完成约定的项目服务内容的，从逾期之日起每日按本总价款</w:t>
            </w:r>
            <w:r>
              <w:rPr>
                <w:rFonts w:ascii="&quot;times new roman&quot;" w:hAnsi="&quot;times new roman&quot;" w:cs="&quot;times new roman&quot;" w:eastAsia="&quot;times new roman&quot;"/>
                <w:sz w:val="24"/>
              </w:rPr>
              <w:t>1%</w:t>
            </w:r>
            <w:r>
              <w:rPr>
                <w:rFonts w:ascii="仿宋_gb2312" w:hAnsi="仿宋_gb2312" w:cs="仿宋_gb2312" w:eastAsia="仿宋_gb2312"/>
                <w:sz w:val="24"/>
              </w:rPr>
              <w:t>的数额向甲方支付违约金；逾期累计超过</w:t>
            </w:r>
            <w:r>
              <w:rPr>
                <w:rFonts w:ascii="&quot;times new roman&quot;" w:hAnsi="&quot;times new roman&quot;" w:cs="&quot;times new roman&quot;" w:eastAsia="&quot;times new roman&quot;"/>
                <w:sz w:val="24"/>
              </w:rPr>
              <w:t>30</w:t>
            </w:r>
            <w:r>
              <w:rPr>
                <w:rFonts w:ascii="仿宋_gb2312" w:hAnsi="仿宋_gb2312" w:cs="仿宋_gb2312" w:eastAsia="仿宋_gb2312"/>
                <w:sz w:val="24"/>
              </w:rPr>
              <w:t>天的，甲方有权单方解除本协议，乙方除按本协议支付违约金外，还应向甲方承担由此造成的经济损失。</w:t>
            </w:r>
            <w:r>
              <w:rPr>
                <w:rFonts w:ascii="&quot;times new roman&quot;" w:hAnsi="&quot;times new roman&quot;" w:cs="&quot;times new roman&quot;" w:eastAsia="&quot;times new roman&quot;"/>
                <w:sz w:val="24"/>
              </w:rPr>
              <w:t>4</w:t>
            </w:r>
            <w:r>
              <w:rPr>
                <w:rFonts w:ascii="仿宋_gb2312" w:hAnsi="仿宋_gb2312" w:cs="仿宋_gb2312" w:eastAsia="仿宋_gb2312"/>
                <w:sz w:val="24"/>
              </w:rPr>
              <w:t>、逾期付款，甲方承担相应的违约责任。</w:t>
            </w:r>
          </w:p>
          <w:p>
            <w:pPr>
              <w:pStyle w:val="null3"/>
              <w:ind w:firstLine="560"/>
              <w:jc w:val="both"/>
            </w:pPr>
            <w:r>
              <w:rPr/>
              <w:t xml:space="preserve"> </w:t>
            </w:r>
          </w:p>
          <w:p>
            <w:pPr>
              <w:pStyle w:val="null3"/>
              <w:ind w:firstLine="560"/>
              <w:jc w:val="both"/>
            </w:pPr>
            <w:r>
              <w:rPr/>
              <w:t xml:space="preserve"> </w:t>
            </w:r>
          </w:p>
        </w:tc>
      </w:tr>
      <w:tr>
        <w:tc>
          <w:tcPr>
            <w:tcW w:type="dxa" w:w="2769"/>
          </w:tcPr>
          <w:p>
            <w:pPr>
              <w:pStyle w:val="null3"/>
            </w:pPr>
            <w:r>
              <w:rPr/>
              <w:t>★</w:t>
            </w:r>
          </w:p>
        </w:tc>
        <w:tc>
          <w:tcPr>
            <w:tcW w:type="dxa" w:w="2769"/>
          </w:tcPr>
          <w:p>
            <w:pPr>
              <w:pStyle w:val="null3"/>
            </w:pPr>
            <w:r>
              <w:rPr/>
              <w:t>2</w:t>
            </w:r>
          </w:p>
        </w:tc>
        <w:tc>
          <w:tcPr>
            <w:tcW w:type="dxa" w:w="2769"/>
          </w:tcPr>
          <w:p>
            <w:pPr>
              <w:pStyle w:val="null3"/>
              <w:jc w:val="left"/>
            </w:pPr>
            <w:r>
              <w:rPr/>
              <w:t xml:space="preserve"> </w:t>
            </w:r>
          </w:p>
          <w:p>
            <w:pPr>
              <w:pStyle w:val="null3"/>
              <w:numPr>
                <w:ilvl w:val="0"/>
                <w:numId w:val="1"/>
              </w:numPr>
              <w:jc w:val="left"/>
            </w:pPr>
            <w:r>
              <w:rPr>
                <w:rFonts w:ascii="宋体" w:hAnsi="宋体" w:cs="宋体" w:eastAsia="宋体"/>
                <w:sz w:val="21"/>
              </w:rPr>
              <w:t>商务要求</w:t>
            </w:r>
          </w:p>
          <w:p>
            <w:pPr>
              <w:pStyle w:val="null3"/>
              <w:ind w:firstLine="48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服务期限：自合同签订之日起一年</w:t>
            </w:r>
          </w:p>
          <w:p>
            <w:pPr>
              <w:pStyle w:val="null3"/>
              <w:ind w:firstLine="480"/>
              <w:jc w:val="left"/>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服务地点：采购人指定地点</w:t>
            </w:r>
          </w:p>
          <w:p>
            <w:pPr>
              <w:pStyle w:val="null3"/>
              <w:ind w:firstLine="48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款项结算。</w:t>
            </w:r>
          </w:p>
          <w:p>
            <w:pPr>
              <w:pStyle w:val="null3"/>
              <w:ind w:firstLine="480"/>
              <w:jc w:val="both"/>
            </w:pPr>
            <w:r>
              <w:rPr>
                <w:rFonts w:ascii="&quot;times new roman&quot;" w:hAnsi="&quot;times new roman&quot;" w:cs="&quot;times new roman&quot;" w:eastAsia="&quot;times new roman&quot;"/>
                <w:sz w:val="24"/>
              </w:rPr>
              <w:t>1</w:t>
            </w:r>
            <w:r>
              <w:rPr>
                <w:rFonts w:ascii="仿宋_gb2312" w:hAnsi="仿宋_gb2312" w:cs="仿宋_gb2312" w:eastAsia="仿宋_gb2312"/>
                <w:sz w:val="24"/>
              </w:rPr>
              <w:t>）支付方式：银行转账。</w:t>
            </w:r>
          </w:p>
          <w:p>
            <w:pPr>
              <w:pStyle w:val="null3"/>
              <w:ind w:firstLine="480"/>
              <w:jc w:val="both"/>
            </w:pPr>
            <w:r>
              <w:rPr>
                <w:rFonts w:ascii="&quot;times new roman&quot;" w:hAnsi="&quot;times new roman&quot;" w:cs="&quot;times new roman&quot;" w:eastAsia="&quot;times new roman&quot;"/>
                <w:sz w:val="24"/>
              </w:rPr>
              <w:t>2</w:t>
            </w:r>
            <w:r>
              <w:rPr>
                <w:rFonts w:ascii="仿宋_gb2312" w:hAnsi="仿宋_gb2312" w:cs="仿宋_gb2312" w:eastAsia="仿宋_gb2312"/>
                <w:sz w:val="24"/>
              </w:rPr>
              <w:t>）项目付款：合同签订后所有货物到达甲方指定地点，安装、调试完毕并验收合格后，达到付款条件起</w:t>
            </w:r>
            <w:r>
              <w:rPr>
                <w:rFonts w:ascii="仿宋_gb2312" w:hAnsi="仿宋_gb2312" w:cs="仿宋_gb2312" w:eastAsia="仿宋_gb2312"/>
                <w:sz w:val="24"/>
              </w:rPr>
              <w:t>90日内，支付合同总金额的100.00%。</w:t>
            </w:r>
          </w:p>
          <w:p>
            <w:pPr>
              <w:pStyle w:val="null3"/>
              <w:ind w:firstLine="480"/>
              <w:jc w:val="both"/>
            </w:pPr>
            <w:r>
              <w:rPr>
                <w:rFonts w:ascii="&quot;times new roman&quot;" w:hAnsi="&quot;times new roman&quot;" w:cs="&quot;times new roman&quot;" w:eastAsia="&quot;times new roman&quot;"/>
                <w:sz w:val="24"/>
              </w:rPr>
              <w:t>3</w:t>
            </w:r>
            <w:r>
              <w:rPr>
                <w:rFonts w:ascii="仿宋_gb2312" w:hAnsi="仿宋_gb2312" w:cs="仿宋_gb2312" w:eastAsia="仿宋_gb2312"/>
                <w:sz w:val="24"/>
              </w:rPr>
              <w:t>）结算方式：供应商持验收书，发票（按合同总价开采购人），成交通知书、服务合同，与采购人结算。</w:t>
            </w:r>
          </w:p>
          <w:p>
            <w:pPr>
              <w:pStyle w:val="null3"/>
              <w:jc w:val="both"/>
            </w:pPr>
            <w:r>
              <w:rPr>
                <w:rFonts w:ascii="仿宋_gb2312" w:hAnsi="仿宋_gb2312" w:cs="仿宋_gb2312" w:eastAsia="仿宋_gb2312"/>
                <w:sz w:val="24"/>
              </w:rPr>
              <w:t>注：如符合财库〔</w:t>
            </w:r>
            <w:r>
              <w:rPr>
                <w:rFonts w:ascii="&quot;times new roman&quot;" w:hAnsi="&quot;times new roman&quot;" w:cs="&quot;times new roman&quot;" w:eastAsia="&quot;times new roman&quot;"/>
                <w:sz w:val="24"/>
              </w:rPr>
              <w:t>2020</w:t>
            </w:r>
            <w:r>
              <w:rPr>
                <w:rFonts w:ascii="仿宋_gb2312" w:hAnsi="仿宋_gb2312" w:cs="仿宋_gb2312" w:eastAsia="仿宋_gb2312"/>
                <w:sz w:val="24"/>
              </w:rPr>
              <w:t>〕</w:t>
            </w:r>
            <w:r>
              <w:rPr>
                <w:rFonts w:ascii="&quot;times new roman&quot;" w:hAnsi="&quot;times new roman&quot;" w:cs="&quot;times new roman&quot;" w:eastAsia="&quot;times new roman&quot;"/>
                <w:sz w:val="24"/>
              </w:rPr>
              <w:t>46</w:t>
            </w:r>
            <w:r>
              <w:rPr>
                <w:rFonts w:ascii="仿宋_gb2312" w:hAnsi="仿宋_gb2312" w:cs="仿宋_gb2312" w:eastAsia="仿宋_gb2312"/>
                <w:sz w:val="24"/>
              </w:rPr>
              <w:t>号文中规定的小企业中标则预付款比例为，采购人应支付不低于合同价款</w:t>
            </w:r>
            <w:r>
              <w:rPr>
                <w:rFonts w:ascii="&quot;times new roman&quot;" w:hAnsi="&quot;times new roman&quot;" w:cs="&quot;times new roman&quot;" w:eastAsia="&quot;times new roman&quot;"/>
                <w:sz w:val="24"/>
              </w:rPr>
              <w:t>40%</w:t>
            </w:r>
            <w:r>
              <w:rPr>
                <w:rFonts w:ascii="仿宋_gb2312" w:hAnsi="仿宋_gb2312" w:cs="仿宋_gb2312" w:eastAsia="仿宋_gb2312"/>
                <w:sz w:val="24"/>
              </w:rPr>
              <w:t>的预付款，且在自验收合格之日起</w:t>
            </w:r>
            <w:r>
              <w:rPr>
                <w:rFonts w:ascii="&quot;times new roman&quot;" w:hAnsi="&quot;times new roman&quot;" w:cs="&quot;times new roman&quot;" w:eastAsia="&quot;times new roman&quot;"/>
                <w:sz w:val="24"/>
              </w:rPr>
              <w:t>30</w:t>
            </w:r>
            <w:r>
              <w:rPr>
                <w:rFonts w:ascii="仿宋_gb2312" w:hAnsi="仿宋_gb2312" w:cs="仿宋_gb2312" w:eastAsia="仿宋_gb2312"/>
                <w:sz w:val="24"/>
              </w:rPr>
              <w:t>日内支付剩余款项。</w:t>
            </w:r>
          </w:p>
        </w:tc>
      </w:tr>
    </w:tbl>
    <w:p>
      <w:pPr>
        <w:pStyle w:val="null3"/>
        <w:outlineLvl w:val="2"/>
      </w:pPr>
      <w:r>
        <w:rPr>
          <w:b/>
          <w:sz w:val="28"/>
        </w:rPr>
        <w:t>3.2.3人员配置要求</w:t>
      </w:r>
    </w:p>
    <w:p>
      <w:pPr>
        <w:pStyle w:val="null3"/>
      </w:pPr>
      <w:r>
        <w:rPr/>
        <w:t>采购包1：</w:t>
      </w:r>
    </w:p>
    <w:p>
      <w:pPr>
        <w:pStyle w:val="null3"/>
      </w:pPr>
      <w:r>
        <w:rPr/>
        <w:t>详见磋商文件第六章 磋商办法(评分标准)</w:t>
      </w:r>
    </w:p>
    <w:p>
      <w:pPr>
        <w:pStyle w:val="null3"/>
        <w:outlineLvl w:val="2"/>
      </w:pPr>
      <w:r>
        <w:rPr>
          <w:b/>
          <w:sz w:val="28"/>
        </w:rPr>
        <w:t>3.2.4设施设备要求</w:t>
      </w:r>
    </w:p>
    <w:p>
      <w:pPr>
        <w:pStyle w:val="null3"/>
      </w:pPr>
      <w:r>
        <w:rPr/>
        <w:t>采购包1：</w:t>
      </w:r>
    </w:p>
    <w:p>
      <w:pPr>
        <w:pStyle w:val="null3"/>
      </w:pPr>
      <w:r>
        <w:rPr/>
        <w:t>无</w:t>
      </w:r>
    </w:p>
    <w:p>
      <w:pPr>
        <w:pStyle w:val="null3"/>
        <w:outlineLvl w:val="2"/>
      </w:pPr>
      <w:r>
        <w:rPr>
          <w:b/>
          <w:sz w:val="28"/>
        </w:rPr>
        <w:t>3.2.5其他要求</w:t>
      </w:r>
    </w:p>
    <w:p>
      <w:pPr>
        <w:pStyle w:val="null3"/>
      </w:pPr>
      <w:r>
        <w:rPr/>
        <w:t>采购包1：</w:t>
      </w:r>
    </w:p>
    <w:p>
      <w:pPr>
        <w:pStyle w:val="null3"/>
      </w:pPr>
      <w:r>
        <w:rPr/>
        <w:t>无</w:t>
      </w:r>
    </w:p>
    <w:p>
      <w:pPr>
        <w:pStyle w:val="null3"/>
        <w:outlineLvl w:val="2"/>
      </w:pPr>
      <w:r>
        <w:rPr>
          <w:b/>
          <w:sz w:val="28"/>
        </w:rPr>
        <w:t>3.3商务要求</w:t>
      </w:r>
    </w:p>
    <w:p>
      <w:pPr>
        <w:pStyle w:val="null3"/>
        <w:outlineLvl w:val="3"/>
      </w:pPr>
      <w:r>
        <w:rPr>
          <w:b/>
          <w:sz w:val="24"/>
        </w:rPr>
        <w:t>3.3.1服务期限</w:t>
      </w:r>
    </w:p>
    <w:p>
      <w:pPr>
        <w:pStyle w:val="null3"/>
      </w:pPr>
      <w:r>
        <w:rPr/>
        <w:t>采购包1：</w:t>
      </w:r>
    </w:p>
    <w:p>
      <w:pPr>
        <w:pStyle w:val="null3"/>
      </w:pPr>
      <w:r>
        <w:rPr/>
        <w:t>自合同签订之日起一年</w:t>
      </w:r>
    </w:p>
    <w:p>
      <w:pPr>
        <w:pStyle w:val="null3"/>
        <w:outlineLvl w:val="3"/>
      </w:pPr>
      <w:r>
        <w:rPr>
          <w:b/>
          <w:sz w:val="24"/>
        </w:rPr>
        <w:t>3.3.2服务地点</w:t>
      </w:r>
    </w:p>
    <w:p>
      <w:pPr>
        <w:pStyle w:val="null3"/>
      </w:pPr>
      <w:r>
        <w:rPr/>
        <w:t>采购包1：</w:t>
      </w:r>
    </w:p>
    <w:p>
      <w:pPr>
        <w:pStyle w:val="null3"/>
      </w:pPr>
      <w:r>
        <w:rPr/>
        <w:t>采购人指定地点</w:t>
      </w:r>
    </w:p>
    <w:p>
      <w:pPr>
        <w:pStyle w:val="null3"/>
        <w:outlineLvl w:val="3"/>
      </w:pPr>
      <w:r>
        <w:rPr>
          <w:b/>
          <w:sz w:val="24"/>
        </w:rPr>
        <w:t>3.3.3考核（验收）标准和方法</w:t>
      </w:r>
    </w:p>
    <w:p>
      <w:pPr>
        <w:pStyle w:val="null3"/>
      </w:pPr>
      <w:r>
        <w:rPr/>
        <w:t>采购包1：</w:t>
      </w:r>
    </w:p>
    <w:p>
      <w:pPr>
        <w:pStyle w:val="null3"/>
      </w:pPr>
      <w:r>
        <w:rPr/>
        <w:t>按采购文件、响应文件及合同相关条款</w:t>
      </w:r>
    </w:p>
    <w:p>
      <w:pPr>
        <w:pStyle w:val="null3"/>
        <w:outlineLvl w:val="3"/>
      </w:pPr>
      <w:r>
        <w:rPr>
          <w:b/>
          <w:sz w:val="24"/>
        </w:rPr>
        <w:t>3.3.4支付方式</w:t>
      </w:r>
    </w:p>
    <w:p>
      <w:pPr>
        <w:pStyle w:val="null3"/>
      </w:pPr>
      <w:r>
        <w:rPr/>
        <w:t>采购包1：</w:t>
      </w:r>
    </w:p>
    <w:p>
      <w:pPr>
        <w:pStyle w:val="null3"/>
      </w:pPr>
      <w:r>
        <w:rPr/>
        <w:t>一次付清</w:t>
      </w:r>
    </w:p>
    <w:p>
      <w:pPr>
        <w:pStyle w:val="null3"/>
        <w:outlineLvl w:val="3"/>
      </w:pPr>
      <w:r>
        <w:rPr>
          <w:b/>
          <w:sz w:val="24"/>
        </w:rPr>
        <w:t>3.3.5支付约定</w:t>
      </w:r>
    </w:p>
    <w:p>
      <w:pPr>
        <w:pStyle w:val="null3"/>
      </w:pPr>
      <w:r>
        <w:rPr/>
        <w:t>采购包1：</w:t>
      </w:r>
      <w:r>
        <w:rPr/>
        <w:t xml:space="preserve"> 付款条件说明： </w:t>
      </w:r>
      <w:r>
        <w:rPr/>
        <w:t>合同签订后所有货物到达甲方指定地点，安装、调试完毕并验收合格后</w:t>
      </w:r>
      <w:r>
        <w:rPr/>
        <w:t xml:space="preserve"> ，达到付款条件起 </w:t>
      </w:r>
      <w:r>
        <w:rPr/>
        <w:t>90</w:t>
      </w:r>
      <w:r>
        <w:rPr/>
        <w:t xml:space="preserve"> 日内，支付合同总金额的 </w:t>
      </w:r>
      <w:r>
        <w:rPr/>
        <w:t>100.00</w:t>
      </w:r>
      <w:r>
        <w:rPr/>
        <w:t>%。</w:t>
      </w:r>
    </w:p>
    <w:p>
      <w:pPr>
        <w:pStyle w:val="null3"/>
        <w:outlineLvl w:val="3"/>
      </w:pPr>
      <w:r>
        <w:rPr>
          <w:b/>
          <w:sz w:val="24"/>
        </w:rPr>
        <w:t>3.3.6违约责任及解决争议的方法</w:t>
      </w:r>
    </w:p>
    <w:p>
      <w:pPr>
        <w:pStyle w:val="null3"/>
      </w:pPr>
      <w:r>
        <w:rPr/>
        <w:t>采购包1：</w:t>
      </w:r>
    </w:p>
    <w:p>
      <w:pPr>
        <w:pStyle w:val="null3"/>
      </w:pPr>
      <w:r>
        <w:rPr/>
        <w:t>按采购文件、响应文件及合同相关条款</w:t>
      </w:r>
    </w:p>
    <w:p>
      <w:pPr>
        <w:pStyle w:val="null3"/>
        <w:outlineLvl w:val="2"/>
      </w:pPr>
      <w:r>
        <w:rPr>
          <w:b/>
          <w:sz w:val="28"/>
        </w:rPr>
        <w:t>3.4其他要求</w:t>
      </w:r>
    </w:p>
    <w:p>
      <w:pPr>
        <w:pStyle w:val="null3"/>
      </w:pPr>
      <w:r>
        <w:rPr/>
        <w:t>/</w:t>
      </w:r>
    </w:p>
    <w:p>
      <w:pPr>
        <w:pStyle w:val="null3"/>
      </w:pPr>
      <w:r>
        <w:rPr/>
        <w:t xml:space="preserve"> </w:t>
        <w:br/>
        <w:br w:type="page"/>
      </w:r>
    </w:p>
    <w:p>
      <w:pPr>
        <w:pStyle w:val="null3"/>
        <w:jc w:val="center"/>
        <w:outlineLvl w:val="1"/>
      </w:pPr>
      <w:r>
        <w:rPr>
          <w:b/>
          <w:sz w:val="36"/>
        </w:rPr>
        <w:t>第四章 资格审查</w:t>
      </w:r>
    </w:p>
    <w:p>
      <w:pPr>
        <w:pStyle w:val="null3"/>
        <w:ind w:firstLine="480"/>
      </w:pPr>
      <w:r>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b/>
          <w:sz w:val="24"/>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供应商需在项目电子化交易系统中按要求填写《投标函》完成承诺并进行电子签章。 1）具有独立承担民事责任的能力 提供注册登记凭证（营业执照、其他组织经营的合法凭证，自然人的提供身份证明文件）。 2）具有良好的商业信誉和健全的财务会计制度 提供经审计的近三年任意一年财务报告（包括四表一注，即资产负债表、利润表、现金流量表、所有者权益变动表及其附注），且无反对意见；事业法人提供部门决算报告；/或在磋商截止日期前六个月内其基本开户银行出具的资信证明（附《基本存款账户信息》或《银行开户许可证》复印件）； /或财政部门认可的政府采购专业担保机构出具的磋商担保函； 以上三种形式的资料提供任何一种即可。 3）具有履行合同所必需的设备和专业技术能力 提供声明文件。 4）具有依法缴纳税收的良好记录 提供缴费所属日期为磋商截止时间前12个月内任一月份（磋商截止时间当月不计入）的增值税（或所得税）缴费凭据或税务机关出具的完税证明/在法规范围内不需提供的应出具书面说明和证明文件。 5）具有依法缴纳社会保障资金的良好记录 提供缴费所属日期为磋商截止时间前12个月内任一月份（磋商截止时间当月不计入）的缴费凭据或社保机关出具的缴费证明/在法规范围内不需提供的应出具书面说明和证明文件。 6）参加政府采购活动前3年内在经营活动中没有重大违法记录的书面声明。 7）法人代表授权书。</w:t>
            </w:r>
          </w:p>
        </w:tc>
        <w:tc>
          <w:tcPr>
            <w:tcW w:type="dxa" w:w="1661"/>
          </w:tcPr>
          <w:p>
            <w:pPr>
              <w:pStyle w:val="null3"/>
            </w:pPr>
            <w:r>
              <w:rPr/>
              <w:t>供应商应提交的相关资格证明材料 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供应商应提交的相关资格证明材料 响应函</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非联合体响应声明函 响应函</w:t>
            </w:r>
          </w:p>
        </w:tc>
      </w:tr>
    </w:tbl>
    <w:p>
      <w:pPr>
        <w:pStyle w:val="null3"/>
        <w:outlineLvl w:val="3"/>
      </w:pPr>
      <w:r>
        <w:rPr>
          <w:b/>
          <w:sz w:val="24"/>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outlineLvl w:val="3"/>
      </w:pPr>
      <w:r>
        <w:rPr>
          <w:b/>
          <w:sz w:val="24"/>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b/>
          <w:sz w:val="36"/>
        </w:rPr>
        <w:t>第五章 磋商过程中可实质性变动的内容</w:t>
      </w:r>
    </w:p>
    <w:p>
      <w:pPr>
        <w:pStyle w:val="null3"/>
        <w:ind w:firstLine="480"/>
      </w:pPr>
      <w:r>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t xml:space="preserve"> </w:t>
        <w:br/>
        <w:br w:type="page"/>
      </w:r>
    </w:p>
    <w:p>
      <w:pPr>
        <w:pStyle w:val="null3"/>
        <w:jc w:val="center"/>
        <w:outlineLvl w:val="1"/>
      </w:pPr>
      <w:r>
        <w:rPr>
          <w:b/>
          <w:sz w:val="36"/>
        </w:rPr>
        <w:t>第六章 磋商办法</w:t>
      </w:r>
    </w:p>
    <w:p>
      <w:pPr>
        <w:pStyle w:val="null3"/>
        <w:outlineLvl w:val="2"/>
      </w:pPr>
      <w:r>
        <w:rPr>
          <w:b/>
          <w:sz w:val="28"/>
        </w:rPr>
        <w:t>6.1总则</w:t>
      </w:r>
    </w:p>
    <w:p>
      <w:pPr>
        <w:pStyle w:val="null3"/>
        <w:ind w:firstLine="480"/>
      </w:pPr>
      <w:r>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t>二、评审工作由代理机构组织，具体评审事务由依法组建的磋商小组负责。</w:t>
      </w:r>
    </w:p>
    <w:p>
      <w:pPr>
        <w:pStyle w:val="null3"/>
        <w:ind w:firstLine="480"/>
      </w:pPr>
      <w:r>
        <w:rPr/>
        <w:t>三、评审工作应遵循客观、公正、审慎的原则，并以相同的磋商程序和标准对待所有的供应商。</w:t>
      </w:r>
    </w:p>
    <w:p>
      <w:pPr>
        <w:pStyle w:val="null3"/>
        <w:ind w:firstLine="480"/>
      </w:pPr>
      <w:r>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b/>
          <w:sz w:val="28"/>
        </w:rPr>
        <w:t>6.2 磋商小组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t>三、磋商小组按照磋商文件规定的磋商程序、评分方法和标准进行评审，并独立履行下列职责：</w:t>
      </w:r>
    </w:p>
    <w:p>
      <w:pPr>
        <w:pStyle w:val="null3"/>
        <w:ind w:firstLine="480"/>
      </w:pPr>
      <w:r>
        <w:rPr/>
        <w:t>（一）熟悉和理解磋商文件；</w:t>
      </w:r>
    </w:p>
    <w:p>
      <w:pPr>
        <w:pStyle w:val="null3"/>
        <w:ind w:firstLine="480"/>
      </w:pPr>
      <w:r>
        <w:rPr/>
        <w:t>（二）审查供应商响应文件等是否满足磋商文件要求，并作出评价；</w:t>
      </w:r>
    </w:p>
    <w:p>
      <w:pPr>
        <w:pStyle w:val="null3"/>
        <w:ind w:firstLine="480"/>
      </w:pPr>
      <w:r>
        <w:rPr/>
        <w:t xml:space="preserve"> （三）根据需要要求采购组织单位对磋商文件作出解释；根据需要要求供应商对响应文件有关事项作出澄清、说明或者更正；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（五）起草资格审查报告、评审报告并进行签署；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b/>
          <w:sz w:val="28"/>
        </w:rPr>
        <w:t>6.3评审程序</w:t>
      </w:r>
    </w:p>
    <w:p>
      <w:pPr>
        <w:pStyle w:val="null3"/>
        <w:outlineLvl w:val="3"/>
      </w:pPr>
      <w:r>
        <w:rPr>
          <w:b/>
          <w:sz w:val="24"/>
        </w:rPr>
        <w:t xml:space="preserve"> 6.3.1.熟悉和理解磋商文件和停止评审</w:t>
      </w:r>
    </w:p>
    <w:p>
      <w:pPr>
        <w:pStyle w:val="null3"/>
        <w:ind w:firstLine="480"/>
      </w:pPr>
      <w:r>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t>二、本磋商文件有下列情形之一的，磋商小组应当停止评审：</w:t>
      </w:r>
    </w:p>
    <w:p>
      <w:pPr>
        <w:pStyle w:val="null3"/>
        <w:ind w:firstLine="480"/>
      </w:pPr>
      <w:r>
        <w:rPr/>
        <w:t>（一）磋商文件的规定存在歧义、重大缺陷的；</w:t>
      </w:r>
    </w:p>
    <w:p>
      <w:pPr>
        <w:pStyle w:val="null3"/>
        <w:ind w:firstLine="480"/>
      </w:pPr>
      <w:r>
        <w:rPr/>
        <w:t>（二）磋商文件明显以不合理条件对供应商实行差别待遇或者歧视待遇的；</w:t>
      </w:r>
    </w:p>
    <w:p>
      <w:pPr>
        <w:pStyle w:val="null3"/>
        <w:ind w:firstLine="480"/>
      </w:pPr>
      <w:r>
        <w:rPr/>
        <w:t>（三）采购项目属于国家规定的优先、强制采购范围，但是磋商文件未依法体现优先、强制采购相关规定的；</w:t>
      </w:r>
    </w:p>
    <w:p>
      <w:pPr>
        <w:pStyle w:val="null3"/>
        <w:ind w:firstLine="480"/>
      </w:pPr>
      <w:r>
        <w:rPr/>
        <w:t>（四）采购项目属于政府采购促进中小企业发展的范围，但是磋商文件未依法体现促进中小企业发展相关规定的；</w:t>
      </w:r>
    </w:p>
    <w:p>
      <w:pPr>
        <w:pStyle w:val="null3"/>
        <w:ind w:firstLine="480"/>
      </w:pPr>
      <w:r>
        <w:rPr/>
        <w:t>（五）磋商文件将供应商的资格条件列为评分因素的；</w:t>
      </w:r>
    </w:p>
    <w:p>
      <w:pPr>
        <w:pStyle w:val="null3"/>
        <w:ind w:firstLine="480"/>
      </w:pPr>
      <w:r>
        <w:rPr/>
        <w:t>（六）磋商文件载明的成交原则不合法的；</w:t>
      </w:r>
    </w:p>
    <w:p>
      <w:pPr>
        <w:pStyle w:val="null3"/>
        <w:ind w:firstLine="480"/>
      </w:pPr>
      <w:r>
        <w:rPr/>
        <w:t>（七）磋商文件有违反国家其他有关强制性规定的情形。</w:t>
      </w:r>
    </w:p>
    <w:p>
      <w:pPr>
        <w:pStyle w:val="null3"/>
        <w:ind w:firstLine="480"/>
      </w:pPr>
      <w:r>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b/>
          <w:sz w:val="24"/>
        </w:rPr>
        <w:t xml:space="preserve"> 6.3.2符合性审查</w:t>
      </w:r>
    </w:p>
    <w:p>
      <w:pPr>
        <w:pStyle w:val="null3"/>
        <w:ind w:firstLine="480"/>
      </w:pPr>
      <w:r>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t xml:space="preserve"> 二、在符合性审查过程中，如果出现磋商小组成员意见不一致的情况，按照少数服从多数的原则确定，但不得违背政府采购基本原则和磋商文件规定。</w:t>
      </w:r>
    </w:p>
    <w:p>
      <w:pPr>
        <w:pStyle w:val="null3"/>
        <w:ind w:firstLine="480"/>
      </w:pPr>
      <w:r>
        <w:rPr/>
        <w:t>三、磋商小组对所有响应文件进行审查后，确定参加磋商的供应商名单。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磋商过程中，磋商小组认为供应商报价低于采购预算50%或者低于其他有效供应商报价算术平均价40%，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t>标的清单 报价表</w:t>
            </w:r>
          </w:p>
        </w:tc>
      </w:tr>
      <w:tr>
        <w:tc>
          <w:tcPr>
            <w:tcW w:type="dxa" w:w="831"/>
          </w:tcPr>
          <w:p>
            <w:pPr>
              <w:pStyle w:val="null3"/>
            </w:pPr>
            <w:r>
              <w:rPr/>
              <w:t>2</w:t>
            </w:r>
          </w:p>
        </w:tc>
        <w:tc>
          <w:tcPr>
            <w:tcW w:type="dxa" w:w="2492"/>
          </w:tcPr>
          <w:p>
            <w:pPr>
              <w:pStyle w:val="null3"/>
            </w:pPr>
            <w:r>
              <w:rPr/>
              <w:t>磋商响应文件的完整性、有效性、响应性审查</w:t>
            </w:r>
          </w:p>
        </w:tc>
        <w:tc>
          <w:tcPr>
            <w:tcW w:type="dxa" w:w="3322"/>
          </w:tcPr>
          <w:p>
            <w:pPr>
              <w:pStyle w:val="null3"/>
            </w:pPr>
            <w:r>
              <w:rPr/>
              <w:t>响应文件是否按照磋商文件要求的格式编写，响应文件的签署、加盖印章是否合格、有效，磋商报价是否未超过采购预算或最高限价，磋商报价有效期是否符合磋商文件的要求，是否完全满足磋商文件所要求的商务条款。</w:t>
            </w:r>
          </w:p>
        </w:tc>
        <w:tc>
          <w:tcPr>
            <w:tcW w:type="dxa" w:w="1661"/>
          </w:tcPr>
          <w:p>
            <w:pPr>
              <w:pStyle w:val="null3"/>
            </w:pPr>
            <w:r>
              <w:rPr/>
              <w:t>响应文件封面 服务内容及服务邀请应答表 商务应答表 标的清单 报价表 响应函</w:t>
            </w:r>
          </w:p>
        </w:tc>
      </w:tr>
    </w:tbl>
    <w:p>
      <w:pPr>
        <w:pStyle w:val="null3"/>
        <w:outlineLvl w:val="3"/>
      </w:pPr>
      <w:r>
        <w:rPr>
          <w:b/>
          <w:sz w:val="24"/>
        </w:rPr>
        <w:t>6.3.3磋商</w:t>
      </w:r>
    </w:p>
    <w:p>
      <w:pPr>
        <w:pStyle w:val="null3"/>
        <w:ind w:firstLine="480"/>
      </w:pPr>
      <w:r>
        <w:rPr/>
        <w:t>一、 磋商小组按照磋商文件的规定与邀请参加磋商的供应商分别进行磋商，磋商顺序由磋商小组确定。</w:t>
      </w:r>
    </w:p>
    <w:p>
      <w:pPr>
        <w:pStyle w:val="null3"/>
        <w:ind w:firstLine="480"/>
      </w:pPr>
      <w:r>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t>六、经最终磋商后，响应文件仍有下列情况之一的，应按照无效响应处理：</w:t>
      </w:r>
    </w:p>
    <w:p>
      <w:pPr>
        <w:pStyle w:val="null3"/>
        <w:ind w:firstLine="480"/>
      </w:pPr>
      <w:r>
        <w:rPr/>
        <w:t>（一）响应文件仍不能实质响应磋商文件可实质性变动的实质性要求的；</w:t>
      </w:r>
    </w:p>
    <w:p>
      <w:pPr>
        <w:pStyle w:val="null3"/>
        <w:ind w:firstLine="480"/>
      </w:pPr>
      <w:r>
        <w:rPr/>
        <w:t>（二）响应文件中仍有磋商文件规定的其他无效响应情形的。</w:t>
      </w:r>
    </w:p>
    <w:p>
      <w:pPr>
        <w:pStyle w:val="null3"/>
        <w:ind w:firstLine="480"/>
      </w:pPr>
      <w:r>
        <w:rPr/>
        <w:t xml:space="preserve"> 七、磋商小组对供应商在磋商、评审过程中的书面交换材料，未按要求加盖电子印章或签字的，视同未提交书面交换材料。</w:t>
      </w:r>
    </w:p>
    <w:p>
      <w:pPr>
        <w:pStyle w:val="null3"/>
        <w:ind w:firstLine="480"/>
      </w:pPr>
      <w:r>
        <w:rPr/>
        <w:t xml:space="preserve"> 八、磋商小组在最终磋商后，对所有响应文件的有效性、完整性和响应程度进行审查后，确定最后报价的供应商名单。</w:t>
      </w:r>
    </w:p>
    <w:p>
      <w:pPr>
        <w:pStyle w:val="null3"/>
        <w:ind w:firstLine="480"/>
      </w:pPr>
      <w:r>
        <w:rPr/>
        <w:t>九、磋商过程中，磋商的任何一方不得透露与磋商有关的其他供应商的技术资料、价格和其他信息。</w:t>
      </w:r>
    </w:p>
    <w:p>
      <w:pPr>
        <w:pStyle w:val="null3"/>
        <w:ind w:firstLine="480"/>
      </w:pPr>
      <w:r>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b/>
          <w:sz w:val="24"/>
        </w:rPr>
        <w:t>6.3.4最后报价</w:t>
      </w:r>
    </w:p>
    <w:p>
      <w:pPr>
        <w:pStyle w:val="null3"/>
        <w:ind w:firstLine="480"/>
      </w:pPr>
      <w:r>
        <w:rPr/>
        <w:t>一、方案评审</w:t>
      </w:r>
    </w:p>
    <w:p>
      <w:pPr>
        <w:pStyle w:val="null3"/>
      </w:pPr>
      <w:r>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t xml:space="preserve"> 二、磋商小组开启报价后，供应商应随时关注项目电子化交易系统信息提醒，登录项目电子化交易系统，通过“等候大厅”进行报价并签章后提交。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t>四、供应商最后报价属于明显低价不正当竞争的，磋商小组应按照“供应商须知前附表”第8项规定处理。</w:t>
      </w:r>
    </w:p>
    <w:p>
      <w:pPr>
        <w:pStyle w:val="null3"/>
        <w:ind w:firstLine="480"/>
        <w:jc w:val="left"/>
      </w:pPr>
      <w:r>
        <w:rPr/>
        <w:t xml:space="preserve"> 五、供应商未在响应文件提交截止时间内提交报价或未按要求进行报价的，视为无效响应，由供应商自行承担不利后果。</w:t>
      </w:r>
    </w:p>
    <w:p>
      <w:pPr>
        <w:pStyle w:val="null3"/>
        <w:ind w:firstLine="480"/>
      </w:pPr>
      <w:r>
        <w:rPr/>
        <w:t>六、供应商未按磋商小组要求在规定时间内提交最后报价的，视为其退出磋商。</w:t>
      </w:r>
    </w:p>
    <w:p>
      <w:pPr>
        <w:pStyle w:val="null3"/>
        <w:ind w:firstLine="480"/>
      </w:pPr>
      <w:r>
        <w:rPr/>
        <w:t>七、最后报价一旦提交后，供应商不得以任何理由撤回。</w:t>
      </w:r>
    </w:p>
    <w:p>
      <w:pPr>
        <w:pStyle w:val="null3"/>
        <w:ind w:firstLine="480"/>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（三）供应商的最后报价应符合磋商文件的要求。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b/>
          <w:sz w:val="24"/>
        </w:rPr>
        <w:t>6.3.5解释、澄清有关问题</w:t>
      </w:r>
    </w:p>
    <w:p>
      <w:pPr>
        <w:pStyle w:val="null3"/>
        <w:ind w:firstLine="480"/>
      </w:pPr>
      <w:r>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t>（一）供应商响应文件中不响应磋商文件规定的技术参数指标和商务应答；</w:t>
      </w:r>
    </w:p>
    <w:p>
      <w:pPr>
        <w:pStyle w:val="null3"/>
        <w:ind w:firstLine="480"/>
      </w:pPr>
      <w:r>
        <w:rPr/>
        <w:t>（二）供应商响应文件中未提供的证明其是否符合磋商文件资格、符合性规定要求的相关材料。</w:t>
      </w:r>
    </w:p>
    <w:p>
      <w:pPr>
        <w:pStyle w:val="null3"/>
        <w:ind w:firstLine="480"/>
      </w:pPr>
      <w:r>
        <w:rPr/>
        <w:t>（三）供应商响应文件中的材料因印刷、影印等不清晰而难以辨认的。</w:t>
      </w:r>
    </w:p>
    <w:p>
      <w:pPr>
        <w:pStyle w:val="null3"/>
        <w:ind w:firstLine="480"/>
      </w:pPr>
      <w:r>
        <w:rPr/>
        <w:t>四、响应文件报价出现前后不一致的情形，按照本章前述规定予以处理，不需要供应商澄清。</w:t>
      </w:r>
    </w:p>
    <w:p>
      <w:pPr>
        <w:pStyle w:val="null3"/>
        <w:ind w:firstLine="480"/>
      </w:pPr>
      <w:r>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t>六、磋商小组应当积极履行澄清、说明或者更正的职责，不得滥用权力。</w:t>
      </w:r>
    </w:p>
    <w:p>
      <w:pPr>
        <w:pStyle w:val="null3"/>
        <w:outlineLvl w:val="3"/>
      </w:pPr>
      <w:r>
        <w:rPr>
          <w:b/>
          <w:sz w:val="24"/>
        </w:rPr>
        <w:t>6.3.6比较与评价</w:t>
      </w:r>
    </w:p>
    <w:p>
      <w:pPr>
        <w:pStyle w:val="null3"/>
        <w:ind w:firstLine="480"/>
      </w:pPr>
      <w:r>
        <w:rPr/>
        <w:t xml:space="preserve"> 磋商小组应当按照磋商文件规定的评标细则及标准，对符合性检查合格的响应文件进行商务和技术评估，综合比较和评价。</w:t>
      </w:r>
    </w:p>
    <w:p>
      <w:pPr>
        <w:pStyle w:val="null3"/>
        <w:outlineLvl w:val="3"/>
      </w:pPr>
      <w:r>
        <w:rPr>
          <w:b/>
          <w:sz w:val="24"/>
        </w:rPr>
        <w:t xml:space="preserve"> 6.3.7复核</w:t>
      </w:r>
    </w:p>
    <w:p>
      <w:pPr>
        <w:pStyle w:val="null3"/>
        <w:ind w:firstLine="480"/>
      </w:pPr>
      <w:r>
        <w:rPr/>
        <w:t xml:space="preserve"> 评审结束后，磋商小组应当进行复核，特别要对拟推荐为成交候选供应商的、报价最低的、响应文件被认定为无效的进行重点复核。</w:t>
      </w:r>
    </w:p>
    <w:p>
      <w:pPr>
        <w:pStyle w:val="null3"/>
        <w:ind w:firstLine="480"/>
      </w:pPr>
      <w:r>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b/>
          <w:sz w:val="24"/>
        </w:rPr>
        <w:t>6.3.8推荐成交候选供应商</w:t>
      </w:r>
    </w:p>
    <w:p>
      <w:pPr>
        <w:pStyle w:val="null3"/>
        <w:ind w:firstLine="480"/>
      </w:pPr>
      <w:r>
        <w:rPr/>
        <w:t xml:space="preserve"> 磋商小组应当根据综合评分情况，按照评审得分由高到低顺序推荐如下成交候选供应商，并编写磋商报告。</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b/>
          <w:sz w:val="24"/>
        </w:rPr>
        <w:t>6.3.9编写磋商报告</w:t>
      </w:r>
    </w:p>
    <w:p>
      <w:pPr>
        <w:pStyle w:val="null3"/>
        <w:ind w:firstLine="480"/>
      </w:pPr>
      <w:r>
        <w:rPr/>
        <w:t>磋商小组推荐成交候选供应商后，应向代理机构出具磋商报告。磋商报告应当包括以下主要内容：</w:t>
      </w:r>
    </w:p>
    <w:p>
      <w:pPr>
        <w:pStyle w:val="null3"/>
        <w:ind w:firstLine="480"/>
      </w:pPr>
      <w:r>
        <w:rPr/>
        <w:t>（一）邀请供应商参加采购活动的具体方式和相关情况；</w:t>
      </w:r>
    </w:p>
    <w:p>
      <w:pPr>
        <w:pStyle w:val="null3"/>
        <w:ind w:firstLine="480"/>
      </w:pPr>
      <w:r>
        <w:rPr/>
        <w:t>（二）响应文件开启日期和地点；</w:t>
      </w:r>
    </w:p>
    <w:p>
      <w:pPr>
        <w:pStyle w:val="null3"/>
        <w:ind w:firstLine="480"/>
      </w:pPr>
      <w:r>
        <w:rPr/>
        <w:t>（三）获取磋商文件的供应商名单和磋商小组成员名单；</w:t>
      </w:r>
    </w:p>
    <w:p>
      <w:pPr>
        <w:pStyle w:val="null3"/>
        <w:ind w:firstLine="480"/>
      </w:pPr>
      <w:r>
        <w:rPr/>
        <w:t>（四）评审情况记录和说明，包括对供应商响应文件审查情况、磋商情况、报价情况等；</w:t>
      </w:r>
    </w:p>
    <w:p>
      <w:pPr>
        <w:pStyle w:val="null3"/>
        <w:ind w:firstLine="480"/>
      </w:pPr>
      <w:r>
        <w:rPr/>
        <w:t>（五）提出的成交候选供应商的排序名单及理由。</w:t>
      </w:r>
    </w:p>
    <w:p>
      <w:pPr>
        <w:pStyle w:val="null3"/>
        <w:ind w:firstLine="480"/>
      </w:pPr>
      <w:r>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b/>
          <w:sz w:val="24"/>
        </w:rPr>
        <w:t>6.3.10评审争议处理规则</w:t>
      </w:r>
    </w:p>
    <w:p>
      <w:pPr>
        <w:pStyle w:val="null3"/>
        <w:ind w:firstLine="480"/>
      </w:pPr>
      <w:r>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b/>
          <w:sz w:val="28"/>
        </w:rPr>
        <w:t>6.4评审办法及标准</w:t>
      </w:r>
    </w:p>
    <w:p>
      <w:pPr>
        <w:pStyle w:val="null3"/>
        <w:ind w:firstLine="480"/>
      </w:pPr>
      <w:r>
        <w:rPr/>
        <w:t xml:space="preserve"> 一、磋商小组只对通过资格审查的响应文件，根据磋商文件的要求采用相同的评审程序、评分办法及标准进行评价和比较。</w:t>
      </w:r>
    </w:p>
    <w:p>
      <w:pPr>
        <w:pStyle w:val="null3"/>
        <w:ind w:firstLine="480"/>
      </w:pPr>
      <w:r>
        <w:rPr/>
        <w:t xml:space="preserve"> 二、磋商小组成员应依据磋商文件规定的评分标准和方法独立对每个有效响应的文件进行评价、打分，然后汇总每个供应商每项评分因素的得分。</w:t>
      </w:r>
    </w:p>
    <w:p>
      <w:pPr>
        <w:pStyle w:val="null3"/>
        <w:outlineLvl w:val="3"/>
      </w:pPr>
      <w:r>
        <w:rPr>
          <w:b/>
          <w:sz w:val="24"/>
        </w:rPr>
        <w:t>6.4.1评分办法</w:t>
      </w:r>
    </w:p>
    <w:p>
      <w:pPr>
        <w:pStyle w:val="null3"/>
        <w:ind w:firstLine="480"/>
      </w:pPr>
      <w:r>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b/>
          <w:sz w:val="24"/>
        </w:rPr>
        <w:t>6.4.2评分标准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详细评审90.00分</w:t>
            </w:r>
          </w:p>
          <w:p>
            <w:pPr>
              <w:pStyle w:val="null3"/>
            </w:pPr>
            <w:r>
              <w:rPr/>
              <w:t>报价得分10.00分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服务要求响应</w:t>
            </w:r>
          </w:p>
        </w:tc>
        <w:tc>
          <w:tcPr>
            <w:tcW w:type="dxa" w:w="2492"/>
          </w:tcPr>
          <w:p>
            <w:pPr>
              <w:pStyle w:val="null3"/>
            </w:pPr>
            <w:r>
              <w:rPr/>
              <w:t>1、供应商所提供的服务内容完全满足或优于磋商文件相关标准，拥有丰富的实施经验满足采购人实际需求，根据响应情况得15～10分； 2、供应商所提供的服务内容基本满足磋商文件要求，根据响应情况得9.9～5分； 3、供应商所提供服务内容存在缺漏项，在项目实施过程中可能存在实施不及时、工作不到位的情况，根据响应情况得4.9～0分。</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服务方案及内容</w:t>
            </w:r>
          </w:p>
        </w:tc>
        <w:tc>
          <w:tcPr>
            <w:tcW w:type="dxa" w:w="2492"/>
          </w:tcPr>
          <w:p>
            <w:pPr>
              <w:pStyle w:val="null3"/>
            </w:pPr>
            <w:r>
              <w:rPr/>
              <w:t>根据供应商的技术服务工作方案，包括但不限于项目工期计划、系统升级服务、故障处理、软件维护、平台安装、测试和试运行方案等： 1、供应商针对磋商文件技术服务要求提供针对性强且完善的项目实施方案，服务计划书详细、合理、全面，服务方案达到或优于磋商文件标准。根据响应情况得20～13分； 2、供应商针对磋商文件技术服务要求提供项目实施方案，方案基本合理，服务方案符合采购人基本要求。根据响应情况得12.9～7分； 3、供应商所提供的项目实施方案有缺陷或不尽合理，前后矛盾，服务质量未能达到采购人实际需求。根据响应情况得6.9～0分。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人员配备方案</w:t>
            </w:r>
          </w:p>
        </w:tc>
        <w:tc>
          <w:tcPr>
            <w:tcW w:type="dxa" w:w="2492"/>
          </w:tcPr>
          <w:p>
            <w:pPr>
              <w:pStyle w:val="null3"/>
            </w:pPr>
            <w:r>
              <w:rPr/>
              <w:t>1.供应商结合本项目要求，配备具备相关项目经验，满足磋商文件要求且服务好、责任心强的教务服务人员，根据响应情况得15～10分； 2.供应商所配备相关服务人员基本满足本项目服务需求，教务服务人员素质较为一般，根据响应情况得9.9～5分； 3.供应商所配备相关服务人员数量不足，不能完全满足本项目实际需求，可能在服务期内出现响应不及时、工作不到位的情况，根据响应情况得4.9～0分； （以上内容需提供相关人员学历证书或职称证书原件或复印件，并提供人员在本单位缴纳社保证明或相关合作证明。）</w:t>
            </w:r>
          </w:p>
        </w:tc>
        <w:tc>
          <w:tcPr>
            <w:tcW w:type="dxa" w:w="831"/>
          </w:tcPr>
          <w:p>
            <w:pPr>
              <w:pStyle w:val="null3"/>
              <w:jc w:val="right"/>
            </w:pPr>
            <w:r>
              <w:rPr/>
              <w:t>15.00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关键点及难点分析</w:t>
            </w:r>
          </w:p>
        </w:tc>
        <w:tc>
          <w:tcPr>
            <w:tcW w:type="dxa" w:w="2492"/>
          </w:tcPr>
          <w:p>
            <w:pPr>
              <w:pStyle w:val="null3"/>
            </w:pPr>
            <w:r>
              <w:rPr/>
              <w:t>根据供应商对本项目的重点、难点的认识及解决措施的合理性等方面进行综合评价： 1、供应商具有相关行业与实际工作经验，针对本项目关键点及难点把握较为准确，根据响应情况得8～6分； 2、供应商对项目工作需求的关键点及难点分析基本到位，根据响应情况得5.9～3分； 3、供应商对于本项目的关键点及难点分析较差，可能造成后期工作中的相关问题，根据响应情况得2.9～0分。</w:t>
            </w:r>
          </w:p>
        </w:tc>
        <w:tc>
          <w:tcPr>
            <w:tcW w:type="dxa" w:w="831"/>
          </w:tcPr>
          <w:p>
            <w:pPr>
              <w:pStyle w:val="null3"/>
              <w:jc w:val="right"/>
            </w:pPr>
            <w:r>
              <w:rPr/>
              <w:t>8.00</w:t>
            </w:r>
          </w:p>
        </w:tc>
        <w:tc>
          <w:tcPr>
            <w:tcW w:type="dxa" w:w="831"/>
          </w:tcPr>
          <w:p>
            <w:pPr>
              <w:pStyle w:val="null3"/>
            </w:pPr>
            <w:r>
              <w:rPr/>
              <w:t>主观</w:t>
            </w:r>
          </w:p>
        </w:tc>
        <w:tc>
          <w:tcPr>
            <w:tcW w:type="dxa" w:w="1661"/>
          </w:tcPr>
          <w:p>
            <w:pPr>
              <w:pStyle w:val="null3"/>
            </w:pPr>
            <w:r>
              <w:rPr/>
              <w:t>服务方案</w:t>
            </w:r>
          </w:p>
          <w:p>
            <w:pPr>
              <w:pStyle w:val="null3"/>
            </w:pPr>
            <w:r>
              <w:rPr/>
              <w:t>服务内容及服务邀请应答表</w:t>
            </w:r>
          </w:p>
        </w:tc>
      </w:tr>
      <w:tr>
        <w:tc>
          <w:tcPr>
            <w:tcW w:type="dxa" w:w="831"/>
            <w:vMerge/>
          </w:tcPr>
          <w:p/>
        </w:tc>
        <w:tc>
          <w:tcPr>
            <w:tcW w:type="dxa" w:w="1661"/>
          </w:tcPr>
          <w:p>
            <w:pPr>
              <w:pStyle w:val="null3"/>
            </w:pPr>
            <w:r>
              <w:rPr/>
              <w:t>质量保证</w:t>
            </w:r>
          </w:p>
        </w:tc>
        <w:tc>
          <w:tcPr>
            <w:tcW w:type="dxa" w:w="2492"/>
          </w:tcPr>
          <w:p>
            <w:pPr>
              <w:pStyle w:val="null3"/>
            </w:pPr>
            <w:r>
              <w:rPr/>
              <w:t>1、为保证本项目高质量服务，需提供服务能力措施包括但不限于故障处理、软件配置维护、售后服务等，能有效地展示供应商对本项目的服务能力、保证项目质量。 （1）服务能力质量保证措施针对本项目并且全面、具体、可行、科学合理，能有效保证质量根据响应情况得15～10分； （2）质量保证措施较一般，内容合理根据响应情况得9.9～5分； （3）提供的质量保证措施内容简单且内容基本合理，根据响应情况得4.9～0分。 2、产品厂商针对本项目维保内容出具服务能力的证明材料（包括但不限于维保授权、维保协议等），根据响应情况得5～0分。</w:t>
            </w:r>
          </w:p>
        </w:tc>
        <w:tc>
          <w:tcPr>
            <w:tcW w:type="dxa" w:w="831"/>
          </w:tcPr>
          <w:p>
            <w:pPr>
              <w:pStyle w:val="null3"/>
              <w:jc w:val="right"/>
            </w:pPr>
            <w:r>
              <w:rPr/>
              <w:t>20.00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业绩</w:t>
            </w:r>
          </w:p>
        </w:tc>
        <w:tc>
          <w:tcPr>
            <w:tcW w:type="dxa" w:w="2492"/>
          </w:tcPr>
          <w:p>
            <w:pPr>
              <w:pStyle w:val="null3"/>
            </w:pPr>
            <w:r>
              <w:rPr/>
              <w:t>2021年1月1日起至今，磋商响应人承接同类服务项目的业绩(业绩以合同复印件为准)，每提供一份有效业绩得3分，最多得6分。</w:t>
            </w:r>
          </w:p>
        </w:tc>
        <w:tc>
          <w:tcPr>
            <w:tcW w:type="dxa" w:w="831"/>
          </w:tcPr>
          <w:p>
            <w:pPr>
              <w:pStyle w:val="null3"/>
              <w:jc w:val="right"/>
            </w:pPr>
            <w:r>
              <w:rPr/>
              <w:t>6.00</w:t>
            </w:r>
          </w:p>
        </w:tc>
        <w:tc>
          <w:tcPr>
            <w:tcW w:type="dxa" w:w="831"/>
          </w:tcPr>
          <w:p>
            <w:pPr>
              <w:pStyle w:val="null3"/>
            </w:pPr>
            <w:r>
              <w:rPr/>
              <w:t>客观</w:t>
            </w:r>
          </w:p>
        </w:tc>
        <w:tc>
          <w:tcPr>
            <w:tcW w:type="dxa" w:w="1661"/>
          </w:tcPr>
          <w:p>
            <w:pPr>
              <w:pStyle w:val="null3"/>
            </w:pPr>
            <w:r>
              <w:rPr/>
              <w:t>服务内容及服务邀请应答表</w:t>
            </w:r>
          </w:p>
          <w:p>
            <w:pPr>
              <w:pStyle w:val="null3"/>
            </w:pPr>
            <w:r>
              <w:rPr/>
              <w:t>服务方案</w:t>
            </w:r>
          </w:p>
        </w:tc>
      </w:tr>
      <w:tr>
        <w:tc>
          <w:tcPr>
            <w:tcW w:type="dxa" w:w="831"/>
            <w:vMerge/>
          </w:tcPr>
          <w:p/>
        </w:tc>
        <w:tc>
          <w:tcPr>
            <w:tcW w:type="dxa" w:w="1661"/>
          </w:tcPr>
          <w:p>
            <w:pPr>
              <w:pStyle w:val="null3"/>
            </w:pPr>
            <w:r>
              <w:rPr/>
              <w:t>磋商响应人的综合情况</w:t>
            </w:r>
          </w:p>
        </w:tc>
        <w:tc>
          <w:tcPr>
            <w:tcW w:type="dxa" w:w="2492"/>
          </w:tcPr>
          <w:p>
            <w:pPr>
              <w:pStyle w:val="null3"/>
            </w:pPr>
            <w:r>
              <w:rPr/>
              <w:t>根据磋商响应人的总体情况（实力、信誉等），得6～0分</w:t>
            </w:r>
          </w:p>
        </w:tc>
        <w:tc>
          <w:tcPr>
            <w:tcW w:type="dxa" w:w="831"/>
          </w:tcPr>
          <w:p>
            <w:pPr>
              <w:pStyle w:val="null3"/>
              <w:jc w:val="right"/>
            </w:pPr>
            <w:r>
              <w:rPr/>
              <w:t>6.00</w:t>
            </w:r>
          </w:p>
        </w:tc>
        <w:tc>
          <w:tcPr>
            <w:tcW w:type="dxa" w:w="831"/>
          </w:tcPr>
          <w:p>
            <w:pPr>
              <w:pStyle w:val="null3"/>
            </w:pPr>
            <w:r>
              <w:rPr/>
              <w:t>主观</w:t>
            </w:r>
          </w:p>
        </w:tc>
        <w:tc>
          <w:tcPr>
            <w:tcW w:type="dxa" w:w="1661"/>
          </w:tcPr>
          <w:p>
            <w:pPr>
              <w:pStyle w:val="null3"/>
            </w:pPr>
            <w:r>
              <w:rPr/>
              <w:t>服务内容及服务邀请应答表</w:t>
            </w:r>
          </w:p>
          <w:p>
            <w:pPr>
              <w:pStyle w:val="null3"/>
            </w:pPr>
            <w:r>
              <w:rPr/>
              <w:t>服务方案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以最终报价进行评审。 1.最低评审价为评审基准价，得10分。 2.按（评审基准价/评审价×10）的公式计算价格得分。</w:t>
            </w:r>
          </w:p>
        </w:tc>
        <w:tc>
          <w:tcPr>
            <w:tcW w:type="dxa" w:w="831"/>
          </w:tcPr>
          <w:p>
            <w:pPr>
              <w:pStyle w:val="null3"/>
              <w:jc w:val="right"/>
            </w:pPr>
            <w:r>
              <w:rPr/>
              <w:t>10.00</w:t>
            </w:r>
          </w:p>
        </w:tc>
        <w:tc>
          <w:tcPr>
            <w:tcW w:type="dxa" w:w="831"/>
          </w:tcPr>
          <w:p>
            <w:pPr>
              <w:pStyle w:val="null3"/>
            </w:pPr>
            <w:r>
              <w:rPr/>
              <w:t>客观</w:t>
            </w:r>
          </w:p>
        </w:tc>
        <w:tc>
          <w:tcPr>
            <w:tcW w:type="dxa" w:w="1661"/>
          </w:tcPr>
          <w:p>
            <w:pPr>
              <w:pStyle w:val="null3"/>
            </w:pPr>
            <w:r>
              <w:rPr/>
              <w:t>报价表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中小企业声明函 残疾人福利性单位声明函 标的清单 报价表 监狱企业的证明文件</w:t>
            </w:r>
          </w:p>
        </w:tc>
      </w:tr>
    </w:tbl>
    <w:p>
      <w:pPr>
        <w:pStyle w:val="null3"/>
        <w:outlineLvl w:val="2"/>
      </w:pPr>
      <w:r>
        <w:rPr>
          <w:b/>
          <w:sz w:val="28"/>
        </w:rPr>
        <w:t>6.5终止采购活动</w:t>
      </w:r>
    </w:p>
    <w:p>
      <w:pPr>
        <w:pStyle w:val="null3"/>
        <w:ind w:firstLine="480"/>
      </w:pPr>
      <w:r>
        <w:rPr/>
        <w:t xml:space="preserve"> 出现下列情形之一的，采购人或者代理机构应当终止竞争性磋商采购活动，发布项目终止公告并说明原因，重新开展采购活动：</w:t>
      </w:r>
    </w:p>
    <w:p>
      <w:pPr>
        <w:pStyle w:val="null3"/>
        <w:ind w:firstLine="480"/>
      </w:pPr>
      <w:r>
        <w:rPr/>
        <w:t>（一）因情况变化，不再符合规定的竞争性磋商采购方式适用情形的；</w:t>
      </w:r>
    </w:p>
    <w:p>
      <w:pPr>
        <w:pStyle w:val="null3"/>
        <w:ind w:firstLine="480"/>
      </w:pPr>
      <w:r>
        <w:rPr/>
        <w:t>（二）出现影响采购公正的违法、违规行为的；</w:t>
      </w:r>
    </w:p>
    <w:p>
      <w:pPr>
        <w:pStyle w:val="null3"/>
        <w:ind w:firstLine="480"/>
      </w:pPr>
      <w:r>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t>（四）法律法规规定的其他情形。</w:t>
      </w:r>
    </w:p>
    <w:p>
      <w:pPr>
        <w:pStyle w:val="null3"/>
        <w:outlineLvl w:val="2"/>
      </w:pPr>
      <w:r>
        <w:rPr>
          <w:b/>
          <w:sz w:val="28"/>
        </w:rPr>
        <w:t>6.6确定成交供应商</w:t>
      </w:r>
    </w:p>
    <w:p>
      <w:pPr>
        <w:pStyle w:val="null3"/>
      </w:pPr>
      <w:r>
        <w:rPr/>
        <w:t>一、评审结束后，代理机构在评审结束之日起2个工作日内将磋商报告及有关资料送交采购人。</w:t>
      </w:r>
    </w:p>
    <w:p>
      <w:pPr>
        <w:pStyle w:val="null3"/>
      </w:pPr>
      <w:r>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t>三、采购人逾期未确定成交供应商且不提出异议的，视为确定磋商报告提出的排序第一的供应商为成交供应商。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b/>
          <w:sz w:val="28"/>
        </w:rPr>
        <w:t>6.7评审专家在政府采购活动中承担以下义务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b/>
          <w:sz w:val="28"/>
        </w:rPr>
        <w:t>6.8评审专家在政府采购活动中应当遵守以下工作纪律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（五）在评审过程中和评审结束后，不得记录、复制或带走任何评审资料，不得向外界透露评审内容。</w:t>
      </w:r>
    </w:p>
    <w:p>
      <w:pPr>
        <w:pStyle w:val="null3"/>
        <w:ind w:firstLine="480"/>
      </w:pPr>
      <w:r>
        <w:rPr/>
        <w:t>（六）服从评审现场采购组织单位的现场秩序管理，接受评审现场监督人员的合法监督。</w:t>
      </w:r>
    </w:p>
    <w:p>
      <w:pPr>
        <w:pStyle w:val="null3"/>
        <w:ind w:firstLine="480"/>
      </w:pPr>
      <w:r>
        <w:rPr/>
        <w:t xml:space="preserve"> （七）遵守有关廉洁自律规定，不得私下接触供应商，不得收受供应商及有关业务单位和个人的财物或好处，不得接受采购组织单位的请托。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b/>
          <w:sz w:val="36"/>
        </w:rPr>
        <w:t>第七章 响应文件格式</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详见附件：服务内容及服务邀请应答表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详见附件：供应商应提交的相关资格证明材料</w:t>
      </w:r>
    </w:p>
    <w:p>
      <w:pPr>
        <w:pStyle w:val="null3"/>
        <w:ind w:firstLine="960"/>
      </w:pPr>
      <w:r>
        <w:rPr/>
        <w:t>详见附件：非联合体响应声明函</w:t>
      </w:r>
    </w:p>
    <w:p>
      <w:pPr>
        <w:pStyle w:val="null3"/>
        <w:ind w:firstLine="960"/>
      </w:pPr>
      <w:r>
        <w:rPr/>
        <w:t>详见附件：服务方案</w:t>
      </w:r>
    </w:p>
    <w:p>
      <w:pPr>
        <w:pStyle w:val="null3"/>
      </w:pPr>
      <w:r>
        <w:rPr/>
        <w:t xml:space="preserve"> </w:t>
        <w:br/>
        <w:br w:type="page"/>
      </w:r>
    </w:p>
    <w:p>
      <w:pPr>
        <w:pStyle w:val="null3"/>
        <w:jc w:val="center"/>
        <w:outlineLvl w:val="1"/>
      </w:pPr>
      <w:r>
        <w:rPr>
          <w:b/>
          <w:sz w:val="36"/>
        </w:rPr>
        <w:t>第八章 拟签订采购合同文本</w:t>
      </w:r>
    </w:p>
    <w:p>
      <w:pPr>
        <w:pStyle w:val="null3"/>
      </w:pPr>
      <w:r>
        <w:rPr/>
        <w:t>详见附件：合同文本.docx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