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机动车号牌固封螺丝采购项目</w:t>
      </w:r>
    </w:p>
    <w:p>
      <w:pPr>
        <w:pStyle w:val="null3"/>
        <w:jc w:val="center"/>
        <w:outlineLvl w:val="2"/>
      </w:pPr>
      <w:r>
        <w:rPr>
          <w:b/>
          <w:sz w:val="28"/>
        </w:rPr>
        <w:t>采购项目编号：</w:t>
      </w:r>
      <w:r>
        <w:rPr>
          <w:b/>
          <w:sz w:val="28"/>
        </w:rPr>
        <w:t>SDZC2024--073</w:t>
      </w:r>
      <w:r>
        <w:br/>
      </w:r>
      <w:r>
        <w:br/>
      </w:r>
      <w:r>
        <w:br/>
      </w:r>
    </w:p>
    <w:p>
      <w:pPr>
        <w:pStyle w:val="null3"/>
        <w:jc w:val="center"/>
        <w:outlineLvl w:val="2"/>
      </w:pPr>
      <w:r>
        <w:rPr>
          <w:b/>
          <w:sz w:val="28"/>
        </w:rPr>
        <w:t>西安市公安局交通警察支队</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2024年04月26日</w:t>
      </w:r>
    </w:p>
    <w:p>
      <w:pPr>
        <w:pStyle w:val="null3"/>
      </w:pPr>
      <w:r>
        <w:rPr/>
        <w:t xml:space="preserve"> </w:t>
        <w:br/>
        <w:br w:type="page"/>
      </w:r>
    </w:p>
    <w:p>
      <w:pPr>
        <w:pStyle w:val="null3"/>
        <w:jc w:val="center"/>
        <w:outlineLvl w:val="1"/>
      </w:pPr>
      <w:r>
        <w:rPr>
          <w:b/>
          <w:sz w:val="36"/>
        </w:rPr>
        <w:t>第一章 竞争性谈判邀请</w:t>
      </w:r>
    </w:p>
    <w:p>
      <w:pPr>
        <w:pStyle w:val="null3"/>
        <w:ind w:firstLine="480"/>
      </w:pPr>
      <w:r>
        <w:rPr/>
        <w:t>陕西上德招标有限公司</w:t>
      </w:r>
      <w:r>
        <w:rPr/>
        <w:t>（以下简称“代理机构”）受</w:t>
      </w:r>
      <w:r>
        <w:rPr/>
        <w:t>西安市公安局交通警察支队</w:t>
      </w:r>
      <w:r>
        <w:rPr/>
        <w:t>委托，拟对</w:t>
      </w:r>
      <w:r>
        <w:rPr/>
        <w:t>机动车号牌固封螺丝采购项目</w:t>
      </w:r>
      <w:r>
        <w:rPr/>
        <w:t>采用竞争性谈判采购方式进行采购，兹邀请供应商参加本项目的竞争性谈判。</w:t>
      </w:r>
    </w:p>
    <w:p>
      <w:pPr>
        <w:pStyle w:val="null3"/>
        <w:outlineLvl w:val="2"/>
      </w:pPr>
      <w:r>
        <w:rPr>
          <w:b/>
          <w:sz w:val="28"/>
        </w:rPr>
        <w:t>一、项目编号：</w:t>
      </w:r>
      <w:r>
        <w:rPr>
          <w:b/>
          <w:sz w:val="28"/>
        </w:rPr>
        <w:t>SDZC2024--073</w:t>
      </w:r>
    </w:p>
    <w:p>
      <w:pPr>
        <w:pStyle w:val="null3"/>
        <w:outlineLvl w:val="2"/>
      </w:pPr>
      <w:r>
        <w:rPr>
          <w:b/>
          <w:sz w:val="28"/>
        </w:rPr>
        <w:t>二、项目名称：</w:t>
      </w:r>
      <w:r>
        <w:rPr>
          <w:b/>
          <w:sz w:val="28"/>
        </w:rPr>
        <w:t>机动车号牌固封螺丝采购项目</w:t>
      </w:r>
    </w:p>
    <w:p>
      <w:pPr>
        <w:pStyle w:val="null3"/>
        <w:outlineLvl w:val="2"/>
      </w:pPr>
      <w:r>
        <w:rPr>
          <w:b/>
          <w:sz w:val="28"/>
        </w:rPr>
        <w:t>三、谈判项目简介：</w:t>
      </w:r>
    </w:p>
    <w:p>
      <w:pPr>
        <w:pStyle w:val="null3"/>
        <w:ind w:firstLine="480"/>
      </w:pPr>
      <w:r>
        <w:rPr/>
        <w:t>为满足全市机动车业务办理的需求，支队2024年拟采购机动车号牌固封螺丝（汽车）及机动车号牌固封螺丝（摩托车） 一批。</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采购包1（机动车号牌固封螺丝采购项目）：属于专门面向中小企业采购。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 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谈判响应文件格式)。</w:t>
      </w:r>
    </w:p>
    <w:p>
      <w:pPr>
        <w:pStyle w:val="null3"/>
      </w:pPr>
      <w:r>
        <w:rPr/>
        <w:t>8、信用信息查询：不得为“信用中国”网站(http://www.creditchina.gov.cn)列入“失信被执行人、重大税收违法 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9、单位负责人为同一人或者存在直接控股、管理关系的不同供应商，不得参加同一合同项下的政府采购活动：单位负责人为同一人或者存在直接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西安市公安局交通警察支队</w:t>
      </w:r>
    </w:p>
    <w:p>
      <w:pPr>
        <w:pStyle w:val="null3"/>
      </w:pPr>
      <w:r>
        <w:rPr/>
        <w:t xml:space="preserve"> 地址： </w:t>
      </w:r>
      <w:r>
        <w:rPr/>
        <w:t>西安市太白南路222号</w:t>
      </w:r>
    </w:p>
    <w:p>
      <w:pPr>
        <w:pStyle w:val="null3"/>
      </w:pPr>
      <w:r>
        <w:rPr/>
        <w:t xml:space="preserve"> 邮编： </w:t>
      </w:r>
      <w:r>
        <w:rPr/>
        <w:t>710000</w:t>
      </w:r>
    </w:p>
    <w:p>
      <w:pPr>
        <w:pStyle w:val="null3"/>
      </w:pPr>
      <w:r>
        <w:rPr/>
        <w:t xml:space="preserve"> 联系人： </w:t>
      </w:r>
      <w:r>
        <w:rPr/>
        <w:t>张警官</w:t>
      </w:r>
    </w:p>
    <w:p>
      <w:pPr>
        <w:pStyle w:val="null3"/>
      </w:pPr>
      <w:r>
        <w:rPr/>
        <w:t xml:space="preserve"> 联系电话： </w:t>
      </w:r>
      <w:r>
        <w:rPr/>
        <w:t>029-86755037</w:t>
      </w:r>
    </w:p>
    <w:p>
      <w:pPr>
        <w:pStyle w:val="null3"/>
        <w:outlineLvl w:val="3"/>
      </w:pPr>
      <w:r>
        <w:rPr>
          <w:b/>
          <w:sz w:val="24"/>
        </w:rPr>
        <w:t>代理机构：</w:t>
      </w:r>
      <w:r>
        <w:rPr>
          <w:b/>
          <w:sz w:val="24"/>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宋芳芳（11号工位）、王涛</w:t>
      </w:r>
    </w:p>
    <w:p>
      <w:pPr>
        <w:pStyle w:val="null3"/>
      </w:pPr>
      <w:r>
        <w:rPr/>
        <w:t xml:space="preserve"> 联系电话： </w:t>
      </w:r>
      <w:r>
        <w:rPr/>
        <w:t>029-86673953、86518381、89299829、89293231 转8011</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说明：合同签订后，乙方提供银行的履约保函原件，待供货结束一年后返还履约保函原件。</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 办法&gt;的通知》(计价格〔2002〕1980号)、《国家发展改革委关于降低部分建设项目收费标准 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西安市公安局交通警察支队</w:t>
      </w:r>
      <w:r>
        <w:rPr/>
        <w:t>和</w:t>
      </w:r>
      <w:r>
        <w:rPr/>
        <w:t>陕西上德招标有限公司</w:t>
      </w:r>
      <w:r>
        <w:rPr/>
        <w:t>享有。竞争性谈判文件中供应商参加本次政府采购活动应当具备的条件、技术清单、参数、商务及其他要求由</w:t>
      </w:r>
      <w:r>
        <w:rPr/>
        <w:t>西安市公安局交通警察支队</w:t>
      </w:r>
      <w:r>
        <w:rPr/>
        <w:t>负责解释。除上述竞争性谈判文件内容，其他内容由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西安市公安局交通警察支队</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陕西上德招标有限公司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一、响应文件应当根据谈判通知书进行编制。供应商应通过陕西省政府采购网-服务专区-CA及签章服务下载投标（响应）客户端，使用客户端编制响应文件。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1. 验收标准：货物应按生产厂家的出厂检验标准、采购文件、响应文件以及国家和行业验收规范要求及合同中的相关条款进行数量及质量的验收。 2. 验收程序：货物验收分出厂检验、交货验收两个阶段。验收合格后，甲方签发《政府采购验收单》。并按规定进行结算审计后付款。</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联系人：宋芳芳（11号工位）</w:t>
      </w:r>
    </w:p>
    <w:p>
      <w:pPr>
        <w:pStyle w:val="null3"/>
      </w:pPr>
      <w:r>
        <w:rPr/>
        <w:t>联系电话：029-86673953、029-86518381、029-89299829、029-89293231转8011</w:t>
      </w:r>
    </w:p>
    <w:p>
      <w:pPr>
        <w:pStyle w:val="null3"/>
      </w:pPr>
      <w:r>
        <w:rPr/>
        <w:t>地址：西安市经开区凤城八路正尚国际金融广场A座7层703（张家堡转盘东南角）</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为满足全市机动车业务办理的需求，支队2024年拟采购机动车号牌固封螺丝（汽车）及机动车号牌固封螺丝（摩托车）一批</w:t>
      </w:r>
    </w:p>
    <w:p>
      <w:pPr>
        <w:pStyle w:val="null3"/>
        <w:outlineLvl w:val="2"/>
      </w:pPr>
      <w:r>
        <w:rPr>
          <w:b/>
          <w:sz w:val="28"/>
        </w:rPr>
        <w:t>3.2采购内容</w:t>
      </w:r>
    </w:p>
    <w:p>
      <w:pPr>
        <w:pStyle w:val="null3"/>
      </w:pPr>
      <w:r>
        <w:rPr/>
        <w:t>采购包1：</w:t>
      </w:r>
    </w:p>
    <w:p>
      <w:pPr>
        <w:pStyle w:val="null3"/>
      </w:pPr>
      <w:r>
        <w:rPr/>
        <w:t>采购包预算金额（元）: 1,200,000.00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固封螺丝（汽车）</w:t>
            </w:r>
          </w:p>
        </w:tc>
        <w:tc>
          <w:tcPr>
            <w:tcW w:type="dxa" w:w="831"/>
          </w:tcPr>
          <w:p>
            <w:pPr>
              <w:pStyle w:val="null3"/>
              <w:jc w:val="right"/>
            </w:pPr>
            <w:r>
              <w:rPr/>
              <w:t>1.00</w:t>
            </w:r>
          </w:p>
        </w:tc>
        <w:tc>
          <w:tcPr>
            <w:tcW w:type="dxa" w:w="831"/>
          </w:tcPr>
          <w:p>
            <w:pPr>
              <w:pStyle w:val="null3"/>
              <w:jc w:val="right"/>
            </w:pPr>
            <w:r>
              <w:rPr/>
              <w:t>960,000.00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固封螺丝（摩托车）</w:t>
            </w:r>
          </w:p>
        </w:tc>
        <w:tc>
          <w:tcPr>
            <w:tcW w:type="dxa" w:w="831"/>
          </w:tcPr>
          <w:p>
            <w:pPr>
              <w:pStyle w:val="null3"/>
              <w:jc w:val="right"/>
            </w:pPr>
            <w:r>
              <w:rPr/>
              <w:t>1.00</w:t>
            </w:r>
          </w:p>
        </w:tc>
        <w:tc>
          <w:tcPr>
            <w:tcW w:type="dxa" w:w="831"/>
          </w:tcPr>
          <w:p>
            <w:pPr>
              <w:pStyle w:val="null3"/>
              <w:jc w:val="right"/>
            </w:pPr>
            <w:r>
              <w:rPr/>
              <w:t>240,000.00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标的名称：固封螺丝（汽车）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65"/>
              <w:gridCol w:w="954"/>
              <w:gridCol w:w="571"/>
            </w:tblGrid>
            <w:tr>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名称</w:t>
                  </w:r>
                </w:p>
              </w:tc>
              <w:tc>
                <w:tcPr>
                  <w:tcW w:type="dxa" w:w="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规格</w:t>
                  </w:r>
                </w:p>
              </w:tc>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单价最高限价（元）</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机动车号牌固封螺丝（汽车）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符合《机动车号牌专用固封装置(GA 804-2008)》要求，每套含4个。</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0.6</w:t>
                  </w:r>
                </w:p>
              </w:tc>
            </w:tr>
          </w:tbl>
          <w:p>
            <w:pPr>
              <w:pStyle w:val="null3"/>
            </w:pPr>
            <w:r>
              <w:rPr/>
              <w:t xml:space="preserve">                 最终以成交单价在预算内据实结算。</w:t>
            </w:r>
          </w:p>
          <w:p>
            <w:pPr>
              <w:pStyle w:val="null3"/>
            </w:pPr>
            <w:r>
              <w:rPr>
                <w:color w:val="000000"/>
              </w:rPr>
              <w:t>技术要求</w:t>
            </w:r>
          </w:p>
          <w:p>
            <w:pPr>
              <w:pStyle w:val="null3"/>
              <w:ind w:firstLine="560"/>
            </w:pPr>
            <w:r>
              <w:rPr>
                <w:color w:val="000000"/>
              </w:rPr>
              <w:t>（一）固封螺丝符合中华人民共和国公共行业安全标准《GA804—2008中华人民共和国机动车号牌专用固封装置》的相关要求</w:t>
            </w:r>
            <w:r>
              <w:rPr>
                <w:color w:val="000000"/>
              </w:rPr>
              <w:t>。</w:t>
            </w:r>
          </w:p>
          <w:tbl>
            <w:tblPr>
              <w:tblBorders>
                <w:top w:val="none" w:color="000000" w:sz="4"/>
                <w:left w:val="none" w:color="000000" w:sz="4"/>
                <w:bottom w:val="none" w:color="000000" w:sz="4"/>
                <w:right w:val="none" w:color="000000" w:sz="4"/>
                <w:insideH w:val="none"/>
                <w:insideV w:val="none"/>
              </w:tblBorders>
            </w:tblPr>
            <w:tblGrid>
              <w:gridCol w:w="366"/>
              <w:gridCol w:w="650"/>
              <w:gridCol w:w="2810"/>
            </w:tblGrid>
            <w:tr>
              <w:tc>
                <w:tcPr>
                  <w:tcW w:type="dxa" w:w="366"/>
                  <w:tcBorders>
                    <w:top w:val="single" w:color="000000" w:sz="8"/>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19"/>
                    </w:rPr>
                    <w:t>序号</w:t>
                  </w:r>
                </w:p>
              </w:tc>
              <w:tc>
                <w:tcPr>
                  <w:tcW w:type="dxa" w:w="650"/>
                  <w:tcBorders>
                    <w:top w:val="single" w:color="000000" w:sz="8"/>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19"/>
                    </w:rPr>
                    <w:t>产品规格</w:t>
                  </w:r>
                </w:p>
              </w:tc>
              <w:tc>
                <w:tcPr>
                  <w:tcW w:type="dxa" w:w="2810"/>
                  <w:tcBorders>
                    <w:top w:val="single" w:color="000000" w:sz="8"/>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19"/>
                    </w:rPr>
                    <w:t>技术要求</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包装要求</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分标准装，每套装4个号牌固封装置（汽车）</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质量标准</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产品符合中华人民共和国公共安全行业标准（GA804—2008）《机动车号牌专用固封装置》，以提供省级以上单位出具的有效质检报告(原件)为准。</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外观结构</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外观、结构设计应符合如下要求：</w:t>
                  </w:r>
                </w:p>
                <w:p>
                  <w:pPr>
                    <w:pStyle w:val="null3"/>
                    <w:jc w:val="both"/>
                  </w:pPr>
                  <w:r>
                    <w:rPr>
                      <w:rFonts w:ascii="&quot;times new roman&quot;" w:hAnsi="&quot;times new roman&quot;" w:cs="&quot;times new roman&quot;" w:eastAsia="&quot;times new roman&quot;"/>
                      <w:color w:val="000000"/>
                      <w:sz w:val="19"/>
                    </w:rPr>
                    <w:t>1）号牌固封装置主要由螺栓、螺母、固封底座和固封扣盖组成；</w:t>
                  </w:r>
                </w:p>
                <w:p>
                  <w:pPr>
                    <w:pStyle w:val="null3"/>
                    <w:jc w:val="both"/>
                  </w:pPr>
                  <w:r>
                    <w:rPr>
                      <w:rFonts w:ascii="&quot;times new roman&quot;" w:hAnsi="&quot;times new roman&quot;" w:cs="&quot;times new roman&quot;" w:eastAsia="&quot;times new roman&quot;"/>
                      <w:color w:val="000000"/>
                      <w:sz w:val="19"/>
                    </w:rPr>
                    <w:t>2）号牌固封装置各组成部件表面应均匀光滑、无镀层脱落现象；</w:t>
                  </w:r>
                </w:p>
                <w:p>
                  <w:pPr>
                    <w:pStyle w:val="null3"/>
                    <w:jc w:val="both"/>
                  </w:pPr>
                  <w:r>
                    <w:rPr>
                      <w:rFonts w:ascii="&quot;times new roman&quot;" w:hAnsi="&quot;times new roman&quot;" w:cs="&quot;times new roman&quot;" w:eastAsia="&quot;times new roman&quot;"/>
                      <w:color w:val="000000"/>
                      <w:sz w:val="19"/>
                    </w:rPr>
                    <w:t>3）固封扣盖上应有代表省、自治区、直辖市简称的汉字和代表发牌机关代号的字母，与号牌上机动车登记编号的省、自治区、直辖市简称和发牌机关代号一致。汉字和字母为凹印。省、自治区、直辖市简称应符合GA36-2007中5.7的要求，发牌机关代号应符合GA36-2007附录A的要求。</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规格尺寸</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1）固封底座和固封扣盖：</w:t>
                  </w:r>
                </w:p>
                <w:p>
                  <w:pPr>
                    <w:pStyle w:val="null3"/>
                    <w:jc w:val="both"/>
                  </w:pPr>
                  <w:r>
                    <w:rPr>
                      <w:rFonts w:ascii="&quot;times new roman&quot;" w:hAnsi="&quot;times new roman&quot;" w:cs="&quot;times new roman&quot;" w:eastAsia="&quot;times new roman&quot;"/>
                      <w:color w:val="000000"/>
                      <w:sz w:val="19"/>
                    </w:rPr>
                    <w:t>固封底座和固封扣盖组合的外径尺寸为18mm～22mm。固封扣盖上汉字字体为7.8mm宋体，英文字母字体为9.2mm Times New Roman，汉字和英文字母的字符宽比为95%。汉字和英文字母的字符组合位于固封扣盖中央。</w:t>
                  </w:r>
                </w:p>
                <w:p>
                  <w:pPr>
                    <w:pStyle w:val="null3"/>
                    <w:jc w:val="both"/>
                  </w:pPr>
                  <w:r>
                    <w:rPr>
                      <w:rFonts w:ascii="&quot;times new roman&quot;" w:hAnsi="&quot;times new roman&quot;" w:cs="&quot;times new roman&quot;" w:eastAsia="&quot;times new roman&quot;"/>
                      <w:color w:val="000000"/>
                      <w:sz w:val="19"/>
                    </w:rPr>
                    <w:t>2）螺栓：螺栓规格为M6</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材质</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号牌固封装置各组成部件均为合金或钢质。</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螺栓抗拉伸性能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在环境温度下，按GB/T 228-2002中规定的方法进行试验时，螺栓的抗拉强度应不小于500N/mm</w:t>
                  </w:r>
                  <w:r>
                    <w:rPr>
                      <w:rFonts w:ascii="&quot;times new roman&quot;" w:hAnsi="&quot;times new roman&quot;" w:cs="&quot;times new roman&quot;" w:eastAsia="&quot;times new roman&quot;"/>
                      <w:color w:val="000000"/>
                      <w:sz w:val="19"/>
                      <w:vertAlign w:val="superscript"/>
                    </w:rPr>
                    <w:t>2</w:t>
                  </w:r>
                  <w:r>
                    <w:rPr>
                      <w:rFonts w:ascii="&quot;times new roman&quot;" w:hAnsi="&quot;times new roman&quot;" w:cs="&quot;times new roman&quot;" w:eastAsia="&quot;times new roman&quot;"/>
                      <w:color w:val="000000"/>
                      <w:sz w:val="19"/>
                    </w:rPr>
                    <w:t>。</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7</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螺栓硬度性能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在环境温度下，按GB/T3098.1-2000中8.4规定的方法进行试验时，螺栓的洛氏硬度应不小于22。</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螺栓抗扭性能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在环境温度下，按GB/T 3098.13-1996中规定的方法进行试验时，螺栓的最小破坏扭矩应不小于13N</w:t>
                  </w:r>
                  <w:r>
                    <w:rPr>
                      <w:rFonts w:ascii="&quot;times new roman&quot;" w:hAnsi="&quot;times new roman&quot;" w:cs="&quot;times new roman&quot;" w:eastAsia="&quot;times new roman&quot;"/>
                      <w:color w:val="000000"/>
                      <w:sz w:val="19"/>
                    </w:rPr>
                    <w:t>•</w:t>
                  </w:r>
                  <w:r>
                    <w:rPr>
                      <w:rFonts w:ascii="&quot;times new roman&quot;" w:hAnsi="&quot;times new roman&quot;" w:cs="&quot;times new roman&quot;" w:eastAsia="&quot;times new roman&quot;"/>
                      <w:color w:val="000000"/>
                      <w:sz w:val="19"/>
                    </w:rPr>
                    <w:t>m。</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9</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防锈性能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盐雾腐蚀试验后，号牌固封装置外表面应无明显锈蚀痕迹。</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防松脱性能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振动试验后，固封扣盖和固封底座不应分离，号牌固封装置不应出现松脱现象。</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11</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防拆卸性能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使用常规工具拆卸号牌固封装置，固封扣盖和固封底座在5min内不应分离。拆卸后的号牌固封装置，应当被损坏，无法重复使用。测试方法如下：</w:t>
                  </w:r>
                </w:p>
                <w:p>
                  <w:pPr>
                    <w:pStyle w:val="null3"/>
                    <w:jc w:val="both"/>
                  </w:pPr>
                  <w:r>
                    <w:rPr>
                      <w:rFonts w:ascii="&quot;times new roman&quot;" w:hAnsi="&quot;times new roman&quot;" w:cs="&quot;times new roman&quot;" w:eastAsia="&quot;times new roman&quot;"/>
                      <w:color w:val="000000"/>
                      <w:sz w:val="19"/>
                    </w:rPr>
                    <w:t>将号牌固封装置放入万能材料试验机夹紧装置中，分别进行正面和侧面的压力测试，正面施加10kN的压力后外观不应明显变形，侧面施加5kN的压力后外观不明显变形；将号牌固封装置安装固定在3mm厚的钢板上，用螺丝刀、钳子、活动扳手、套筒、榔头等工具用撬、插、拔、敲击等方式卸下固封扣盖。试验后应符合上述规定。</w:t>
                  </w:r>
                </w:p>
              </w:tc>
            </w:tr>
            <w:tr>
              <w:tc>
                <w:tcPr>
                  <w:tcW w:type="dxa" w:w="366"/>
                  <w:tcBorders>
                    <w:top w:val="single" w:color="000000" w:sz="4"/>
                    <w:left w:val="single" w:color="000000" w:sz="8"/>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w:t>
                  </w:r>
                </w:p>
              </w:tc>
              <w:tc>
                <w:tcPr>
                  <w:tcW w:type="dxa" w:w="650"/>
                  <w:tcBorders>
                    <w:top w:val="single" w:color="000000" w:sz="4"/>
                    <w:left w:val="single" w:color="000000" w:sz="4"/>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安装要求</w:t>
                  </w:r>
                </w:p>
              </w:tc>
              <w:tc>
                <w:tcPr>
                  <w:tcW w:type="dxa" w:w="2810"/>
                  <w:tcBorders>
                    <w:top w:val="single" w:color="000000" w:sz="4"/>
                    <w:left w:val="singl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1）安装工具</w:t>
                  </w:r>
                </w:p>
                <w:p>
                  <w:pPr>
                    <w:pStyle w:val="null3"/>
                    <w:jc w:val="both"/>
                  </w:pPr>
                  <w:r>
                    <w:rPr>
                      <w:rFonts w:ascii="&quot;times new roman&quot;" w:hAnsi="&quot;times new roman&quot;" w:cs="&quot;times new roman&quot;" w:eastAsia="&quot;times new roman&quot;"/>
                      <w:color w:val="000000"/>
                      <w:sz w:val="19"/>
                    </w:rPr>
                    <w:t>应使用通用安装工具进行安装。</w:t>
                  </w:r>
                </w:p>
                <w:p>
                  <w:pPr>
                    <w:pStyle w:val="null3"/>
                    <w:jc w:val="both"/>
                  </w:pPr>
                  <w:r>
                    <w:rPr>
                      <w:rFonts w:ascii="&quot;times new roman&quot;" w:hAnsi="&quot;times new roman&quot;" w:cs="&quot;times new roman&quot;" w:eastAsia="&quot;times new roman&quot;"/>
                      <w:color w:val="000000"/>
                      <w:sz w:val="19"/>
                    </w:rPr>
                    <w:t>2）安装数量</w:t>
                  </w:r>
                </w:p>
                <w:p>
                  <w:pPr>
                    <w:pStyle w:val="null3"/>
                    <w:jc w:val="both"/>
                  </w:pPr>
                  <w:r>
                    <w:rPr>
                      <w:rFonts w:ascii="&quot;times new roman&quot;" w:hAnsi="&quot;times new roman&quot;" w:cs="&quot;times new roman&quot;" w:eastAsia="&quot;times new roman&quot;"/>
                      <w:color w:val="000000"/>
                      <w:sz w:val="19"/>
                    </w:rPr>
                    <w:t>每面号牌应至少使用两个号牌固封装置固定。</w:t>
                  </w:r>
                </w:p>
                <w:p>
                  <w:pPr>
                    <w:pStyle w:val="null3"/>
                    <w:jc w:val="both"/>
                  </w:pPr>
                  <w:r>
                    <w:rPr>
                      <w:rFonts w:ascii="&quot;times new roman&quot;" w:hAnsi="&quot;times new roman&quot;" w:cs="&quot;times new roman&quot;" w:eastAsia="&quot;times new roman&quot;"/>
                      <w:color w:val="000000"/>
                      <w:sz w:val="19"/>
                    </w:rPr>
                    <w:t>3）外观要求</w:t>
                  </w:r>
                </w:p>
                <w:p>
                  <w:pPr>
                    <w:pStyle w:val="null3"/>
                    <w:jc w:val="both"/>
                  </w:pPr>
                  <w:r>
                    <w:rPr>
                      <w:rFonts w:ascii="&quot;times new roman&quot;" w:hAnsi="&quot;times new roman&quot;" w:cs="&quot;times new roman&quot;" w:eastAsia="&quot;times new roman&quot;"/>
                      <w:color w:val="000000"/>
                      <w:sz w:val="19"/>
                    </w:rPr>
                    <w:t>用号牌固封装置安装好号牌后，号牌固封装置不得遮盖号牌上的机动车登记编号。</w:t>
                  </w:r>
                </w:p>
                <w:p>
                  <w:pPr>
                    <w:pStyle w:val="null3"/>
                    <w:jc w:val="both"/>
                  </w:pPr>
                  <w:r>
                    <w:rPr>
                      <w:rFonts w:ascii="&quot;times new roman&quot;" w:hAnsi="&quot;times new roman&quot;" w:cs="&quot;times new roman&quot;" w:eastAsia="&quot;times new roman&quot;"/>
                      <w:color w:val="000000"/>
                      <w:sz w:val="19"/>
                    </w:rPr>
                    <w:t>4）固封要求</w:t>
                  </w:r>
                </w:p>
                <w:p>
                  <w:pPr>
                    <w:pStyle w:val="null3"/>
                    <w:jc w:val="both"/>
                  </w:pPr>
                  <w:r>
                    <w:rPr>
                      <w:rFonts w:ascii="&quot;times new roman&quot;" w:hAnsi="&quot;times new roman&quot;" w:cs="&quot;times new roman&quot;" w:eastAsia="&quot;times new roman&quot;"/>
                      <w:color w:val="000000"/>
                      <w:sz w:val="19"/>
                    </w:rPr>
                    <w:t>用号牌固封装置安装好号牌后，固封底座应紧贴号牌，且固封底座和固封扣盖结合紧密，固封装置不得有松动。</w:t>
                  </w:r>
                </w:p>
              </w:tc>
            </w:tr>
          </w:tbl>
          <w:p>
            <w:pPr>
              <w:pStyle w:val="null3"/>
              <w:jc w:val="both"/>
            </w:pPr>
            <w:r>
              <w:rPr>
                <w:color w:val="000000"/>
              </w:rPr>
              <w:t>（二）项目建设依据</w:t>
            </w:r>
          </w:p>
          <w:p>
            <w:pPr>
              <w:pStyle w:val="null3"/>
              <w:ind w:firstLine="560"/>
            </w:pPr>
            <w:r>
              <w:rPr>
                <w:color w:val="000000"/>
              </w:rPr>
              <w:t>（1）中华人民共和国公共行业安全标准《（GA804—2008）中华人民共和国机动车号牌专用固封装置》</w:t>
            </w:r>
          </w:p>
          <w:p>
            <w:pPr>
              <w:pStyle w:val="null3"/>
              <w:ind w:firstLine="560"/>
            </w:pPr>
            <w:r>
              <w:rPr>
                <w:color w:val="000000"/>
              </w:rPr>
              <w:t>（2）交警总队转发《陕西省财政厅、陕西省公安厅关于调整机动车牌照工本费省市县分成比例的通知》的通知，陕公交(2013)220号</w:t>
            </w:r>
          </w:p>
          <w:p>
            <w:pPr>
              <w:pStyle w:val="null3"/>
              <w:ind w:firstLine="560"/>
            </w:pPr>
            <w:r>
              <w:rPr>
                <w:color w:val="000000"/>
              </w:rPr>
              <w:t>（3）陕西省财政厅、陕西省公安厅关于调整机动车牌照工本费省市县分成比例的通知，陕财办综(2013)23号</w:t>
            </w:r>
          </w:p>
          <w:p>
            <w:pPr>
              <w:pStyle w:val="null3"/>
              <w:ind w:firstLine="560"/>
            </w:pPr>
            <w:r>
              <w:rPr>
                <w:color w:val="000000"/>
              </w:rPr>
              <w:t>（4）GA802-2014机动车类型术语和定义</w:t>
            </w:r>
          </w:p>
          <w:p>
            <w:pPr>
              <w:pStyle w:val="null3"/>
              <w:ind w:firstLine="560"/>
            </w:pPr>
            <w:r>
              <w:rPr>
                <w:color w:val="000000"/>
              </w:rPr>
              <w:t>（5）国家发展改革委 财政部关于降低部分行政事业性收费标准的通知,发改价格规〔2019〕1931号</w:t>
            </w:r>
          </w:p>
        </w:tc>
      </w:tr>
    </w:tbl>
    <w:p>
      <w:pPr>
        <w:pStyle w:val="null3"/>
      </w:pPr>
      <w:r>
        <w:rPr/>
        <w:t>标的名称：固封螺丝（摩托车）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65"/>
              <w:gridCol w:w="954"/>
              <w:gridCol w:w="571"/>
            </w:tblGrid>
            <w:tr>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名称</w:t>
                  </w:r>
                </w:p>
              </w:tc>
              <w:tc>
                <w:tcPr>
                  <w:tcW w:type="dxa" w:w="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规格</w:t>
                  </w:r>
                </w:p>
              </w:tc>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单价最高限价（元）</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机动车号牌固封螺丝（摩托车）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shd w:fill="FFFFFF" w:val="clear"/>
                    </w:rPr>
                    <w:t>符合《</w:t>
                  </w:r>
                  <w:r>
                    <w:rPr>
                      <w:rFonts w:ascii="&quot;times new roman&quot;" w:hAnsi="&quot;times new roman&quot;" w:cs="&quot;times new roman&quot;" w:eastAsia="&quot;times new roman&quot;"/>
                      <w:sz w:val="19"/>
                      <w:shd w:fill="FFFFFF" w:val="clear"/>
                    </w:rPr>
                    <w:t>机动车号牌专用固封装置</w:t>
                  </w:r>
                  <w:r>
                    <w:rPr>
                      <w:rFonts w:ascii="&quot;times new roman&quot;" w:hAnsi="&quot;times new roman&quot;" w:cs="&quot;times new roman&quot;" w:eastAsia="&quot;times new roman&quot;"/>
                      <w:color w:val="000000"/>
                      <w:sz w:val="19"/>
                      <w:shd w:fill="FFFFFF" w:val="clear"/>
                    </w:rPr>
                    <w:t>(GA 804-2008)》要求，每套含2个。</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0.3</w:t>
                  </w:r>
                </w:p>
              </w:tc>
            </w:tr>
          </w:tbl>
          <w:p>
            <w:pPr>
              <w:pStyle w:val="null3"/>
              <w:jc w:val="both"/>
            </w:pPr>
            <w:r>
              <w:rPr/>
              <w:t xml:space="preserve">                 最终以成交单价在预算内据实结算。</w:t>
            </w:r>
          </w:p>
          <w:p>
            <w:pPr>
              <w:pStyle w:val="null3"/>
            </w:pPr>
            <w:r>
              <w:rPr>
                <w:color w:val="000000"/>
              </w:rPr>
              <w:t>技术要求</w:t>
            </w:r>
          </w:p>
          <w:p>
            <w:pPr>
              <w:pStyle w:val="null3"/>
              <w:ind w:firstLine="560"/>
            </w:pPr>
            <w:r>
              <w:rPr>
                <w:color w:val="000000"/>
              </w:rPr>
              <w:t>（一）固封螺丝符合中华人民共和国公共行业安全标准《GA804—2008中华人民共和国机动车号牌专用固封装置》的相关要求</w:t>
            </w:r>
            <w:r>
              <w:rPr>
                <w:color w:val="000000"/>
              </w:rPr>
              <w:t>。</w:t>
            </w:r>
          </w:p>
          <w:tbl>
            <w:tblPr>
              <w:tblBorders>
                <w:top w:val="none" w:color="000000" w:sz="4"/>
                <w:left w:val="none" w:color="000000" w:sz="4"/>
                <w:bottom w:val="none" w:color="000000" w:sz="4"/>
                <w:right w:val="none" w:color="000000" w:sz="4"/>
                <w:insideH w:val="none"/>
                <w:insideV w:val="none"/>
              </w:tblBorders>
            </w:tblPr>
            <w:tblGrid>
              <w:gridCol w:w="366"/>
              <w:gridCol w:w="650"/>
              <w:gridCol w:w="2810"/>
            </w:tblGrid>
            <w:tr>
              <w:tc>
                <w:tcPr>
                  <w:tcW w:type="dxa" w:w="366"/>
                  <w:tcBorders>
                    <w:top w:val="single" w:color="000000" w:sz="8"/>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19"/>
                    </w:rPr>
                    <w:t>序号</w:t>
                  </w:r>
                </w:p>
              </w:tc>
              <w:tc>
                <w:tcPr>
                  <w:tcW w:type="dxa" w:w="650"/>
                  <w:tcBorders>
                    <w:top w:val="single" w:color="000000" w:sz="8"/>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19"/>
                    </w:rPr>
                    <w:t>产品规格</w:t>
                  </w:r>
                </w:p>
              </w:tc>
              <w:tc>
                <w:tcPr>
                  <w:tcW w:type="dxa" w:w="2810"/>
                  <w:tcBorders>
                    <w:top w:val="single" w:color="000000" w:sz="8"/>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19"/>
                    </w:rPr>
                    <w:t>技术要求</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包装要求</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小包袋装，每套装2个号牌固封装置（摩托车）</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质量标准</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产品符合中华人民共和国公共安全行业标准（GA804—2008）《机动车号牌专用固封装置》，以提供省级以上单位出具的有效质检报告(原件)为准。</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外观结构</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外观、结构设计应符合如下要求：</w:t>
                  </w:r>
                </w:p>
                <w:p>
                  <w:pPr>
                    <w:pStyle w:val="null3"/>
                    <w:jc w:val="both"/>
                  </w:pPr>
                  <w:r>
                    <w:rPr>
                      <w:rFonts w:ascii="&quot;times new roman&quot;" w:hAnsi="&quot;times new roman&quot;" w:cs="&quot;times new roman&quot;" w:eastAsia="&quot;times new roman&quot;"/>
                      <w:color w:val="000000"/>
                      <w:sz w:val="19"/>
                    </w:rPr>
                    <w:t>1）号牌固封装置主要由螺栓、螺母、固封底座和固封扣盖组成；</w:t>
                  </w:r>
                </w:p>
                <w:p>
                  <w:pPr>
                    <w:pStyle w:val="null3"/>
                    <w:jc w:val="both"/>
                  </w:pPr>
                  <w:r>
                    <w:rPr>
                      <w:rFonts w:ascii="&quot;times new roman&quot;" w:hAnsi="&quot;times new roman&quot;" w:cs="&quot;times new roman&quot;" w:eastAsia="&quot;times new roman&quot;"/>
                      <w:color w:val="000000"/>
                      <w:sz w:val="19"/>
                    </w:rPr>
                    <w:t>2）号牌固封装置各组成部件表面应均匀光滑、无镀层脱落现象；</w:t>
                  </w:r>
                </w:p>
                <w:p>
                  <w:pPr>
                    <w:pStyle w:val="null3"/>
                    <w:jc w:val="both"/>
                  </w:pPr>
                  <w:r>
                    <w:rPr>
                      <w:rFonts w:ascii="&quot;times new roman&quot;" w:hAnsi="&quot;times new roman&quot;" w:cs="&quot;times new roman&quot;" w:eastAsia="&quot;times new roman&quot;"/>
                      <w:color w:val="000000"/>
                      <w:sz w:val="19"/>
                    </w:rPr>
                    <w:t>3）固封扣盖上应有代表省、自治区、直辖市简称的汉字和代表发牌机关代号的字母，与号牌上机动车登记编号的省、自治区、直辖市简称和发牌机关代号一致。汉字和字母为凹印。省、自治区、直辖市简称应符合GA36-2007中5.7的要求，发牌机关代号应符合GA36-2007附录A的要求。</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规格尺寸</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1）固封底座和固封扣盖：</w:t>
                  </w:r>
                </w:p>
                <w:p>
                  <w:pPr>
                    <w:pStyle w:val="null3"/>
                    <w:jc w:val="both"/>
                  </w:pPr>
                  <w:r>
                    <w:rPr>
                      <w:rFonts w:ascii="&quot;times new roman&quot;" w:hAnsi="&quot;times new roman&quot;" w:cs="&quot;times new roman&quot;" w:eastAsia="&quot;times new roman&quot;"/>
                      <w:color w:val="000000"/>
                      <w:sz w:val="19"/>
                    </w:rPr>
                    <w:t>固封底座和固封扣盖组合的外径尺寸为18mm～22mm。固封扣盖上汉字字体为7.8mm宋体，英文字母字体为9.2mm Times New Roman，汉字和英文字母的字符宽比为95%。汉字和英文字母的字符组合位于固封扣盖中央。</w:t>
                  </w:r>
                </w:p>
                <w:p>
                  <w:pPr>
                    <w:pStyle w:val="null3"/>
                    <w:jc w:val="both"/>
                  </w:pPr>
                  <w:r>
                    <w:rPr>
                      <w:rFonts w:ascii="&quot;times new roman&quot;" w:hAnsi="&quot;times new roman&quot;" w:cs="&quot;times new roman&quot;" w:eastAsia="&quot;times new roman&quot;"/>
                      <w:color w:val="000000"/>
                      <w:sz w:val="19"/>
                    </w:rPr>
                    <w:t>2）螺栓：螺栓规格为M6</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材质</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号牌固封装置各组成部件均为合金或钢质。</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螺栓抗拉伸性能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在环境温度下，按GB/T 228-2002中规定的方法进行试验时，螺栓的抗拉强度应不小于500N/mm</w:t>
                  </w:r>
                  <w:r>
                    <w:rPr>
                      <w:rFonts w:ascii="&quot;times new roman&quot;" w:hAnsi="&quot;times new roman&quot;" w:cs="&quot;times new roman&quot;" w:eastAsia="&quot;times new roman&quot;"/>
                      <w:color w:val="000000"/>
                      <w:sz w:val="19"/>
                      <w:vertAlign w:val="superscript"/>
                    </w:rPr>
                    <w:t>2</w:t>
                  </w:r>
                  <w:r>
                    <w:rPr>
                      <w:rFonts w:ascii="&quot;times new roman&quot;" w:hAnsi="&quot;times new roman&quot;" w:cs="&quot;times new roman&quot;" w:eastAsia="&quot;times new roman&quot;"/>
                      <w:color w:val="000000"/>
                      <w:sz w:val="19"/>
                    </w:rPr>
                    <w:t>。</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7</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螺栓硬度性能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在环境温度下，按GB/T3098.1-2000中8.4规定的方法进行试验时，螺栓的洛氏硬度应不小于22。</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螺栓抗扭性能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在环境温度下，按GB/T 3098.13-1996中规定的方法进行试验时，螺栓的最小破坏扭矩应不小于13N</w:t>
                  </w:r>
                  <w:r>
                    <w:rPr>
                      <w:rFonts w:ascii="&quot;times new roman&quot;" w:hAnsi="&quot;times new roman&quot;" w:cs="&quot;times new roman&quot;" w:eastAsia="&quot;times new roman&quot;"/>
                      <w:color w:val="000000"/>
                      <w:sz w:val="19"/>
                    </w:rPr>
                    <w:t>•</w:t>
                  </w:r>
                  <w:r>
                    <w:rPr>
                      <w:rFonts w:ascii="&quot;times new roman&quot;" w:hAnsi="&quot;times new roman&quot;" w:cs="&quot;times new roman&quot;" w:eastAsia="&quot;times new roman&quot;"/>
                      <w:color w:val="000000"/>
                      <w:sz w:val="19"/>
                    </w:rPr>
                    <w:t>m。</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9</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防锈性能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盐雾腐蚀试验后，号牌固封装置外表面应无明显锈蚀痕迹。</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防松脱性能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振动试验后，固封扣盖和固封底座不应分离，号牌固封装置不应出现松脱现象。</w:t>
                  </w:r>
                </w:p>
              </w:tc>
            </w:tr>
            <w:tr>
              <w:tc>
                <w:tcPr>
                  <w:tcW w:type="dxa" w:w="366"/>
                  <w:tcBorders>
                    <w:top w:val="singl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11</w:t>
                  </w:r>
                </w:p>
              </w:tc>
              <w:tc>
                <w:tcPr>
                  <w:tcW w:type="dxa" w:w="6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防拆卸性能</w:t>
                  </w:r>
                </w:p>
              </w:tc>
              <w:tc>
                <w:tcPr>
                  <w:tcW w:type="dxa" w:w="2810"/>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使用常规工具拆卸号牌固封装置，固封扣盖和固封底座在5min内不应分离。拆卸后的号牌固封装置，应当被损坏，无法重复使用。测试方法如下：</w:t>
                  </w:r>
                </w:p>
                <w:p>
                  <w:pPr>
                    <w:pStyle w:val="null3"/>
                    <w:jc w:val="both"/>
                  </w:pPr>
                  <w:r>
                    <w:rPr>
                      <w:rFonts w:ascii="&quot;times new roman&quot;" w:hAnsi="&quot;times new roman&quot;" w:cs="&quot;times new roman&quot;" w:eastAsia="&quot;times new roman&quot;"/>
                      <w:color w:val="000000"/>
                      <w:sz w:val="19"/>
                    </w:rPr>
                    <w:t>将号牌固封装置放入万能材料试验机夹紧装置中，分别进行正面和侧面的压力测试，正面施加10kN的压力后外观不应明显变形，侧面施加5kN的压力后外观不明显变形；将号牌固封装置安装固定在3mm厚的钢板上，用螺丝刀、钳子、活动扳手、套筒、榔头等工具用撬、插、拔、敲击等方式卸下固封扣盖。试验后应符合上述规定。</w:t>
                  </w:r>
                </w:p>
              </w:tc>
            </w:tr>
            <w:tr>
              <w:tc>
                <w:tcPr>
                  <w:tcW w:type="dxa" w:w="366"/>
                  <w:tcBorders>
                    <w:top w:val="single" w:color="000000" w:sz="4"/>
                    <w:left w:val="single" w:color="000000" w:sz="8"/>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w:t>
                  </w:r>
                </w:p>
              </w:tc>
              <w:tc>
                <w:tcPr>
                  <w:tcW w:type="dxa" w:w="650"/>
                  <w:tcBorders>
                    <w:top w:val="single" w:color="000000" w:sz="4"/>
                    <w:left w:val="single" w:color="000000" w:sz="4"/>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安装要求</w:t>
                  </w:r>
                </w:p>
              </w:tc>
              <w:tc>
                <w:tcPr>
                  <w:tcW w:type="dxa" w:w="2810"/>
                  <w:tcBorders>
                    <w:top w:val="single" w:color="000000" w:sz="4"/>
                    <w:left w:val="singl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1）安装工具</w:t>
                  </w:r>
                </w:p>
                <w:p>
                  <w:pPr>
                    <w:pStyle w:val="null3"/>
                    <w:jc w:val="both"/>
                  </w:pPr>
                  <w:r>
                    <w:rPr>
                      <w:rFonts w:ascii="&quot;times new roman&quot;" w:hAnsi="&quot;times new roman&quot;" w:cs="&quot;times new roman&quot;" w:eastAsia="&quot;times new roman&quot;"/>
                      <w:color w:val="000000"/>
                      <w:sz w:val="19"/>
                    </w:rPr>
                    <w:t>应使用通用安装工具进行安装。</w:t>
                  </w:r>
                </w:p>
                <w:p>
                  <w:pPr>
                    <w:pStyle w:val="null3"/>
                    <w:jc w:val="both"/>
                  </w:pPr>
                  <w:r>
                    <w:rPr>
                      <w:rFonts w:ascii="&quot;times new roman&quot;" w:hAnsi="&quot;times new roman&quot;" w:cs="&quot;times new roman&quot;" w:eastAsia="&quot;times new roman&quot;"/>
                      <w:color w:val="000000"/>
                      <w:sz w:val="19"/>
                    </w:rPr>
                    <w:t>2）安装数量</w:t>
                  </w:r>
                </w:p>
                <w:p>
                  <w:pPr>
                    <w:pStyle w:val="null3"/>
                    <w:jc w:val="both"/>
                  </w:pPr>
                  <w:r>
                    <w:rPr>
                      <w:rFonts w:ascii="&quot;times new roman&quot;" w:hAnsi="&quot;times new roman&quot;" w:cs="&quot;times new roman&quot;" w:eastAsia="&quot;times new roman&quot;"/>
                      <w:color w:val="000000"/>
                      <w:sz w:val="19"/>
                    </w:rPr>
                    <w:t>每面号牌应至少使用两个号牌固封装置固定。</w:t>
                  </w:r>
                </w:p>
                <w:p>
                  <w:pPr>
                    <w:pStyle w:val="null3"/>
                    <w:jc w:val="both"/>
                  </w:pPr>
                  <w:r>
                    <w:rPr>
                      <w:rFonts w:ascii="&quot;times new roman&quot;" w:hAnsi="&quot;times new roman&quot;" w:cs="&quot;times new roman&quot;" w:eastAsia="&quot;times new roman&quot;"/>
                      <w:color w:val="000000"/>
                      <w:sz w:val="19"/>
                    </w:rPr>
                    <w:t>3）外观要求</w:t>
                  </w:r>
                </w:p>
                <w:p>
                  <w:pPr>
                    <w:pStyle w:val="null3"/>
                    <w:jc w:val="both"/>
                  </w:pPr>
                  <w:r>
                    <w:rPr>
                      <w:rFonts w:ascii="&quot;times new roman&quot;" w:hAnsi="&quot;times new roman&quot;" w:cs="&quot;times new roman&quot;" w:eastAsia="&quot;times new roman&quot;"/>
                      <w:color w:val="000000"/>
                      <w:sz w:val="19"/>
                    </w:rPr>
                    <w:t>用号牌固封装置安装好号牌后，号牌固封装置不得遮盖号牌上的机动车登记编号。</w:t>
                  </w:r>
                </w:p>
                <w:p>
                  <w:pPr>
                    <w:pStyle w:val="null3"/>
                    <w:jc w:val="both"/>
                  </w:pPr>
                  <w:r>
                    <w:rPr>
                      <w:rFonts w:ascii="&quot;times new roman&quot;" w:hAnsi="&quot;times new roman&quot;" w:cs="&quot;times new roman&quot;" w:eastAsia="&quot;times new roman&quot;"/>
                      <w:color w:val="000000"/>
                      <w:sz w:val="19"/>
                    </w:rPr>
                    <w:t>4）固封要求</w:t>
                  </w:r>
                </w:p>
                <w:p>
                  <w:pPr>
                    <w:pStyle w:val="null3"/>
                    <w:jc w:val="both"/>
                  </w:pPr>
                  <w:r>
                    <w:rPr>
                      <w:rFonts w:ascii="&quot;times new roman&quot;" w:hAnsi="&quot;times new roman&quot;" w:cs="&quot;times new roman&quot;" w:eastAsia="&quot;times new roman&quot;"/>
                      <w:color w:val="000000"/>
                      <w:sz w:val="19"/>
                    </w:rPr>
                    <w:t>用号牌固封装置安装好号牌后，固封底座应紧贴号牌，且固封底座和固封扣盖结合紧密，固封装置不得有松动。</w:t>
                  </w:r>
                </w:p>
              </w:tc>
            </w:tr>
          </w:tbl>
          <w:p>
            <w:pPr>
              <w:pStyle w:val="null3"/>
              <w:jc w:val="both"/>
            </w:pPr>
            <w:r>
              <w:rPr>
                <w:color w:val="000000"/>
              </w:rPr>
              <w:t>（二）项目建设依据</w:t>
            </w:r>
          </w:p>
          <w:p>
            <w:pPr>
              <w:pStyle w:val="null3"/>
              <w:ind w:firstLine="560"/>
            </w:pPr>
            <w:r>
              <w:rPr>
                <w:color w:val="000000"/>
              </w:rPr>
              <w:t>（1）中华人民共和国公共行业安全标准《（GA804—2008）中华人民共和国机动车号牌专用固封装置》</w:t>
            </w:r>
          </w:p>
          <w:p>
            <w:pPr>
              <w:pStyle w:val="null3"/>
              <w:ind w:firstLine="560"/>
            </w:pPr>
            <w:r>
              <w:rPr>
                <w:color w:val="000000"/>
              </w:rPr>
              <w:t>（2）交警总队转发《陕西省财政厅、陕西省公安厅关于调整机动车牌照工本费省市县分成比例的通知》的通知，陕公交(2013)220号</w:t>
            </w:r>
          </w:p>
          <w:p>
            <w:pPr>
              <w:pStyle w:val="null3"/>
              <w:ind w:firstLine="560"/>
            </w:pPr>
            <w:r>
              <w:rPr>
                <w:color w:val="000000"/>
              </w:rPr>
              <w:t>（3）陕西省财政厅、陕西省公安厅关于调整机动车牌照工本费省市县分成比例的通知，陕财办综(2013)23号</w:t>
            </w:r>
          </w:p>
          <w:p>
            <w:pPr>
              <w:pStyle w:val="null3"/>
              <w:ind w:firstLine="560"/>
            </w:pPr>
            <w:r>
              <w:rPr>
                <w:color w:val="000000"/>
              </w:rPr>
              <w:t>（4）GA802-2014机动车类型术语和定义</w:t>
            </w:r>
          </w:p>
          <w:p>
            <w:pPr>
              <w:pStyle w:val="null3"/>
              <w:ind w:firstLine="560"/>
            </w:pPr>
            <w:r>
              <w:rPr>
                <w:color w:val="000000"/>
              </w:rPr>
              <w:t>（5）国家发展改革委 财政部关于降低部分行政事业性收费标准的通知,发改价格规〔2019〕1931号</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交货时间为合同签订后120个工作日，乙方不得在未征得甲方书面同意和谅解的情况下单方面延迟交货，乙方遇到可能妨碍按时交货和提供服务的情况，应当及时以书面形式通知甲方，说明原由、拖延的期限等；甲方在收到通知后，尽快进行情况评估并确定是否通过修改合同，酌情延长交货时间或者通过协商加收误期赔偿金。</w:t>
      </w:r>
    </w:p>
    <w:p>
      <w:pPr>
        <w:pStyle w:val="null3"/>
        <w:outlineLvl w:val="3"/>
      </w:pPr>
      <w:r>
        <w:rPr>
          <w:b/>
          <w:sz w:val="24"/>
        </w:rPr>
        <w:t>3.4.2交货地点和方式</w:t>
      </w:r>
    </w:p>
    <w:p>
      <w:pPr>
        <w:pStyle w:val="null3"/>
      </w:pPr>
      <w:r>
        <w:rPr/>
        <w:t>采购包1：</w:t>
      </w:r>
    </w:p>
    <w:p>
      <w:pPr>
        <w:pStyle w:val="null3"/>
      </w:pPr>
      <w:r>
        <w:rPr/>
        <w:t>西安市公安局交通警察支队</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 xml:space="preserve"> 合同签订后支付合同款的50%，在收到款项后20日历日内到货50%</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第二次在货物运达指定地点验收后于2024年9月30日前支付合同进度款30%</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第三次在剩余全部货物运达指定地点验收合格后于2024年11月30日前支付合同尾款</w:t>
      </w:r>
      <w:r>
        <w:rPr/>
        <w:t xml:space="preserve"> ，达到付款条件起 </w:t>
      </w:r>
      <w:r>
        <w:rPr/>
        <w:t>30</w:t>
      </w:r>
      <w:r>
        <w:rPr/>
        <w:t xml:space="preserve"> 日内，支付合同总金额的 </w:t>
      </w:r>
      <w:r>
        <w:rPr/>
        <w:t>20.00</w:t>
      </w:r>
      <w:r>
        <w:rPr/>
        <w:t>%。</w:t>
      </w:r>
    </w:p>
    <w:p>
      <w:pPr>
        <w:pStyle w:val="null3"/>
        <w:outlineLvl w:val="3"/>
      </w:pPr>
      <w:r>
        <w:rPr>
          <w:b/>
          <w:sz w:val="24"/>
        </w:rPr>
        <w:t>3.4.5验收标准和方法</w:t>
      </w:r>
    </w:p>
    <w:p>
      <w:pPr>
        <w:pStyle w:val="null3"/>
      </w:pPr>
      <w:r>
        <w:rPr/>
        <w:t>采购包1：</w:t>
      </w:r>
    </w:p>
    <w:p>
      <w:pPr>
        <w:pStyle w:val="null3"/>
      </w:pPr>
      <w:r>
        <w:rPr/>
        <w:t>1. 验收标准：货物应按生产厂家的出厂检验标准、采购文件、响应文件以及国家和行业验收规范要求及合同中的相关条款进行数量及质量的验收。 2. 验收程序：货物验收分出厂检验、交货验收两个阶段。验收合格后，甲方签发《政府采购验收单》。并按规定进行结算审计后付款。 (1)出厂检验：乙方需提供货物、安装材料、工具和发货清单和计划，发货计划应经甲方认可后实施。乙方负责所提供货物的出厂检验，保证货物原产地和技术指标的真实性、完整性、合法性，并负责将货物送达安装地点，并向甲方提供公安部出具的检测报告、原装拼配设备的证明资料和文件以及生产产家供货确认函。甲方在货物到货后，将按合同规定对所交货物进行清点、核对和商检。 (2)交货验收：货物到达交货地点后，由甲方会同有关部门进行基本质量和数量的验收（但不作为最终合格的保证），该验收应达到合同规定的要求。同时，甲方有权对所配送的货物送指定专业权威检测机构进行检测（包括破坏性实验及环保指数检测），检测费、检测产品损失由乙方承担。如送检结果达不到采购文件要求及我国执行的相应国标及相关规定（如国标与其他相关标准不一致的，以国标为准），甲方有权终止合同，甲方有权拒付不合格产品货款并追究乙方法律、经济责任。破坏性检测的产品乙方必须无偿补全该产品，但抽检产品应有数额限制，每次不超过10套产品。超出约定送检产品数量的，由甲方承担费用。甲方送检时间应在付款期限之前进行，不得以送检为由拖欠货款。</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1.质保期为：供货结束之日起 壹年 。 2.合同签订后，乙方提供银行的履约保函原件，待供货结束一年后返还履约保函原件。</w:t>
      </w:r>
    </w:p>
    <w:p>
      <w:pPr>
        <w:pStyle w:val="null3"/>
        <w:outlineLvl w:val="3"/>
      </w:pPr>
      <w:r>
        <w:rPr>
          <w:b/>
          <w:sz w:val="24"/>
        </w:rPr>
        <w:t>3.4.8违约责任及解决争议的方法</w:t>
      </w:r>
    </w:p>
    <w:p>
      <w:pPr>
        <w:pStyle w:val="null3"/>
      </w:pPr>
      <w:r>
        <w:rPr/>
        <w:t>采购包1：</w:t>
      </w:r>
    </w:p>
    <w:p>
      <w:pPr>
        <w:pStyle w:val="null3"/>
      </w:pPr>
      <w:r>
        <w:rPr/>
        <w:t>1、如乙方事先未征得甲方书面同意而单方面延迟完成项目的，每逾期一日按照合同总额的万分之五承担违约责任；乙方逾期累计15天以上的，甲方有权解除合同。 2、甲方收到固封螺丝并收到全额等值的增值税发票后七个工作日内按合同价款全额付清；甲方逾期累计15天以上的，乙方有权停止提供服务。 3、部分产品不合格的，甲方有权要求乙方在指定期间内免费更换。乙方拒不更换的，甲方有权要求乙方承担合同价款30%的违约金，合同继续履行。甲方要求更换不合格产品，应持有权威鉴定机构出具的鉴定报告作为依据。 4、质保期内乙方未按照竞争性谈判文件、竞争性响应文件规定及合同约定提供维保服务的，甲方有权指定第三方提供维保服务，但第三方维修费、交通费、人工费等合理费用由乙方承担。 5、因乙方提供的服务侵害他人权利或者造成采购人损害的，乙方承担全部赔偿责任。 6、交货后，因甲方自身原因或第三方使用不当所产生的损害与乙方无关。</w:t>
      </w:r>
    </w:p>
    <w:p>
      <w:pPr>
        <w:pStyle w:val="null3"/>
        <w:jc w:val="left"/>
        <w:outlineLvl w:val="3"/>
      </w:pPr>
      <w:r>
        <w:rPr>
          <w:b/>
          <w:sz w:val="24"/>
        </w:rPr>
        <w:t>3.5其他要求</w:t>
      </w:r>
    </w:p>
    <w:p>
      <w:pPr>
        <w:pStyle w:val="null3"/>
      </w:pPr>
      <w:r>
        <w:rPr/>
        <w:t>采购包1：</w:t>
      </w:r>
    </w:p>
    <w:p>
      <w:pPr>
        <w:pStyle w:val="null3"/>
      </w:pPr>
      <w:r>
        <w:rPr/>
        <w:t>1.成交人在领取成交通知书时提供一正两副纸质版文件。 2.本项目报单价：机动车号牌固封螺丝（汽车）单价最高限价为0.6元，机动车号牌固封螺丝（摩托车）单价最高限价为0.3元。</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拒绝政府采购领域商业贿赂承诺书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 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谈判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信用信息查询</w:t>
            </w:r>
          </w:p>
        </w:tc>
        <w:tc>
          <w:tcPr>
            <w:tcW w:type="dxa" w:w="3322"/>
          </w:tcPr>
          <w:p>
            <w:pPr>
              <w:pStyle w:val="null3"/>
            </w:pPr>
            <w:r>
              <w:rPr/>
              <w:t>不得为“信用中国”网站(http://www.creditchina.gov.cn)列入“失信被执行人、重大税收违法 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 参与政府采购的承诺函 技术规格响应偏离表</w:t>
            </w:r>
          </w:p>
        </w:tc>
      </w:tr>
      <w:tr>
        <w:tc>
          <w:tcPr>
            <w:tcW w:type="dxa" w:w="831"/>
          </w:tcPr>
          <w:p>
            <w:pPr>
              <w:pStyle w:val="null3"/>
            </w:pPr>
            <w:r>
              <w:rPr/>
              <w:t>2</w:t>
            </w:r>
          </w:p>
        </w:tc>
        <w:tc>
          <w:tcPr>
            <w:tcW w:type="dxa" w:w="2492"/>
          </w:tcPr>
          <w:p>
            <w:pPr>
              <w:pStyle w:val="null3"/>
            </w:pPr>
            <w:r>
              <w:rPr/>
              <w:t>格式编制</w:t>
            </w:r>
          </w:p>
        </w:tc>
        <w:tc>
          <w:tcPr>
            <w:tcW w:type="dxa" w:w="3322"/>
          </w:tcPr>
          <w:p>
            <w:pPr>
              <w:pStyle w:val="null3"/>
            </w:pPr>
            <w:r>
              <w:rPr/>
              <w:t>除明确允许供应商可以自行编写的外，谈判响 应文件是否按照谈判文件给定的格式编制</w:t>
            </w:r>
          </w:p>
        </w:tc>
        <w:tc>
          <w:tcPr>
            <w:tcW w:type="dxa" w:w="1661"/>
          </w:tcPr>
          <w:p>
            <w:pPr>
              <w:pStyle w:val="null3"/>
            </w:pPr>
            <w:r>
              <w:rPr/>
              <w:t>响应文件封面 法定代表人授权委托书 谈判分项报价表 中小企业声明函 响应函 谈判一览表 技术规格响应偏离表 商务条款响应偏离表</w:t>
            </w:r>
          </w:p>
        </w:tc>
      </w:tr>
      <w:tr>
        <w:tc>
          <w:tcPr>
            <w:tcW w:type="dxa" w:w="831"/>
          </w:tcPr>
          <w:p>
            <w:pPr>
              <w:pStyle w:val="null3"/>
            </w:pPr>
            <w:r>
              <w:rPr/>
              <w:t>3</w:t>
            </w:r>
          </w:p>
        </w:tc>
        <w:tc>
          <w:tcPr>
            <w:tcW w:type="dxa" w:w="2492"/>
          </w:tcPr>
          <w:p>
            <w:pPr>
              <w:pStyle w:val="null3"/>
            </w:pPr>
            <w:r>
              <w:rPr/>
              <w:t>盖章签字</w:t>
            </w:r>
          </w:p>
        </w:tc>
        <w:tc>
          <w:tcPr>
            <w:tcW w:type="dxa" w:w="3322"/>
          </w:tcPr>
          <w:p>
            <w:pPr>
              <w:pStyle w:val="null3"/>
            </w:pPr>
            <w:r>
              <w:rPr/>
              <w:t>谈判响应文件是否按照谈判文件的要求盖章签 字</w:t>
            </w:r>
          </w:p>
        </w:tc>
        <w:tc>
          <w:tcPr>
            <w:tcW w:type="dxa" w:w="1661"/>
          </w:tcPr>
          <w:p>
            <w:pPr>
              <w:pStyle w:val="null3"/>
            </w:pPr>
            <w:r>
              <w:rPr/>
              <w:t>法定代表人授权委托书 谈判分项报价表 中小企业声明函 谈判一览表 响应函 技术规格响应偏离表 商务条款响应偏离表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报价是否超过单价最高限价</w:t>
            </w:r>
          </w:p>
        </w:tc>
        <w:tc>
          <w:tcPr>
            <w:tcW w:type="dxa" w:w="1661"/>
          </w:tcPr>
          <w:p>
            <w:pPr>
              <w:pStyle w:val="null3"/>
            </w:pPr>
            <w:r>
              <w:rPr/>
              <w:t>谈判分项报价表 标的清单 谈判一览表</w:t>
            </w:r>
          </w:p>
        </w:tc>
      </w:tr>
      <w:tr>
        <w:tc>
          <w:tcPr>
            <w:tcW w:type="dxa" w:w="831"/>
          </w:tcPr>
          <w:p>
            <w:pPr>
              <w:pStyle w:val="null3"/>
            </w:pPr>
            <w:r>
              <w:rPr/>
              <w:t>5</w:t>
            </w:r>
          </w:p>
        </w:tc>
        <w:tc>
          <w:tcPr>
            <w:tcW w:type="dxa" w:w="2492"/>
          </w:tcPr>
          <w:p>
            <w:pPr>
              <w:pStyle w:val="null3"/>
            </w:pPr>
            <w:r>
              <w:rPr/>
              <w:t>谈判有效期</w:t>
            </w:r>
          </w:p>
        </w:tc>
        <w:tc>
          <w:tcPr>
            <w:tcW w:type="dxa" w:w="3322"/>
          </w:tcPr>
          <w:p>
            <w:pPr>
              <w:pStyle w:val="null3"/>
            </w:pPr>
            <w:r>
              <w:rPr/>
              <w:t>谈判有效期是否符合谈判文件的要求</w:t>
            </w:r>
          </w:p>
        </w:tc>
        <w:tc>
          <w:tcPr>
            <w:tcW w:type="dxa" w:w="1661"/>
          </w:tcPr>
          <w:p>
            <w:pPr>
              <w:pStyle w:val="null3"/>
            </w:pPr>
            <w:r>
              <w:rPr/>
              <w:t>法定代表人授权委托书</w:t>
            </w:r>
          </w:p>
        </w:tc>
      </w:tr>
      <w:tr>
        <w:tc>
          <w:tcPr>
            <w:tcW w:type="dxa" w:w="831"/>
          </w:tcPr>
          <w:p>
            <w:pPr>
              <w:pStyle w:val="null3"/>
            </w:pPr>
            <w:r>
              <w:rPr/>
              <w:t>6</w:t>
            </w:r>
          </w:p>
        </w:tc>
        <w:tc>
          <w:tcPr>
            <w:tcW w:type="dxa" w:w="2492"/>
          </w:tcPr>
          <w:p>
            <w:pPr>
              <w:pStyle w:val="null3"/>
            </w:pPr>
            <w:r>
              <w:rPr/>
              <w:t>对谈判文件商务要求是否作出明确 且实质性响应</w:t>
            </w:r>
          </w:p>
        </w:tc>
        <w:tc>
          <w:tcPr>
            <w:tcW w:type="dxa" w:w="3322"/>
          </w:tcPr>
          <w:p>
            <w:pPr>
              <w:pStyle w:val="null3"/>
            </w:pPr>
            <w:r>
              <w:rPr/>
              <w:t>对谈判文件商务要求是否作出明确且实质性响 应</w:t>
            </w:r>
          </w:p>
        </w:tc>
        <w:tc>
          <w:tcPr>
            <w:tcW w:type="dxa" w:w="1661"/>
          </w:tcPr>
          <w:p>
            <w:pPr>
              <w:pStyle w:val="null3"/>
            </w:pPr>
            <w:r>
              <w:rPr/>
              <w:t>响应文件封面 质量保证承诺 售后服务承诺 商务条款响应偏离表</w:t>
            </w:r>
          </w:p>
        </w:tc>
      </w:tr>
      <w:tr>
        <w:tc>
          <w:tcPr>
            <w:tcW w:type="dxa" w:w="831"/>
          </w:tcPr>
          <w:p>
            <w:pPr>
              <w:pStyle w:val="null3"/>
            </w:pPr>
            <w:r>
              <w:rPr/>
              <w:t>7</w:t>
            </w:r>
          </w:p>
        </w:tc>
        <w:tc>
          <w:tcPr>
            <w:tcW w:type="dxa" w:w="2492"/>
          </w:tcPr>
          <w:p>
            <w:pPr>
              <w:pStyle w:val="null3"/>
            </w:pPr>
            <w:r>
              <w:rPr/>
              <w:t>对谈判文件技术要求是否作出明确 响应，对不得偏离的要求是否作出 实质性响应</w:t>
            </w:r>
          </w:p>
        </w:tc>
        <w:tc>
          <w:tcPr>
            <w:tcW w:type="dxa" w:w="3322"/>
          </w:tcPr>
          <w:p>
            <w:pPr>
              <w:pStyle w:val="null3"/>
            </w:pPr>
            <w:r>
              <w:rPr/>
              <w:t>对谈判文件技术要求是否作出明确响应，对不 得偏离的要求是否作出实质性响应</w:t>
            </w:r>
          </w:p>
        </w:tc>
        <w:tc>
          <w:tcPr>
            <w:tcW w:type="dxa" w:w="1661"/>
          </w:tcPr>
          <w:p>
            <w:pPr>
              <w:pStyle w:val="null3"/>
            </w:pPr>
            <w:r>
              <w:rPr/>
              <w:t>响应文件封面 产品的技术文件 技术规格响应偏离表</w:t>
            </w:r>
          </w:p>
        </w:tc>
      </w:tr>
      <w:tr>
        <w:tc>
          <w:tcPr>
            <w:tcW w:type="dxa" w:w="831"/>
          </w:tcPr>
          <w:p>
            <w:pPr>
              <w:pStyle w:val="null3"/>
            </w:pPr>
            <w:r>
              <w:rPr/>
              <w:t>8</w:t>
            </w:r>
          </w:p>
        </w:tc>
        <w:tc>
          <w:tcPr>
            <w:tcW w:type="dxa" w:w="2492"/>
          </w:tcPr>
          <w:p>
            <w:pPr>
              <w:pStyle w:val="null3"/>
            </w:pPr>
            <w:r>
              <w:rPr/>
              <w:t>是否符合法律、法规和谈判文件规 定的其他无效情形</w:t>
            </w:r>
          </w:p>
        </w:tc>
        <w:tc>
          <w:tcPr>
            <w:tcW w:type="dxa" w:w="3322"/>
          </w:tcPr>
          <w:p>
            <w:pPr>
              <w:pStyle w:val="null3"/>
            </w:pPr>
            <w:r>
              <w:rPr/>
              <w:t>是否符合法律、法规和谈判文件规定的其他无 效情形</w:t>
            </w:r>
          </w:p>
        </w:tc>
        <w:tc>
          <w:tcPr>
            <w:tcW w:type="dxa" w:w="1661"/>
          </w:tcPr>
          <w:p>
            <w:pPr>
              <w:pStyle w:val="null3"/>
            </w:pPr>
            <w:r>
              <w:rPr/>
              <w:t>响应文件封面 中小企业声明函 残疾人福利性单位声明函 供应商认为有必要补充说明的事宜（若有） 拒绝政府采购领域商业贿赂承诺书 监狱企业的证明文件</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详见附件：参与政府采购的承诺函</w:t>
      </w:r>
    </w:p>
    <w:p>
      <w:pPr>
        <w:pStyle w:val="null3"/>
        <w:ind w:firstLine="960"/>
      </w:pPr>
      <w:r>
        <w:rPr/>
        <w:t>详见附件：产品的技术文件</w:t>
      </w:r>
    </w:p>
    <w:p>
      <w:pPr>
        <w:pStyle w:val="null3"/>
        <w:ind w:firstLine="960"/>
      </w:pPr>
      <w:r>
        <w:rPr/>
        <w:t>详见附件：法定代表人授权委托书</w:t>
      </w:r>
    </w:p>
    <w:p>
      <w:pPr>
        <w:pStyle w:val="null3"/>
        <w:ind w:firstLine="960"/>
      </w:pPr>
      <w:r>
        <w:rPr/>
        <w:t>详见附件：供应商认为有必要补充说明的事宜（若有）</w:t>
      </w:r>
    </w:p>
    <w:p>
      <w:pPr>
        <w:pStyle w:val="null3"/>
        <w:ind w:firstLine="960"/>
      </w:pPr>
      <w:r>
        <w:rPr/>
        <w:t>详见附件：技术规格响应偏离表</w:t>
      </w:r>
    </w:p>
    <w:p>
      <w:pPr>
        <w:pStyle w:val="null3"/>
        <w:ind w:firstLine="960"/>
      </w:pPr>
      <w:r>
        <w:rPr/>
        <w:t>详见附件：拒绝政府采购领域商业贿赂承诺书</w:t>
      </w:r>
    </w:p>
    <w:p>
      <w:pPr>
        <w:pStyle w:val="null3"/>
        <w:ind w:firstLine="960"/>
      </w:pPr>
      <w:r>
        <w:rPr/>
        <w:t>详见附件：商务条款响应偏离表</w:t>
      </w:r>
    </w:p>
    <w:p>
      <w:pPr>
        <w:pStyle w:val="null3"/>
        <w:ind w:firstLine="960"/>
      </w:pPr>
      <w:r>
        <w:rPr/>
        <w:t>详见附件：售后服务承诺</w:t>
      </w:r>
    </w:p>
    <w:p>
      <w:pPr>
        <w:pStyle w:val="null3"/>
        <w:ind w:firstLine="960"/>
      </w:pPr>
      <w:r>
        <w:rPr/>
        <w:t>详见附件：谈判分项报价表</w:t>
      </w:r>
    </w:p>
    <w:p>
      <w:pPr>
        <w:pStyle w:val="null3"/>
        <w:ind w:firstLine="960"/>
      </w:pPr>
      <w:r>
        <w:rPr/>
        <w:t>详见附件：谈判一览表</w:t>
      </w:r>
    </w:p>
    <w:p>
      <w:pPr>
        <w:pStyle w:val="null3"/>
        <w:ind w:firstLine="960"/>
      </w:pPr>
      <w:r>
        <w:rPr/>
        <w:t>详见附件：质量保证承诺</w:t>
      </w:r>
    </w:p>
    <w:p>
      <w:pPr>
        <w:pStyle w:val="null3"/>
        <w:ind w:firstLine="960"/>
      </w:pPr>
      <w:r>
        <w:rPr/>
        <w:t>详见附件：资格证明文件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详见附件：固封螺丝采购项目合同.docx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