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2024年度西安市交通运输行业12345、12328客服热线运营项目</w:t>
      </w:r>
    </w:p>
    <w:p>
      <w:pPr>
        <w:pStyle w:val="null3"/>
        <w:jc w:val="center"/>
        <w:outlineLvl w:val="2"/>
      </w:pPr>
      <w:r>
        <w:rPr>
          <w:b/>
          <w:sz w:val="28"/>
        </w:rPr>
        <w:t>采购项目编号：</w:t>
      </w:r>
      <w:r>
        <w:rPr>
          <w:b/>
          <w:sz w:val="28"/>
        </w:rPr>
        <w:t>JYXMJC20249042</w:t>
      </w:r>
      <w:r>
        <w:br/>
      </w:r>
      <w:r>
        <w:br/>
      </w:r>
      <w:r>
        <w:br/>
      </w:r>
    </w:p>
    <w:p>
      <w:pPr>
        <w:pStyle w:val="null3"/>
        <w:jc w:val="center"/>
        <w:outlineLvl w:val="2"/>
      </w:pPr>
      <w:r>
        <w:rPr>
          <w:b/>
          <w:sz w:val="28"/>
        </w:rPr>
        <w:t>西安市交通信息中心</w:t>
      </w:r>
    </w:p>
    <w:p>
      <w:pPr>
        <w:pStyle w:val="null3"/>
        <w:jc w:val="center"/>
        <w:outlineLvl w:val="2"/>
      </w:pPr>
      <w:r>
        <w:rPr>
          <w:b/>
          <w:sz w:val="28"/>
        </w:rPr>
        <w:t>京远项目管理(陕西) 有限公司</w:t>
      </w:r>
      <w:r>
        <w:rPr>
          <w:b/>
          <w:sz w:val="28"/>
        </w:rPr>
        <w:t>共同编制</w:t>
      </w:r>
    </w:p>
    <w:p>
      <w:pPr>
        <w:pStyle w:val="null3"/>
        <w:jc w:val="center"/>
        <w:outlineLvl w:val="2"/>
      </w:pPr>
      <w:r>
        <w:rPr>
          <w:b/>
          <w:sz w:val="28"/>
        </w:rPr>
        <w:t>2024年05月10日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京远项目管理(陕西) 有限公司</w:t>
      </w:r>
      <w:r>
        <w:rPr/>
        <w:t>（以下简称“代理机构”）受</w:t>
      </w:r>
      <w:r>
        <w:rPr/>
        <w:t>西安市交通信息中心</w:t>
      </w:r>
      <w:r>
        <w:rPr/>
        <w:t>委托，拟对</w:t>
      </w:r>
      <w:r>
        <w:rPr/>
        <w:t>2024年度西安市交通运输行业12345、12328客服热线运营项目</w:t>
      </w:r>
      <w:r>
        <w:rPr/>
        <w:t>采用竞争性磋商采购方式进行采购，兹邀请供应商参加本项目的竞争性磋商。</w:t>
      </w:r>
    </w:p>
    <w:p>
      <w:pPr>
        <w:pStyle w:val="null3"/>
        <w:outlineLvl w:val="2"/>
      </w:pPr>
      <w:r>
        <w:rPr>
          <w:b/>
          <w:sz w:val="28"/>
        </w:rPr>
        <w:t>一、项目编号：</w:t>
      </w:r>
      <w:r>
        <w:rPr>
          <w:b/>
          <w:sz w:val="28"/>
        </w:rPr>
        <w:t>JYXMJC20249042</w:t>
      </w:r>
    </w:p>
    <w:p>
      <w:pPr>
        <w:pStyle w:val="null3"/>
        <w:outlineLvl w:val="2"/>
      </w:pPr>
      <w:r>
        <w:rPr>
          <w:b/>
          <w:sz w:val="28"/>
        </w:rPr>
        <w:t>二、项目名称：</w:t>
      </w:r>
      <w:r>
        <w:rPr>
          <w:b/>
          <w:sz w:val="28"/>
        </w:rPr>
        <w:t>2024年度西安市交通运输行业12345、12328客服热线运营项目</w:t>
      </w:r>
    </w:p>
    <w:p>
      <w:pPr>
        <w:pStyle w:val="null3"/>
        <w:outlineLvl w:val="2"/>
      </w:pPr>
      <w:r>
        <w:rPr>
          <w:b/>
          <w:sz w:val="28"/>
        </w:rPr>
        <w:t>三、磋商项目简介</w:t>
      </w:r>
    </w:p>
    <w:p>
      <w:pPr>
        <w:pStyle w:val="null3"/>
        <w:ind w:firstLine="480"/>
      </w:pPr>
      <w:r>
        <w:rPr/>
        <w:t>2024年度西安市交通运输行业12345、12328客服热线运营项目</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采购包1（2024年度西安市交通运输行业12345、12328客服热线运营项目）：属于专门面向中小企业采购。</w:t>
      </w:r>
    </w:p>
    <w:p>
      <w:pPr>
        <w:pStyle w:val="null3"/>
        <w:ind w:firstLine="480"/>
      </w:pPr>
      <w:r>
        <w:rPr/>
        <w:t>（三）本项目的特定资格要求：</w:t>
      </w:r>
    </w:p>
    <w:p>
      <w:pPr>
        <w:pStyle w:val="null3"/>
      </w:pPr>
      <w:r>
        <w:rPr/>
        <w:t>采购包1：</w:t>
      </w:r>
    </w:p>
    <w:p>
      <w:pPr>
        <w:pStyle w:val="null3"/>
      </w:pPr>
      <w:r>
        <w:rPr/>
        <w:t>1、法定代表人授权书：法定代表人授权书（附法定代表人、被授权人身份证复印件）；（法定代表人直接参加磋商，须提供法定代表人身份证明）</w:t>
      </w:r>
    </w:p>
    <w:p>
      <w:pPr>
        <w:pStyle w:val="null3"/>
      </w:pPr>
      <w:r>
        <w:rPr/>
        <w:t>2、信用记录：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w:t>
      </w:r>
    </w:p>
    <w:p>
      <w:pPr>
        <w:pStyle w:val="null3"/>
      </w:pPr>
      <w:r>
        <w:rPr/>
        <w:t>3、非联合体：本项目不接受联合体投标</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西安市交通信息中心</w:t>
      </w:r>
    </w:p>
    <w:p>
      <w:pPr>
        <w:pStyle w:val="null3"/>
      </w:pPr>
      <w:r>
        <w:rPr/>
        <w:t xml:space="preserve"> 地址： </w:t>
      </w:r>
      <w:r>
        <w:rPr/>
        <w:t>地址：陕西省西安市未央区明光路166号</w:t>
      </w:r>
    </w:p>
    <w:p>
      <w:pPr>
        <w:pStyle w:val="null3"/>
      </w:pPr>
      <w:r>
        <w:rPr/>
        <w:t xml:space="preserve"> 邮编： </w:t>
      </w:r>
      <w:r>
        <w:rPr/>
        <w:t>710016</w:t>
      </w:r>
    </w:p>
    <w:p>
      <w:pPr>
        <w:pStyle w:val="null3"/>
      </w:pPr>
      <w:r>
        <w:rPr/>
        <w:t xml:space="preserve"> 联系人： </w:t>
      </w:r>
      <w:r>
        <w:rPr/>
        <w:t>白老师</w:t>
      </w:r>
    </w:p>
    <w:p>
      <w:pPr>
        <w:pStyle w:val="null3"/>
      </w:pPr>
      <w:r>
        <w:rPr/>
        <w:t xml:space="preserve"> 联系电话： </w:t>
      </w:r>
      <w:r>
        <w:rPr/>
        <w:t>029-61177882</w:t>
      </w:r>
    </w:p>
    <w:p>
      <w:pPr>
        <w:pStyle w:val="null3"/>
        <w:outlineLvl w:val="3"/>
      </w:pPr>
      <w:r>
        <w:rPr>
          <w:b/>
          <w:sz w:val="24"/>
        </w:rPr>
        <w:t>代理机构：</w:t>
      </w:r>
      <w:r>
        <w:rPr>
          <w:b/>
          <w:sz w:val="24"/>
        </w:rPr>
        <w:t>京远项目管理(陕西) 有限公司</w:t>
      </w:r>
    </w:p>
    <w:p>
      <w:pPr>
        <w:pStyle w:val="null3"/>
      </w:pPr>
      <w:r>
        <w:rPr/>
        <w:t xml:space="preserve"> 地址： </w:t>
      </w:r>
      <w:r>
        <w:rPr/>
        <w:t>陕西省西安市未央区经济技术开发区凤城五路海逸国际A座2202室</w:t>
      </w:r>
    </w:p>
    <w:p>
      <w:pPr>
        <w:pStyle w:val="null3"/>
      </w:pPr>
      <w:r>
        <w:rPr/>
        <w:t xml:space="preserve"> 邮编： </w:t>
      </w:r>
      <w:r>
        <w:rPr/>
        <w:t>710016</w:t>
      </w:r>
    </w:p>
    <w:p>
      <w:pPr>
        <w:pStyle w:val="null3"/>
      </w:pPr>
      <w:r>
        <w:rPr/>
        <w:t xml:space="preserve"> 联系人： </w:t>
      </w:r>
      <w:r>
        <w:rPr/>
        <w:t>袁爽</w:t>
      </w:r>
    </w:p>
    <w:p>
      <w:pPr>
        <w:pStyle w:val="null3"/>
      </w:pPr>
      <w:r>
        <w:rPr/>
        <w:t xml:space="preserve"> 联系电话： </w:t>
      </w:r>
      <w:r>
        <w:rPr/>
        <w:t>029-89386025</w:t>
      </w:r>
    </w:p>
    <w:p>
      <w:pPr>
        <w:pStyle w:val="null3"/>
        <w:outlineLvl w:val="3"/>
      </w:pPr>
      <w:r>
        <w:rPr>
          <w:b/>
          <w:sz w:val="24"/>
        </w:rPr>
        <w:t>采购监督机构：</w:t>
      </w:r>
      <w:r>
        <w:rPr>
          <w:b/>
          <w:sz w:val="24"/>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或成交)服务费以中标（成交）价为基数参照《招标代理服务收费管理暂行办法》计价格[2002]1980号文和发改价格[2011]534号文件规定标准收取，不足3000元的，按3000元收取。由成交方向受托人支付。</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西安市交通信息中心</w:t>
      </w:r>
      <w:r>
        <w:rPr/>
        <w:t>和</w:t>
      </w:r>
      <w:r>
        <w:rPr/>
        <w:t>京远项目管理(陕西) 有限公司</w:t>
      </w:r>
      <w:r>
        <w:rPr/>
        <w:t>享有。对磋商文件中供应商参加本次政府采购活动应当具备的条件，磋商项目技术、服务、商务及其他要求，评审细则及标准由</w:t>
      </w:r>
      <w:r>
        <w:rPr/>
        <w:t>西安市交通信息中心</w:t>
      </w:r>
      <w:r>
        <w:rPr/>
        <w:t>负责解释。除上述磋商文件内容，其他内容由</w:t>
      </w:r>
      <w:r>
        <w:rPr/>
        <w:t>京远项目管理(陕西) 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西安市交通信息中心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京远项目管理(陕西) 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达到竞争性磋商文件及合同中约定的服务要求</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京远项目管理(陕西) 有限公司</w:t>
      </w:r>
      <w:r>
        <w:rPr/>
        <w:t xml:space="preserve"> 负责答复；供应商对除采购需求外的采购文件的询问、质疑由</w:t>
      </w:r>
      <w:r>
        <w:rPr/>
        <w:t>京远项目管理(陕西) 有限公司</w:t>
      </w:r>
      <w:r>
        <w:rPr/>
        <w:t xml:space="preserve"> 负责答复；供应商对采购过程、采购结果的询问、质疑由 </w:t>
      </w:r>
      <w:r>
        <w:rPr/>
        <w:t>京远项目管理(陕西) 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联系人：袁爽</w:t>
      </w:r>
    </w:p>
    <w:p>
      <w:pPr>
        <w:pStyle w:val="null3"/>
      </w:pPr>
      <w:r>
        <w:rPr/>
        <w:t>联系电话：029-89386025</w:t>
      </w:r>
    </w:p>
    <w:p>
      <w:pPr>
        <w:pStyle w:val="null3"/>
      </w:pPr>
      <w:r>
        <w:rPr/>
        <w:t>地址：陕西省西安市未央区朱宏路8号保亿公元印12号楼8楼</w:t>
      </w:r>
    </w:p>
    <w:p>
      <w:pPr>
        <w:pStyle w:val="null3"/>
      </w:pPr>
      <w:r>
        <w:rPr/>
        <w:t>邮编：710016</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为持续做好西安市交通运输行业12345、12328客服热线运营工作，进一步提升公众服务水平，组织至少6名专职人员成立运营管理团队负责西安市交通运输行业12345、12328客服热线的运营服务工作，提供为期一年的工单转派办理、异常工单沟通协调、数据统计、分析、报告、知识库维护更新等服务。</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服务</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个</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b/>
              </w:rPr>
              <w:t>一、项目概况</w:t>
            </w:r>
          </w:p>
          <w:p>
            <w:pPr>
              <w:pStyle w:val="null3"/>
              <w:jc w:val="both"/>
            </w:pPr>
            <w:r>
              <w:rPr/>
              <w:t>为持续做好西安市交通运输行业12345、12328客服热线运营工作，进一步提升公众服务水平，组织至少6名专职人员成立运营管理团队负责西安市交通运输行业12345、12328客服热线的运营服务工作，提供为期一年的工单转派办理、异常工单沟通协调、数据统计、分析、报告、知识库维护更新等服务。</w:t>
            </w:r>
          </w:p>
        </w:tc>
      </w:tr>
      <w:tr>
        <w:tc>
          <w:tcPr>
            <w:tcW w:type="dxa" w:w="2769"/>
          </w:tcPr>
          <w:p/>
        </w:tc>
        <w:tc>
          <w:tcPr>
            <w:tcW w:type="dxa" w:w="2769"/>
          </w:tcPr>
          <w:p>
            <w:pPr>
              <w:pStyle w:val="null3"/>
            </w:pPr>
            <w:r>
              <w:rPr/>
              <w:t>2</w:t>
            </w:r>
          </w:p>
        </w:tc>
        <w:tc>
          <w:tcPr>
            <w:tcW w:type="dxa" w:w="2769"/>
          </w:tcPr>
          <w:p>
            <w:pPr>
              <w:pStyle w:val="null3"/>
            </w:pPr>
            <w:r>
              <w:rPr/>
              <w:t>二、服务内容及要求具体如下：</w:t>
            </w:r>
          </w:p>
          <w:p>
            <w:pPr>
              <w:pStyle w:val="null3"/>
            </w:pPr>
            <w:r>
              <w:rPr/>
              <w:t>1.西安市交通运输行业12345市民热线运营</w:t>
            </w:r>
          </w:p>
          <w:p>
            <w:pPr>
              <w:pStyle w:val="null3"/>
            </w:pPr>
            <w:r>
              <w:rPr/>
              <w:t>（1）12345转办工单转派、催办和办理工作</w:t>
            </w:r>
          </w:p>
          <w:p>
            <w:pPr>
              <w:pStyle w:val="null3"/>
            </w:pPr>
            <w:r>
              <w:rPr/>
              <w:t>每天登陆12345工单转办系统，对系统内工单进行筛选、分类、转派、催办、办理，确保工单及时转派相关单位及局机关各处室。</w:t>
            </w:r>
          </w:p>
          <w:p>
            <w:pPr>
              <w:pStyle w:val="null3"/>
            </w:pPr>
            <w:r>
              <w:rPr/>
              <w:t>（2）12345二级平台工号维护管理及系统异常反馈</w:t>
            </w:r>
          </w:p>
          <w:p>
            <w:pPr>
              <w:pStyle w:val="null3"/>
            </w:pPr>
            <w:r>
              <w:rPr/>
              <w:t>负责市交通运输局各局属单位及局机关各处室所使用的12345系统二级工号的申请，以及12345二级平台使用过程中遇到的异常反馈沟通工作。</w:t>
            </w:r>
          </w:p>
          <w:p>
            <w:pPr>
              <w:pStyle w:val="null3"/>
            </w:pPr>
            <w:r>
              <w:rPr/>
              <w:t>（3）12345异常工单沟通协调</w:t>
            </w:r>
          </w:p>
          <w:p>
            <w:pPr>
              <w:pStyle w:val="null3"/>
            </w:pPr>
            <w:r>
              <w:rPr/>
              <w:t>针对转办工单存在职能不明晰、涉及多个部门、工单转派错误等情况，及时与12345热线机构及市交通运输局相关单位进行核实、沟通、协调等工作，确保工单及时流转。</w:t>
            </w:r>
          </w:p>
          <w:p>
            <w:pPr>
              <w:pStyle w:val="null3"/>
            </w:pPr>
            <w:r>
              <w:rPr/>
              <w:t>（4）12345数据统计、分析、报告</w:t>
            </w:r>
          </w:p>
          <w:p>
            <w:pPr>
              <w:pStyle w:val="null3"/>
            </w:pPr>
            <w:r>
              <w:rPr/>
              <w:t>按周完成市交通运输局机关各处室及局属单位上周工单处理情况及遗留工单的通报。按月完成《西安市交通运输局12345工单办理情况的通报》，及时向各单位汇报工单处理情况。按月及时汇总市交通运输局机关各处室及局属各单位工单办理情况并编制分析报告。按月收集整理执法类工单并及时报送省收费中心。及时发现异常转办工单或多次流转未解决问题，形成专报报市交通运输局进行协调推进。</w:t>
            </w:r>
          </w:p>
          <w:p>
            <w:pPr>
              <w:pStyle w:val="null3"/>
            </w:pPr>
            <w:r>
              <w:rPr/>
              <w:t>（5）12345知识库维护更新</w:t>
            </w:r>
          </w:p>
          <w:p>
            <w:pPr>
              <w:pStyle w:val="null3"/>
            </w:pPr>
            <w:r>
              <w:rPr/>
              <w:t>负责及时维护更新12345共享知识库，对各单位/部门提供的新知识、新政策、新通知及时更新到12345知识库内，保证知识的流转。</w:t>
            </w:r>
          </w:p>
          <w:p>
            <w:pPr>
              <w:pStyle w:val="null3"/>
            </w:pPr>
            <w:r>
              <w:rPr/>
              <w:t>（6）客服热线工作群维护</w:t>
            </w:r>
          </w:p>
          <w:p>
            <w:pPr>
              <w:pStyle w:val="null3"/>
            </w:pPr>
            <w:r>
              <w:rPr/>
              <w:t>负责客服热线工作群日常维护和管理工作，及时对工作人员进行更新，并对群内交办事项及时提醒，与派驻12345客服热线人员对接沟通等工作。</w:t>
            </w:r>
          </w:p>
          <w:p>
            <w:pPr>
              <w:pStyle w:val="null3"/>
            </w:pPr>
            <w:r>
              <w:rPr/>
              <w:t>2.陕西省12328西安地区交通运输服务热线运营</w:t>
            </w:r>
          </w:p>
          <w:p>
            <w:pPr>
              <w:pStyle w:val="null3"/>
            </w:pPr>
            <w:r>
              <w:rPr/>
              <w:t>（1）12328转办工单转派、催办工作</w:t>
            </w:r>
          </w:p>
          <w:p>
            <w:pPr>
              <w:pStyle w:val="null3"/>
            </w:pPr>
            <w:r>
              <w:rPr/>
              <w:t>由12328省中心受理的交通行业投诉、建议问题，安排专人进行对接，分类、转办、催办等工作。</w:t>
            </w:r>
          </w:p>
          <w:p>
            <w:pPr>
              <w:pStyle w:val="null3"/>
            </w:pPr>
            <w:r>
              <w:rPr/>
              <w:t>（2）12328业务数据的统计汇总</w:t>
            </w:r>
          </w:p>
          <w:p>
            <w:pPr>
              <w:pStyle w:val="null3"/>
            </w:pPr>
            <w:r>
              <w:rPr/>
              <w:t>按照省交通厅及市局的相关要求，统计汇总交通行业相关工单数据，定期梳理省交通厅下发的反向指标并及时反馈，针对反向指标存在的问题积极查找原因，及时沟通整改。</w:t>
            </w:r>
          </w:p>
          <w:p>
            <w:pPr>
              <w:pStyle w:val="null3"/>
            </w:pPr>
            <w:r>
              <w:rPr/>
              <w:t>（3）12328知识库维护更新</w:t>
            </w:r>
          </w:p>
          <w:p>
            <w:pPr>
              <w:pStyle w:val="null3"/>
            </w:pPr>
            <w:r>
              <w:rPr/>
              <w:t>及时维护更新12328省级客服系统知识库，对各单位/部门提供的新知识、新政策、新通知及时更新到12328知识库内，保证知识的流转。</w:t>
            </w:r>
          </w:p>
          <w:p>
            <w:pPr>
              <w:pStyle w:val="null3"/>
            </w:pPr>
            <w:r>
              <w:rPr/>
              <w:t>（4）12328平台工号维护管理及系统异常反馈</w:t>
            </w:r>
          </w:p>
          <w:p>
            <w:pPr>
              <w:pStyle w:val="null3"/>
            </w:pPr>
            <w:r>
              <w:rPr/>
              <w:t>负责区县交通运输局及市交通运输局各局属单位及局机关各处室所使用的12328系统工号的申请，以及12328平台使用过程中遇到的异常反馈沟通工作。</w:t>
            </w:r>
          </w:p>
          <w:p>
            <w:pPr>
              <w:pStyle w:val="null3"/>
            </w:pPr>
            <w:r>
              <w:rPr/>
              <w:t>3. 其他运营工作</w:t>
            </w:r>
          </w:p>
          <w:p>
            <w:pPr>
              <w:pStyle w:val="null3"/>
            </w:pPr>
            <w:r>
              <w:rPr/>
              <w:t>（1）通知传达相关文件</w:t>
            </w:r>
          </w:p>
          <w:p>
            <w:pPr>
              <w:pStyle w:val="null3"/>
            </w:pPr>
            <w:r>
              <w:rPr/>
              <w:t>接受市12345热线及省12328热线通过微信、电话、QQ、传真等方式下发的各类工作文件，并及时向局机关各处室、局属各单位传达，必要时配合市交通运输局完成相关培训工作。</w:t>
            </w:r>
          </w:p>
          <w:p>
            <w:pPr>
              <w:pStyle w:val="null3"/>
            </w:pPr>
            <w:r>
              <w:rPr/>
              <w:t>（2）相关文件起草</w:t>
            </w:r>
          </w:p>
          <w:p>
            <w:pPr>
              <w:pStyle w:val="null3"/>
            </w:pPr>
            <w:r>
              <w:rPr/>
              <w:t>配合市交通运输局完成涉及12345及12328相关文件的起草和完善工作。</w:t>
            </w:r>
          </w:p>
          <w:p>
            <w:pPr>
              <w:pStyle w:val="null3"/>
            </w:pPr>
            <w:r>
              <w:rPr/>
              <w:t>（3）业务培训工作</w:t>
            </w:r>
          </w:p>
          <w:p>
            <w:pPr>
              <w:pStyle w:val="null3"/>
            </w:pPr>
            <w:r>
              <w:rPr/>
              <w:t>积极参加省市组织的关于12345、12328的相关培训，并对12345话务人员定期组织开展关于交通业务培训。</w:t>
            </w:r>
          </w:p>
          <w:p>
            <w:pPr>
              <w:pStyle w:val="null3"/>
            </w:pPr>
            <w:r>
              <w:rPr/>
              <w:t>（4）异常问题处理</w:t>
            </w:r>
          </w:p>
          <w:p>
            <w:pPr>
              <w:pStyle w:val="null3"/>
            </w:pPr>
            <w:r>
              <w:rPr/>
              <w:t>对12345、12328客服热线反馈的异常技术问题进行核查、沟通、结果反馈等。</w:t>
            </w:r>
          </w:p>
          <w:p>
            <w:pPr>
              <w:pStyle w:val="null3"/>
            </w:pPr>
            <w:r>
              <w:rPr/>
              <w:t>（5）其他工作</w:t>
            </w:r>
          </w:p>
          <w:p>
            <w:pPr>
              <w:pStyle w:val="null3"/>
            </w:pPr>
            <w:r>
              <w:rPr/>
              <w:t>完成市交通运输局交付的其他涉及12345及12328相关的临时性工作。</w:t>
            </w:r>
          </w:p>
          <w:p>
            <w:pPr>
              <w:pStyle w:val="null3"/>
            </w:pPr>
            <w:r>
              <w:rPr>
                <w:b/>
              </w:rPr>
              <w:t>二、要求</w:t>
            </w:r>
          </w:p>
          <w:p>
            <w:pPr>
              <w:pStyle w:val="null3"/>
            </w:pPr>
            <w:r>
              <w:rPr/>
              <w:t>（1）运营服务</w:t>
            </w:r>
          </w:p>
          <w:p>
            <w:pPr>
              <w:pStyle w:val="null3"/>
            </w:pPr>
            <w:r>
              <w:rPr/>
              <w:t>为确保高质量的完成12345、12328客服热线相关工作，项目中标单位需安排办公场所，组织专人成立运营管理团队具体负责12345、12328客服热线的运营服务工作。</w:t>
            </w:r>
          </w:p>
          <w:p>
            <w:pPr>
              <w:pStyle w:val="null3"/>
            </w:pPr>
            <w:r>
              <w:rPr/>
              <w:t>（2）人员配置</w:t>
            </w:r>
          </w:p>
          <w:p>
            <w:pPr>
              <w:pStyle w:val="null3"/>
            </w:pPr>
            <w:r>
              <w:rPr/>
              <w:t>项目中标单位应按照12345及12328热线转办工单总量，保障至少6名专职人员（包含管理人员1名）完成相关工作内容。</w:t>
            </w:r>
          </w:p>
          <w:p>
            <w:pPr>
              <w:pStyle w:val="null3"/>
            </w:pPr>
            <w:r>
              <w:rPr/>
              <w:t>（3）运营场地需求</w:t>
            </w:r>
          </w:p>
          <w:p>
            <w:pPr>
              <w:pStyle w:val="null3"/>
            </w:pPr>
            <w:r>
              <w:rPr/>
              <w:t>项目中标单位应为每名工作人员提供办公环境，配备办公电脑，在突然事件发生时，应具备临时应急办公场所，保证业务不中断。</w:t>
            </w:r>
          </w:p>
          <w:p>
            <w:pPr>
              <w:pStyle w:val="null3"/>
            </w:pPr>
            <w:r>
              <w:rPr/>
              <w:t>（4）项目进度要求</w:t>
            </w:r>
          </w:p>
          <w:p>
            <w:pPr>
              <w:pStyle w:val="null3"/>
            </w:pPr>
            <w:r>
              <w:rPr/>
              <w:t>因该项目为持续性项目，项目中标单位需在签订合同后5个工作日内实现入场办公。运营期间，应根据采购方工作需要，定期汇报工作进展情况。</w:t>
            </w:r>
          </w:p>
        </w:tc>
      </w:tr>
      <w:tr>
        <w:tc>
          <w:tcPr>
            <w:tcW w:type="dxa" w:w="2769"/>
          </w:tcPr>
          <w:p/>
        </w:tc>
        <w:tc>
          <w:tcPr>
            <w:tcW w:type="dxa" w:w="2769"/>
          </w:tcPr>
          <w:p>
            <w:pPr>
              <w:pStyle w:val="null3"/>
            </w:pPr>
            <w:r>
              <w:rPr/>
              <w:t>3</w:t>
            </w:r>
          </w:p>
        </w:tc>
        <w:tc>
          <w:tcPr>
            <w:tcW w:type="dxa" w:w="2769"/>
          </w:tcPr>
          <w:p>
            <w:pPr>
              <w:pStyle w:val="null3"/>
              <w:jc w:val="both"/>
            </w:pPr>
            <w:r>
              <w:rPr/>
              <w:t>付款要求</w:t>
            </w:r>
          </w:p>
          <w:p>
            <w:pPr>
              <w:pStyle w:val="null3"/>
              <w:jc w:val="both"/>
            </w:pPr>
            <w:r>
              <w:rPr/>
              <w:t>付款条件说明:签订合同后 30日内，甲方向乙方支付合同总金额 80%的合同款，</w:t>
            </w:r>
            <w:r>
              <w:br/>
            </w:r>
            <w:r>
              <w:rPr/>
              <w:t xml:space="preserve"> 付款条件说明:自 2024年11月1日之后，且达到合同约定的付款条件之日起 30 日内，支付合同总金额的 20.00%。</w:t>
            </w:r>
          </w:p>
          <w:p>
            <w:pPr>
              <w:pStyle w:val="null3"/>
              <w:jc w:val="both"/>
            </w:pPr>
            <w:r>
              <w:rPr/>
              <w:t>结算方式：银行转账。</w:t>
            </w:r>
          </w:p>
          <w:p>
            <w:pPr>
              <w:pStyle w:val="null3"/>
              <w:jc w:val="both"/>
            </w:pPr>
            <w:r>
              <w:rPr/>
              <w:t xml:space="preserve"> </w:t>
            </w:r>
          </w:p>
        </w:tc>
      </w:tr>
    </w:tbl>
    <w:p>
      <w:pPr>
        <w:pStyle w:val="null3"/>
        <w:outlineLvl w:val="2"/>
      </w:pPr>
      <w:r>
        <w:rPr>
          <w:b/>
          <w:sz w:val="28"/>
        </w:rPr>
        <w:t>3.2.3人员配置要求</w:t>
      </w:r>
    </w:p>
    <w:p>
      <w:pPr>
        <w:pStyle w:val="null3"/>
      </w:pPr>
      <w:r>
        <w:rPr/>
        <w:t>采购包1：</w:t>
      </w:r>
    </w:p>
    <w:p>
      <w:pPr>
        <w:pStyle w:val="null3"/>
      </w:pPr>
      <w:r>
        <w:rPr/>
        <w:t>至少6名专职人员成立运营管理团队负责西安市交通运输行业12345、12328客服热线的运营服务工作。</w:t>
      </w:r>
    </w:p>
    <w:p>
      <w:pPr>
        <w:pStyle w:val="null3"/>
        <w:outlineLvl w:val="2"/>
      </w:pPr>
      <w:r>
        <w:rPr>
          <w:b/>
          <w:sz w:val="28"/>
        </w:rPr>
        <w:t>3.2.4设施设备要求</w:t>
      </w:r>
    </w:p>
    <w:p>
      <w:pPr>
        <w:pStyle w:val="null3"/>
      </w:pPr>
      <w:r>
        <w:rPr/>
        <w:t>采购包1：</w:t>
      </w:r>
    </w:p>
    <w:p>
      <w:pPr>
        <w:pStyle w:val="null3"/>
      </w:pPr>
      <w:r>
        <w:rPr/>
        <w:t>供应商根据服务要求自行响应</w:t>
      </w:r>
    </w:p>
    <w:p>
      <w:pPr>
        <w:pStyle w:val="null3"/>
        <w:outlineLvl w:val="2"/>
      </w:pPr>
      <w:r>
        <w:rPr>
          <w:b/>
          <w:sz w:val="28"/>
        </w:rPr>
        <w:t>3.2.5其他要求</w:t>
      </w:r>
    </w:p>
    <w:p>
      <w:pPr>
        <w:pStyle w:val="null3"/>
      </w:pPr>
      <w:r>
        <w:rPr/>
        <w:t>采购包1：</w:t>
      </w:r>
    </w:p>
    <w:p>
      <w:pPr>
        <w:pStyle w:val="null3"/>
      </w:pPr>
      <w:r>
        <w:rPr/>
        <w:t>详见服务要求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合同签订之日起1年</w:t>
      </w:r>
    </w:p>
    <w:p>
      <w:pPr>
        <w:pStyle w:val="null3"/>
        <w:outlineLvl w:val="3"/>
      </w:pPr>
      <w:r>
        <w:rPr>
          <w:b/>
          <w:sz w:val="24"/>
        </w:rPr>
        <w:t>3.3.2服务地点</w:t>
      </w:r>
    </w:p>
    <w:p>
      <w:pPr>
        <w:pStyle w:val="null3"/>
      </w:pPr>
      <w:r>
        <w:rPr/>
        <w:t>采购包1：</w:t>
      </w:r>
    </w:p>
    <w:p>
      <w:pPr>
        <w:pStyle w:val="null3"/>
      </w:pPr>
      <w:r>
        <w:rPr/>
        <w:t>西安市交通信息中心指定地点</w:t>
      </w:r>
    </w:p>
    <w:p>
      <w:pPr>
        <w:pStyle w:val="null3"/>
        <w:outlineLvl w:val="3"/>
      </w:pPr>
      <w:r>
        <w:rPr>
          <w:b/>
          <w:sz w:val="24"/>
        </w:rPr>
        <w:t>3.3.3考核（验收）标准和方法</w:t>
      </w:r>
    </w:p>
    <w:p>
      <w:pPr>
        <w:pStyle w:val="null3"/>
      </w:pPr>
      <w:r>
        <w:rPr/>
        <w:t>采购包1：</w:t>
      </w:r>
    </w:p>
    <w:p>
      <w:pPr>
        <w:pStyle w:val="null3"/>
      </w:pPr>
      <w:r>
        <w:rPr/>
        <w:t>项目结束时组织专家评审验收。</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签订合同后30日内，甲方向乙方支付合同总金额80%的合同款</w:t>
      </w:r>
      <w:r>
        <w:rPr/>
        <w:t xml:space="preserve"> ，达到付款条件起 </w:t>
      </w:r>
      <w:r>
        <w:rPr/>
        <w:t>30</w:t>
      </w:r>
      <w:r>
        <w:rPr/>
        <w:t xml:space="preserve"> 日内，支付合同总金额的 </w:t>
      </w:r>
      <w:r>
        <w:rPr/>
        <w:t>80.00</w:t>
      </w:r>
      <w:r>
        <w:rPr/>
        <w:t>%。</w:t>
      </w:r>
    </w:p>
    <w:p>
      <w:pPr>
        <w:pStyle w:val="null3"/>
      </w:pPr>
      <w:r>
        <w:rPr/>
        <w:t>采购包1：</w:t>
      </w:r>
      <w:r>
        <w:rPr/>
        <w:t xml:space="preserve"> 付款条件说明： </w:t>
      </w:r>
      <w:r>
        <w:rPr/>
        <w:t>自2024年11月1日之后</w:t>
      </w:r>
      <w:r>
        <w:rPr/>
        <w:t xml:space="preserve"> ，达到付款条件起 </w:t>
      </w:r>
      <w:r>
        <w:rPr/>
        <w:t>30</w:t>
      </w:r>
      <w:r>
        <w:rPr/>
        <w:t xml:space="preserve"> 日内，支付合同总金额的 </w:t>
      </w:r>
      <w:r>
        <w:rPr/>
        <w:t>20.00</w:t>
      </w:r>
      <w:r>
        <w:rPr/>
        <w:t>%。</w:t>
      </w:r>
    </w:p>
    <w:p>
      <w:pPr>
        <w:pStyle w:val="null3"/>
        <w:outlineLvl w:val="3"/>
      </w:pPr>
      <w:r>
        <w:rPr>
          <w:b/>
          <w:sz w:val="24"/>
        </w:rPr>
        <w:t>3.3.6违约责任及解决争议的方法</w:t>
      </w:r>
    </w:p>
    <w:p>
      <w:pPr>
        <w:pStyle w:val="null3"/>
      </w:pPr>
      <w:r>
        <w:rPr/>
        <w:t>采购包1：</w:t>
      </w:r>
    </w:p>
    <w:p>
      <w:pPr>
        <w:pStyle w:val="null3"/>
      </w:pPr>
      <w:r>
        <w:rPr/>
        <w:t>1、违约责任 依据《中华人民共和国民法典》、《中华人民共和国政府采购法》、《中华人民共和国政府采购法实施条例》的相关条款，乙方未全面履行合同义务或者发生违约，甲方会同采购代理机构有权终止合同，依法向乙方进行经济索赔，并报请政府采购监督管理机关进行相应的行政处罚。甲方违约的，应当赔偿给乙方造成的经济损失。 2、解决争议的方法 （一）合同执行中发生争议的，当事人双方应协商解决。协商达不成一致时，可向甲方（采购人）所在地人民法院提起诉讼。 （二）因质量问题发生的争议，由国家权威技术单位进行质量鉴定，该鉴定结论为最终结果，甲、乙双方应当接受。</w:t>
      </w:r>
    </w:p>
    <w:p>
      <w:pPr>
        <w:pStyle w:val="null3"/>
        <w:outlineLvl w:val="2"/>
      </w:pPr>
      <w:r>
        <w:rPr>
          <w:b/>
          <w:sz w:val="28"/>
        </w:rPr>
        <w:t>3.4其他要求</w:t>
      </w:r>
    </w:p>
    <w:p>
      <w:pPr>
        <w:pStyle w:val="null3"/>
      </w:pPr>
      <w:r>
        <w:rPr/>
        <w:t xml:space="preserve">成交供应商在成交后需按照采购人要求无偿提供纸质版磋商响应文件且应于电子版保持一致。 </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2.提供2022年度经审计的财务报告（包括“ 四表一注” 即《资产负债表》《利润表》《现金流量表》《所有者权益变动表》及其附注；成立时间至提交投标文件截止时间不足一年的可提供成立后任意时段的资产负债表）或基本存款账户开户银行出具的资信证明及基本存款账户开 户许可证（基本账户信息）或财政部门认可的政府采购专业担保机构出具的担保函； 3.提供具有履行合同所必需的设备和专业技术能力的承诺； 4.税收缴纳证明：提供投标文件递交截止日前一年内已缴纳的至少一个月的纳税证明或完税证明，依法免税的单位应提供相关证明材料； 5.社会保障资金缴纳证明：提供投标文件递交截止日前一年内已缴存的至少一个月的社会保障资金缴存单据或社保机构开具的 社会保险参保缴费情况证明，依法不需要缴纳社会保障资金的单位应提供相关证明材料； 6.参加政府采购活动前3年内，在经营活动中没有重大违法记录的书面声明。</w:t>
            </w:r>
          </w:p>
        </w:tc>
        <w:tc>
          <w:tcPr>
            <w:tcW w:type="dxa" w:w="1661"/>
          </w:tcPr>
          <w:p>
            <w:pPr>
              <w:pStyle w:val="null3"/>
            </w:pPr>
            <w:r>
              <w:rPr/>
              <w:t>响应文件封面 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 提供2022年度 经审计的财务报告（包括“ 四表一注” 即《资产负债表》《利润表》《现金流量表》《所有者 权益变动表》及其附注；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担保函；</w:t>
            </w:r>
          </w:p>
        </w:tc>
        <w:tc>
          <w:tcPr>
            <w:tcW w:type="dxa" w:w="1661"/>
          </w:tcPr>
          <w:p>
            <w:pPr>
              <w:pStyle w:val="null3"/>
            </w:pPr>
            <w:r>
              <w:rPr/>
              <w:t>资格证明文件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供应商需在项目电子化交易系统中按要求填写《响应函》上传供应商承诺书并进行电子签章。</w:t>
            </w:r>
          </w:p>
        </w:tc>
        <w:tc>
          <w:tcPr>
            <w:tcW w:type="dxa" w:w="1661"/>
          </w:tcPr>
          <w:p>
            <w:pPr>
              <w:pStyle w:val="null3"/>
            </w:pPr>
            <w:r>
              <w:rPr/>
              <w:t>资格证明文件 供应商承诺书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法定代表人授权书（附法定代表人、被授权人身份证复印件）；（法定代表人直接参加磋商，须提供法定代表人身份证明）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非联合体</w:t>
            </w:r>
          </w:p>
        </w:tc>
        <w:tc>
          <w:tcPr>
            <w:tcW w:type="dxa" w:w="3322"/>
          </w:tcPr>
          <w:p>
            <w:pPr>
              <w:pStyle w:val="null3"/>
            </w:pPr>
            <w:r>
              <w:rPr/>
              <w:t>本项目不接受联合体投标</w:t>
            </w:r>
          </w:p>
        </w:tc>
        <w:tc>
          <w:tcPr>
            <w:tcW w:type="dxa" w:w="1661"/>
          </w:tcPr>
          <w:p>
            <w:pPr>
              <w:pStyle w:val="null3"/>
            </w:pPr>
            <w:r>
              <w:rPr/>
              <w:t>资格证明文件 非联合体磋商承诺书</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明显低于其他有效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报价一览表 标的清单 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与营业执照一致</w:t>
            </w:r>
          </w:p>
        </w:tc>
        <w:tc>
          <w:tcPr>
            <w:tcW w:type="dxa" w:w="1661"/>
          </w:tcPr>
          <w:p>
            <w:pPr>
              <w:pStyle w:val="null3"/>
            </w:pPr>
            <w:r>
              <w:rPr/>
              <w:t>报价一览表 资格证明文件 报价表 响应函</w:t>
            </w:r>
          </w:p>
        </w:tc>
      </w:tr>
      <w:tr>
        <w:tc>
          <w:tcPr>
            <w:tcW w:type="dxa" w:w="831"/>
          </w:tcPr>
          <w:p>
            <w:pPr>
              <w:pStyle w:val="null3"/>
            </w:pPr>
            <w:r>
              <w:rPr/>
              <w:t>3</w:t>
            </w:r>
          </w:p>
        </w:tc>
        <w:tc>
          <w:tcPr>
            <w:tcW w:type="dxa" w:w="2492"/>
          </w:tcPr>
          <w:p>
            <w:pPr>
              <w:pStyle w:val="null3"/>
            </w:pPr>
            <w:r>
              <w:rPr/>
              <w:t>磋商响应文件的签署盖章</w:t>
            </w:r>
          </w:p>
        </w:tc>
        <w:tc>
          <w:tcPr>
            <w:tcW w:type="dxa" w:w="3322"/>
          </w:tcPr>
          <w:p>
            <w:pPr>
              <w:pStyle w:val="null3"/>
            </w:pPr>
            <w:r>
              <w:rPr/>
              <w:t>法定代表人或被授权人的签字齐全并加盖公章</w:t>
            </w:r>
          </w:p>
        </w:tc>
        <w:tc>
          <w:tcPr>
            <w:tcW w:type="dxa" w:w="1661"/>
          </w:tcPr>
          <w:p>
            <w:pPr>
              <w:pStyle w:val="null3"/>
            </w:pPr>
            <w:r>
              <w:rPr/>
              <w:t>报价一览表 资格证明文件 报价表 响应函</w:t>
            </w:r>
          </w:p>
        </w:tc>
      </w:tr>
      <w:tr>
        <w:tc>
          <w:tcPr>
            <w:tcW w:type="dxa" w:w="831"/>
          </w:tcPr>
          <w:p>
            <w:pPr>
              <w:pStyle w:val="null3"/>
            </w:pPr>
            <w:r>
              <w:rPr/>
              <w:t>4</w:t>
            </w:r>
          </w:p>
        </w:tc>
        <w:tc>
          <w:tcPr>
            <w:tcW w:type="dxa" w:w="2492"/>
          </w:tcPr>
          <w:p>
            <w:pPr>
              <w:pStyle w:val="null3"/>
            </w:pPr>
            <w:r>
              <w:rPr/>
              <w:t>磋商响应文件格式</w:t>
            </w:r>
          </w:p>
        </w:tc>
        <w:tc>
          <w:tcPr>
            <w:tcW w:type="dxa" w:w="3322"/>
          </w:tcPr>
          <w:p>
            <w:pPr>
              <w:pStyle w:val="null3"/>
            </w:pPr>
            <w:r>
              <w:rPr/>
              <w:t>符合“磋商响应文件格式”的规定</w:t>
            </w:r>
          </w:p>
        </w:tc>
        <w:tc>
          <w:tcPr>
            <w:tcW w:type="dxa" w:w="1661"/>
          </w:tcPr>
          <w:p>
            <w:pPr>
              <w:pStyle w:val="null3"/>
            </w:pPr>
            <w:r>
              <w:rPr/>
              <w:t>报价一览表 标的清单 报价表 响应函</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只能有一个有效报价，不得提交选择性报价，且报价不超过最高限价</w:t>
            </w:r>
          </w:p>
        </w:tc>
        <w:tc>
          <w:tcPr>
            <w:tcW w:type="dxa" w:w="1661"/>
          </w:tcPr>
          <w:p>
            <w:pPr>
              <w:pStyle w:val="null3"/>
            </w:pPr>
            <w:r>
              <w:rPr/>
              <w:t>报价一览表 标的清单 报价表 响应函</w:t>
            </w:r>
          </w:p>
        </w:tc>
      </w:tr>
      <w:tr>
        <w:tc>
          <w:tcPr>
            <w:tcW w:type="dxa" w:w="831"/>
          </w:tcPr>
          <w:p>
            <w:pPr>
              <w:pStyle w:val="null3"/>
            </w:pPr>
            <w:r>
              <w:rPr/>
              <w:t>6</w:t>
            </w:r>
          </w:p>
        </w:tc>
        <w:tc>
          <w:tcPr>
            <w:tcW w:type="dxa" w:w="2492"/>
          </w:tcPr>
          <w:p>
            <w:pPr>
              <w:pStyle w:val="null3"/>
            </w:pPr>
            <w:r>
              <w:rPr/>
              <w:t>对竞争性磋商文件响应程度</w:t>
            </w:r>
          </w:p>
        </w:tc>
        <w:tc>
          <w:tcPr>
            <w:tcW w:type="dxa" w:w="3322"/>
          </w:tcPr>
          <w:p>
            <w:pPr>
              <w:pStyle w:val="null3"/>
            </w:pPr>
            <w:r>
              <w:rPr/>
              <w:t>要求实质性条款全部响应，不能有采购人不能接受的附加条件</w:t>
            </w:r>
          </w:p>
        </w:tc>
        <w:tc>
          <w:tcPr>
            <w:tcW w:type="dxa" w:w="1661"/>
          </w:tcPr>
          <w:p>
            <w:pPr>
              <w:pStyle w:val="null3"/>
            </w:pPr>
            <w:r>
              <w:rPr/>
              <w:t>其它资料 标的清单 响应函 商务条款偏离表</w:t>
            </w:r>
          </w:p>
        </w:tc>
      </w:tr>
      <w:tr>
        <w:tc>
          <w:tcPr>
            <w:tcW w:type="dxa" w:w="831"/>
          </w:tcPr>
          <w:p>
            <w:pPr>
              <w:pStyle w:val="null3"/>
            </w:pPr>
            <w:r>
              <w:rPr/>
              <w:t>7</w:t>
            </w:r>
          </w:p>
        </w:tc>
        <w:tc>
          <w:tcPr>
            <w:tcW w:type="dxa" w:w="2492"/>
          </w:tcPr>
          <w:p>
            <w:pPr>
              <w:pStyle w:val="null3"/>
            </w:pPr>
            <w:r>
              <w:rPr/>
              <w:t>服务期限（合同履行期限）</w:t>
            </w:r>
          </w:p>
        </w:tc>
        <w:tc>
          <w:tcPr>
            <w:tcW w:type="dxa" w:w="3322"/>
          </w:tcPr>
          <w:p>
            <w:pPr>
              <w:pStyle w:val="null3"/>
            </w:pPr>
            <w:r>
              <w:rPr/>
              <w:t>应满足磋商文件中要求的服务期限（合同履行期限）</w:t>
            </w:r>
          </w:p>
        </w:tc>
        <w:tc>
          <w:tcPr>
            <w:tcW w:type="dxa" w:w="1661"/>
          </w:tcPr>
          <w:p>
            <w:pPr>
              <w:pStyle w:val="null3"/>
            </w:pPr>
            <w:r>
              <w:rPr/>
              <w:t>报价一览表 报价表 响应函</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其他</w:t>
            </w:r>
          </w:p>
        </w:tc>
        <w:tc>
          <w:tcPr>
            <w:tcW w:type="dxa" w:w="3322"/>
          </w:tcPr>
          <w:p>
            <w:pPr>
              <w:pStyle w:val="null3"/>
            </w:pPr>
            <w:r>
              <w:rPr/>
              <w:t>不存在法律、法规和采购文件规定的其他无效投标情形</w:t>
            </w:r>
          </w:p>
        </w:tc>
        <w:tc>
          <w:tcPr>
            <w:tcW w:type="dxa" w:w="1661"/>
          </w:tcPr>
          <w:p>
            <w:pPr>
              <w:pStyle w:val="null3"/>
            </w:pPr>
            <w:r>
              <w:rPr/>
              <w:t>其它资料</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投标报价</w:t>
            </w:r>
          </w:p>
        </w:tc>
        <w:tc>
          <w:tcPr>
            <w:tcW w:type="dxa" w:w="2492"/>
          </w:tcPr>
          <w:p>
            <w:pPr>
              <w:pStyle w:val="null3"/>
            </w:pPr>
            <w:r>
              <w:rPr/>
              <w:t>1、经初审合格的磋商响应文件，其磋商报价为有效磋商报价。2、满足磋商文件实质性要求且最终报价最低的供应商的价格为磋商基准价，其价格分为满分10分。3、磋商报价得分=（磋商基准价/最终磋商报价）×10。4、磋商报价不完整的，不进入磋商基准价的计算，本项得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报价一览表</w:t>
            </w:r>
          </w:p>
        </w:tc>
      </w:tr>
      <w:tr>
        <w:tc>
          <w:tcPr>
            <w:tcW w:type="dxa" w:w="831"/>
            <w:vMerge/>
          </w:tcPr>
          <w:p/>
        </w:tc>
        <w:tc>
          <w:tcPr>
            <w:tcW w:type="dxa" w:w="1661"/>
          </w:tcPr>
          <w:p>
            <w:pPr>
              <w:pStyle w:val="null3"/>
            </w:pPr>
            <w:r>
              <w:rPr/>
              <w:t>总体实施方案</w:t>
            </w:r>
          </w:p>
        </w:tc>
        <w:tc>
          <w:tcPr>
            <w:tcW w:type="dxa" w:w="2492"/>
          </w:tcPr>
          <w:p>
            <w:pPr>
              <w:pStyle w:val="null3"/>
            </w:pPr>
            <w:r>
              <w:rPr/>
              <w:t>1.方案科学合理、思路明确、逻辑清晰、符合项目实际需求、可操作性强得10分。 2.有较强针对性、思路清晰、可操作性较强的得8分。 3.方案有一定可做操作性但针对性不强的得6分。 4.思路笼统、有方案可行性的得4分。 5.思路不明确的得2分。 6.不提供不得分。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p>
            <w:pPr>
              <w:pStyle w:val="null3"/>
            </w:pPr>
            <w:r>
              <w:rPr/>
              <w:t>商务条款偏离表</w:t>
            </w:r>
          </w:p>
        </w:tc>
      </w:tr>
      <w:tr>
        <w:tc>
          <w:tcPr>
            <w:tcW w:type="dxa" w:w="831"/>
            <w:vMerge/>
          </w:tcPr>
          <w:p/>
        </w:tc>
        <w:tc>
          <w:tcPr>
            <w:tcW w:type="dxa" w:w="1661"/>
          </w:tcPr>
          <w:p>
            <w:pPr>
              <w:pStyle w:val="null3"/>
            </w:pPr>
            <w:r>
              <w:rPr/>
              <w:t>对项目工作总体理解与认识</w:t>
            </w:r>
          </w:p>
        </w:tc>
        <w:tc>
          <w:tcPr>
            <w:tcW w:type="dxa" w:w="2492"/>
          </w:tcPr>
          <w:p>
            <w:pPr>
              <w:pStyle w:val="null3"/>
            </w:pPr>
            <w:r>
              <w:rPr/>
              <w:t>1.认识、理解准确、整体把握到位，得10分； 2.认识、理解较准确、整体把握上无偏差，得8分； 3.认识、理解相对准确、整体把握上存在细微偏差，得6分； 4.整体方向无误但存在缺项漏项，得4分； 5.认识和理解不清，得2分。 6.未提供不得分。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p>
            <w:pPr>
              <w:pStyle w:val="null3"/>
            </w:pPr>
            <w:r>
              <w:rPr/>
              <w:t>商务条款偏离表</w:t>
            </w:r>
          </w:p>
        </w:tc>
      </w:tr>
      <w:tr>
        <w:tc>
          <w:tcPr>
            <w:tcW w:type="dxa" w:w="831"/>
            <w:vMerge/>
          </w:tcPr>
          <w:p/>
        </w:tc>
        <w:tc>
          <w:tcPr>
            <w:tcW w:type="dxa" w:w="1661"/>
          </w:tcPr>
          <w:p>
            <w:pPr>
              <w:pStyle w:val="null3"/>
            </w:pPr>
            <w:r>
              <w:rPr/>
              <w:t>重点、难点分析与解决方案</w:t>
            </w:r>
          </w:p>
        </w:tc>
        <w:tc>
          <w:tcPr>
            <w:tcW w:type="dxa" w:w="2492"/>
          </w:tcPr>
          <w:p>
            <w:pPr>
              <w:pStyle w:val="null3"/>
            </w:pPr>
            <w:r>
              <w:rPr/>
              <w:t>1.重点、难点把握分析到位，解决措施科学完善、切实可行，得10分； 2.重点、难点把握分析基本到位，解决措施较完善，可行性较强的，得8分； 3.重点、难点把握分析基本到位，解决措施不完善，基本可行得6分； 4.分析简单，针对性欠缺，措施内容空泛，可行性较差得4分； 5.分析笼统、片面、各方面都较为笼统得2分； 6.未提供不得分。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p>
            <w:pPr>
              <w:pStyle w:val="null3"/>
            </w:pPr>
            <w:r>
              <w:rPr/>
              <w:t>商务条款偏离表</w:t>
            </w:r>
          </w:p>
        </w:tc>
      </w:tr>
      <w:tr>
        <w:tc>
          <w:tcPr>
            <w:tcW w:type="dxa" w:w="831"/>
            <w:vMerge/>
          </w:tcPr>
          <w:p/>
        </w:tc>
        <w:tc>
          <w:tcPr>
            <w:tcW w:type="dxa" w:w="1661"/>
          </w:tcPr>
          <w:p>
            <w:pPr>
              <w:pStyle w:val="null3"/>
            </w:pPr>
            <w:r>
              <w:rPr/>
              <w:t>设备配置计划</w:t>
            </w:r>
          </w:p>
        </w:tc>
        <w:tc>
          <w:tcPr>
            <w:tcW w:type="dxa" w:w="2492"/>
          </w:tcPr>
          <w:p>
            <w:pPr>
              <w:pStyle w:val="null3"/>
            </w:pPr>
            <w:r>
              <w:rPr/>
              <w:t>1.办公设备软硬件充足、完全满足项目实际需求的计6分； 2.办公设备软硬件数量设置合理、有一定可实施性基本满足项目实际需求的计4分； 3.办公室设备软硬件数量较少，不能满足项目实际需求的计2分。 4.不提供不得分。 评审依据：除提供软硬件设备配备计划表外，供应商也可根据其实际情况自行提供其他证明资料。</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p>
            <w:pPr>
              <w:pStyle w:val="null3"/>
            </w:pPr>
            <w:r>
              <w:rPr/>
              <w:t>商务条款偏离表</w:t>
            </w:r>
          </w:p>
        </w:tc>
      </w:tr>
      <w:tr>
        <w:tc>
          <w:tcPr>
            <w:tcW w:type="dxa" w:w="831"/>
            <w:vMerge/>
          </w:tcPr>
          <w:p/>
        </w:tc>
        <w:tc>
          <w:tcPr>
            <w:tcW w:type="dxa" w:w="1661"/>
          </w:tcPr>
          <w:p>
            <w:pPr>
              <w:pStyle w:val="null3"/>
            </w:pPr>
            <w:r>
              <w:rPr/>
              <w:t>项目组成人员构成</w:t>
            </w:r>
          </w:p>
        </w:tc>
        <w:tc>
          <w:tcPr>
            <w:tcW w:type="dxa" w:w="2492"/>
          </w:tcPr>
          <w:p>
            <w:pPr>
              <w:pStyle w:val="null3"/>
            </w:pPr>
            <w:r>
              <w:rPr/>
              <w:t>1.供应商有充足的专业技术人员提供热线运营服务： 项目团队总人数（含项目负责人）为6人时，视为满足采购文件基本要求，得0分，在此基础上每增加1人可加1分，本项满分3分。 评审依据：提供拟派人员身份证并加盖供应商公章。 2.供应商拟组建项目团队中具备专科及以上学历的，每人计2分，最高得分6分。 评审依据：提供相应人员学历证书并加盖供应商公章。 3.人员配置计划 根据供应商拟派的项目团队人员数量、分工、工作经验、学历、专业程度等方面的综合能力进行评审。 人员数量充沛、分工明确、人员综合水平较高的计6分； 人员数量基本满足项目需求、分工合理、综合水平基本满足项目需求的计4分； 人员数量缺乏、岗位职责混乱不清、整体能力差的计2分。 未提供相关人员或未提供人员资料的不予计分。 评审依据：提供团队拟派人员身份证、学历证（如有）、职称证（如有）以及可证明人员能力的其他证明资料并加盖供应商公章，内容须清晰可见，否则不予认可。</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p>
            <w:pPr>
              <w:pStyle w:val="null3"/>
            </w:pPr>
            <w:r>
              <w:rPr/>
              <w:t>商务条款偏离表</w:t>
            </w:r>
          </w:p>
        </w:tc>
      </w:tr>
      <w:tr>
        <w:tc>
          <w:tcPr>
            <w:tcW w:type="dxa" w:w="831"/>
            <w:vMerge/>
          </w:tcPr>
          <w:p/>
        </w:tc>
        <w:tc>
          <w:tcPr>
            <w:tcW w:type="dxa" w:w="1661"/>
          </w:tcPr>
          <w:p>
            <w:pPr>
              <w:pStyle w:val="null3"/>
            </w:pPr>
            <w:r>
              <w:rPr/>
              <w:t>突发事件应急预案及故障响应的保证措施</w:t>
            </w:r>
          </w:p>
        </w:tc>
        <w:tc>
          <w:tcPr>
            <w:tcW w:type="dxa" w:w="2492"/>
          </w:tcPr>
          <w:p>
            <w:pPr>
              <w:pStyle w:val="null3"/>
            </w:pPr>
            <w:r>
              <w:rPr/>
              <w:t>1.方案详细完整，合理可行；保证措施针对性及可行性强，得6分； 2.方案较详细，基本可行；保证措施有一定的针对性和可行性，得4分； 3.方案内容简单笼统；保证措施空泛无针对性，得2分； 4.其他或未提供不得分。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p>
            <w:pPr>
              <w:pStyle w:val="null3"/>
            </w:pPr>
            <w:r>
              <w:rPr/>
              <w:t>商务条款偏离表</w:t>
            </w:r>
          </w:p>
        </w:tc>
      </w:tr>
      <w:tr>
        <w:tc>
          <w:tcPr>
            <w:tcW w:type="dxa" w:w="831"/>
            <w:vMerge/>
          </w:tcPr>
          <w:p/>
        </w:tc>
        <w:tc>
          <w:tcPr>
            <w:tcW w:type="dxa" w:w="1661"/>
          </w:tcPr>
          <w:p>
            <w:pPr>
              <w:pStyle w:val="null3"/>
            </w:pPr>
            <w:r>
              <w:rPr/>
              <w:t>服务质量保证承诺</w:t>
            </w:r>
          </w:p>
        </w:tc>
        <w:tc>
          <w:tcPr>
            <w:tcW w:type="dxa" w:w="2492"/>
          </w:tcPr>
          <w:p>
            <w:pPr>
              <w:pStyle w:val="null3"/>
            </w:pPr>
            <w:r>
              <w:rPr/>
              <w:t>提供针对本项目的服务质量保证承诺（承诺内容包括：健全的质量控制体系、质量保证措施、质量控制目标的合理分解，并有质量目标无法实现时的认罚承诺）。 1.承诺内容全面，合理可行，针对性强，得6分； 2.承诺内容简单笼统，基本可行，有一定的针对性，得4分； 3.承诺内容不全面，无针对性，得2分； 4.其他或未提供不得分。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p>
            <w:pPr>
              <w:pStyle w:val="null3"/>
            </w:pPr>
            <w:r>
              <w:rPr/>
              <w:t>商务条款偏离表</w:t>
            </w:r>
          </w:p>
        </w:tc>
      </w:tr>
      <w:tr>
        <w:tc>
          <w:tcPr>
            <w:tcW w:type="dxa" w:w="831"/>
            <w:vMerge/>
          </w:tcPr>
          <w:p/>
        </w:tc>
        <w:tc>
          <w:tcPr>
            <w:tcW w:type="dxa" w:w="1661"/>
          </w:tcPr>
          <w:p>
            <w:pPr>
              <w:pStyle w:val="null3"/>
            </w:pPr>
            <w:r>
              <w:rPr/>
              <w:t>保密制度</w:t>
            </w:r>
          </w:p>
        </w:tc>
        <w:tc>
          <w:tcPr>
            <w:tcW w:type="dxa" w:w="2492"/>
          </w:tcPr>
          <w:p>
            <w:pPr>
              <w:pStyle w:val="null3"/>
            </w:pPr>
            <w:r>
              <w:rPr/>
              <w:t>提供针对本项目的保密承诺，在履行合同期间或合同规定期限内，不得泄露本项目实施活动中获知的所有保密资料，如有泄露，应赔偿因泄密给对方造成的一切损失并承担相应的法律责任。 1.保密制度健全、保密措施完善，针对性、可行性强的计8分； 2.保密制度较健全、保密措施基本完善，针对性、可行性较强，得6分； 3.保密制度存在细微漏洞，针对性、可行性不强，得4分； 4.保密制度、保密措施存在较大漏洞可行性不强，得2分； 5.无内容或内容与本项目实际严重不符的不予计分。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p>
            <w:pPr>
              <w:pStyle w:val="null3"/>
            </w:pPr>
            <w:r>
              <w:rPr/>
              <w:t>商务条款偏离表</w:t>
            </w:r>
          </w:p>
        </w:tc>
      </w:tr>
      <w:tr>
        <w:tc>
          <w:tcPr>
            <w:tcW w:type="dxa" w:w="831"/>
            <w:vMerge/>
          </w:tcPr>
          <w:p/>
        </w:tc>
        <w:tc>
          <w:tcPr>
            <w:tcW w:type="dxa" w:w="1661"/>
          </w:tcPr>
          <w:p>
            <w:pPr>
              <w:pStyle w:val="null3"/>
            </w:pPr>
            <w:r>
              <w:rPr/>
              <w:t>档案资料管理制度</w:t>
            </w:r>
          </w:p>
        </w:tc>
        <w:tc>
          <w:tcPr>
            <w:tcW w:type="dxa" w:w="2492"/>
          </w:tcPr>
          <w:p>
            <w:pPr>
              <w:pStyle w:val="null3"/>
            </w:pPr>
            <w:r>
              <w:rPr/>
              <w:t>1.制度健全规范有序、系统专业、具有很强的针对性计8分； 2.制度完善、专业性强、有针对性计6分； 3.制度基本完善规范、具有一定专业性的计4分； 4.制度不够完善，专业性不强的计2分； 5.未提供方案不得分。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商务条款偏离表</w:t>
            </w:r>
          </w:p>
          <w:p>
            <w:pPr>
              <w:pStyle w:val="null3"/>
            </w:pPr>
            <w:r>
              <w:rPr/>
              <w:t>供应商承诺书</w:t>
            </w:r>
          </w:p>
        </w:tc>
      </w:tr>
      <w:tr>
        <w:tc>
          <w:tcPr>
            <w:tcW w:type="dxa" w:w="831"/>
            <w:vMerge/>
          </w:tcPr>
          <w:p/>
        </w:tc>
        <w:tc>
          <w:tcPr>
            <w:tcW w:type="dxa" w:w="1661"/>
          </w:tcPr>
          <w:p>
            <w:pPr>
              <w:pStyle w:val="null3"/>
            </w:pPr>
            <w:r>
              <w:rPr/>
              <w:t>其他服务承诺或合理化建议</w:t>
            </w:r>
          </w:p>
        </w:tc>
        <w:tc>
          <w:tcPr>
            <w:tcW w:type="dxa" w:w="2492"/>
          </w:tcPr>
          <w:p>
            <w:pPr>
              <w:pStyle w:val="null3"/>
            </w:pPr>
            <w:r>
              <w:rPr/>
              <w:t>供应商可根据自身情况，对其所能给予采购人的其他服务承诺或合理化建议进行承诺或阐述: 1.承诺内容详细，得6分； 2.承诺内容较详细，得4分； 3.承诺内容简单，得2分； 4.无内容或内容与本项目实际严重不符的不予计分。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p>
            <w:pPr>
              <w:pStyle w:val="null3"/>
            </w:pPr>
            <w:r>
              <w:rPr/>
              <w:t>商务条款偏离表</w:t>
            </w:r>
          </w:p>
        </w:tc>
      </w:tr>
      <w:tr>
        <w:tc>
          <w:tcPr>
            <w:tcW w:type="dxa" w:w="831"/>
            <w:vMerge/>
          </w:tcPr>
          <w:p/>
        </w:tc>
        <w:tc>
          <w:tcPr>
            <w:tcW w:type="dxa" w:w="1661"/>
          </w:tcPr>
          <w:p>
            <w:pPr>
              <w:pStyle w:val="null3"/>
            </w:pPr>
            <w:r>
              <w:rPr/>
              <w:t>业绩</w:t>
            </w:r>
          </w:p>
        </w:tc>
        <w:tc>
          <w:tcPr>
            <w:tcW w:type="dxa" w:w="2492"/>
          </w:tcPr>
          <w:p>
            <w:pPr>
              <w:pStyle w:val="null3"/>
            </w:pPr>
            <w:r>
              <w:rPr/>
              <w:t>供应商自2021年1月1日以来的同类项目业绩，以合同签订或中标通知书显示的日期为准，每提供1个得2.5分，满分5分。 评审依据：提供合同或中标通知书复印件并加盖供应商公章，内容须清晰可见。</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服务方案</w:t>
            </w:r>
          </w:p>
          <w:p>
            <w:pPr>
              <w:pStyle w:val="null3"/>
            </w:pPr>
            <w:r>
              <w:rPr/>
              <w:t>商务条款偏离表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详见附件：报价一览表</w:t>
      </w:r>
    </w:p>
    <w:p>
      <w:pPr>
        <w:pStyle w:val="null3"/>
        <w:ind w:firstLine="960"/>
      </w:pPr>
      <w:r>
        <w:rPr/>
        <w:t>详见附件：资格证明文件</w:t>
      </w:r>
    </w:p>
    <w:p>
      <w:pPr>
        <w:pStyle w:val="null3"/>
        <w:ind w:firstLine="960"/>
      </w:pPr>
      <w:r>
        <w:rPr/>
        <w:t>详见附件：标的清单</w:t>
      </w:r>
    </w:p>
    <w:p>
      <w:pPr>
        <w:pStyle w:val="null3"/>
        <w:ind w:firstLine="960"/>
      </w:pPr>
      <w:r>
        <w:rPr/>
        <w:t>详见附件：服务方案</w:t>
      </w:r>
    </w:p>
    <w:p>
      <w:pPr>
        <w:pStyle w:val="null3"/>
        <w:ind w:firstLine="960"/>
      </w:pPr>
      <w:r>
        <w:rPr/>
        <w:t>详见附件：商务条款偏离表</w:t>
      </w:r>
    </w:p>
    <w:p>
      <w:pPr>
        <w:pStyle w:val="null3"/>
        <w:ind w:firstLine="960"/>
      </w:pPr>
      <w:r>
        <w:rPr/>
        <w:t>详见附件：供应商承诺书</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详见附件：非联合体磋商承诺书</w:t>
      </w:r>
    </w:p>
    <w:p>
      <w:pPr>
        <w:pStyle w:val="null3"/>
        <w:ind w:firstLine="960"/>
      </w:pPr>
      <w:r>
        <w:rPr/>
        <w:t>详见附件：其它资料</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