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供应商应根据评审办法要求提供工程总承包【EPC】管理方案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合理化建议及意见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设计实施措施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</w:rPr>
        <w:t>施工组织方案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、服务承诺，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具体要求详见“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评分标准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”中的“（三）综合评分明细表”。</w:t>
      </w:r>
    </w:p>
    <w:p>
      <w:pP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7AE41EDD"/>
    <w:rsid w:val="16294244"/>
    <w:rsid w:val="7AE4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2024-04-01T12:03:00Z</dcterms:created>
  <dc:creator>开瑞</dc:creator>
  <cp:lastModifiedBy>张晨</cp:lastModifiedBy>
  <dcterms:modified xsi:type="dcterms:W3CDTF">2024-05-14T08:14:42Z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5B6E688B34974EB7AD6B26C1B4F7424B_11</vt:lpwstr>
  </property>
</Properties>
</file>