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秦岭生态环境保护综合评估项目(二次)</w:t>
      </w:r>
    </w:p>
    <w:p>
      <w:pPr>
        <w:pStyle w:val="null3"/>
        <w:jc w:val="center"/>
        <w:outlineLvl w:val="2"/>
      </w:pPr>
      <w:r>
        <w:rPr>
          <w:b/>
          <w:sz w:val="28"/>
        </w:rPr>
        <w:t>采购项目编号：</w:t>
      </w:r>
      <w:r>
        <w:rPr>
          <w:b/>
          <w:sz w:val="28"/>
        </w:rPr>
        <w:t>ZZGJZB-202403009.1B1</w:t>
      </w:r>
      <w:r>
        <w:br/>
      </w:r>
      <w:r>
        <w:br/>
      </w:r>
      <w:r>
        <w:br/>
      </w:r>
    </w:p>
    <w:p>
      <w:pPr>
        <w:pStyle w:val="null3"/>
        <w:jc w:val="center"/>
        <w:outlineLvl w:val="2"/>
      </w:pPr>
      <w:r>
        <w:rPr>
          <w:b/>
          <w:sz w:val="28"/>
        </w:rPr>
        <w:t>西安市秦岭生态环境保护管理局（本级）</w:t>
      </w:r>
    </w:p>
    <w:p>
      <w:pPr>
        <w:pStyle w:val="null3"/>
        <w:jc w:val="center"/>
        <w:outlineLvl w:val="2"/>
      </w:pPr>
      <w:r>
        <w:rPr>
          <w:b/>
          <w:sz w:val="28"/>
        </w:rPr>
        <w:t>西安中泽国际招标有限公司</w:t>
      </w:r>
      <w:r>
        <w:rPr>
          <w:b/>
          <w:sz w:val="28"/>
        </w:rPr>
        <w:t>共同编制</w:t>
      </w:r>
    </w:p>
    <w:p>
      <w:pPr>
        <w:pStyle w:val="null3"/>
        <w:jc w:val="center"/>
        <w:outlineLvl w:val="2"/>
      </w:pPr>
      <w:r>
        <w:rPr>
          <w:b/>
          <w:sz w:val="28"/>
        </w:rPr>
        <w:t>2024年04月19日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西安中泽国际招标有限公司</w:t>
      </w:r>
      <w:r>
        <w:rPr/>
        <w:t>（以下简称“代理机构”）受</w:t>
      </w:r>
      <w:r>
        <w:rPr/>
        <w:t>西安市秦岭生态环境保护管理局（本级）</w:t>
      </w:r>
      <w:r>
        <w:rPr/>
        <w:t>委托，拟对</w:t>
      </w:r>
      <w:r>
        <w:rPr/>
        <w:t>秦岭生态环境保护综合评估项目(二次)</w:t>
      </w:r>
      <w:r>
        <w:rPr/>
        <w:t>采用竞争性磋商采购方式进行采购，兹邀请供应商参加本项目的竞争性磋商。</w:t>
      </w:r>
    </w:p>
    <w:p>
      <w:pPr>
        <w:pStyle w:val="null3"/>
        <w:outlineLvl w:val="2"/>
      </w:pPr>
      <w:r>
        <w:rPr>
          <w:b/>
          <w:sz w:val="28"/>
        </w:rPr>
        <w:t>一、项目编号：</w:t>
      </w:r>
      <w:r>
        <w:rPr>
          <w:b/>
          <w:sz w:val="28"/>
        </w:rPr>
        <w:t>ZZGJZB-202403009.1B1</w:t>
      </w:r>
    </w:p>
    <w:p>
      <w:pPr>
        <w:pStyle w:val="null3"/>
        <w:outlineLvl w:val="2"/>
      </w:pPr>
      <w:r>
        <w:rPr>
          <w:b/>
          <w:sz w:val="28"/>
        </w:rPr>
        <w:t>二、项目名称：</w:t>
      </w:r>
      <w:r>
        <w:rPr>
          <w:b/>
          <w:sz w:val="28"/>
        </w:rPr>
        <w:t>秦岭生态环境保护综合评估项目(二次)</w:t>
      </w:r>
    </w:p>
    <w:p>
      <w:pPr>
        <w:pStyle w:val="null3"/>
        <w:outlineLvl w:val="2"/>
      </w:pPr>
      <w:r>
        <w:rPr>
          <w:b/>
          <w:sz w:val="28"/>
        </w:rPr>
        <w:t>三、磋商项目简介</w:t>
      </w:r>
    </w:p>
    <w:p>
      <w:pPr>
        <w:pStyle w:val="null3"/>
        <w:ind w:firstLine="480"/>
      </w:pPr>
      <w:r>
        <w:rPr/>
        <w:t>按照《西安市秦岭生态环境保护条例》第八十四条“市人民政府应当定期组织秦岭生态环境保护综合评估。综合评估每五年不少于一次。综合评估应当包括下列内容：（一）秦岭生态环境保护规划的实施情况；（二）重大保护、修复工程的实施情况；（三）自然资源、人文资源的动态变化情况和保护状况；（四）秦岭范围和建设控制地带内开发建设活动的监管情况；（五）行政执法的开展情况；（六）保护工作存在的问题；（七）其他应当综合评估的内容。</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1、营业执照：响应供应商需提供合法有效的统一社会信用代码营业执照：投标供应商需提供合法有效的统一社会信用代码营业执照（事业单位提供事业单位法人证书，自然人应提供身份证）</w:t>
      </w:r>
    </w:p>
    <w:p>
      <w:pPr>
        <w:pStyle w:val="null3"/>
      </w:pPr>
      <w:r>
        <w:rPr/>
        <w:t>2、授权委托书：法定代表人参加投标的，须提供本人身份证加盖公章的复印件；法定代表人授权他人参加投标的，须提供法定代表人授权委托书及被授权代表的身份证复印件。：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p>
      <w:pPr>
        <w:pStyle w:val="null3"/>
      </w:pPr>
      <w:r>
        <w:rPr/>
        <w:t>3、财务状况报告：提供2022年或2023年度具有财务审计资质的单位出具的财务报告或基本存款账户开户银行出具的资信证明（附开户许可证或基本存款账户信息）</w:t>
      </w:r>
    </w:p>
    <w:p>
      <w:pPr>
        <w:pStyle w:val="null3"/>
      </w:pPr>
      <w:r>
        <w:rPr/>
        <w:t>4、税收缴纳证明：提供2023年3月1日至开标截止日，任意一个月的纳税凭据，依法免税的应提供相关证明材料</w:t>
      </w:r>
    </w:p>
    <w:p>
      <w:pPr>
        <w:pStyle w:val="null3"/>
      </w:pPr>
      <w:r>
        <w:rPr/>
        <w:t>5、社会保障资金缴纳证明：提供2023年3月1日至开标截止日，任意一个月的社会保障资金缴存单据或社保机构开具的社会保险参保缴费情况证明，依法不需要缴纳社会保障资金的应提供相关证明材料</w:t>
      </w:r>
    </w:p>
    <w:p>
      <w:pPr>
        <w:pStyle w:val="null3"/>
      </w:pPr>
      <w:r>
        <w:rPr/>
        <w:t>6、承诺书：提供具有履行本合同所必需的设备和专业技术能力的承诺：提供具有履行本合同所必需的设备和专业技术能力的承诺</w:t>
      </w:r>
    </w:p>
    <w:p>
      <w:pPr>
        <w:pStyle w:val="null3"/>
      </w:pPr>
      <w:r>
        <w:rPr/>
        <w:t>7、书面声明：参加政府采购活动前3年内在经营活动中没有重大违法记录的书面声明</w:t>
      </w:r>
    </w:p>
    <w:p>
      <w:pPr>
        <w:pStyle w:val="null3"/>
      </w:pPr>
      <w:r>
        <w:rPr/>
        <w:t>8、信用中国：供应商不得为“信用中国 (www.creditchina.gov.cn)”中严重失信主体名单、严重税收违法失信主体的供应商，“中国执行信息公开网 (http://zxgk.court.gov.cn/shixin/)”中列入失信被执行人的供应商，不得为“中国政府采购网(www.ccgp.gov.cn)”政府采购严重违法失信行为记录名单中被财政部门禁止参加政府采购活动的供应商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西安市秦岭生态环境保护管理局（本级）</w:t>
      </w:r>
    </w:p>
    <w:p>
      <w:pPr>
        <w:pStyle w:val="null3"/>
      </w:pPr>
      <w:r>
        <w:rPr/>
        <w:t xml:space="preserve"> 地址： </w:t>
      </w:r>
      <w:r>
        <w:rPr/>
        <w:t>长安区关中环线 S107 与子午大道十字向西 850 米路北</w:t>
      </w:r>
    </w:p>
    <w:p>
      <w:pPr>
        <w:pStyle w:val="null3"/>
      </w:pPr>
      <w:r>
        <w:rPr/>
        <w:t xml:space="preserve"> 邮编： </w:t>
      </w:r>
      <w:r>
        <w:rPr/>
        <w:t>710000</w:t>
      </w:r>
    </w:p>
    <w:p>
      <w:pPr>
        <w:pStyle w:val="null3"/>
      </w:pPr>
      <w:r>
        <w:rPr/>
        <w:t xml:space="preserve"> 联系人： </w:t>
      </w:r>
      <w:r>
        <w:rPr/>
        <w:t>刘小磊</w:t>
      </w:r>
    </w:p>
    <w:p>
      <w:pPr>
        <w:pStyle w:val="null3"/>
      </w:pPr>
      <w:r>
        <w:rPr/>
        <w:t xml:space="preserve"> 联系电话： </w:t>
      </w:r>
      <w:r>
        <w:rPr/>
        <w:t>029-89801322</w:t>
      </w:r>
    </w:p>
    <w:p>
      <w:pPr>
        <w:pStyle w:val="null3"/>
        <w:outlineLvl w:val="3"/>
      </w:pPr>
      <w:r>
        <w:rPr>
          <w:b/>
          <w:sz w:val="24"/>
        </w:rPr>
        <w:t>代理机构：</w:t>
      </w:r>
      <w:r>
        <w:rPr>
          <w:b/>
          <w:sz w:val="24"/>
        </w:rPr>
        <w:t>西安中泽国际招标有限公司</w:t>
      </w:r>
    </w:p>
    <w:p>
      <w:pPr>
        <w:pStyle w:val="null3"/>
      </w:pPr>
      <w:r>
        <w:rPr/>
        <w:t xml:space="preserve"> 地址： </w:t>
      </w:r>
      <w:r>
        <w:rPr/>
        <w:t>陕西省西安市灞桥区纺西街华夏世纪广场 A 座十五层</w:t>
      </w:r>
    </w:p>
    <w:p>
      <w:pPr>
        <w:pStyle w:val="null3"/>
      </w:pPr>
      <w:r>
        <w:rPr/>
        <w:t xml:space="preserve"> 邮编： </w:t>
      </w:r>
      <w:r>
        <w:rPr/>
        <w:t>710000</w:t>
      </w:r>
    </w:p>
    <w:p>
      <w:pPr>
        <w:pStyle w:val="null3"/>
      </w:pPr>
      <w:r>
        <w:rPr/>
        <w:t xml:space="preserve"> 联系人： </w:t>
      </w:r>
      <w:r>
        <w:rPr/>
        <w:t>任白楠</w:t>
      </w:r>
    </w:p>
    <w:p>
      <w:pPr>
        <w:pStyle w:val="null3"/>
      </w:pPr>
      <w:r>
        <w:rPr/>
        <w:t xml:space="preserve"> 联系电话： </w:t>
      </w:r>
      <w:r>
        <w:rPr/>
        <w:t>029-83520200</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发展改革委员会办公厅颁发的《关于招标代理服务收费有关问题的通知》（发改办价格〔2003〕857号）及国家发展与改革委员会《调整后的招标代理服务费标准》（发改价格〔2011〕534号）的有关规定收取，成交单位在领取成交通知书前，须向采购代理机构一次性支付，不足5000元的按5000元收取。 成交单位服务费交纳信息 银行户名：西安中泽国际招标有限公司 开户行：中国农业银行西安纺一路支行 账号：26120101040014137 联系电话：029-83520200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西安市秦岭生态环境保护管理局（本级）</w:t>
      </w:r>
      <w:r>
        <w:rPr/>
        <w:t>和</w:t>
      </w:r>
      <w:r>
        <w:rPr/>
        <w:t>西安中泽国际招标有限公司</w:t>
      </w:r>
      <w:r>
        <w:rPr/>
        <w:t>享有。对磋商文件中供应商参加本次政府采购活动应当具备的条件，磋商项目技术、服务、商务及其他要求，评审细则及标准由</w:t>
      </w:r>
      <w:r>
        <w:rPr/>
        <w:t>西安市秦岭生态环境保护管理局（本级）</w:t>
      </w:r>
      <w:r>
        <w:rPr/>
        <w:t>负责解释。除上述磋商文件内容，其他内容由</w:t>
      </w:r>
      <w:r>
        <w:rPr/>
        <w:t>西安中泽国际招标有限公司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西安市秦岭生态环境保护管理局（本级）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西安中泽国际招标有限公司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按行业标准、磋商文件、磋商响应文件及澄清函、项目检查情况等综合指标进行验收。各项指标均应符合验收标准及要求。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西安中泽国际招标有限公司</w:t>
      </w:r>
      <w:r>
        <w:rPr/>
        <w:t xml:space="preserve"> 负责答复；供应商对除采购需求外的采购文件的询问、质疑由</w:t>
      </w:r>
      <w:r>
        <w:rPr/>
        <w:t>西安中泽国际招标有限公司</w:t>
      </w:r>
      <w:r>
        <w:rPr/>
        <w:t xml:space="preserve"> 负责答复；供应商对采购过程、采购结果的询问、质疑由 </w:t>
      </w:r>
      <w:r>
        <w:rPr/>
        <w:t>西安中泽国际招标有限公司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联系人：任白楠</w:t>
      </w:r>
    </w:p>
    <w:p>
      <w:pPr>
        <w:pStyle w:val="null3"/>
      </w:pPr>
      <w:r>
        <w:rPr/>
        <w:t>联系电话：029-83520200</w:t>
      </w:r>
    </w:p>
    <w:p>
      <w:pPr>
        <w:pStyle w:val="null3"/>
      </w:pPr>
      <w:r>
        <w:rPr/>
        <w:t>地址：陕西省西安市灞桥区纺西街华夏世纪广场 A 座十五层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按照《西安市秦岭生态环境保护条例》第八十四条“市人民政府应当定期组织秦岭生态环境保护综合评估。综合评估每五年不少于一次。综合评估应当包括下列内容：（一）秦岭生态环境保护规划的实施情况；（二）重大保护、修复工程的实施情况；（三）自然资源、人文资源的动态变化情况和保护状况；（四）秦岭范围和建设控制地带内开发建设活动的监管情况；（五）行政执法的开展情况；（六）保护工作存在的问题；（七）其他应当综合评估的内容。</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980,000.00</w:t>
      </w:r>
    </w:p>
    <w:p>
      <w:pPr>
        <w:pStyle w:val="null3"/>
      </w:pPr>
      <w:r>
        <w:rPr/>
        <w:t>采购包最高限价（元）: 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秦岭生态环境保护综合评估项目</w:t>
            </w:r>
          </w:p>
        </w:tc>
        <w:tc>
          <w:tcPr>
            <w:tcW w:type="dxa" w:w="831"/>
          </w:tcPr>
          <w:p>
            <w:pPr>
              <w:pStyle w:val="null3"/>
              <w:jc w:val="right"/>
            </w:pPr>
            <w:r>
              <w:rPr/>
              <w:t>1.00</w:t>
            </w:r>
          </w:p>
        </w:tc>
        <w:tc>
          <w:tcPr>
            <w:tcW w:type="dxa" w:w="831"/>
          </w:tcPr>
          <w:p>
            <w:pPr>
              <w:pStyle w:val="null3"/>
              <w:jc w:val="right"/>
            </w:pPr>
            <w:r>
              <w:rPr/>
              <w:t>980,000.00</w:t>
            </w:r>
          </w:p>
        </w:tc>
        <w:tc>
          <w:tcPr>
            <w:tcW w:type="dxa" w:w="831"/>
          </w:tcPr>
          <w:p>
            <w:pPr>
              <w:pStyle w:val="null3"/>
            </w:pPr>
            <w:r>
              <w:rPr/>
              <w:t>次</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标的名称：秦岭生态环境保护综合评估项目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sz w:val="21"/>
              </w:rPr>
              <w:t>一、项目概况</w:t>
            </w:r>
          </w:p>
          <w:p>
            <w:pPr>
              <w:pStyle w:val="null3"/>
              <w:jc w:val="both"/>
            </w:pPr>
            <w:r>
              <w:rPr>
                <w:rFonts w:ascii="宋体" w:hAnsi="宋体" w:cs="宋体" w:eastAsia="宋体"/>
              </w:rPr>
              <w:t>项目名称：秦岭生态环境保护综合评估项目（二次）</w:t>
            </w:r>
          </w:p>
          <w:p>
            <w:pPr>
              <w:pStyle w:val="null3"/>
              <w:jc w:val="both"/>
            </w:pPr>
            <w:r>
              <w:rPr>
                <w:rFonts w:ascii="宋体" w:hAnsi="宋体" w:cs="宋体" w:eastAsia="宋体"/>
              </w:rPr>
              <w:t>项目编号：</w:t>
            </w:r>
            <w:r>
              <w:rPr>
                <w:rFonts w:ascii="calibri" w:hAnsi="calibri" w:cs="calibri" w:eastAsia="calibri"/>
              </w:rPr>
              <w:t>ZZGJZB-202403009.1B1</w:t>
            </w:r>
          </w:p>
          <w:p>
            <w:pPr>
              <w:pStyle w:val="null3"/>
              <w:jc w:val="both"/>
            </w:pPr>
            <w:r>
              <w:rPr>
                <w:rFonts w:ascii="宋体" w:hAnsi="宋体" w:cs="宋体" w:eastAsia="宋体"/>
              </w:rPr>
              <w:t>服</w:t>
            </w:r>
            <w:r>
              <w:rPr>
                <w:rFonts w:ascii="宋体" w:hAnsi="宋体" w:cs="宋体" w:eastAsia="宋体"/>
              </w:rPr>
              <w:t>务</w:t>
            </w:r>
            <w:r>
              <w:rPr>
                <w:rFonts w:ascii="宋体" w:hAnsi="宋体" w:cs="宋体" w:eastAsia="宋体"/>
              </w:rPr>
              <w:t>期：</w:t>
            </w:r>
            <w:r>
              <w:rPr>
                <w:rFonts w:ascii="宋体" w:hAnsi="宋体" w:cs="宋体" w:eastAsia="宋体"/>
              </w:rPr>
              <w:t>自合同签订之日起一年</w:t>
            </w:r>
          </w:p>
          <w:p>
            <w:pPr>
              <w:pStyle w:val="null3"/>
              <w:jc w:val="both"/>
            </w:pPr>
            <w:r>
              <w:rPr>
                <w:rFonts w:ascii="宋体" w:hAnsi="宋体" w:cs="宋体" w:eastAsia="宋体"/>
                <w:sz w:val="21"/>
              </w:rPr>
              <w:t>采购预算：</w:t>
            </w:r>
            <w:r>
              <w:rPr>
                <w:rFonts w:ascii="calibri" w:hAnsi="calibri" w:cs="calibri" w:eastAsia="calibri"/>
                <w:sz w:val="21"/>
              </w:rPr>
              <w:t xml:space="preserve">980000.00 </w:t>
            </w:r>
            <w:r>
              <w:rPr>
                <w:rFonts w:ascii="宋体" w:hAnsi="宋体" w:cs="宋体" w:eastAsia="宋体"/>
                <w:sz w:val="21"/>
              </w:rPr>
              <w:t>元</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b/>
                <w:sz w:val="24"/>
              </w:rPr>
              <w:t>二、</w:t>
            </w:r>
            <w:r>
              <w:rPr>
                <w:rFonts w:ascii="宋体" w:hAnsi="宋体" w:cs="宋体" w:eastAsia="宋体"/>
                <w:b/>
                <w:sz w:val="21"/>
              </w:rPr>
              <w:t>服务内容</w:t>
            </w:r>
          </w:p>
          <w:p>
            <w:pPr>
              <w:pStyle w:val="null3"/>
              <w:jc w:val="left"/>
            </w:pPr>
            <w:r>
              <w:rPr>
                <w:rFonts w:ascii="宋体" w:hAnsi="宋体" w:cs="宋体" w:eastAsia="宋体"/>
                <w:color w:val="000000"/>
                <w:sz w:val="20"/>
              </w:rPr>
              <w:t>对西安市秦岭生态环境保护情况进行调研及典型案例梳理，对西</w:t>
            </w:r>
            <w:r>
              <w:rPr>
                <w:rFonts w:ascii="宋体" w:hAnsi="宋体" w:cs="宋体" w:eastAsia="宋体"/>
                <w:color w:val="000000"/>
                <w:sz w:val="20"/>
              </w:rPr>
              <w:t>安市涉秦岭区域的</w:t>
            </w:r>
            <w:r>
              <w:rPr>
                <w:rFonts w:ascii="calibri" w:hAnsi="calibri" w:cs="calibri" w:eastAsia="calibri"/>
                <w:color w:val="000000"/>
                <w:sz w:val="20"/>
              </w:rPr>
              <w:t xml:space="preserve">6 </w:t>
            </w:r>
            <w:r>
              <w:rPr>
                <w:rFonts w:ascii="宋体" w:hAnsi="宋体" w:cs="宋体" w:eastAsia="宋体"/>
                <w:color w:val="000000"/>
                <w:sz w:val="20"/>
              </w:rPr>
              <w:t xml:space="preserve">个区县的秦岭生态环境保护状况进行调查评估，并 就西安市秦岭生态环境保护委员会涉及的全部市级部门（约 </w:t>
            </w:r>
            <w:r>
              <w:rPr>
                <w:rFonts w:ascii="calibri" w:hAnsi="calibri" w:cs="calibri" w:eastAsia="calibri"/>
                <w:color w:val="000000"/>
                <w:sz w:val="20"/>
              </w:rPr>
              <w:t xml:space="preserve">30 </w:t>
            </w:r>
            <w:r>
              <w:rPr>
                <w:rFonts w:ascii="宋体" w:hAnsi="宋体" w:cs="宋体" w:eastAsia="宋体"/>
                <w:color w:val="000000"/>
                <w:sz w:val="20"/>
              </w:rPr>
              <w:t>个）相关工作状况进行调研评估。</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b/>
                <w:sz w:val="21"/>
              </w:rPr>
              <w:t>三、</w:t>
            </w:r>
            <w:r>
              <w:rPr>
                <w:rFonts w:ascii="宋体" w:hAnsi="宋体" w:cs="宋体" w:eastAsia="宋体"/>
                <w:b/>
                <w:sz w:val="21"/>
              </w:rPr>
              <w:t>采购内容及成果</w:t>
            </w:r>
          </w:p>
          <w:p>
            <w:pPr>
              <w:pStyle w:val="null3"/>
              <w:jc w:val="left"/>
            </w:pPr>
            <w:r>
              <w:rPr>
                <w:rFonts w:ascii="calibri" w:hAnsi="calibri" w:cs="calibri" w:eastAsia="calibri"/>
                <w:color w:val="000000"/>
                <w:sz w:val="20"/>
              </w:rPr>
              <w:t>1.</w:t>
            </w:r>
            <w:r>
              <w:rPr>
                <w:rFonts w:ascii="宋体" w:hAnsi="宋体" w:cs="宋体" w:eastAsia="宋体"/>
                <w:color w:val="000000"/>
                <w:sz w:val="20"/>
              </w:rPr>
              <w:t>建立一套完善的评价机制及评估标准。参照《自然保护 区生态环境保护成效评估标准（试行）》（标准号：</w:t>
            </w:r>
            <w:r>
              <w:rPr>
                <w:rFonts w:ascii="calibri" w:hAnsi="calibri" w:cs="calibri" w:eastAsia="calibri"/>
                <w:color w:val="000000"/>
                <w:sz w:val="20"/>
              </w:rPr>
              <w:t>HJ1203</w:t>
            </w:r>
            <w:r>
              <w:rPr>
                <w:rFonts w:ascii="宋体" w:hAnsi="宋体" w:cs="宋体" w:eastAsia="宋体"/>
                <w:color w:val="000000"/>
                <w:sz w:val="20"/>
              </w:rPr>
              <w:t>—</w:t>
            </w:r>
            <w:r>
              <w:rPr>
                <w:rFonts w:ascii="calibri" w:hAnsi="calibri" w:cs="calibri" w:eastAsia="calibri"/>
                <w:color w:val="000000"/>
                <w:sz w:val="20"/>
              </w:rPr>
              <w:t>2021</w:t>
            </w:r>
            <w:r>
              <w:rPr>
                <w:rFonts w:ascii="宋体" w:hAnsi="宋体" w:cs="宋体" w:eastAsia="宋体"/>
                <w:color w:val="000000"/>
                <w:sz w:val="20"/>
              </w:rPr>
              <w:t>）《生态保护 修复成效评估技术指南（试行）》（标准号：</w:t>
            </w:r>
            <w:r>
              <w:rPr>
                <w:rFonts w:ascii="calibri" w:hAnsi="calibri" w:cs="calibri" w:eastAsia="calibri"/>
                <w:color w:val="000000"/>
                <w:sz w:val="20"/>
              </w:rPr>
              <w:t>HJ1272</w:t>
            </w:r>
            <w:r>
              <w:rPr>
                <w:rFonts w:ascii="宋体" w:hAnsi="宋体" w:cs="宋体" w:eastAsia="宋体"/>
                <w:color w:val="000000"/>
                <w:sz w:val="20"/>
              </w:rPr>
              <w:t>—</w:t>
            </w:r>
            <w:r>
              <w:rPr>
                <w:rFonts w:ascii="calibri" w:hAnsi="calibri" w:cs="calibri" w:eastAsia="calibri"/>
                <w:color w:val="000000"/>
                <w:sz w:val="20"/>
              </w:rPr>
              <w:t>2022</w:t>
            </w:r>
            <w:r>
              <w:rPr>
                <w:rFonts w:ascii="宋体" w:hAnsi="宋体" w:cs="宋体" w:eastAsia="宋体"/>
                <w:color w:val="000000"/>
                <w:sz w:val="20"/>
              </w:rPr>
              <w:t>）等文件明确的区域 生态环境保护成效的原则、周期、方法、流程、指标体系等，根据西安市秦岭生 态环境保护实际情况并结合《西安市秦岭生态环境保护条例》第八十四条中明确 的秦岭生态环境保护规划的实施情况，重大保护、修复工程的实施情况等进行评估，建立起一套完善的评价机制与评估标准，并持续完善相关机制与标准。</w:t>
            </w:r>
          </w:p>
          <w:p>
            <w:pPr>
              <w:pStyle w:val="null3"/>
              <w:jc w:val="left"/>
            </w:pPr>
            <w:r>
              <w:rPr>
                <w:rFonts w:ascii="calibri" w:hAnsi="calibri" w:cs="calibri" w:eastAsia="calibri"/>
                <w:color w:val="000000"/>
                <w:sz w:val="20"/>
              </w:rPr>
              <w:t>2.</w:t>
            </w:r>
            <w:r>
              <w:rPr>
                <w:rFonts w:ascii="宋体" w:hAnsi="宋体" w:cs="宋体" w:eastAsia="宋体"/>
                <w:color w:val="000000"/>
                <w:sz w:val="20"/>
              </w:rPr>
              <w:t xml:space="preserve">组织实地调研。对西安市涉及秦岭区域的 </w:t>
            </w:r>
            <w:r>
              <w:rPr>
                <w:rFonts w:ascii="calibri" w:hAnsi="calibri" w:cs="calibri" w:eastAsia="calibri"/>
                <w:color w:val="000000"/>
                <w:sz w:val="20"/>
              </w:rPr>
              <w:t xml:space="preserve">6 </w:t>
            </w:r>
            <w:r>
              <w:rPr>
                <w:rFonts w:ascii="宋体" w:hAnsi="宋体" w:cs="宋体" w:eastAsia="宋体"/>
                <w:color w:val="000000"/>
                <w:sz w:val="20"/>
              </w:rPr>
              <w:t>区县的秦岭生态环境保护情况，西安市秦岭生态环境保护委员会组成单位工作成效进行深度实地调研，着重围绕西安市秦岭生态环境保护的法规制度建设、组织架构、规划体系、 资金保障、依法履职等方面展开，并重点关注相关县区（开发区）、相关单位在 植被保护、水资源保护、生物多样性保护、开发建设活动的生态环境保护等细分领域管理机制、生态修复、生态产业、人员培养、科技成果运用、执法监管等方面的实际做法。</w:t>
            </w:r>
          </w:p>
          <w:p>
            <w:pPr>
              <w:pStyle w:val="null3"/>
              <w:jc w:val="left"/>
            </w:pPr>
            <w:r>
              <w:rPr>
                <w:rFonts w:ascii="calibri" w:hAnsi="calibri" w:cs="calibri" w:eastAsia="calibri"/>
                <w:color w:val="000000"/>
                <w:sz w:val="20"/>
              </w:rPr>
              <w:t>3.</w:t>
            </w:r>
            <w:r>
              <w:rPr>
                <w:rFonts w:ascii="宋体" w:hAnsi="宋体" w:cs="宋体" w:eastAsia="宋体"/>
                <w:color w:val="000000"/>
                <w:sz w:val="20"/>
              </w:rPr>
              <w:t>秦岭生态环境保护状况评估。参照《自然保护区生态环境保护成效评估标准（试行）》（标准号：</w:t>
            </w:r>
            <w:r>
              <w:rPr>
                <w:rFonts w:ascii="calibri" w:hAnsi="calibri" w:cs="calibri" w:eastAsia="calibri"/>
                <w:color w:val="000000"/>
                <w:sz w:val="20"/>
              </w:rPr>
              <w:t>HJ1203</w:t>
            </w:r>
            <w:r>
              <w:rPr>
                <w:rFonts w:ascii="宋体" w:hAnsi="宋体" w:cs="宋体" w:eastAsia="宋体"/>
                <w:color w:val="000000"/>
                <w:sz w:val="20"/>
              </w:rPr>
              <w:t>—</w:t>
            </w:r>
            <w:r>
              <w:rPr>
                <w:rFonts w:ascii="calibri" w:hAnsi="calibri" w:cs="calibri" w:eastAsia="calibri"/>
                <w:color w:val="000000"/>
                <w:sz w:val="20"/>
              </w:rPr>
              <w:t>2021</w:t>
            </w:r>
            <w:r>
              <w:rPr>
                <w:rFonts w:ascii="宋体" w:hAnsi="宋体" w:cs="宋体" w:eastAsia="宋体"/>
                <w:color w:val="000000"/>
                <w:sz w:val="20"/>
              </w:rPr>
              <w:t>）《生态保护修复成效评估技术指南（试行）》（标准号：</w:t>
            </w:r>
            <w:r>
              <w:rPr>
                <w:rFonts w:ascii="calibri" w:hAnsi="calibri" w:cs="calibri" w:eastAsia="calibri"/>
                <w:color w:val="000000"/>
                <w:sz w:val="20"/>
              </w:rPr>
              <w:t>HJ1272</w:t>
            </w:r>
            <w:r>
              <w:rPr>
                <w:rFonts w:ascii="宋体" w:hAnsi="宋体" w:cs="宋体" w:eastAsia="宋体"/>
                <w:color w:val="000000"/>
                <w:sz w:val="20"/>
              </w:rPr>
              <w:t>—</w:t>
            </w:r>
            <w:r>
              <w:rPr>
                <w:rFonts w:ascii="calibri" w:hAnsi="calibri" w:cs="calibri" w:eastAsia="calibri"/>
                <w:color w:val="000000"/>
                <w:sz w:val="20"/>
              </w:rPr>
              <w:t>2022</w:t>
            </w:r>
            <w:r>
              <w:rPr>
                <w:rFonts w:ascii="宋体" w:hAnsi="宋体" w:cs="宋体" w:eastAsia="宋体"/>
                <w:color w:val="000000"/>
                <w:sz w:val="20"/>
              </w:rPr>
              <w:t>）等文件明确的区域生态环境保护成效的原则、周期、方法、流程、指标体系等，按照《西安市秦岭生态环境保护条例》第八十四条规定的评估内容，开展西安市秦岭生态环境保护年度评价、综合评估工作。，在实地调研走访的基础上，计算 综合评估分值，得出评估结果。分析各县区（开发区）、各部门秦岭生态环境保护等方面存在的问题，提出西安市秦岭生态环境保护管理的对策建议。</w:t>
            </w:r>
          </w:p>
          <w:p>
            <w:pPr>
              <w:pStyle w:val="null3"/>
              <w:jc w:val="left"/>
            </w:pPr>
            <w:r>
              <w:rPr>
                <w:rFonts w:ascii="calibri" w:hAnsi="calibri" w:cs="calibri" w:eastAsia="calibri"/>
                <w:color w:val="000000"/>
                <w:sz w:val="20"/>
              </w:rPr>
              <w:t>4.</w:t>
            </w:r>
            <w:r>
              <w:rPr>
                <w:rFonts w:ascii="宋体" w:hAnsi="宋体" w:cs="宋体" w:eastAsia="宋体"/>
                <w:color w:val="000000"/>
                <w:sz w:val="20"/>
              </w:rPr>
              <w:t>西安市秦岭生态环境保护年度典型案例。根据调研和评估中发现的典型经验做法，汇集形成西安市秦岭生态环境保护典型案例集。</w:t>
            </w:r>
          </w:p>
          <w:p>
            <w:pPr>
              <w:pStyle w:val="null3"/>
              <w:jc w:val="both"/>
            </w:pPr>
            <w:r>
              <w:rPr>
                <w:rFonts w:ascii="calibri" w:hAnsi="calibri" w:cs="calibri" w:eastAsia="calibri"/>
                <w:color w:val="000000"/>
                <w:sz w:val="20"/>
              </w:rPr>
              <w:t>5.</w:t>
            </w:r>
            <w:r>
              <w:rPr>
                <w:rFonts w:ascii="宋体" w:hAnsi="宋体" w:cs="宋体" w:eastAsia="宋体"/>
                <w:color w:val="000000"/>
                <w:sz w:val="20"/>
              </w:rPr>
              <w:t>提交成果。形成《西安市秦岭生态环境保护年度调研评估报告》一册，形 成西安市秦岭生态环境保护典型案例集一份。（本年度服务完成后，同时项目供 应商需做出承诺，配合采购人完成后续《西安市秦岭生态环境保护综合调研评估报告》事宜）。</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b/>
                <w:sz w:val="21"/>
              </w:rPr>
              <w:t>四、</w:t>
            </w:r>
            <w:r>
              <w:rPr>
                <w:rFonts w:ascii="宋体" w:hAnsi="宋体" w:cs="宋体" w:eastAsia="宋体"/>
                <w:b/>
                <w:sz w:val="21"/>
              </w:rPr>
              <w:t>进度安排</w:t>
            </w:r>
          </w:p>
          <w:p>
            <w:pPr>
              <w:pStyle w:val="null3"/>
            </w:pPr>
            <w:r>
              <w:rPr>
                <w:rFonts w:ascii="calibri" w:hAnsi="calibri" w:cs="calibri" w:eastAsia="calibri"/>
              </w:rPr>
              <w:t>5</w:t>
            </w:r>
            <w:r>
              <w:rPr>
                <w:rFonts w:ascii="宋体" w:hAnsi="宋体" w:cs="宋体" w:eastAsia="宋体"/>
              </w:rPr>
              <w:t>月</w:t>
            </w:r>
            <w:r>
              <w:rPr>
                <w:rFonts w:ascii="calibri" w:hAnsi="calibri" w:cs="calibri" w:eastAsia="calibri"/>
              </w:rPr>
              <w:t>1</w:t>
            </w:r>
            <w:r>
              <w:rPr>
                <w:rFonts w:ascii="宋体" w:hAnsi="宋体" w:cs="宋体" w:eastAsia="宋体"/>
              </w:rPr>
              <w:t>日至</w:t>
            </w:r>
            <w:r>
              <w:rPr>
                <w:rFonts w:ascii="calibri" w:hAnsi="calibri" w:cs="calibri" w:eastAsia="calibri"/>
              </w:rPr>
              <w:t>6</w:t>
            </w:r>
            <w:r>
              <w:rPr>
                <w:rFonts w:ascii="宋体" w:hAnsi="宋体" w:cs="宋体" w:eastAsia="宋体"/>
              </w:rPr>
              <w:t>月</w:t>
            </w:r>
            <w:r>
              <w:rPr>
                <w:rFonts w:ascii="calibri" w:hAnsi="calibri" w:cs="calibri" w:eastAsia="calibri"/>
              </w:rPr>
              <w:t>30</w:t>
            </w:r>
            <w:r>
              <w:rPr>
                <w:rFonts w:ascii="宋体" w:hAnsi="宋体" w:cs="宋体" w:eastAsia="宋体"/>
              </w:rPr>
              <w:t>日，组织组织团队开展年度综合评估的论证工作、做资料分析。</w:t>
            </w:r>
          </w:p>
          <w:p>
            <w:pPr>
              <w:pStyle w:val="null3"/>
            </w:pPr>
            <w:r>
              <w:rPr>
                <w:rFonts w:ascii="calibri" w:hAnsi="calibri" w:cs="calibri" w:eastAsia="calibri"/>
              </w:rPr>
              <w:t>7</w:t>
            </w:r>
            <w:r>
              <w:rPr>
                <w:rFonts w:ascii="宋体" w:hAnsi="宋体" w:cs="宋体" w:eastAsia="宋体"/>
              </w:rPr>
              <w:t>月</w:t>
            </w:r>
            <w:r>
              <w:rPr>
                <w:rFonts w:ascii="calibri" w:hAnsi="calibri" w:cs="calibri" w:eastAsia="calibri"/>
              </w:rPr>
              <w:t>1</w:t>
            </w:r>
            <w:r>
              <w:rPr>
                <w:rFonts w:ascii="宋体" w:hAnsi="宋体" w:cs="宋体" w:eastAsia="宋体"/>
              </w:rPr>
              <w:t>日至</w:t>
            </w:r>
            <w:r>
              <w:rPr>
                <w:rFonts w:ascii="calibri" w:hAnsi="calibri" w:cs="calibri" w:eastAsia="calibri"/>
              </w:rPr>
              <w:t>9</w:t>
            </w:r>
            <w:r>
              <w:rPr>
                <w:rFonts w:ascii="宋体" w:hAnsi="宋体" w:cs="宋体" w:eastAsia="宋体"/>
              </w:rPr>
              <w:t>月</w:t>
            </w:r>
            <w:r>
              <w:rPr>
                <w:rFonts w:ascii="calibri" w:hAnsi="calibri" w:cs="calibri" w:eastAsia="calibri"/>
              </w:rPr>
              <w:t>30</w:t>
            </w:r>
            <w:r>
              <w:rPr>
                <w:rFonts w:ascii="宋体" w:hAnsi="宋体" w:cs="宋体" w:eastAsia="宋体"/>
              </w:rPr>
              <w:t>日，组织专家评审、实地调研撰写报告。</w:t>
            </w:r>
          </w:p>
          <w:p>
            <w:pPr>
              <w:pStyle w:val="null3"/>
            </w:pPr>
            <w:r>
              <w:rPr>
                <w:rFonts w:ascii="calibri" w:hAnsi="calibri" w:cs="calibri" w:eastAsia="calibri"/>
              </w:rPr>
              <w:t>10</w:t>
            </w:r>
            <w:r>
              <w:rPr>
                <w:rFonts w:ascii="宋体" w:hAnsi="宋体" w:cs="宋体" w:eastAsia="宋体"/>
              </w:rPr>
              <w:t>月</w:t>
            </w:r>
            <w:r>
              <w:rPr>
                <w:rFonts w:ascii="calibri" w:hAnsi="calibri" w:cs="calibri" w:eastAsia="calibri"/>
              </w:rPr>
              <w:t>1</w:t>
            </w:r>
            <w:r>
              <w:rPr>
                <w:rFonts w:ascii="宋体" w:hAnsi="宋体" w:cs="宋体" w:eastAsia="宋体"/>
              </w:rPr>
              <w:t>日至</w:t>
            </w:r>
            <w:r>
              <w:rPr>
                <w:rFonts w:ascii="calibri" w:hAnsi="calibri" w:cs="calibri" w:eastAsia="calibri"/>
              </w:rPr>
              <w:t>12</w:t>
            </w:r>
            <w:r>
              <w:rPr>
                <w:rFonts w:ascii="宋体" w:hAnsi="宋体" w:cs="宋体" w:eastAsia="宋体"/>
              </w:rPr>
              <w:t>月</w:t>
            </w:r>
            <w:r>
              <w:rPr>
                <w:rFonts w:ascii="calibri" w:hAnsi="calibri" w:cs="calibri" w:eastAsia="calibri"/>
              </w:rPr>
              <w:t>20</w:t>
            </w:r>
            <w:r>
              <w:rPr>
                <w:rFonts w:ascii="宋体" w:hAnsi="宋体" w:cs="宋体" w:eastAsia="宋体"/>
              </w:rPr>
              <w:t>日，组织专家评审、完成项目结题。</w:t>
            </w:r>
          </w:p>
          <w:p>
            <w:pPr>
              <w:pStyle w:val="null3"/>
              <w:jc w:val="both"/>
            </w:pPr>
            <w:r>
              <w:rPr>
                <w:rFonts w:ascii="calibri" w:hAnsi="calibri" w:cs="calibri" w:eastAsia="calibri"/>
                <w:sz w:val="21"/>
              </w:rPr>
              <w:t>12</w:t>
            </w:r>
            <w:r>
              <w:rPr>
                <w:rFonts w:ascii="宋体" w:hAnsi="宋体" w:cs="宋体" w:eastAsia="宋体"/>
                <w:sz w:val="21"/>
              </w:rPr>
              <w:t>月</w:t>
            </w:r>
            <w:r>
              <w:rPr>
                <w:rFonts w:ascii="calibri" w:hAnsi="calibri" w:cs="calibri" w:eastAsia="calibri"/>
                <w:sz w:val="21"/>
              </w:rPr>
              <w:t>21</w:t>
            </w:r>
            <w:r>
              <w:rPr>
                <w:rFonts w:ascii="宋体" w:hAnsi="宋体" w:cs="宋体" w:eastAsia="宋体"/>
                <w:sz w:val="21"/>
              </w:rPr>
              <w:t>日至</w:t>
            </w:r>
            <w:r>
              <w:rPr>
                <w:rFonts w:ascii="calibri" w:hAnsi="calibri" w:cs="calibri" w:eastAsia="calibri"/>
                <w:sz w:val="21"/>
              </w:rPr>
              <w:t>12</w:t>
            </w:r>
            <w:r>
              <w:rPr>
                <w:rFonts w:ascii="宋体" w:hAnsi="宋体" w:cs="宋体" w:eastAsia="宋体"/>
                <w:sz w:val="21"/>
              </w:rPr>
              <w:t>月</w:t>
            </w:r>
            <w:r>
              <w:rPr>
                <w:rFonts w:ascii="calibri" w:hAnsi="calibri" w:cs="calibri" w:eastAsia="calibri"/>
                <w:sz w:val="21"/>
              </w:rPr>
              <w:t>31</w:t>
            </w:r>
            <w:r>
              <w:rPr>
                <w:rFonts w:ascii="宋体" w:hAnsi="宋体" w:cs="宋体" w:eastAsia="宋体"/>
                <w:sz w:val="21"/>
              </w:rPr>
              <w:t>日，对项目完成情况进行评价。</w:t>
            </w:r>
          </w:p>
        </w:tc>
      </w:tr>
    </w:tbl>
    <w:p>
      <w:pPr>
        <w:pStyle w:val="null3"/>
        <w:outlineLvl w:val="2"/>
      </w:pPr>
      <w:r>
        <w:rPr>
          <w:b/>
          <w:sz w:val="28"/>
        </w:rPr>
        <w:t>3.2.3人员配置要求</w:t>
      </w:r>
    </w:p>
    <w:p>
      <w:pPr>
        <w:pStyle w:val="null3"/>
      </w:pPr>
      <w:r>
        <w:rPr/>
        <w:t>采购包1：</w:t>
      </w:r>
    </w:p>
    <w:p>
      <w:pPr>
        <w:pStyle w:val="null3"/>
      </w:pPr>
      <w:r>
        <w:rPr/>
        <w:t>符合本项目采购需求的专业人员 详见采购文件评审标准</w:t>
      </w:r>
    </w:p>
    <w:p>
      <w:pPr>
        <w:pStyle w:val="null3"/>
        <w:outlineLvl w:val="2"/>
      </w:pPr>
      <w:r>
        <w:rPr>
          <w:b/>
          <w:sz w:val="28"/>
        </w:rPr>
        <w:t>3.2.4设施设备要求</w:t>
      </w:r>
    </w:p>
    <w:p>
      <w:pPr>
        <w:pStyle w:val="null3"/>
      </w:pPr>
      <w:r>
        <w:rPr/>
        <w:t>采购包1：</w:t>
      </w:r>
    </w:p>
    <w:p>
      <w:pPr>
        <w:pStyle w:val="null3"/>
      </w:pPr>
      <w:r>
        <w:rPr/>
        <w:t>满足采购项目要求</w:t>
      </w:r>
    </w:p>
    <w:p>
      <w:pPr>
        <w:pStyle w:val="null3"/>
        <w:outlineLvl w:val="2"/>
      </w:pPr>
      <w:r>
        <w:rPr>
          <w:b/>
          <w:sz w:val="28"/>
        </w:rPr>
        <w:t>3.2.5其他要求</w:t>
      </w:r>
    </w:p>
    <w:p>
      <w:pPr>
        <w:pStyle w:val="null3"/>
      </w:pPr>
      <w:r>
        <w:rPr/>
        <w:t>采购包1：</w:t>
      </w:r>
    </w:p>
    <w:p>
      <w:pPr>
        <w:pStyle w:val="null3"/>
      </w:pPr>
      <w:r>
        <w:rPr/>
        <w:t>满足采购项目要求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按行业标准、磋商文件、磋商响应文件及澄清函、项目检查情况等综合指标进行验收。各项指标均应符合验收标准及要求。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以签订合同为准</w:t>
      </w:r>
      <w:r>
        <w:rPr/>
        <w:t xml:space="preserve"> ，达到付款条件起 </w:t>
      </w:r>
      <w:r>
        <w:rPr/>
        <w:t>99</w:t>
      </w:r>
      <w:r>
        <w:rPr/>
        <w:t xml:space="preserve"> 日内，支付合同总金额的 </w:t>
      </w:r>
      <w:r>
        <w:rPr/>
        <w:t>50.00</w:t>
      </w:r>
      <w:r>
        <w:rPr/>
        <w:t>%。</w:t>
      </w:r>
    </w:p>
    <w:p>
      <w:pPr>
        <w:pStyle w:val="null3"/>
      </w:pPr>
      <w:r>
        <w:rPr/>
        <w:t>采购包1：</w:t>
      </w:r>
      <w:r>
        <w:rPr/>
        <w:t xml:space="preserve"> 付款条件说明： </w:t>
      </w:r>
      <w:r>
        <w:rPr/>
        <w:t xml:space="preserve"> 以签订合同为准</w:t>
      </w:r>
      <w:r>
        <w:rPr/>
        <w:t xml:space="preserve"> ，达到付款条件起 </w:t>
      </w:r>
      <w:r>
        <w:rPr/>
        <w:t>99</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资格证明文件 其它资料 服务内容及服务邀请应答表 中小企业声明函 残疾人福利性单位声明函 商务应答表 服务方案 供应商应提交的相关资格证明材料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资格证明文件 其它资料 服务内容及服务邀请应答表 商务应答表 服务方案 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资格证明文件 其它资料 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响应供应商需提供合法有效的统一社会信用代码营业执照：投标供应商需提供合法有效的统一社会信用代码营业执照（事业单位提供事业单位法人证书，自然人应提供身份证）</w:t>
            </w:r>
          </w:p>
        </w:tc>
        <w:tc>
          <w:tcPr>
            <w:tcW w:type="dxa" w:w="1661"/>
          </w:tcPr>
          <w:p>
            <w:pPr>
              <w:pStyle w:val="null3"/>
            </w:pPr>
            <w:r>
              <w:rPr/>
              <w:t>资格证明文件 其它资料 供应商应提交的相关资格证明材料 响应函</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参加投标的，须提供本人身份证加盖公章的复印件；法定代表人授权他人参加投标的，须提供法定代表人授权委托书及被授权代表的身份证复印件。：法定代表人参加投标的，须提供法定代表人身份证明及本人身份证加盖公章的复印件；法定代表人授权他人参加投标的，须提供法定代表人授权委托书及被授权代表的身份证复印件。（非法人单位的负责人参照法定代表人提供相关资料）</w:t>
            </w:r>
          </w:p>
        </w:tc>
        <w:tc>
          <w:tcPr>
            <w:tcW w:type="dxa" w:w="1661"/>
          </w:tcPr>
          <w:p>
            <w:pPr>
              <w:pStyle w:val="null3"/>
            </w:pPr>
            <w:r>
              <w:rPr/>
              <w:t>资格证明文件 其它资料 供应商应提交的相关资格证明材料 响应函</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提供2022年或2023年度具有财务审计资质的单位出具的财务报告或基本存款账户开户银行出具的资信证明（附开户许可证或基本存款账户信息）</w:t>
            </w:r>
          </w:p>
        </w:tc>
        <w:tc>
          <w:tcPr>
            <w:tcW w:type="dxa" w:w="1661"/>
          </w:tcPr>
          <w:p>
            <w:pPr>
              <w:pStyle w:val="null3"/>
            </w:pPr>
            <w:r>
              <w:rPr/>
              <w:t>资格证明文件 其它资料 供应商应提交的相关资格证明材料 响应函</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提供2023年3月1日至开标截止日，任意一个月的纳税凭据，依法免税的应提供相关证明材料</w:t>
            </w:r>
          </w:p>
        </w:tc>
        <w:tc>
          <w:tcPr>
            <w:tcW w:type="dxa" w:w="1661"/>
          </w:tcPr>
          <w:p>
            <w:pPr>
              <w:pStyle w:val="null3"/>
            </w:pPr>
            <w:r>
              <w:rPr/>
              <w:t>资格证明文件 其它资料 供应商应提交的相关资格证明材料 响应函</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提供2023年3月1日至开标截止日，任意一个月的社会保障资金缴存单据或社保机构开具的社会保险参保缴费情况证明，依法不需要缴纳社会保障资金的应提供相关证明材料</w:t>
            </w:r>
          </w:p>
        </w:tc>
        <w:tc>
          <w:tcPr>
            <w:tcW w:type="dxa" w:w="1661"/>
          </w:tcPr>
          <w:p>
            <w:pPr>
              <w:pStyle w:val="null3"/>
            </w:pPr>
            <w:r>
              <w:rPr/>
              <w:t>资格证明文件 其它资料 供应商应提交的相关资格证明材料 响应函</w:t>
            </w:r>
          </w:p>
        </w:tc>
      </w:tr>
      <w:tr>
        <w:tc>
          <w:tcPr>
            <w:tcW w:type="dxa" w:w="831"/>
          </w:tcPr>
          <w:p>
            <w:pPr>
              <w:pStyle w:val="null3"/>
            </w:pPr>
            <w:r>
              <w:rPr/>
              <w:t>6</w:t>
            </w:r>
          </w:p>
        </w:tc>
        <w:tc>
          <w:tcPr>
            <w:tcW w:type="dxa" w:w="2492"/>
          </w:tcPr>
          <w:p>
            <w:pPr>
              <w:pStyle w:val="null3"/>
            </w:pPr>
            <w:r>
              <w:rPr/>
              <w:t>承诺书</w:t>
            </w:r>
          </w:p>
        </w:tc>
        <w:tc>
          <w:tcPr>
            <w:tcW w:type="dxa" w:w="3322"/>
          </w:tcPr>
          <w:p>
            <w:pPr>
              <w:pStyle w:val="null3"/>
            </w:pPr>
            <w:r>
              <w:rPr/>
              <w:t>提供具有履行本合同所必需的设备和专业技术能力的承诺：提供具有履行本合同所必需的设备和专业技术能力的承诺</w:t>
            </w:r>
          </w:p>
        </w:tc>
        <w:tc>
          <w:tcPr>
            <w:tcW w:type="dxa" w:w="1661"/>
          </w:tcPr>
          <w:p>
            <w:pPr>
              <w:pStyle w:val="null3"/>
            </w:pPr>
            <w:r>
              <w:rPr/>
              <w:t>资格证明文件 其它资料 供应商应提交的相关资格证明材料 响应函</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 其它资料 供应商应提交的相关资格证明材料 响应函</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供应商不得为“信用中国 (www.creditchina.gov.cn)”中严重失信主体名单、严重税收违法失信主体的供应商，“中国执行信息公开网 (http://zxgk.court.gov.cn/shixin/)”中列入失信被执行人的供应商，不得为“中国政府采购网(www.ccgp.gov.cn)”政府采购严重违法失信行为记录名单中被财政部门禁止参加政府采购活动的供应商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t>资格证明文件 其它资料 供应商应提交的相关资格证明材料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磋商响应文件中需要供应商、法定代表人或其授权代表人盖章、签字处有盖章、签字</w:t>
            </w:r>
          </w:p>
        </w:tc>
        <w:tc>
          <w:tcPr>
            <w:tcW w:type="dxa" w:w="1661"/>
          </w:tcPr>
          <w:p>
            <w:pPr>
              <w:pStyle w:val="null3"/>
            </w:pPr>
            <w:r>
              <w:rPr/>
              <w:t>响应文件封面 资格证明文件 其它资料 服务内容及服务邀请应答表 商务应答表 服务方案 供应商应提交的相关资格证明材料 标的清单 报价表 响应函</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应符合“响应文件格式”和磋商文件要求</w:t>
            </w:r>
          </w:p>
        </w:tc>
        <w:tc>
          <w:tcPr>
            <w:tcW w:type="dxa" w:w="1661"/>
          </w:tcPr>
          <w:p>
            <w:pPr>
              <w:pStyle w:val="null3"/>
            </w:pPr>
            <w:r>
              <w:rPr/>
              <w:t>响应文件封面 资格证明文件 其它资料 服务内容及服务邀请应答表 商务应答表 供应商应提交的相关资格证明材料 标的清单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只能有一个有效报价，不得提交选择性报价，且报价不超过预算。</w:t>
            </w:r>
          </w:p>
        </w:tc>
        <w:tc>
          <w:tcPr>
            <w:tcW w:type="dxa" w:w="1661"/>
          </w:tcPr>
          <w:p>
            <w:pPr>
              <w:pStyle w:val="null3"/>
            </w:pPr>
            <w:r>
              <w:rPr/>
              <w:t>响应文件封面 标的清单 报价表 响应函</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资格证明文件 其它资料 服务内容及服务邀请应答表 商务应答表 供应商应提交的相关资格证明材料 标的清单 报价表 响应函</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w:t>
            </w:r>
          </w:p>
        </w:tc>
        <w:tc>
          <w:tcPr>
            <w:tcW w:type="dxa" w:w="1661"/>
          </w:tcPr>
          <w:p>
            <w:pPr>
              <w:pStyle w:val="null3"/>
            </w:pPr>
            <w:r>
              <w:rPr/>
              <w:t>响应文件封面 服务内容及服务邀请应答表 商务应答表 标的清单 报价表 响应函</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应满足磋商文件中的规定</w:t>
            </w:r>
          </w:p>
        </w:tc>
        <w:tc>
          <w:tcPr>
            <w:tcW w:type="dxa" w:w="1661"/>
          </w:tcPr>
          <w:p>
            <w:pPr>
              <w:pStyle w:val="null3"/>
            </w:pPr>
            <w:r>
              <w:rPr/>
              <w:t>响应文件封面 资格证明文件 其它资料 服务内容及服务邀请应答表 商务应答表 供应商应提交的相关资格证明材料 标的清单 报价表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理解程度</w:t>
            </w:r>
          </w:p>
        </w:tc>
        <w:tc>
          <w:tcPr>
            <w:tcW w:type="dxa" w:w="2492"/>
          </w:tcPr>
          <w:p>
            <w:pPr>
              <w:pStyle w:val="null3"/>
            </w:pPr>
            <w:r>
              <w:rPr/>
              <w:t>供应商对本项目有充分的了解，针对本项目提供的项目实施总体思路以及对本项目的理解程度进行综合评分： 内容完整、健全、完善可得（10-15］分； 内容较为完整、健全、完善可得（5-10］分； 内容不够完整、健全、完善可得（0-5］分。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服务方案</w:t>
            </w:r>
          </w:p>
        </w:tc>
        <w:tc>
          <w:tcPr>
            <w:tcW w:type="dxa" w:w="2492"/>
          </w:tcPr>
          <w:p>
            <w:pPr>
              <w:pStyle w:val="null3"/>
            </w:pPr>
            <w:r>
              <w:rPr/>
              <w:t>根据供应商针对本项目提供的项目编制方案进行综合评审，内容包含但不限于：①项目编制依据；②报告编写提 纲；③ 项目评估方式和方法；④项目主要评估内容；⑤项目指标分值等。 内容完整、健全、完善可得（10-15］分； 内容较为完整、健全、完善可得（5-10］分； 内容不够完整、健全、完善可得（0-5］分。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进度安排</w:t>
            </w:r>
          </w:p>
        </w:tc>
        <w:tc>
          <w:tcPr>
            <w:tcW w:type="dxa" w:w="2492"/>
          </w:tcPr>
          <w:p>
            <w:pPr>
              <w:pStyle w:val="null3"/>
            </w:pPr>
            <w:r>
              <w:rPr/>
              <w:t>根据供应商针对本项目提供的进度安排方案进行综合评 审， 内容包含但不限于：①项目总体进度目标；②项目进度安排；③进度保障措施等。 内容完整、健全、完善可得（10-15］分； 内容较为完整、健全、完善可得（5-10］分； 内容不够完整、健全、完善可得（0-5］分。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质量保证</w:t>
            </w:r>
          </w:p>
        </w:tc>
        <w:tc>
          <w:tcPr>
            <w:tcW w:type="dxa" w:w="2492"/>
          </w:tcPr>
          <w:p>
            <w:pPr>
              <w:pStyle w:val="null3"/>
            </w:pPr>
            <w:r>
              <w:rPr/>
              <w:t>根据供应商针对本项目提供的质量控制方案进行综合评审，内容包含但不限于：①质量保障制度；②成果质量验收措施等。 内容完整、健全、完善可得（10-15］分； 内容较为完整、健全、完善可得（5-10］分； 内容不够完整、健全、完善可得（0-5］分。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人员配备</w:t>
            </w:r>
          </w:p>
        </w:tc>
        <w:tc>
          <w:tcPr>
            <w:tcW w:type="dxa" w:w="2492"/>
          </w:tcPr>
          <w:p>
            <w:pPr>
              <w:pStyle w:val="null3"/>
            </w:pPr>
            <w:r>
              <w:rPr/>
              <w:t>供应商拟派项目负责人：具有中级职称证书并参加过生态 环境保护类项目或第三方评估类项目得 3 分，具有高级职称证书并参加过生态环境保护类项目或第三方评估类项目的，得 6 分，本项最多得 6 分，没有或未提供不得分。 供应商拟派服务团队人员（项目负责人除外）：具有中级及以上职称证书并参与过生态环保类项目或第三方评估类 项目的，每有一人得 2 分，本项最多得 4 分，没有或未提供不得分。 注：以上人员不重复计分，提供人员证书及证明材料复印件加盖供应商公章。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合理化建议</w:t>
            </w:r>
          </w:p>
        </w:tc>
        <w:tc>
          <w:tcPr>
            <w:tcW w:type="dxa" w:w="2492"/>
          </w:tcPr>
          <w:p>
            <w:pPr>
              <w:pStyle w:val="null3"/>
            </w:pPr>
            <w:r>
              <w:rPr/>
              <w:t>针对本项目实际情况，提出合理化建议。通过综合比较合理行及可行性，内容完整、健全、完善可得（4-5］分； 内容较为完整、健全、完善可得（2-4］分； 内容不够完整、健全、完善可得（1-2］分。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服务承诺</w:t>
            </w:r>
          </w:p>
        </w:tc>
        <w:tc>
          <w:tcPr>
            <w:tcW w:type="dxa" w:w="2492"/>
          </w:tcPr>
          <w:p>
            <w:pPr>
              <w:pStyle w:val="null3"/>
            </w:pPr>
            <w:r>
              <w:rPr/>
              <w:t>根据供应商提供的针对本项目的后续服务方案进行综合评审，内容包含但不限于：①后续服务人员配备；②针对后期成果存在问题的解决措施等。 内容完整、健全、完善可得（4-5］分； 内容较为完整、健全、完善可得（2-4］分； 内容不够完整、健全、完善可得（1-2］分。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vMerge/>
          </w:tcPr>
          <w:p/>
        </w:tc>
        <w:tc>
          <w:tcPr>
            <w:tcW w:type="dxa" w:w="1661"/>
          </w:tcPr>
          <w:p>
            <w:pPr>
              <w:pStyle w:val="null3"/>
            </w:pPr>
            <w:r>
              <w:rPr/>
              <w:t>业绩</w:t>
            </w:r>
          </w:p>
        </w:tc>
        <w:tc>
          <w:tcPr>
            <w:tcW w:type="dxa" w:w="2492"/>
          </w:tcPr>
          <w:p>
            <w:pPr>
              <w:pStyle w:val="null3"/>
            </w:pPr>
            <w:r>
              <w:rPr/>
              <w:t>近五年（2020年 1 月 1 日起至今）具有类似业绩每有一项得 2 分，最多得 10 分。 备注：以提供的合同或中标通知书或项目业务委托单及相关证明材料并加盖单位公章的复印件为准。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供应商应提交的相关资格证明材料</w:t>
            </w:r>
          </w:p>
          <w:p>
            <w:pPr>
              <w:pStyle w:val="null3"/>
            </w:pPr>
            <w:r>
              <w:rPr/>
              <w:t>资格证明文件</w:t>
            </w:r>
          </w:p>
          <w:p>
            <w:pPr>
              <w:pStyle w:val="null3"/>
            </w:pPr>
            <w:r>
              <w:rPr/>
              <w:t>其它资料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满足磋商文件要求且最后报价最低的供应商的价格为磋商基准价，其价格分为10分。其他供应商的价格分统一按照下列公式计算：磋商报价得分=（磋商基准价/最后磋商报价）×10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