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89" w:line="224" w:lineRule="auto"/>
        <w:jc w:val="center"/>
        <w:outlineLvl w:val="0"/>
        <w:rPr>
          <w:sz w:val="31"/>
          <w:szCs w:val="31"/>
        </w:rPr>
      </w:pPr>
      <w:r>
        <w:rPr>
          <w:spacing w:val="9"/>
          <w:sz w:val="31"/>
          <w:szCs w:val="31"/>
          <w14:textOutline w14:w="5793" w14:cap="sq" w14:cmpd="sng">
            <w14:solidFill>
              <w14:srgbClr w14:val="000000"/>
            </w14:solidFill>
            <w14:prstDash w14:val="solid"/>
            <w14:bevel/>
          </w14:textOutline>
        </w:rPr>
        <w:t>合同格式</w:t>
      </w:r>
    </w:p>
    <w:p>
      <w:pPr>
        <w:pStyle w:val="2"/>
        <w:spacing w:before="245" w:line="225" w:lineRule="auto"/>
        <w:ind w:left="3236"/>
        <w:rPr>
          <w:sz w:val="31"/>
          <w:szCs w:val="31"/>
        </w:rPr>
      </w:pPr>
      <w:r>
        <w:rPr>
          <w:spacing w:val="4"/>
          <w:sz w:val="31"/>
          <w:szCs w:val="31"/>
          <w14:textOutline w14:w="5793" w14:cap="sq" w14:cmpd="sng">
            <w14:solidFill>
              <w14:srgbClr w14:val="000000"/>
            </w14:solidFill>
            <w14:prstDash w14:val="solid"/>
            <w14:bevel/>
          </w14:textOutline>
        </w:rPr>
        <w:t>（参考格式）</w:t>
      </w:r>
    </w:p>
    <w:p>
      <w:pPr>
        <w:spacing w:line="248" w:lineRule="auto"/>
        <w:rPr>
          <w:rFonts w:ascii="Arial"/>
          <w:sz w:val="21"/>
        </w:rPr>
      </w:pPr>
    </w:p>
    <w:p>
      <w:pPr>
        <w:spacing w:line="249" w:lineRule="auto"/>
        <w:rPr>
          <w:rFonts w:ascii="Arial"/>
          <w:sz w:val="21"/>
        </w:rPr>
      </w:pPr>
    </w:p>
    <w:p>
      <w:pPr>
        <w:pStyle w:val="2"/>
        <w:spacing w:before="78" w:line="540" w:lineRule="exact"/>
        <w:ind w:left="40"/>
        <w:rPr>
          <w:rFonts w:hint="default" w:eastAsia="宋体"/>
          <w:sz w:val="24"/>
          <w:szCs w:val="24"/>
          <w:u w:val="single"/>
          <w:lang w:val="en-US" w:eastAsia="zh-CN"/>
        </w:rPr>
      </w:pPr>
      <w:r>
        <w:rPr>
          <w:spacing w:val="-14"/>
          <w:position w:val="23"/>
          <w:sz w:val="24"/>
          <w:szCs w:val="24"/>
          <w14:textOutline w14:w="4358" w14:cap="sq" w14:cmpd="sng">
            <w14:solidFill>
              <w14:srgbClr w14:val="000000"/>
            </w14:solidFill>
            <w14:prstDash w14:val="solid"/>
            <w14:bevel/>
          </w14:textOutline>
        </w:rPr>
        <w:t>甲方：</w:t>
      </w:r>
      <w:r>
        <w:rPr>
          <w:rFonts w:hint="eastAsia"/>
          <w:spacing w:val="-14"/>
          <w:position w:val="23"/>
          <w:sz w:val="24"/>
          <w:szCs w:val="24"/>
          <w:lang w:val="en-US" w:eastAsia="zh-CN"/>
          <w14:textOutline w14:w="4358" w14:cap="sq" w14:cmpd="sng">
            <w14:solidFill>
              <w14:srgbClr w14:val="000000"/>
            </w14:solidFill>
            <w14:prstDash w14:val="solid"/>
            <w14:bevel/>
          </w14:textOutline>
        </w:rPr>
        <w:t xml:space="preserve">  </w:t>
      </w:r>
      <w:r>
        <w:rPr>
          <w:rFonts w:hint="eastAsia"/>
          <w:spacing w:val="-14"/>
          <w:position w:val="23"/>
          <w:sz w:val="24"/>
          <w:szCs w:val="24"/>
          <w:u w:val="single"/>
          <w:lang w:val="en-US" w:eastAsia="zh-CN"/>
          <w14:textOutline w14:w="4358" w14:cap="sq" w14:cmpd="sng">
            <w14:solidFill>
              <w14:srgbClr w14:val="000000"/>
            </w14:solidFill>
            <w14:prstDash w14:val="solid"/>
            <w14:bevel/>
          </w14:textOutline>
        </w:rPr>
        <w:t xml:space="preserve">                                    </w:t>
      </w:r>
    </w:p>
    <w:p>
      <w:pPr>
        <w:pStyle w:val="2"/>
        <w:spacing w:before="1" w:line="220" w:lineRule="auto"/>
        <w:ind w:left="32"/>
        <w:rPr>
          <w:rFonts w:hint="default" w:eastAsia="宋体"/>
          <w:sz w:val="24"/>
          <w:szCs w:val="24"/>
          <w:u w:val="single"/>
          <w:lang w:val="en-US" w:eastAsia="zh-CN"/>
        </w:rPr>
      </w:pPr>
      <w:r>
        <w:rPr>
          <w:spacing w:val="-11"/>
          <w:sz w:val="24"/>
          <w:szCs w:val="24"/>
          <w14:textOutline w14:w="4358" w14:cap="sq" w14:cmpd="sng">
            <w14:solidFill>
              <w14:srgbClr w14:val="000000"/>
            </w14:solidFill>
            <w14:prstDash w14:val="solid"/>
            <w14:bevel/>
          </w14:textOutline>
        </w:rPr>
        <w:t>乙方：</w:t>
      </w:r>
      <w:r>
        <w:rPr>
          <w:rFonts w:hint="eastAsia"/>
          <w:spacing w:val="-11"/>
          <w:sz w:val="24"/>
          <w:szCs w:val="24"/>
          <w:lang w:val="en-US" w:eastAsia="zh-CN"/>
          <w14:textOutline w14:w="4358" w14:cap="sq" w14:cmpd="sng">
            <w14:solidFill>
              <w14:srgbClr w14:val="000000"/>
            </w14:solidFill>
            <w14:prstDash w14:val="solid"/>
            <w14:bevel/>
          </w14:textOutline>
        </w:rPr>
        <w:t xml:space="preserve">  </w:t>
      </w:r>
      <w:r>
        <w:rPr>
          <w:rFonts w:hint="eastAsia"/>
          <w:spacing w:val="-11"/>
          <w:sz w:val="24"/>
          <w:szCs w:val="24"/>
          <w:u w:val="single"/>
          <w:lang w:val="en-US" w:eastAsia="zh-CN"/>
          <w14:textOutline w14:w="4358" w14:cap="sq" w14:cmpd="sng">
            <w14:solidFill>
              <w14:srgbClr w14:val="000000"/>
            </w14:solidFill>
            <w14:prstDash w14:val="solid"/>
            <w14:bevel/>
          </w14:textOutline>
        </w:rPr>
        <w:t xml:space="preserve">                                 </w:t>
      </w:r>
    </w:p>
    <w:p>
      <w:pPr>
        <w:spacing w:line="355" w:lineRule="auto"/>
        <w:rPr>
          <w:rFonts w:ascii="Arial"/>
          <w:sz w:val="21"/>
        </w:rPr>
      </w:pPr>
    </w:p>
    <w:p>
      <w:pPr>
        <w:spacing w:line="355" w:lineRule="auto"/>
        <w:rPr>
          <w:rFonts w:ascii="Arial"/>
          <w:sz w:val="21"/>
        </w:rPr>
      </w:pPr>
    </w:p>
    <w:p>
      <w:pPr>
        <w:pStyle w:val="2"/>
        <w:spacing w:before="78" w:line="540" w:lineRule="exact"/>
        <w:ind w:left="489"/>
        <w:rPr>
          <w:sz w:val="24"/>
          <w:szCs w:val="24"/>
        </w:rPr>
      </w:pPr>
      <w:r>
        <w:rPr>
          <w:spacing w:val="-1"/>
          <w:position w:val="23"/>
          <w:sz w:val="24"/>
          <w:szCs w:val="24"/>
        </w:rPr>
        <w:t>根据《中华人民共和国民法典》及有关规定，双方本着公平友好</w:t>
      </w:r>
      <w:r>
        <w:rPr>
          <w:spacing w:val="-2"/>
          <w:position w:val="23"/>
          <w:sz w:val="24"/>
          <w:szCs w:val="24"/>
        </w:rPr>
        <w:t>的原则，签</w:t>
      </w:r>
    </w:p>
    <w:p>
      <w:pPr>
        <w:pStyle w:val="2"/>
        <w:spacing w:line="218" w:lineRule="auto"/>
        <w:ind w:left="12"/>
        <w:rPr>
          <w:sz w:val="24"/>
          <w:szCs w:val="24"/>
        </w:rPr>
      </w:pPr>
      <w:r>
        <w:rPr>
          <w:spacing w:val="-1"/>
          <w:sz w:val="24"/>
          <w:szCs w:val="24"/>
        </w:rPr>
        <w:t>订本服务协议（以下简称“本合同</w:t>
      </w:r>
      <w:r>
        <w:rPr>
          <w:spacing w:val="-88"/>
          <w:sz w:val="24"/>
          <w:szCs w:val="24"/>
        </w:rPr>
        <w:t xml:space="preserve"> </w:t>
      </w:r>
      <w:r>
        <w:rPr>
          <w:spacing w:val="-1"/>
          <w:sz w:val="24"/>
          <w:szCs w:val="24"/>
        </w:rPr>
        <w:t>”</w:t>
      </w:r>
      <w:r>
        <w:rPr>
          <w:spacing w:val="-15"/>
          <w:sz w:val="24"/>
          <w:szCs w:val="24"/>
        </w:rPr>
        <w:t>）：</w:t>
      </w:r>
    </w:p>
    <w:p>
      <w:pPr>
        <w:pStyle w:val="2"/>
        <w:spacing w:before="256" w:line="219" w:lineRule="auto"/>
        <w:ind w:left="13"/>
        <w:rPr>
          <w:sz w:val="24"/>
          <w:szCs w:val="24"/>
        </w:rPr>
      </w:pPr>
      <w:r>
        <w:rPr>
          <w:spacing w:val="-2"/>
          <w:sz w:val="24"/>
          <w:szCs w:val="24"/>
          <w14:textOutline w14:w="4358" w14:cap="sq" w14:cmpd="sng">
            <w14:solidFill>
              <w14:srgbClr w14:val="000000"/>
            </w14:solidFill>
            <w14:prstDash w14:val="solid"/>
            <w14:bevel/>
          </w14:textOutline>
        </w:rPr>
        <w:t>一、服务项目</w:t>
      </w:r>
    </w:p>
    <w:p>
      <w:pPr>
        <w:pStyle w:val="2"/>
        <w:spacing w:before="255" w:line="218" w:lineRule="auto"/>
        <w:ind w:left="490"/>
        <w:rPr>
          <w:sz w:val="24"/>
          <w:szCs w:val="24"/>
        </w:rPr>
      </w:pPr>
      <w:r>
        <w:rPr>
          <w:spacing w:val="-1"/>
          <w:sz w:val="24"/>
          <w:szCs w:val="24"/>
        </w:rPr>
        <w:t>合作期内，乙方为甲方</w:t>
      </w:r>
      <w:r>
        <w:rPr>
          <w:spacing w:val="-1"/>
          <w:sz w:val="24"/>
          <w:szCs w:val="24"/>
          <w:u w:val="single" w:color="auto"/>
        </w:rPr>
        <w:t xml:space="preserve"> </w:t>
      </w:r>
      <w:bookmarkStart w:id="0" w:name="_GoBack"/>
      <w:bookmarkEnd w:id="0"/>
      <w:r>
        <w:rPr>
          <w:rFonts w:hint="eastAsia"/>
          <w:spacing w:val="-1"/>
          <w:sz w:val="24"/>
          <w:szCs w:val="24"/>
          <w:u w:val="single" w:color="auto"/>
        </w:rPr>
        <w:t>秦岭生态环境保护综合评估项目</w:t>
      </w:r>
      <w:r>
        <w:rPr>
          <w:spacing w:val="-1"/>
          <w:sz w:val="24"/>
          <w:szCs w:val="24"/>
          <w:u w:val="single" w:color="auto"/>
        </w:rPr>
        <w:t xml:space="preserve"> </w:t>
      </w:r>
      <w:r>
        <w:rPr>
          <w:spacing w:val="-107"/>
          <w:sz w:val="24"/>
          <w:szCs w:val="24"/>
        </w:rPr>
        <w:t xml:space="preserve"> </w:t>
      </w:r>
      <w:r>
        <w:rPr>
          <w:spacing w:val="-1"/>
          <w:sz w:val="24"/>
          <w:szCs w:val="24"/>
        </w:rPr>
        <w:t>提供成果报告服</w:t>
      </w:r>
      <w:r>
        <w:rPr>
          <w:spacing w:val="-2"/>
          <w:sz w:val="24"/>
          <w:szCs w:val="24"/>
        </w:rPr>
        <w:t>务。</w:t>
      </w:r>
    </w:p>
    <w:p>
      <w:pPr>
        <w:pStyle w:val="2"/>
        <w:spacing w:before="257" w:line="219" w:lineRule="auto"/>
        <w:ind w:left="13"/>
        <w:rPr>
          <w:sz w:val="24"/>
          <w:szCs w:val="24"/>
        </w:rPr>
      </w:pPr>
      <w:r>
        <w:rPr>
          <w:spacing w:val="-2"/>
          <w:sz w:val="24"/>
          <w:szCs w:val="24"/>
          <w14:textOutline w14:w="4358" w14:cap="sq" w14:cmpd="sng">
            <w14:solidFill>
              <w14:srgbClr w14:val="000000"/>
            </w14:solidFill>
            <w14:prstDash w14:val="solid"/>
            <w14:bevel/>
          </w14:textOutline>
        </w:rPr>
        <w:t>二、服务期间</w:t>
      </w:r>
    </w:p>
    <w:p>
      <w:pPr>
        <w:pStyle w:val="2"/>
        <w:spacing w:before="254" w:line="219" w:lineRule="auto"/>
        <w:ind w:left="512"/>
        <w:rPr>
          <w:sz w:val="24"/>
          <w:szCs w:val="24"/>
        </w:rPr>
      </w:pPr>
      <w:r>
        <w:rPr>
          <w:spacing w:val="-9"/>
          <w:sz w:val="24"/>
          <w:szCs w:val="24"/>
        </w:rPr>
        <w:t>乙方为甲方提供</w:t>
      </w:r>
      <w:r>
        <w:rPr>
          <w:spacing w:val="-9"/>
          <w:sz w:val="24"/>
          <w:szCs w:val="24"/>
          <w:u w:val="single" w:color="auto"/>
        </w:rPr>
        <w:t xml:space="preserve"> </w:t>
      </w:r>
      <w:r>
        <w:rPr>
          <w:rFonts w:hint="eastAsia"/>
          <w:spacing w:val="-9"/>
          <w:sz w:val="24"/>
          <w:szCs w:val="24"/>
          <w:u w:val="single" w:color="auto"/>
          <w:lang w:val="en-US" w:eastAsia="zh-CN"/>
        </w:rPr>
        <w:t xml:space="preserve">   </w:t>
      </w:r>
      <w:r>
        <w:rPr>
          <w:spacing w:val="-9"/>
          <w:sz w:val="24"/>
          <w:szCs w:val="24"/>
          <w:u w:val="single" w:color="auto"/>
        </w:rPr>
        <w:t xml:space="preserve"> </w:t>
      </w:r>
      <w:r>
        <w:rPr>
          <w:spacing w:val="-85"/>
          <w:sz w:val="24"/>
          <w:szCs w:val="24"/>
        </w:rPr>
        <w:t xml:space="preserve"> </w:t>
      </w:r>
      <w:r>
        <w:rPr>
          <w:spacing w:val="-9"/>
          <w:sz w:val="24"/>
          <w:szCs w:val="24"/>
        </w:rPr>
        <w:t>的服务，</w:t>
      </w:r>
      <w:r>
        <w:rPr>
          <w:spacing w:val="-72"/>
          <w:sz w:val="24"/>
          <w:szCs w:val="24"/>
        </w:rPr>
        <w:t xml:space="preserve"> </w:t>
      </w:r>
      <w:r>
        <w:rPr>
          <w:spacing w:val="-9"/>
          <w:sz w:val="24"/>
          <w:szCs w:val="24"/>
        </w:rPr>
        <w:t>自</w:t>
      </w:r>
      <w:r>
        <w:rPr>
          <w:spacing w:val="-120"/>
          <w:sz w:val="24"/>
          <w:szCs w:val="24"/>
        </w:rPr>
        <w:t xml:space="preserve"> </w:t>
      </w:r>
      <w:r>
        <w:rPr>
          <w:sz w:val="24"/>
          <w:szCs w:val="24"/>
          <w:u w:val="single" w:color="auto"/>
        </w:rPr>
        <w:t xml:space="preserve">  </w:t>
      </w:r>
      <w:r>
        <w:rPr>
          <w:spacing w:val="-109"/>
          <w:sz w:val="24"/>
          <w:szCs w:val="24"/>
        </w:rPr>
        <w:t xml:space="preserve"> </w:t>
      </w:r>
      <w:r>
        <w:rPr>
          <w:spacing w:val="-9"/>
          <w:sz w:val="24"/>
          <w:szCs w:val="24"/>
        </w:rPr>
        <w:t>年</w:t>
      </w:r>
      <w:r>
        <w:rPr>
          <w:spacing w:val="-9"/>
          <w:sz w:val="24"/>
          <w:szCs w:val="24"/>
          <w:u w:val="single" w:color="auto"/>
        </w:rPr>
        <w:t xml:space="preserve">  </w:t>
      </w:r>
      <w:r>
        <w:rPr>
          <w:spacing w:val="-105"/>
          <w:sz w:val="24"/>
          <w:szCs w:val="24"/>
        </w:rPr>
        <w:t xml:space="preserve"> </w:t>
      </w:r>
      <w:r>
        <w:rPr>
          <w:spacing w:val="-9"/>
          <w:sz w:val="24"/>
          <w:szCs w:val="24"/>
        </w:rPr>
        <w:t>月</w:t>
      </w:r>
      <w:r>
        <w:rPr>
          <w:spacing w:val="-9"/>
          <w:sz w:val="24"/>
          <w:szCs w:val="24"/>
          <w:u w:val="single" w:color="auto"/>
        </w:rPr>
        <w:t xml:space="preserve">  </w:t>
      </w:r>
      <w:r>
        <w:rPr>
          <w:spacing w:val="-69"/>
          <w:sz w:val="24"/>
          <w:szCs w:val="24"/>
        </w:rPr>
        <w:t xml:space="preserve"> </w:t>
      </w:r>
      <w:r>
        <w:rPr>
          <w:spacing w:val="-9"/>
          <w:sz w:val="24"/>
          <w:szCs w:val="24"/>
        </w:rPr>
        <w:t>日起至</w:t>
      </w:r>
      <w:r>
        <w:rPr>
          <w:sz w:val="24"/>
          <w:szCs w:val="24"/>
          <w:u w:val="single" w:color="auto"/>
        </w:rPr>
        <w:t xml:space="preserve">  </w:t>
      </w:r>
      <w:r>
        <w:rPr>
          <w:spacing w:val="-110"/>
          <w:sz w:val="24"/>
          <w:szCs w:val="24"/>
        </w:rPr>
        <w:t xml:space="preserve"> </w:t>
      </w:r>
      <w:r>
        <w:rPr>
          <w:spacing w:val="-9"/>
          <w:sz w:val="24"/>
          <w:szCs w:val="24"/>
        </w:rPr>
        <w:t>年</w:t>
      </w:r>
      <w:r>
        <w:rPr>
          <w:sz w:val="24"/>
          <w:szCs w:val="24"/>
          <w:u w:val="single" w:color="auto"/>
        </w:rPr>
        <w:t xml:space="preserve">  </w:t>
      </w:r>
      <w:r>
        <w:rPr>
          <w:spacing w:val="-105"/>
          <w:sz w:val="24"/>
          <w:szCs w:val="24"/>
        </w:rPr>
        <w:t xml:space="preserve"> </w:t>
      </w:r>
      <w:r>
        <w:rPr>
          <w:spacing w:val="-9"/>
          <w:sz w:val="24"/>
          <w:szCs w:val="24"/>
        </w:rPr>
        <w:t>月</w:t>
      </w:r>
      <w:r>
        <w:rPr>
          <w:sz w:val="24"/>
          <w:szCs w:val="24"/>
          <w:u w:val="single" w:color="auto"/>
        </w:rPr>
        <w:t xml:space="preserve">  </w:t>
      </w:r>
      <w:r>
        <w:rPr>
          <w:spacing w:val="-69"/>
          <w:sz w:val="24"/>
          <w:szCs w:val="24"/>
        </w:rPr>
        <w:t xml:space="preserve"> </w:t>
      </w:r>
      <w:r>
        <w:rPr>
          <w:spacing w:val="-9"/>
          <w:sz w:val="24"/>
          <w:szCs w:val="24"/>
        </w:rPr>
        <w:t>日止。</w:t>
      </w:r>
    </w:p>
    <w:p>
      <w:pPr>
        <w:pStyle w:val="2"/>
        <w:spacing w:before="257" w:line="219" w:lineRule="auto"/>
        <w:ind w:left="9"/>
        <w:rPr>
          <w:sz w:val="24"/>
          <w:szCs w:val="24"/>
        </w:rPr>
      </w:pPr>
      <w:r>
        <w:rPr>
          <w:spacing w:val="-1"/>
          <w:sz w:val="24"/>
          <w:szCs w:val="24"/>
          <w14:textOutline w14:w="4358" w14:cap="sq" w14:cmpd="sng">
            <w14:solidFill>
              <w14:srgbClr w14:val="000000"/>
            </w14:solidFill>
            <w14:prstDash w14:val="solid"/>
            <w14:bevel/>
          </w14:textOutline>
        </w:rPr>
        <w:t>三、服务内容</w:t>
      </w:r>
    </w:p>
    <w:p>
      <w:pPr>
        <w:pStyle w:val="2"/>
        <w:spacing w:before="254" w:line="219" w:lineRule="auto"/>
        <w:ind w:left="512"/>
        <w:rPr>
          <w:spacing w:val="-5"/>
          <w:sz w:val="24"/>
          <w:szCs w:val="24"/>
        </w:rPr>
      </w:pPr>
      <w:r>
        <w:rPr>
          <w:spacing w:val="-5"/>
          <w:sz w:val="24"/>
          <w:szCs w:val="24"/>
        </w:rPr>
        <w:t>乙方为甲方提供：</w:t>
      </w:r>
    </w:p>
    <w:p>
      <w:pPr>
        <w:pStyle w:val="2"/>
        <w:keepNext w:val="0"/>
        <w:keepLines w:val="0"/>
        <w:pageBreakBefore w:val="0"/>
        <w:widowControl/>
        <w:kinsoku w:val="0"/>
        <w:wordWrap/>
        <w:overflowPunct/>
        <w:topLinePunct w:val="0"/>
        <w:autoSpaceDE w:val="0"/>
        <w:autoSpaceDN w:val="0"/>
        <w:bidi w:val="0"/>
        <w:adjustRightInd w:val="0"/>
        <w:snapToGrid w:val="0"/>
        <w:spacing w:before="254" w:line="360" w:lineRule="auto"/>
        <w:ind w:left="510"/>
        <w:textAlignment w:val="baseline"/>
        <w:rPr>
          <w:rFonts w:hint="eastAsia"/>
          <w:spacing w:val="-5"/>
          <w:sz w:val="24"/>
          <w:szCs w:val="24"/>
        </w:rPr>
      </w:pPr>
      <w:r>
        <w:rPr>
          <w:rFonts w:hint="eastAsia"/>
          <w:spacing w:val="-5"/>
          <w:sz w:val="24"/>
          <w:szCs w:val="24"/>
        </w:rPr>
        <w:t>1.建立一套完善的评价机制及评估标准。参照《自然保护 区生态环境保护成效评估标准（试行）》（标准号：HJ1203—2021）《生态保护 修复成效评估技术指南（试行）》（标准号：HJ1272—2022）等文件明确的区域 生态环境保护成效的原则、周期、方法、流程、指标体系等，根据西安市秦岭生 态环境保护实际情况并结合《西安市秦岭生态环境保护条例》第八十四条中明确 的秦岭生态环境保护规划的实施情况，重大保护、修复工程的实施情况等进行评估，建立起一套完善的评价机制与评估标准，并持续完善相关机制与标准。</w:t>
      </w:r>
    </w:p>
    <w:p>
      <w:pPr>
        <w:pStyle w:val="2"/>
        <w:keepNext w:val="0"/>
        <w:keepLines w:val="0"/>
        <w:pageBreakBefore w:val="0"/>
        <w:widowControl/>
        <w:kinsoku w:val="0"/>
        <w:wordWrap/>
        <w:overflowPunct/>
        <w:topLinePunct w:val="0"/>
        <w:autoSpaceDE w:val="0"/>
        <w:autoSpaceDN w:val="0"/>
        <w:bidi w:val="0"/>
        <w:adjustRightInd w:val="0"/>
        <w:snapToGrid w:val="0"/>
        <w:spacing w:before="254" w:line="360" w:lineRule="auto"/>
        <w:ind w:left="510"/>
        <w:textAlignment w:val="baseline"/>
        <w:rPr>
          <w:rFonts w:hint="eastAsia"/>
          <w:spacing w:val="-5"/>
          <w:sz w:val="24"/>
          <w:szCs w:val="24"/>
        </w:rPr>
      </w:pPr>
      <w:r>
        <w:rPr>
          <w:rFonts w:hint="eastAsia"/>
          <w:spacing w:val="-5"/>
          <w:sz w:val="24"/>
          <w:szCs w:val="24"/>
        </w:rPr>
        <w:t>2.组织实地调研。对西安市涉及秦岭区域的 6 区县的秦岭生态环境保护情况，西安市秦岭生态环境保护委员会组成单位工作成效进行深度实地调研，着重围绕西安市秦岭生态环境保护的法规制度建设、组织架构、规划体系、 资金保障、依法履职等方面展开，并重点关注相关县区（开发区）、相关单位在 植被保护、水资源保护、生物多样性保护、开发建设活动的生态环境保护等细分领域管理机制、生态修复、生态产业、人员培养、科技成果运用、执法监管等方面的实际做法。</w:t>
      </w:r>
    </w:p>
    <w:p>
      <w:pPr>
        <w:pStyle w:val="2"/>
        <w:keepNext w:val="0"/>
        <w:keepLines w:val="0"/>
        <w:pageBreakBefore w:val="0"/>
        <w:widowControl/>
        <w:kinsoku w:val="0"/>
        <w:wordWrap/>
        <w:overflowPunct/>
        <w:topLinePunct w:val="0"/>
        <w:autoSpaceDE w:val="0"/>
        <w:autoSpaceDN w:val="0"/>
        <w:bidi w:val="0"/>
        <w:adjustRightInd w:val="0"/>
        <w:snapToGrid w:val="0"/>
        <w:spacing w:before="254" w:line="360" w:lineRule="auto"/>
        <w:ind w:left="510"/>
        <w:textAlignment w:val="baseline"/>
        <w:rPr>
          <w:rFonts w:hint="eastAsia"/>
          <w:spacing w:val="-5"/>
          <w:sz w:val="24"/>
          <w:szCs w:val="24"/>
        </w:rPr>
      </w:pPr>
      <w:r>
        <w:rPr>
          <w:rFonts w:hint="eastAsia"/>
          <w:spacing w:val="-5"/>
          <w:sz w:val="24"/>
          <w:szCs w:val="24"/>
        </w:rPr>
        <w:t>3.秦岭生态环境保护状况评估。参照《自然保护区生态环境保护成效评估标准（试行）》（标准号：HJ1203—2021）《生态保护修复成效评估技术指南（试行）》（标准号：HJ1272—2022）等文件明确的区域生态环境保护成效的原则、周期、方法、流程、指标体系等，按照《西安市秦岭生态环境保护条例》第八十四条规定的评估内容，开展西安市秦岭生态环境保护年度评价、综合评估工作。，在实地调研走访的基础上，计算 综合评估分值，得出评估结果。分析各县区（开发区）、各部门秦岭生态环境保护等方面存在的问题，提出西安市秦岭生态环境保护管理的对策建议。</w:t>
      </w:r>
    </w:p>
    <w:p>
      <w:pPr>
        <w:pStyle w:val="2"/>
        <w:keepNext w:val="0"/>
        <w:keepLines w:val="0"/>
        <w:pageBreakBefore w:val="0"/>
        <w:widowControl/>
        <w:kinsoku w:val="0"/>
        <w:wordWrap/>
        <w:overflowPunct/>
        <w:topLinePunct w:val="0"/>
        <w:autoSpaceDE w:val="0"/>
        <w:autoSpaceDN w:val="0"/>
        <w:bidi w:val="0"/>
        <w:adjustRightInd w:val="0"/>
        <w:snapToGrid w:val="0"/>
        <w:spacing w:before="254" w:line="360" w:lineRule="auto"/>
        <w:ind w:left="510"/>
        <w:textAlignment w:val="baseline"/>
        <w:rPr>
          <w:rFonts w:hint="eastAsia"/>
          <w:spacing w:val="-5"/>
          <w:sz w:val="24"/>
          <w:szCs w:val="24"/>
        </w:rPr>
      </w:pPr>
      <w:r>
        <w:rPr>
          <w:rFonts w:hint="eastAsia"/>
          <w:spacing w:val="-5"/>
          <w:sz w:val="24"/>
          <w:szCs w:val="24"/>
        </w:rPr>
        <w:t>4.西安市秦岭生态环境保护年度典型案例。根据调研和评估中发现的典型经验做法，汇集形成西安市秦岭生态环境保护典型案例集。</w:t>
      </w:r>
    </w:p>
    <w:p>
      <w:pPr>
        <w:pStyle w:val="2"/>
        <w:keepNext w:val="0"/>
        <w:keepLines w:val="0"/>
        <w:pageBreakBefore w:val="0"/>
        <w:widowControl/>
        <w:kinsoku w:val="0"/>
        <w:wordWrap/>
        <w:overflowPunct/>
        <w:topLinePunct w:val="0"/>
        <w:autoSpaceDE w:val="0"/>
        <w:autoSpaceDN w:val="0"/>
        <w:bidi w:val="0"/>
        <w:adjustRightInd w:val="0"/>
        <w:snapToGrid w:val="0"/>
        <w:spacing w:before="254" w:line="360" w:lineRule="auto"/>
        <w:ind w:left="510"/>
        <w:textAlignment w:val="baseline"/>
        <w:rPr>
          <w:spacing w:val="-5"/>
          <w:sz w:val="24"/>
          <w:szCs w:val="24"/>
        </w:rPr>
      </w:pPr>
      <w:r>
        <w:rPr>
          <w:rFonts w:hint="eastAsia"/>
          <w:spacing w:val="-5"/>
          <w:sz w:val="24"/>
          <w:szCs w:val="24"/>
        </w:rPr>
        <w:t>5.提交成果。形成《西安市秦岭生态环境保护年度调研评估报告》一册，形 成西安市秦岭生态环境保护典型案例集一份。（本年度服务完成后，同时项目供 应商需做出承诺，配合采购人完成后续《西安市秦岭生态环境保护综合调研评估报告》事宜）。</w:t>
      </w:r>
    </w:p>
    <w:p>
      <w:pPr>
        <w:pStyle w:val="2"/>
        <w:spacing w:before="256" w:line="219" w:lineRule="auto"/>
        <w:ind w:left="31"/>
        <w:rPr>
          <w:sz w:val="24"/>
          <w:szCs w:val="24"/>
        </w:rPr>
      </w:pPr>
      <w:r>
        <w:rPr>
          <w:spacing w:val="-4"/>
          <w:sz w:val="24"/>
          <w:szCs w:val="24"/>
          <w14:textOutline w14:w="4358" w14:cap="sq" w14:cmpd="sng">
            <w14:solidFill>
              <w14:srgbClr w14:val="000000"/>
            </w14:solidFill>
            <w14:prstDash w14:val="solid"/>
            <w14:bevel/>
          </w14:textOutline>
        </w:rPr>
        <w:t>四、服务要求与约束</w:t>
      </w:r>
    </w:p>
    <w:p>
      <w:pPr>
        <w:spacing w:line="284" w:lineRule="auto"/>
        <w:rPr>
          <w:rFonts w:hint="default" w:ascii="Arial" w:eastAsia="宋体"/>
          <w:sz w:val="21"/>
          <w:u w:val="single"/>
          <w:lang w:val="en-US" w:eastAsia="zh-CN"/>
        </w:rPr>
      </w:pPr>
      <w:r>
        <w:rPr>
          <w:rFonts w:hint="eastAsia" w:eastAsia="宋体"/>
          <w:sz w:val="21"/>
          <w:lang w:val="en-US" w:eastAsia="zh-CN"/>
        </w:rPr>
        <w:t xml:space="preserve">       </w:t>
      </w:r>
      <w:r>
        <w:rPr>
          <w:rFonts w:hint="eastAsia" w:eastAsia="宋体"/>
          <w:sz w:val="21"/>
          <w:u w:val="single"/>
          <w:lang w:val="en-US" w:eastAsia="zh-CN"/>
        </w:rPr>
        <w:t xml:space="preserve">                     </w:t>
      </w:r>
    </w:p>
    <w:p>
      <w:pPr>
        <w:spacing w:line="285" w:lineRule="auto"/>
        <w:rPr>
          <w:rFonts w:ascii="Arial"/>
          <w:sz w:val="21"/>
          <w:u w:val="single"/>
        </w:rPr>
      </w:pPr>
    </w:p>
    <w:p>
      <w:pPr>
        <w:pStyle w:val="2"/>
        <w:spacing w:before="79" w:line="219" w:lineRule="auto"/>
        <w:ind w:left="13"/>
        <w:rPr>
          <w:sz w:val="24"/>
          <w:szCs w:val="24"/>
        </w:rPr>
      </w:pPr>
      <w:r>
        <w:rPr>
          <w:spacing w:val="-1"/>
          <w:sz w:val="24"/>
          <w:szCs w:val="24"/>
          <w14:textOutline w14:w="4358" w14:cap="sq" w14:cmpd="sng">
            <w14:solidFill>
              <w14:srgbClr w14:val="000000"/>
            </w14:solidFill>
            <w14:prstDash w14:val="solid"/>
            <w14:bevel/>
          </w14:textOutline>
        </w:rPr>
        <w:t>五、费用及付款方式</w:t>
      </w:r>
    </w:p>
    <w:p>
      <w:pPr>
        <w:spacing w:line="342" w:lineRule="auto"/>
        <w:rPr>
          <w:rFonts w:ascii="Arial"/>
          <w:sz w:val="21"/>
        </w:rPr>
      </w:pPr>
    </w:p>
    <w:p>
      <w:pPr>
        <w:pStyle w:val="2"/>
        <w:spacing w:before="79" w:line="218" w:lineRule="auto"/>
        <w:ind w:left="507"/>
        <w:rPr>
          <w:sz w:val="24"/>
          <w:szCs w:val="24"/>
        </w:rPr>
      </w:pPr>
      <w:r>
        <w:rPr>
          <w:spacing w:val="-5"/>
          <w:sz w:val="24"/>
          <w:szCs w:val="24"/>
        </w:rPr>
        <w:t>1、合同价款</w:t>
      </w:r>
    </w:p>
    <w:p>
      <w:pPr>
        <w:pStyle w:val="2"/>
        <w:spacing w:before="182" w:line="360" w:lineRule="auto"/>
        <w:ind w:left="491"/>
        <w:rPr>
          <w:sz w:val="24"/>
          <w:szCs w:val="24"/>
        </w:rPr>
      </w:pPr>
      <w:r>
        <w:rPr>
          <w:spacing w:val="-2"/>
          <w:sz w:val="24"/>
          <w:szCs w:val="24"/>
        </w:rPr>
        <w:t>金额（大写</w:t>
      </w:r>
      <w:r>
        <w:rPr>
          <w:spacing w:val="2"/>
          <w:sz w:val="24"/>
          <w:szCs w:val="24"/>
        </w:rPr>
        <w:t xml:space="preserve">）： </w:t>
      </w:r>
      <w:r>
        <w:rPr>
          <w:spacing w:val="2"/>
          <w:sz w:val="24"/>
          <w:szCs w:val="24"/>
          <w:u w:val="single" w:color="auto"/>
        </w:rPr>
        <w:t xml:space="preserve">            </w:t>
      </w:r>
      <w:r>
        <w:rPr>
          <w:spacing w:val="-108"/>
          <w:sz w:val="24"/>
          <w:szCs w:val="24"/>
        </w:rPr>
        <w:t xml:space="preserve"> </w:t>
      </w:r>
      <w:r>
        <w:rPr>
          <w:spacing w:val="-2"/>
          <w:sz w:val="24"/>
          <w:szCs w:val="24"/>
        </w:rPr>
        <w:t>元（人民币）</w:t>
      </w:r>
      <w:r>
        <w:rPr>
          <w:spacing w:val="-92"/>
          <w:sz w:val="24"/>
          <w:szCs w:val="24"/>
        </w:rPr>
        <w:t xml:space="preserve"> </w:t>
      </w:r>
      <w:r>
        <w:rPr>
          <w:spacing w:val="-2"/>
          <w:sz w:val="24"/>
          <w:szCs w:val="24"/>
        </w:rPr>
        <w:t>￥</w:t>
      </w:r>
      <w:r>
        <w:rPr>
          <w:spacing w:val="-94"/>
          <w:sz w:val="24"/>
          <w:szCs w:val="24"/>
        </w:rPr>
        <w:t xml:space="preserve"> </w:t>
      </w:r>
      <w:r>
        <w:rPr>
          <w:spacing w:val="-89"/>
          <w:sz w:val="24"/>
          <w:szCs w:val="24"/>
          <w:u w:val="single" w:color="auto"/>
        </w:rPr>
        <w:t xml:space="preserve"> </w:t>
      </w:r>
      <w:r>
        <w:rPr>
          <w:spacing w:val="-2"/>
          <w:sz w:val="24"/>
          <w:szCs w:val="24"/>
          <w:u w:val="single" w:color="auto"/>
        </w:rPr>
        <w:t>：        元</w:t>
      </w:r>
      <w:r>
        <w:rPr>
          <w:spacing w:val="-2"/>
          <w:sz w:val="24"/>
          <w:szCs w:val="24"/>
        </w:rPr>
        <w:t>（注：合同总</w:t>
      </w:r>
    </w:p>
    <w:p>
      <w:pPr>
        <w:pStyle w:val="2"/>
        <w:spacing w:before="1" w:line="217" w:lineRule="auto"/>
        <w:ind w:left="10"/>
        <w:rPr>
          <w:sz w:val="24"/>
          <w:szCs w:val="24"/>
        </w:rPr>
      </w:pPr>
      <w:r>
        <w:rPr>
          <w:sz w:val="24"/>
          <w:szCs w:val="24"/>
        </w:rPr>
        <w:t>价包括：完成本项目所有费用。合同总价一次包死，</w:t>
      </w:r>
      <w:r>
        <w:rPr>
          <w:spacing w:val="-1"/>
          <w:sz w:val="24"/>
          <w:szCs w:val="24"/>
        </w:rPr>
        <w:t>不受市场价变化的影响。）</w:t>
      </w:r>
    </w:p>
    <w:p>
      <w:pPr>
        <w:pStyle w:val="2"/>
        <w:spacing w:before="183" w:line="219" w:lineRule="auto"/>
        <w:ind w:left="492"/>
        <w:rPr>
          <w:sz w:val="24"/>
          <w:szCs w:val="24"/>
        </w:rPr>
      </w:pPr>
      <w:r>
        <w:rPr>
          <w:spacing w:val="-2"/>
          <w:sz w:val="24"/>
          <w:szCs w:val="24"/>
        </w:rPr>
        <w:t>2、资金支付条件及时间：</w:t>
      </w:r>
    </w:p>
    <w:p>
      <w:pPr>
        <w:pStyle w:val="2"/>
        <w:spacing w:before="183" w:line="218" w:lineRule="auto"/>
        <w:ind w:left="500"/>
        <w:rPr>
          <w:sz w:val="24"/>
          <w:szCs w:val="24"/>
        </w:rPr>
      </w:pPr>
      <w:r>
        <w:rPr>
          <w:spacing w:val="-1"/>
          <w:sz w:val="24"/>
          <w:szCs w:val="24"/>
        </w:rPr>
        <w:t>（1）合同签订后，甲方支付乙方合同总价款的</w:t>
      </w:r>
      <w:r>
        <w:rPr>
          <w:spacing w:val="-1"/>
          <w:sz w:val="24"/>
          <w:szCs w:val="24"/>
          <w:u w:val="single" w:color="auto"/>
        </w:rPr>
        <w:t xml:space="preserve">  50%  </w:t>
      </w:r>
      <w:r>
        <w:rPr>
          <w:spacing w:val="-1"/>
          <w:sz w:val="24"/>
          <w:szCs w:val="24"/>
        </w:rPr>
        <w:t>；</w:t>
      </w:r>
    </w:p>
    <w:p>
      <w:pPr>
        <w:pStyle w:val="2"/>
        <w:spacing w:before="182" w:line="218" w:lineRule="auto"/>
        <w:ind w:left="500"/>
        <w:rPr>
          <w:sz w:val="24"/>
          <w:szCs w:val="24"/>
        </w:rPr>
      </w:pPr>
      <w:r>
        <w:rPr>
          <w:spacing w:val="-1"/>
          <w:sz w:val="24"/>
          <w:szCs w:val="24"/>
        </w:rPr>
        <w:t>（2）合同执行完毕且经甲方验收合格后支付合同总价款的</w:t>
      </w:r>
      <w:r>
        <w:rPr>
          <w:spacing w:val="-1"/>
          <w:sz w:val="24"/>
          <w:szCs w:val="24"/>
          <w:u w:val="single" w:color="auto"/>
        </w:rPr>
        <w:t xml:space="preserve"> 50%  </w:t>
      </w:r>
      <w:r>
        <w:rPr>
          <w:spacing w:val="-1"/>
          <w:sz w:val="24"/>
          <w:szCs w:val="24"/>
        </w:rPr>
        <w:t>。</w:t>
      </w:r>
    </w:p>
    <w:p>
      <w:pPr>
        <w:pStyle w:val="2"/>
        <w:spacing w:before="185" w:line="219" w:lineRule="auto"/>
        <w:ind w:left="494"/>
        <w:rPr>
          <w:sz w:val="24"/>
          <w:szCs w:val="24"/>
        </w:rPr>
      </w:pPr>
      <w:r>
        <w:rPr>
          <w:spacing w:val="-2"/>
          <w:sz w:val="24"/>
          <w:szCs w:val="24"/>
        </w:rPr>
        <w:t>3、结算方式：银行转账。</w:t>
      </w:r>
    </w:p>
    <w:p>
      <w:pPr>
        <w:pStyle w:val="2"/>
        <w:spacing w:before="181" w:line="360" w:lineRule="auto"/>
        <w:ind w:left="488"/>
        <w:rPr>
          <w:sz w:val="24"/>
          <w:szCs w:val="24"/>
        </w:rPr>
      </w:pPr>
      <w:r>
        <w:rPr>
          <w:spacing w:val="-1"/>
          <w:sz w:val="24"/>
          <w:szCs w:val="24"/>
        </w:rPr>
        <w:t>4、结算单位：由</w:t>
      </w:r>
      <w:r>
        <w:rPr>
          <w:spacing w:val="-1"/>
          <w:sz w:val="24"/>
          <w:szCs w:val="24"/>
          <w:u w:val="single" w:color="auto"/>
        </w:rPr>
        <w:t xml:space="preserve">  甲方 </w:t>
      </w:r>
      <w:r>
        <w:rPr>
          <w:spacing w:val="-1"/>
          <w:sz w:val="24"/>
          <w:szCs w:val="24"/>
        </w:rPr>
        <w:t>负责结算，乙方开具合同</w:t>
      </w:r>
      <w:r>
        <w:rPr>
          <w:spacing w:val="-2"/>
          <w:sz w:val="24"/>
          <w:szCs w:val="24"/>
        </w:rPr>
        <w:t>总价数的全额发票交采购</w:t>
      </w:r>
    </w:p>
    <w:p>
      <w:pPr>
        <w:pStyle w:val="2"/>
        <w:spacing w:line="222" w:lineRule="auto"/>
        <w:ind w:left="11"/>
        <w:rPr>
          <w:sz w:val="24"/>
          <w:szCs w:val="24"/>
        </w:rPr>
      </w:pPr>
      <w:r>
        <w:rPr>
          <w:spacing w:val="-6"/>
          <w:sz w:val="24"/>
          <w:szCs w:val="24"/>
        </w:rPr>
        <w:t>人。</w:t>
      </w:r>
    </w:p>
    <w:p>
      <w:pPr>
        <w:spacing w:line="327" w:lineRule="auto"/>
        <w:rPr>
          <w:rFonts w:ascii="Arial"/>
          <w:sz w:val="21"/>
        </w:rPr>
      </w:pPr>
    </w:p>
    <w:p>
      <w:pPr>
        <w:pStyle w:val="2"/>
        <w:numPr>
          <w:ilvl w:val="0"/>
          <w:numId w:val="1"/>
        </w:numPr>
        <w:spacing w:before="78" w:line="219" w:lineRule="auto"/>
        <w:ind w:left="11"/>
        <w:rPr>
          <w:spacing w:val="-1"/>
          <w:sz w:val="24"/>
          <w:szCs w:val="24"/>
          <w14:textOutline w14:w="4358" w14:cap="sq" w14:cmpd="sng">
            <w14:solidFill>
              <w14:srgbClr w14:val="000000"/>
            </w14:solidFill>
            <w14:prstDash w14:val="solid"/>
            <w14:bevel/>
          </w14:textOutline>
        </w:rPr>
      </w:pPr>
      <w:r>
        <w:rPr>
          <w:spacing w:val="-1"/>
          <w:sz w:val="24"/>
          <w:szCs w:val="24"/>
          <w14:textOutline w14:w="4358" w14:cap="sq" w14:cmpd="sng">
            <w14:solidFill>
              <w14:srgbClr w14:val="000000"/>
            </w14:solidFill>
            <w14:prstDash w14:val="solid"/>
            <w14:bevel/>
          </w14:textOutline>
        </w:rPr>
        <w:t>甲方的权利义务</w:t>
      </w:r>
    </w:p>
    <w:p>
      <w:pPr>
        <w:pStyle w:val="2"/>
        <w:spacing w:before="255" w:line="540" w:lineRule="exact"/>
        <w:rPr>
          <w:rFonts w:ascii="宋体" w:hAnsi="宋体" w:eastAsia="宋体" w:cs="宋体"/>
          <w:spacing w:val="-1"/>
          <w:position w:val="23"/>
          <w:sz w:val="24"/>
          <w:szCs w:val="24"/>
        </w:rPr>
      </w:pPr>
      <w:r>
        <w:rPr>
          <w:rFonts w:ascii="宋体" w:hAnsi="宋体" w:eastAsia="宋体" w:cs="宋体"/>
          <w:spacing w:val="-1"/>
          <w:position w:val="23"/>
          <w:sz w:val="24"/>
          <w:szCs w:val="24"/>
        </w:rPr>
        <mc:AlternateContent>
          <mc:Choice Requires="wps">
            <w:drawing>
              <wp:anchor distT="0" distB="0" distL="114300" distR="114300" simplePos="0" relativeHeight="251659264" behindDoc="0" locked="0" layoutInCell="0" allowOverlap="1">
                <wp:simplePos x="0" y="0"/>
                <wp:positionH relativeFrom="page">
                  <wp:posOffset>1043940</wp:posOffset>
                </wp:positionH>
                <wp:positionV relativeFrom="page">
                  <wp:posOffset>997585</wp:posOffset>
                </wp:positionV>
                <wp:extent cx="5310505" cy="12700"/>
                <wp:effectExtent l="0" t="0" r="0" b="0"/>
                <wp:wrapNone/>
                <wp:docPr id="3" name="任意多边形 3"/>
                <wp:cNvGraphicFramePr/>
                <a:graphic xmlns:a="http://schemas.openxmlformats.org/drawingml/2006/main">
                  <a:graphicData uri="http://schemas.microsoft.com/office/word/2010/wordprocessingShape">
                    <wps:wsp>
                      <wps:cNvSpPr/>
                      <wps:spPr>
                        <a:xfrm>
                          <a:off x="0" y="0"/>
                          <a:ext cx="5310505" cy="12700"/>
                        </a:xfrm>
                        <a:custGeom>
                          <a:avLst/>
                          <a:gdLst/>
                          <a:ahLst/>
                          <a:cxnLst/>
                          <a:pathLst>
                            <a:path w="8362" h="20">
                              <a:moveTo>
                                <a:pt x="0" y="0"/>
                              </a:moveTo>
                              <a:lnTo>
                                <a:pt x="8362" y="0"/>
                              </a:lnTo>
                              <a:lnTo>
                                <a:pt x="8362" y="19"/>
                              </a:lnTo>
                              <a:lnTo>
                                <a:pt x="0" y="19"/>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2.2pt;margin-top:78.55pt;height:1pt;width:418.15pt;mso-position-horizontal-relative:page;mso-position-vertical-relative:page;z-index:251659264;mso-width-relative:page;mso-height-relative:page;" fillcolor="#000000" filled="t" stroked="f" coordsize="8362,20" o:allowincell="f" o:gfxdata="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r0cXr1wAAAAwBAAAPAAAAAAAAAAEA&#10;IAAAACIAAABkcnMvZG93bnJldi54bWxQSwECFAAUAAAACACHTuJARscWtBACAAB8BAAADgAAAAAA&#10;AAABACAAAAAmAQAAZHJzL2Uyb0RvYy54bWxQSwUGAAAAAAYABgBZAQAAqAUAAAAA&#10;" path="m0,0l8362,0,8362,19,0,19,0,0xe">
                <v:fill on="t" focussize="0,0"/>
                <v:stroke on="f"/>
                <v:imagedata o:title=""/>
                <o:lock v:ext="edit" aspectratio="f"/>
              </v:shape>
            </w:pict>
          </mc:Fallback>
        </mc:AlternateContent>
      </w:r>
      <w:r>
        <w:rPr>
          <w:rFonts w:ascii="宋体" w:hAnsi="宋体" w:eastAsia="宋体" w:cs="宋体"/>
          <w:spacing w:val="-1"/>
          <w:position w:val="23"/>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pPr>
        <w:pStyle w:val="2"/>
        <w:spacing w:before="255" w:line="540" w:lineRule="exact"/>
        <w:rPr>
          <w:sz w:val="24"/>
          <w:szCs w:val="24"/>
        </w:rPr>
      </w:pPr>
      <w:r>
        <w:rPr>
          <w:spacing w:val="-1"/>
          <w:position w:val="23"/>
          <w:sz w:val="24"/>
          <w:szCs w:val="24"/>
        </w:rPr>
        <w:t>2.甲方有权依据双方签订的考评办法对乙方提供的服务进行定期考评。</w:t>
      </w:r>
    </w:p>
    <w:p>
      <w:pPr>
        <w:pStyle w:val="2"/>
        <w:spacing w:line="219" w:lineRule="auto"/>
        <w:rPr>
          <w:sz w:val="24"/>
          <w:szCs w:val="24"/>
        </w:rPr>
      </w:pPr>
      <w:r>
        <w:rPr>
          <w:spacing w:val="-1"/>
          <w:sz w:val="24"/>
          <w:szCs w:val="24"/>
        </w:rPr>
        <w:t>3.负责检查监督乙方管理工作的实施及制度的执行情况。</w:t>
      </w:r>
    </w:p>
    <w:p>
      <w:pPr>
        <w:pStyle w:val="2"/>
        <w:spacing w:before="255" w:line="540" w:lineRule="exact"/>
        <w:rPr>
          <w:sz w:val="24"/>
          <w:szCs w:val="24"/>
        </w:rPr>
      </w:pPr>
      <w:r>
        <w:rPr>
          <w:spacing w:val="-1"/>
          <w:position w:val="23"/>
          <w:sz w:val="24"/>
          <w:szCs w:val="24"/>
        </w:rPr>
        <w:t>4.根据本合同规定，按时向乙方支付应付服务费用。</w:t>
      </w:r>
    </w:p>
    <w:p>
      <w:pPr>
        <w:pStyle w:val="2"/>
        <w:spacing w:line="219" w:lineRule="auto"/>
        <w:rPr>
          <w:sz w:val="24"/>
          <w:szCs w:val="24"/>
        </w:rPr>
      </w:pPr>
      <w:r>
        <w:rPr>
          <w:spacing w:val="-1"/>
          <w:sz w:val="24"/>
          <w:szCs w:val="24"/>
        </w:rPr>
        <w:t>5.国家法律、法规所规定由甲方承担的其它责任。</w:t>
      </w:r>
    </w:p>
    <w:p>
      <w:pPr>
        <w:pStyle w:val="2"/>
        <w:spacing w:before="256" w:line="219" w:lineRule="auto"/>
        <w:ind w:left="8"/>
        <w:rPr>
          <w:sz w:val="24"/>
          <w:szCs w:val="24"/>
        </w:rPr>
      </w:pPr>
      <w:r>
        <w:rPr>
          <w:spacing w:val="-1"/>
          <w:sz w:val="24"/>
          <w:szCs w:val="24"/>
          <w14:textOutline w14:w="4358" w14:cap="sq" w14:cmpd="sng">
            <w14:solidFill>
              <w14:srgbClr w14:val="000000"/>
            </w14:solidFill>
            <w14:prstDash w14:val="solid"/>
            <w14:bevel/>
          </w14:textOutline>
        </w:rPr>
        <w:t>七、乙方权利和义务</w:t>
      </w:r>
    </w:p>
    <w:p>
      <w:pPr>
        <w:pStyle w:val="2"/>
        <w:spacing w:before="254" w:line="219" w:lineRule="auto"/>
        <w:rPr>
          <w:sz w:val="24"/>
          <w:szCs w:val="24"/>
        </w:rPr>
      </w:pPr>
      <w:r>
        <w:rPr>
          <w:spacing w:val="-1"/>
          <w:sz w:val="24"/>
          <w:szCs w:val="24"/>
        </w:rPr>
        <w:t>1.对本合同规定的委托服务范围内的项目享有管理权及服务义务。</w:t>
      </w:r>
    </w:p>
    <w:p>
      <w:pPr>
        <w:pStyle w:val="2"/>
        <w:spacing w:before="256" w:line="540" w:lineRule="exact"/>
        <w:rPr>
          <w:rFonts w:ascii="宋体" w:hAnsi="宋体" w:eastAsia="宋体" w:cs="宋体"/>
          <w:spacing w:val="-2"/>
          <w:position w:val="23"/>
          <w:sz w:val="24"/>
          <w:szCs w:val="24"/>
        </w:rPr>
      </w:pPr>
      <w:r>
        <w:rPr>
          <w:spacing w:val="-1"/>
          <w:position w:val="23"/>
          <w:sz w:val="24"/>
          <w:szCs w:val="24"/>
        </w:rPr>
        <w:t>2.根据本合同的规定向甲方收取相关服务费用</w:t>
      </w:r>
      <w:r>
        <w:rPr>
          <w:spacing w:val="-2"/>
          <w:position w:val="23"/>
          <w:sz w:val="24"/>
          <w:szCs w:val="24"/>
        </w:rPr>
        <w:t>，并有权在本项目管理范围内</w:t>
      </w:r>
      <w:r>
        <w:rPr>
          <w:rFonts w:ascii="宋体" w:hAnsi="宋体" w:eastAsia="宋体" w:cs="宋体"/>
          <w:spacing w:val="-2"/>
          <w:position w:val="23"/>
          <w:sz w:val="24"/>
          <w:szCs w:val="24"/>
        </w:rPr>
        <w:t>管理及合理使用。</w:t>
      </w:r>
    </w:p>
    <w:p>
      <w:pPr>
        <w:pStyle w:val="2"/>
        <w:spacing w:before="256" w:line="540" w:lineRule="exact"/>
        <w:rPr>
          <w:sz w:val="24"/>
          <w:szCs w:val="24"/>
        </w:rPr>
      </w:pPr>
      <w:r>
        <w:rPr>
          <w:rFonts w:ascii="宋体" w:hAnsi="宋体" w:eastAsia="宋体" w:cs="宋体"/>
          <w:spacing w:val="-2"/>
          <w:position w:val="23"/>
          <w:sz w:val="24"/>
          <w:szCs w:val="24"/>
        </w:rPr>
        <w:t>3.及时向甲方通告本项目服务范围内有关服务的重大事项，及时配合</w:t>
      </w:r>
      <w:r>
        <w:rPr>
          <w:spacing w:val="2"/>
          <w:position w:val="23"/>
          <w:sz w:val="24"/>
          <w:szCs w:val="24"/>
        </w:rPr>
        <w:t>处</w:t>
      </w:r>
      <w:r>
        <w:rPr>
          <w:rFonts w:ascii="宋体" w:hAnsi="宋体" w:eastAsia="宋体" w:cs="宋体"/>
          <w:spacing w:val="-2"/>
          <w:position w:val="23"/>
          <w:sz w:val="24"/>
          <w:szCs w:val="24"/>
        </w:rPr>
        <w:t>理投诉。</w:t>
      </w:r>
    </w:p>
    <w:p>
      <w:pPr>
        <w:pStyle w:val="2"/>
        <w:spacing w:before="254" w:line="540" w:lineRule="exact"/>
        <w:rPr>
          <w:sz w:val="24"/>
          <w:szCs w:val="24"/>
        </w:rPr>
      </w:pPr>
      <w:r>
        <w:rPr>
          <w:position w:val="23"/>
          <w:sz w:val="24"/>
          <w:szCs w:val="24"/>
        </w:rPr>
        <w:t>4.接受项目行业管理部门及政府有关部门的指</w:t>
      </w:r>
      <w:r>
        <w:rPr>
          <w:spacing w:val="-1"/>
          <w:position w:val="23"/>
          <w:sz w:val="24"/>
          <w:szCs w:val="24"/>
        </w:rPr>
        <w:t>导，接受甲方的监督。</w:t>
      </w:r>
    </w:p>
    <w:p>
      <w:pPr>
        <w:pStyle w:val="2"/>
        <w:spacing w:before="1" w:line="219" w:lineRule="auto"/>
        <w:rPr>
          <w:sz w:val="24"/>
          <w:szCs w:val="24"/>
        </w:rPr>
      </w:pPr>
      <w:r>
        <w:rPr>
          <w:spacing w:val="-1"/>
          <w:sz w:val="24"/>
          <w:szCs w:val="24"/>
        </w:rPr>
        <w:t>5.国家法律、法规所规定由乙方承担的其它责任。</w:t>
      </w:r>
    </w:p>
    <w:p>
      <w:pPr>
        <w:pStyle w:val="2"/>
        <w:spacing w:before="255" w:line="219" w:lineRule="auto"/>
        <w:ind w:left="13"/>
        <w:rPr>
          <w:sz w:val="24"/>
          <w:szCs w:val="24"/>
        </w:rPr>
      </w:pPr>
      <w:r>
        <w:rPr>
          <w:spacing w:val="-2"/>
          <w:sz w:val="24"/>
          <w:szCs w:val="24"/>
          <w14:textOutline w14:w="4358" w14:cap="sq" w14:cmpd="sng">
            <w14:solidFill>
              <w14:srgbClr w14:val="000000"/>
            </w14:solidFill>
            <w14:prstDash w14:val="solid"/>
            <w14:bevel/>
          </w14:textOutline>
        </w:rPr>
        <w:t>八、保密责任</w:t>
      </w:r>
    </w:p>
    <w:p>
      <w:pPr>
        <w:pStyle w:val="2"/>
        <w:spacing w:before="257" w:line="415" w:lineRule="auto"/>
        <w:ind w:right="112"/>
        <w:rPr>
          <w:sz w:val="24"/>
          <w:szCs w:val="24"/>
        </w:rPr>
      </w:pPr>
      <w:r>
        <w:rPr>
          <w:spacing w:val="2"/>
          <w:sz w:val="24"/>
          <w:szCs w:val="24"/>
        </w:rPr>
        <w:t>1、未经对方许可，任何一方不得向第三方（有关法律、法规、政府部门、</w:t>
      </w:r>
      <w:r>
        <w:rPr>
          <w:spacing w:val="-1"/>
          <w:sz w:val="24"/>
          <w:szCs w:val="24"/>
        </w:rPr>
        <w:t>证券交易所或其他监管机构要求和双方的法律、会计</w:t>
      </w:r>
      <w:r>
        <w:rPr>
          <w:spacing w:val="-2"/>
          <w:sz w:val="24"/>
          <w:szCs w:val="24"/>
        </w:rPr>
        <w:t>、商业及其他顾问、雇员除</w:t>
      </w:r>
      <w:r>
        <w:rPr>
          <w:spacing w:val="-1"/>
          <w:sz w:val="24"/>
          <w:szCs w:val="24"/>
        </w:rPr>
        <w:t>外）泄露本合同的条款的任何内容以及本合同的签订</w:t>
      </w:r>
      <w:r>
        <w:rPr>
          <w:spacing w:val="-2"/>
          <w:sz w:val="24"/>
          <w:szCs w:val="24"/>
        </w:rPr>
        <w:t>及履行情况，以及通过签订</w:t>
      </w:r>
      <w:r>
        <w:rPr>
          <w:spacing w:val="-1"/>
          <w:sz w:val="24"/>
          <w:szCs w:val="24"/>
        </w:rPr>
        <w:t>和履行本合同而获知的对方及对方关联公司的任何信</w:t>
      </w:r>
      <w:r>
        <w:rPr>
          <w:spacing w:val="-2"/>
          <w:sz w:val="24"/>
          <w:szCs w:val="24"/>
        </w:rPr>
        <w:t>息。否则，甲乙双方都有权</w:t>
      </w:r>
    </w:p>
    <w:p>
      <w:pPr>
        <w:pStyle w:val="2"/>
        <w:spacing w:before="1" w:line="218" w:lineRule="auto"/>
        <w:ind w:left="10"/>
        <w:rPr>
          <w:sz w:val="24"/>
          <w:szCs w:val="24"/>
        </w:rPr>
      </w:pPr>
      <w:r>
        <w:rPr>
          <w:spacing w:val="-1"/>
          <w:sz w:val="24"/>
          <w:szCs w:val="24"/>
        </w:rPr>
        <w:t>利向对方请求损失赔偿，并依法追究法律责任。</w:t>
      </w:r>
    </w:p>
    <w:p>
      <w:pPr>
        <w:pStyle w:val="2"/>
        <w:spacing w:before="255" w:line="219" w:lineRule="auto"/>
        <w:rPr>
          <w:sz w:val="24"/>
          <w:szCs w:val="24"/>
        </w:rPr>
      </w:pPr>
      <w:r>
        <w:rPr>
          <w:spacing w:val="-1"/>
          <w:sz w:val="24"/>
          <w:szCs w:val="24"/>
        </w:rPr>
        <w:t>2、本合同有效期内及终止后，本保密条款仍具有法律效力。</w:t>
      </w:r>
    </w:p>
    <w:p>
      <w:pPr>
        <w:pStyle w:val="2"/>
        <w:spacing w:before="256" w:line="219" w:lineRule="auto"/>
        <w:ind w:left="15"/>
        <w:rPr>
          <w:sz w:val="24"/>
          <w:szCs w:val="24"/>
        </w:rPr>
      </w:pPr>
      <w:r>
        <w:rPr>
          <w:spacing w:val="-2"/>
          <w:sz w:val="24"/>
          <w:szCs w:val="24"/>
          <w14:textOutline w14:w="4358" w14:cap="sq" w14:cmpd="sng">
            <w14:solidFill>
              <w14:srgbClr w14:val="000000"/>
            </w14:solidFill>
            <w14:prstDash w14:val="solid"/>
            <w14:bevel/>
          </w14:textOutline>
        </w:rPr>
        <w:t>九、不可抗力</w:t>
      </w:r>
    </w:p>
    <w:p>
      <w:pPr>
        <w:pStyle w:val="2"/>
        <w:spacing w:before="256" w:line="415" w:lineRule="auto"/>
        <w:ind w:left="10" w:right="112" w:firstLine="496"/>
        <w:jc w:val="both"/>
        <w:rPr>
          <w:rFonts w:ascii="宋体" w:hAnsi="宋体" w:eastAsia="宋体" w:cs="宋体"/>
          <w:spacing w:val="2"/>
          <w:sz w:val="24"/>
          <w:szCs w:val="24"/>
        </w:rPr>
      </w:pPr>
      <w:r>
        <w:rPr>
          <w:rFonts w:ascii="宋体" w:hAnsi="宋体" w:eastAsia="宋体" w:cs="宋体"/>
          <w:spacing w:val="2"/>
          <w:sz w:val="24"/>
          <w:szCs w:val="24"/>
        </w:rPr>
        <w:t>1.“不可抗力 ”是指合同双方不能合理控制、不可预见或即使预见亦无法避免的事件，该事件妨碍、影响或延误任何一方根据合同履行其全部或部分义务。</w:t>
      </w:r>
      <w:r>
        <w:rPr>
          <w:rFonts w:ascii="宋体" w:hAnsi="宋体" w:eastAsia="宋体" w:cs="宋体"/>
          <w:spacing w:val="2"/>
          <w:sz w:val="24"/>
          <w:szCs w:val="24"/>
        </w:rPr>
        <mc:AlternateContent>
          <mc:Choice Requires="wps">
            <w:drawing>
              <wp:anchor distT="0" distB="0" distL="114300" distR="114300" simplePos="0" relativeHeight="251660288" behindDoc="0" locked="0" layoutInCell="0" allowOverlap="1">
                <wp:simplePos x="0" y="0"/>
                <wp:positionH relativeFrom="page">
                  <wp:posOffset>1043940</wp:posOffset>
                </wp:positionH>
                <wp:positionV relativeFrom="page">
                  <wp:posOffset>997585</wp:posOffset>
                </wp:positionV>
                <wp:extent cx="5310505" cy="12700"/>
                <wp:effectExtent l="0" t="0" r="0" b="0"/>
                <wp:wrapNone/>
                <wp:docPr id="5" name="任意多边形 5"/>
                <wp:cNvGraphicFramePr/>
                <a:graphic xmlns:a="http://schemas.openxmlformats.org/drawingml/2006/main">
                  <a:graphicData uri="http://schemas.microsoft.com/office/word/2010/wordprocessingShape">
                    <wps:wsp>
                      <wps:cNvSpPr/>
                      <wps:spPr>
                        <a:xfrm>
                          <a:off x="0" y="0"/>
                          <a:ext cx="5310505" cy="12700"/>
                        </a:xfrm>
                        <a:custGeom>
                          <a:avLst/>
                          <a:gdLst/>
                          <a:ahLst/>
                          <a:cxnLst/>
                          <a:pathLst>
                            <a:path w="8362" h="20">
                              <a:moveTo>
                                <a:pt x="0" y="0"/>
                              </a:moveTo>
                              <a:lnTo>
                                <a:pt x="8362" y="0"/>
                              </a:lnTo>
                              <a:lnTo>
                                <a:pt x="8362" y="19"/>
                              </a:lnTo>
                              <a:lnTo>
                                <a:pt x="0" y="19"/>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2.2pt;margin-top:78.55pt;height:1pt;width:418.15pt;mso-position-horizontal-relative:page;mso-position-vertical-relative:page;z-index:251660288;mso-width-relative:page;mso-height-relative:page;" fillcolor="#000000" filled="t" stroked="f" coordsize="8362,20" o:allowincell="f" o:gfxdata="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CvRxevXAAAADAEAAA8AAAAAAAAAAQAg&#10;AAAAIgAAAGRycy9kb3ducmV2LnhtbFBLAQIUABQAAAAIAIdO4kCiM3Z8DwIAAHwEAAAOAAAAAAAA&#10;AAEAIAAAACYBAABkcnMvZTJvRG9jLnhtbFBLBQYAAAAABgAGAFkBAACnBQAAAAA=&#10;" path="m0,0l8362,0,8362,19,0,19,0,0xe">
                <v:fill on="t" focussize="0,0"/>
                <v:stroke on="f"/>
                <v:imagedata o:title=""/>
                <o:lock v:ext="edit" aspectratio="f"/>
              </v:shape>
            </w:pict>
          </mc:Fallback>
        </mc:AlternateContent>
      </w:r>
      <w:r>
        <w:rPr>
          <w:rFonts w:ascii="宋体" w:hAnsi="宋体" w:eastAsia="宋体" w:cs="宋体"/>
          <w:spacing w:val="2"/>
          <w:sz w:val="24"/>
          <w:szCs w:val="24"/>
        </w:rPr>
        <w:t>该事件包括但不限于政府行为、自然灾害、战争、电脑病毒、黑客攻击、网络故 障、带宽或其他网络设备或技术提供商的服务延迟、服务故障或任何其它类似事件。</w:t>
      </w:r>
    </w:p>
    <w:p>
      <w:pPr>
        <w:pStyle w:val="2"/>
        <w:spacing w:before="257" w:line="415" w:lineRule="auto"/>
        <w:ind w:right="112" w:firstLine="476" w:firstLineChars="200"/>
        <w:rPr>
          <w:rFonts w:ascii="宋体" w:hAnsi="宋体" w:eastAsia="宋体" w:cs="宋体"/>
          <w:spacing w:val="-1"/>
          <w:sz w:val="24"/>
          <w:szCs w:val="24"/>
        </w:rPr>
      </w:pPr>
      <w:r>
        <w:rPr>
          <w:rFonts w:ascii="宋体" w:hAnsi="宋体" w:eastAsia="宋体" w:cs="宋体"/>
          <w:spacing w:val="-1"/>
          <w:sz w:val="24"/>
          <w:szCs w:val="24"/>
        </w:rPr>
        <w:t>出现不可抗力事件时，知情方应及时、充分地向对方以书面形式发通知，并 告知对方该类事件对本合同可能产生的影响，并应当在合理期限内提供相关证 明。由于以上所述不可抗力事件致使合同的部分或全部不能履行或延迟履行，则双方于彼此间不承担任何违约责任。</w:t>
      </w:r>
    </w:p>
    <w:p>
      <w:pPr>
        <w:pStyle w:val="2"/>
        <w:spacing w:before="257" w:line="415" w:lineRule="auto"/>
        <w:ind w:right="112"/>
        <w:rPr>
          <w:sz w:val="24"/>
          <w:szCs w:val="24"/>
        </w:rPr>
      </w:pPr>
      <w:r>
        <w:rPr>
          <w:rFonts w:ascii="宋体" w:hAnsi="宋体" w:eastAsia="宋体" w:cs="宋体"/>
          <w:spacing w:val="-1"/>
          <w:sz w:val="24"/>
          <w:szCs w:val="24"/>
        </w:rPr>
        <w:t>2、一方违约后发生不可抗力的，不能免责。</w:t>
      </w:r>
    </w:p>
    <w:p>
      <w:pPr>
        <w:pStyle w:val="2"/>
        <w:spacing w:before="255" w:line="219" w:lineRule="auto"/>
        <w:ind w:left="10"/>
        <w:rPr>
          <w:sz w:val="24"/>
          <w:szCs w:val="24"/>
        </w:rPr>
      </w:pPr>
      <w:r>
        <w:rPr>
          <w:sz w:val="24"/>
          <w:szCs w:val="24"/>
          <w14:textOutline w14:w="4358" w14:cap="sq" w14:cmpd="sng">
            <w14:solidFill>
              <w14:srgbClr w14:val="000000"/>
            </w14:solidFill>
            <w14:prstDash w14:val="solid"/>
            <w14:bevel/>
          </w14:textOutline>
        </w:rPr>
        <w:t>十一、合同的变更、解除及违约处理</w:t>
      </w:r>
    </w:p>
    <w:p>
      <w:pPr>
        <w:pStyle w:val="2"/>
        <w:spacing w:before="256" w:line="415" w:lineRule="auto"/>
        <w:ind w:right="112"/>
        <w:jc w:val="both"/>
        <w:rPr>
          <w:sz w:val="24"/>
          <w:szCs w:val="24"/>
        </w:rPr>
      </w:pPr>
      <w:r>
        <w:rPr>
          <w:spacing w:val="2"/>
          <w:sz w:val="24"/>
          <w:szCs w:val="24"/>
        </w:rPr>
        <w:t>1、本合同所订一切条款，甲、乙任何一方不得擅</w:t>
      </w:r>
      <w:r>
        <w:rPr>
          <w:spacing w:val="1"/>
          <w:sz w:val="24"/>
          <w:szCs w:val="24"/>
        </w:rPr>
        <w:t>自变更或修改，本合同如</w:t>
      </w:r>
      <w:r>
        <w:rPr>
          <w:spacing w:val="6"/>
          <w:sz w:val="24"/>
          <w:szCs w:val="24"/>
        </w:rPr>
        <w:t>有未尽事宜或对本合同的任何修正、更改或增删需</w:t>
      </w:r>
      <w:r>
        <w:rPr>
          <w:spacing w:val="5"/>
          <w:sz w:val="24"/>
          <w:szCs w:val="24"/>
        </w:rPr>
        <w:t>由甲乙双方协商另订补充合</w:t>
      </w:r>
      <w:r>
        <w:rPr>
          <w:spacing w:val="6"/>
          <w:sz w:val="24"/>
          <w:szCs w:val="24"/>
        </w:rPr>
        <w:t>同，补充合同经双方授权代表签字或盖章后方可发</w:t>
      </w:r>
      <w:r>
        <w:rPr>
          <w:spacing w:val="5"/>
          <w:sz w:val="24"/>
          <w:szCs w:val="24"/>
        </w:rPr>
        <w:t>生效力并与本合同有同等效</w:t>
      </w:r>
      <w:r>
        <w:rPr>
          <w:spacing w:val="-7"/>
          <w:sz w:val="24"/>
          <w:szCs w:val="24"/>
        </w:rPr>
        <w:t>力。</w:t>
      </w:r>
    </w:p>
    <w:p>
      <w:pPr>
        <w:pStyle w:val="2"/>
        <w:spacing w:before="257" w:line="415" w:lineRule="auto"/>
        <w:ind w:right="31"/>
        <w:jc w:val="both"/>
        <w:rPr>
          <w:sz w:val="24"/>
          <w:szCs w:val="24"/>
        </w:rPr>
      </w:pPr>
      <w:r>
        <w:rPr>
          <w:spacing w:val="2"/>
          <w:sz w:val="24"/>
          <w:szCs w:val="24"/>
        </w:rPr>
        <w:t>2、如一方违反本合同中所规定的义务，违约方在收到守约方要求纠正其违</w:t>
      </w:r>
      <w:r>
        <w:rPr>
          <w:spacing w:val="-2"/>
          <w:sz w:val="24"/>
          <w:szCs w:val="24"/>
        </w:rPr>
        <w:t>约行为的书面通知之日，应立即停止其违约行为，违约方向守约方承担本合同服</w:t>
      </w:r>
      <w:r>
        <w:rPr>
          <w:spacing w:val="-1"/>
          <w:sz w:val="24"/>
          <w:szCs w:val="24"/>
        </w:rPr>
        <w:t>务费金额</w:t>
      </w:r>
      <w:r>
        <w:rPr>
          <w:spacing w:val="-30"/>
          <w:sz w:val="24"/>
          <w:szCs w:val="24"/>
        </w:rPr>
        <w:t xml:space="preserve"> </w:t>
      </w:r>
      <w:r>
        <w:rPr>
          <w:spacing w:val="-1"/>
          <w:sz w:val="24"/>
          <w:szCs w:val="24"/>
        </w:rPr>
        <w:t>10%违约金，并在三十(30)日内赔偿守约方因此受到的所有损失。如违</w:t>
      </w:r>
      <w:r>
        <w:rPr>
          <w:sz w:val="24"/>
          <w:szCs w:val="24"/>
        </w:rPr>
        <w:t>约方继续进行违约行为或不履行其义务，守约方除就其包括但不限于直接损失、</w:t>
      </w:r>
      <w:r>
        <w:rPr>
          <w:spacing w:val="-6"/>
          <w:sz w:val="24"/>
          <w:szCs w:val="24"/>
        </w:rPr>
        <w:t>间接损失、可得利益损失、甲方对第三方的赔偿、诉讼费、律师费、调查取证费、</w:t>
      </w:r>
      <w:r>
        <w:rPr>
          <w:spacing w:val="-1"/>
          <w:sz w:val="24"/>
          <w:szCs w:val="24"/>
        </w:rPr>
        <w:t>差旅费等因乙方违约所发生的全部费用外，亦有权提前终止本合同。</w:t>
      </w:r>
    </w:p>
    <w:p>
      <w:pPr>
        <w:pStyle w:val="2"/>
        <w:spacing w:before="256" w:line="540" w:lineRule="exact"/>
        <w:rPr>
          <w:rFonts w:ascii="宋体" w:hAnsi="宋体" w:eastAsia="宋体" w:cs="宋体"/>
          <w:spacing w:val="-2"/>
          <w:position w:val="23"/>
          <w:sz w:val="24"/>
          <w:szCs w:val="24"/>
        </w:rPr>
      </w:pPr>
      <w:r>
        <w:rPr>
          <w:spacing w:val="-2"/>
          <w:position w:val="23"/>
          <w:sz w:val="24"/>
          <w:szCs w:val="24"/>
        </w:rPr>
        <w:t>3、本合同期间，如甲方逾期七(7)日未向乙方支付到期款项，经乙方合理催</w:t>
      </w:r>
      <w:r>
        <w:rPr>
          <w:rFonts w:ascii="宋体" w:hAnsi="宋体" w:eastAsia="宋体" w:cs="宋体"/>
          <w:spacing w:val="-2"/>
          <w:position w:val="23"/>
          <w:sz w:val="24"/>
          <w:szCs w:val="24"/>
        </w:rPr>
        <w:t>告后，甲方仍拒绝支付的，乙方可经书面通知甲方而终止本合同。</w:t>
      </w:r>
    </w:p>
    <w:p>
      <w:pPr>
        <w:pStyle w:val="2"/>
        <w:spacing w:before="257" w:line="220" w:lineRule="auto"/>
        <w:ind w:left="10"/>
        <w:rPr>
          <w:sz w:val="24"/>
          <w:szCs w:val="24"/>
        </w:rPr>
      </w:pPr>
      <w:r>
        <w:rPr>
          <w:spacing w:val="-1"/>
          <w:sz w:val="24"/>
          <w:szCs w:val="24"/>
          <w14:textOutline w14:w="4358" w14:cap="sq" w14:cmpd="sng">
            <w14:solidFill>
              <w14:srgbClr w14:val="000000"/>
            </w14:solidFill>
            <w14:prstDash w14:val="solid"/>
            <w14:bevel/>
          </w14:textOutline>
        </w:rPr>
        <w:t>十二、反商业贿赂协议</w:t>
      </w:r>
    </w:p>
    <w:p>
      <w:pPr>
        <w:pStyle w:val="2"/>
        <w:spacing w:before="254" w:line="540" w:lineRule="exact"/>
        <w:ind w:left="490"/>
        <w:rPr>
          <w:sz w:val="24"/>
          <w:szCs w:val="24"/>
        </w:rPr>
      </w:pPr>
      <w:r>
        <w:rPr>
          <w:spacing w:val="-2"/>
          <w:position w:val="23"/>
          <w:sz w:val="24"/>
          <w:szCs w:val="24"/>
        </w:rPr>
        <w:t>反商业贿赂条款是本合同必备条款，请与甲方签署合同之当事人认真阅读本</w:t>
      </w:r>
    </w:p>
    <w:p>
      <w:pPr>
        <w:pStyle w:val="2"/>
        <w:spacing w:line="219" w:lineRule="auto"/>
        <w:ind w:left="11"/>
        <w:rPr>
          <w:sz w:val="24"/>
          <w:szCs w:val="24"/>
        </w:rPr>
      </w:pPr>
      <w:r>
        <w:rPr>
          <w:spacing w:val="-1"/>
          <w:sz w:val="24"/>
          <w:szCs w:val="24"/>
        </w:rPr>
        <w:t>条款，同意与甲方签订并遵守如下反商业贿赂条款：</w:t>
      </w:r>
    </w:p>
    <w:p>
      <w:pPr>
        <w:pStyle w:val="2"/>
        <w:spacing w:before="256" w:line="415" w:lineRule="auto"/>
        <w:ind w:right="31"/>
        <w:jc w:val="both"/>
        <w:rPr>
          <w:rFonts w:ascii="宋体" w:hAnsi="宋体" w:eastAsia="宋体" w:cs="宋体"/>
          <w:spacing w:val="-8"/>
          <w:sz w:val="24"/>
          <w:szCs w:val="24"/>
        </w:rPr>
      </w:pPr>
      <w:r>
        <w:rPr>
          <w:rFonts w:hint="eastAsia" w:ascii="宋体" w:hAnsi="宋体" w:eastAsia="宋体" w:cs="宋体"/>
          <w:spacing w:val="-8"/>
          <w:sz w:val="24"/>
          <w:szCs w:val="24"/>
          <w:lang w:val="en-US" w:eastAsia="zh-CN"/>
        </w:rPr>
        <w:t>1、</w:t>
      </w:r>
      <w:r>
        <w:rPr>
          <w:rFonts w:ascii="宋体" w:hAnsi="宋体" w:eastAsia="宋体" w:cs="宋体"/>
          <w:spacing w:val="-8"/>
          <w:sz w:val="24"/>
          <w:szCs w:val="24"/>
        </w:rPr>
        <w:t>甲乙双方都清楚并愿意严格遵守中华人民共和国反商业贿赂的法律规定，</w:t>
      </w:r>
      <w:r>
        <w:rPr>
          <w:rFonts w:ascii="宋体" w:hAnsi="宋体" w:eastAsia="宋体" w:cs="宋体"/>
          <w:spacing w:val="-8"/>
          <w:sz w:val="24"/>
          <w:szCs w:val="24"/>
        </w:rPr>
        <mc:AlternateContent>
          <mc:Choice Requires="wps">
            <w:drawing>
              <wp:anchor distT="0" distB="0" distL="114300" distR="114300" simplePos="0" relativeHeight="251661312" behindDoc="0" locked="0" layoutInCell="0" allowOverlap="1">
                <wp:simplePos x="0" y="0"/>
                <wp:positionH relativeFrom="page">
                  <wp:posOffset>1043940</wp:posOffset>
                </wp:positionH>
                <wp:positionV relativeFrom="page">
                  <wp:posOffset>997585</wp:posOffset>
                </wp:positionV>
                <wp:extent cx="5310505" cy="12700"/>
                <wp:effectExtent l="0" t="0" r="0" b="0"/>
                <wp:wrapNone/>
                <wp:docPr id="2" name="任意多边形 2"/>
                <wp:cNvGraphicFramePr/>
                <a:graphic xmlns:a="http://schemas.openxmlformats.org/drawingml/2006/main">
                  <a:graphicData uri="http://schemas.microsoft.com/office/word/2010/wordprocessingShape">
                    <wps:wsp>
                      <wps:cNvSpPr/>
                      <wps:spPr>
                        <a:xfrm>
                          <a:off x="0" y="0"/>
                          <a:ext cx="5310505" cy="12700"/>
                        </a:xfrm>
                        <a:custGeom>
                          <a:avLst/>
                          <a:gdLst/>
                          <a:ahLst/>
                          <a:cxnLst/>
                          <a:pathLst>
                            <a:path w="8362" h="20">
                              <a:moveTo>
                                <a:pt x="0" y="0"/>
                              </a:moveTo>
                              <a:lnTo>
                                <a:pt x="8362" y="0"/>
                              </a:lnTo>
                              <a:lnTo>
                                <a:pt x="8362" y="19"/>
                              </a:lnTo>
                              <a:lnTo>
                                <a:pt x="0" y="19"/>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2.2pt;margin-top:78.55pt;height:1pt;width:418.15pt;mso-position-horizontal-relative:page;mso-position-vertical-relative:page;z-index:251661312;mso-width-relative:page;mso-height-relative:page;" fillcolor="#000000" filled="t" stroked="f" coordsize="8362,20" o:allowincell="f" o:gfxdata="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CvRxevXAAAADAEAAA8AAAAAAAAAAQAg&#10;AAAAIgAAAGRycy9kb3ducmV2LnhtbFBLAQIUABQAAAAIAIdO4kBoEfmXDwIAAHwEAAAOAAAAAAAA&#10;AAEAIAAAACYBAABkcnMvZTJvRG9jLnhtbFBLBQYAAAAABgAGAFkBAACnBQAAAAA=&#10;" path="m0,0l8362,0,8362,19,0,19,0,0xe">
                <v:fill on="t" focussize="0,0"/>
                <v:stroke on="f"/>
                <v:imagedata o:title=""/>
                <o:lock v:ext="edit" aspectratio="f"/>
              </v:shape>
            </w:pict>
          </mc:Fallback>
        </mc:AlternateContent>
      </w:r>
      <w:r>
        <w:rPr>
          <w:rFonts w:ascii="宋体" w:hAnsi="宋体" w:eastAsia="宋体" w:cs="宋体"/>
          <w:spacing w:val="-8"/>
          <w:sz w:val="24"/>
          <w:szCs w:val="24"/>
        </w:rPr>
        <w:t>双方都清楚任何形式的贿赂和贪渎行为都将触犯法律，并将受到法律的严惩。</w:t>
      </w:r>
    </w:p>
    <w:p>
      <w:pPr>
        <w:pStyle w:val="2"/>
        <w:spacing w:before="256" w:line="415" w:lineRule="auto"/>
        <w:ind w:right="31"/>
        <w:jc w:val="both"/>
        <w:rPr>
          <w:sz w:val="24"/>
          <w:szCs w:val="24"/>
        </w:rPr>
      </w:pPr>
      <w:r>
        <w:rPr>
          <w:spacing w:val="-8"/>
          <w:sz w:val="24"/>
          <w:szCs w:val="24"/>
        </w:rPr>
        <w:t>2、甲方或乙方均不得向对方或对方经办人或其他相关人员索要、收受、提供、</w:t>
      </w:r>
      <w:r>
        <w:rPr>
          <w:sz w:val="24"/>
          <w:szCs w:val="24"/>
        </w:rPr>
        <w:t>给予合同约定外的任何利益，包括但不限于明扣、暗扣、现金、购物卡、实物、</w:t>
      </w:r>
      <w:r>
        <w:rPr>
          <w:spacing w:val="-6"/>
          <w:sz w:val="24"/>
          <w:szCs w:val="24"/>
        </w:rPr>
        <w:t>有价证券、旅游或其他非物质性利益等，但如该等利益属于行业惯例或</w:t>
      </w:r>
      <w:r>
        <w:rPr>
          <w:spacing w:val="-7"/>
          <w:sz w:val="24"/>
          <w:szCs w:val="24"/>
        </w:rPr>
        <w:t>通常做法，</w:t>
      </w:r>
      <w:r>
        <w:rPr>
          <w:spacing w:val="-2"/>
          <w:sz w:val="24"/>
          <w:szCs w:val="24"/>
        </w:rPr>
        <w:t>则须在合同中明示。</w:t>
      </w:r>
    </w:p>
    <w:p>
      <w:pPr>
        <w:pStyle w:val="2"/>
        <w:spacing w:before="255" w:line="415" w:lineRule="auto"/>
        <w:ind w:right="112"/>
        <w:jc w:val="both"/>
        <w:rPr>
          <w:sz w:val="24"/>
          <w:szCs w:val="24"/>
        </w:rPr>
      </w:pPr>
      <w:r>
        <w:rPr>
          <w:spacing w:val="-3"/>
          <w:sz w:val="24"/>
          <w:szCs w:val="24"/>
        </w:rPr>
        <w:t>3、甲方严格禁止甲方经办人员的任何商业贿赂行为。</w:t>
      </w:r>
      <w:r>
        <w:rPr>
          <w:spacing w:val="-4"/>
          <w:sz w:val="24"/>
          <w:szCs w:val="24"/>
        </w:rPr>
        <w:t>甲方经办人发生本条第</w:t>
      </w:r>
      <w:r>
        <w:rPr>
          <w:sz w:val="24"/>
          <w:szCs w:val="24"/>
        </w:rPr>
        <w:t xml:space="preserve"> 2</w:t>
      </w:r>
      <w:r>
        <w:rPr>
          <w:spacing w:val="-49"/>
          <w:sz w:val="24"/>
          <w:szCs w:val="24"/>
        </w:rPr>
        <w:t xml:space="preserve"> </w:t>
      </w:r>
      <w:r>
        <w:rPr>
          <w:sz w:val="24"/>
          <w:szCs w:val="24"/>
        </w:rPr>
        <w:t>款所列示的任何一种行为，都视为违反甲方公司制度，将受到甲方公司</w:t>
      </w:r>
      <w:r>
        <w:rPr>
          <w:spacing w:val="-1"/>
          <w:sz w:val="24"/>
          <w:szCs w:val="24"/>
        </w:rPr>
        <w:t>制度和</w:t>
      </w:r>
      <w:r>
        <w:rPr>
          <w:spacing w:val="-5"/>
          <w:sz w:val="24"/>
          <w:szCs w:val="24"/>
        </w:rPr>
        <w:t>国家法律的惩处。</w:t>
      </w:r>
    </w:p>
    <w:p>
      <w:pPr>
        <w:pStyle w:val="2"/>
        <w:spacing w:before="256" w:line="415" w:lineRule="auto"/>
        <w:ind w:right="112"/>
        <w:jc w:val="both"/>
        <w:rPr>
          <w:sz w:val="24"/>
          <w:szCs w:val="24"/>
        </w:rPr>
      </w:pPr>
      <w:r>
        <w:rPr>
          <w:spacing w:val="-3"/>
          <w:sz w:val="24"/>
          <w:szCs w:val="24"/>
        </w:rPr>
        <w:t>4、若乙方贿赂甲方任何员工，以图获取任何不正当商业利益或更特</w:t>
      </w:r>
      <w:r>
        <w:rPr>
          <w:spacing w:val="-4"/>
          <w:sz w:val="24"/>
          <w:szCs w:val="24"/>
        </w:rPr>
        <w:t>殊的商业</w:t>
      </w:r>
      <w:r>
        <w:rPr>
          <w:sz w:val="24"/>
          <w:szCs w:val="24"/>
        </w:rPr>
        <w:t xml:space="preserve"> </w:t>
      </w:r>
      <w:r>
        <w:rPr>
          <w:spacing w:val="-1"/>
          <w:sz w:val="24"/>
          <w:szCs w:val="24"/>
        </w:rPr>
        <w:t>待遇或不配合甲方查处其员工的受贿行为的，构</w:t>
      </w:r>
      <w:r>
        <w:rPr>
          <w:spacing w:val="-2"/>
          <w:sz w:val="24"/>
          <w:szCs w:val="24"/>
        </w:rPr>
        <w:t>成检察机关或公安机关立案查处</w:t>
      </w:r>
      <w:r>
        <w:rPr>
          <w:spacing w:val="-1"/>
          <w:sz w:val="24"/>
          <w:szCs w:val="24"/>
        </w:rPr>
        <w:t>的，甲方有权停止与乙方的一切合作，并依法对</w:t>
      </w:r>
      <w:r>
        <w:rPr>
          <w:spacing w:val="-2"/>
          <w:sz w:val="24"/>
          <w:szCs w:val="24"/>
        </w:rPr>
        <w:t>乙方采取诸如冻结所有应付账款的措施，或扣留总款项的</w:t>
      </w:r>
      <w:r>
        <w:rPr>
          <w:spacing w:val="-45"/>
          <w:sz w:val="24"/>
          <w:szCs w:val="24"/>
        </w:rPr>
        <w:t xml:space="preserve"> </w:t>
      </w:r>
      <w:r>
        <w:rPr>
          <w:spacing w:val="-2"/>
          <w:sz w:val="24"/>
          <w:szCs w:val="24"/>
        </w:rPr>
        <w:t>30%作为乙方的违约金。</w:t>
      </w:r>
    </w:p>
    <w:p>
      <w:pPr>
        <w:pStyle w:val="2"/>
        <w:spacing w:before="254" w:line="540" w:lineRule="exact"/>
        <w:rPr>
          <w:rFonts w:ascii="宋体" w:hAnsi="宋体" w:eastAsia="宋体" w:cs="宋体"/>
          <w:spacing w:val="-5"/>
          <w:position w:val="23"/>
          <w:sz w:val="24"/>
          <w:szCs w:val="24"/>
        </w:rPr>
      </w:pPr>
      <w:r>
        <w:rPr>
          <w:spacing w:val="-4"/>
          <w:position w:val="23"/>
          <w:sz w:val="24"/>
          <w:szCs w:val="24"/>
        </w:rPr>
        <w:t>5、本条所称“其他相关人员</w:t>
      </w:r>
      <w:r>
        <w:rPr>
          <w:spacing w:val="-88"/>
          <w:position w:val="23"/>
          <w:sz w:val="24"/>
          <w:szCs w:val="24"/>
        </w:rPr>
        <w:t xml:space="preserve"> </w:t>
      </w:r>
      <w:r>
        <w:rPr>
          <w:spacing w:val="-4"/>
          <w:position w:val="23"/>
          <w:sz w:val="24"/>
          <w:szCs w:val="24"/>
        </w:rPr>
        <w:t>”是指甲乙方经办人以外的与</w:t>
      </w:r>
      <w:r>
        <w:rPr>
          <w:spacing w:val="-5"/>
          <w:position w:val="23"/>
          <w:sz w:val="24"/>
          <w:szCs w:val="24"/>
        </w:rPr>
        <w:t>合同有直接或间接</w:t>
      </w:r>
      <w:r>
        <w:rPr>
          <w:rFonts w:ascii="宋体" w:hAnsi="宋体" w:eastAsia="宋体" w:cs="宋体"/>
          <w:spacing w:val="-5"/>
          <w:position w:val="23"/>
          <w:sz w:val="24"/>
          <w:szCs w:val="24"/>
        </w:rPr>
        <w:t>利益关系的人员，包括但不仅限于合同经办人的配偶、子女、亲属。</w:t>
      </w:r>
    </w:p>
    <w:p>
      <w:pPr>
        <w:pStyle w:val="2"/>
        <w:spacing w:before="256" w:line="219" w:lineRule="auto"/>
        <w:ind w:left="10"/>
        <w:rPr>
          <w:sz w:val="24"/>
          <w:szCs w:val="24"/>
        </w:rPr>
      </w:pPr>
      <w:r>
        <w:rPr>
          <w:spacing w:val="-1"/>
          <w:sz w:val="24"/>
          <w:szCs w:val="24"/>
          <w14:textOutline w14:w="4358" w14:cap="sq" w14:cmpd="sng">
            <w14:solidFill>
              <w14:srgbClr w14:val="000000"/>
            </w14:solidFill>
            <w14:prstDash w14:val="solid"/>
            <w14:bevel/>
          </w14:textOutline>
        </w:rPr>
        <w:t>十三、争议解决</w:t>
      </w:r>
    </w:p>
    <w:p>
      <w:pPr>
        <w:pStyle w:val="2"/>
        <w:spacing w:before="256" w:line="415" w:lineRule="auto"/>
        <w:ind w:right="112"/>
        <w:jc w:val="both"/>
        <w:rPr>
          <w:rFonts w:ascii="宋体" w:hAnsi="宋体" w:eastAsia="宋体" w:cs="宋体"/>
          <w:spacing w:val="-3"/>
          <w:sz w:val="24"/>
          <w:szCs w:val="24"/>
        </w:rPr>
      </w:pPr>
      <w:r>
        <w:rPr>
          <w:rFonts w:ascii="宋体" w:hAnsi="宋体" w:eastAsia="宋体" w:cs="宋体"/>
          <w:spacing w:val="-3"/>
          <w:sz w:val="24"/>
          <w:szCs w:val="24"/>
        </w:rPr>
        <w:t>1、本合同的生效、解释、执行、管辖、争议的解决均适用中华人民共和国法律。</w:t>
      </w:r>
    </w:p>
    <w:p>
      <w:pPr>
        <w:pStyle w:val="2"/>
        <w:spacing w:before="256" w:line="415" w:lineRule="auto"/>
        <w:ind w:right="112"/>
        <w:jc w:val="both"/>
        <w:rPr>
          <w:rFonts w:ascii="宋体" w:hAnsi="宋体" w:eastAsia="宋体" w:cs="宋体"/>
          <w:spacing w:val="-3"/>
          <w:sz w:val="24"/>
          <w:szCs w:val="24"/>
        </w:rPr>
      </w:pPr>
      <w:r>
        <w:rPr>
          <w:rFonts w:ascii="宋体" w:hAnsi="宋体" w:eastAsia="宋体" w:cs="宋体"/>
          <w:spacing w:val="-3"/>
          <w:sz w:val="24"/>
          <w:szCs w:val="24"/>
        </w:rPr>
        <w:t>2、因本合同引起的或与本合同有关的任何争议，甲乙双方可友好协商解决；协商不成，任何一方有权向甲方住所地人民法院提起诉讼。</w:t>
      </w:r>
    </w:p>
    <w:p>
      <w:pPr>
        <w:pStyle w:val="2"/>
        <w:spacing w:before="255" w:line="220" w:lineRule="auto"/>
        <w:ind w:left="10"/>
        <w:rPr>
          <w:sz w:val="24"/>
          <w:szCs w:val="24"/>
        </w:rPr>
      </w:pPr>
      <w:r>
        <w:rPr>
          <w:spacing w:val="-2"/>
          <w:sz w:val="24"/>
          <w:szCs w:val="24"/>
          <w14:textOutline w14:w="4358" w14:cap="sq" w14:cmpd="sng">
            <w14:solidFill>
              <w14:srgbClr w14:val="000000"/>
            </w14:solidFill>
            <w14:prstDash w14:val="solid"/>
            <w14:bevel/>
          </w14:textOutline>
        </w:rPr>
        <w:t>十四、生效</w:t>
      </w:r>
    </w:p>
    <w:p>
      <w:pPr>
        <w:pStyle w:val="2"/>
        <w:spacing w:before="254" w:line="540" w:lineRule="exact"/>
        <w:rPr>
          <w:sz w:val="24"/>
          <w:szCs w:val="24"/>
        </w:rPr>
      </w:pPr>
      <w:r>
        <w:rPr>
          <w:spacing w:val="-2"/>
          <w:position w:val="23"/>
          <w:sz w:val="24"/>
          <w:szCs w:val="24"/>
        </w:rPr>
        <w:t>1、本合同经双方授权代表签字并加盖公章或直接加盖公章/合同专用章后生</w:t>
      </w:r>
      <w:r>
        <w:rPr>
          <w:rFonts w:ascii="宋体" w:hAnsi="宋体" w:eastAsia="宋体" w:cs="宋体"/>
          <w:spacing w:val="-2"/>
          <w:position w:val="23"/>
          <w:sz w:val="24"/>
          <w:szCs w:val="24"/>
        </w:rPr>
        <w:t>效。</w:t>
      </w:r>
    </w:p>
    <w:p>
      <w:pPr>
        <w:pStyle w:val="2"/>
        <w:spacing w:before="254" w:line="540" w:lineRule="exact"/>
        <w:rPr>
          <w:rFonts w:ascii="宋体" w:hAnsi="宋体" w:eastAsia="宋体" w:cs="宋体"/>
          <w:spacing w:val="2"/>
          <w:position w:val="23"/>
          <w:sz w:val="24"/>
          <w:szCs w:val="24"/>
        </w:rPr>
      </w:pPr>
      <w:r>
        <w:rPr>
          <w:spacing w:val="2"/>
          <w:position w:val="23"/>
          <w:sz w:val="24"/>
          <w:szCs w:val="24"/>
        </w:rPr>
        <w:t>2、本合同一式陆份，甲方持肆份，乙方持贰份。本合同的相关附件均为本</w:t>
      </w:r>
      <w:r>
        <w:rPr>
          <w:rFonts w:ascii="宋体" w:hAnsi="宋体" w:eastAsia="宋体" w:cs="宋体"/>
          <w:spacing w:val="2"/>
          <w:position w:val="23"/>
          <w:sz w:val="24"/>
          <w:szCs w:val="24"/>
        </w:rPr>
        <w:t>合同不可分割的一部分，具有与合同正文同等的法律效力。</w:t>
      </w:r>
    </w:p>
    <w:p>
      <w:pPr>
        <w:pStyle w:val="2"/>
        <w:spacing w:before="254" w:line="540" w:lineRule="exact"/>
        <w:rPr>
          <w:rFonts w:ascii="宋体" w:hAnsi="宋体" w:eastAsia="宋体" w:cs="宋体"/>
          <w:spacing w:val="2"/>
          <w:position w:val="23"/>
          <w:sz w:val="24"/>
          <w:szCs w:val="24"/>
        </w:rPr>
        <w:sectPr>
          <w:footerReference r:id="rId5" w:type="default"/>
          <w:pgSz w:w="11906" w:h="16839"/>
          <w:pgMar w:top="1552" w:right="1785" w:bottom="1229" w:left="1643" w:header="1245" w:footer="1064" w:gutter="0"/>
          <w:cols w:space="720" w:num="1"/>
        </w:sectPr>
      </w:pPr>
    </w:p>
    <w:p>
      <w:pPr>
        <w:pStyle w:val="2"/>
        <w:spacing w:before="78" w:line="220" w:lineRule="auto"/>
        <w:ind w:left="20"/>
        <w:rPr>
          <w:sz w:val="24"/>
          <w:szCs w:val="24"/>
        </w:rPr>
      </w:pPr>
      <w:r>
        <mc:AlternateContent>
          <mc:Choice Requires="wps">
            <w:drawing>
              <wp:anchor distT="0" distB="0" distL="114300" distR="114300" simplePos="0" relativeHeight="251662336" behindDoc="0" locked="0" layoutInCell="0" allowOverlap="1">
                <wp:simplePos x="0" y="0"/>
                <wp:positionH relativeFrom="page">
                  <wp:posOffset>1043940</wp:posOffset>
                </wp:positionH>
                <wp:positionV relativeFrom="page">
                  <wp:posOffset>997585</wp:posOffset>
                </wp:positionV>
                <wp:extent cx="5310505" cy="12700"/>
                <wp:effectExtent l="0" t="0" r="0" b="0"/>
                <wp:wrapNone/>
                <wp:docPr id="4" name="任意多边形 4"/>
                <wp:cNvGraphicFramePr/>
                <a:graphic xmlns:a="http://schemas.openxmlformats.org/drawingml/2006/main">
                  <a:graphicData uri="http://schemas.microsoft.com/office/word/2010/wordprocessingShape">
                    <wps:wsp>
                      <wps:cNvSpPr/>
                      <wps:spPr>
                        <a:xfrm>
                          <a:off x="0" y="0"/>
                          <a:ext cx="5310505" cy="12700"/>
                        </a:xfrm>
                        <a:custGeom>
                          <a:avLst/>
                          <a:gdLst/>
                          <a:ahLst/>
                          <a:cxnLst/>
                          <a:pathLst>
                            <a:path w="8362" h="20">
                              <a:moveTo>
                                <a:pt x="0" y="0"/>
                              </a:moveTo>
                              <a:lnTo>
                                <a:pt x="8362" y="0"/>
                              </a:lnTo>
                              <a:lnTo>
                                <a:pt x="8362" y="19"/>
                              </a:lnTo>
                              <a:lnTo>
                                <a:pt x="0" y="19"/>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2.2pt;margin-top:78.55pt;height:1pt;width:418.15pt;mso-position-horizontal-relative:page;mso-position-vertical-relative:page;z-index:251662336;mso-width-relative:page;mso-height-relative:page;" fillcolor="#000000" filled="t" stroked="f" coordsize="8362,20" o:allowincell="f" o:gfxdata="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K9HF69cAAAAMAQAADwAAAAAAAAAB&#10;ACAAAAAiAAAAZHJzL2Rvd25yZXYueG1sUEsBAhQAFAAAAAgAh07iQIzlmV8RAgAAfAQAAA4AAAAA&#10;AAAAAQAgAAAAJgEAAGRycy9lMm9Eb2MueG1sUEsFBgAAAAAGAAYAWQEAAKkFAAAAAA==&#10;" path="m0,0l8362,0,8362,19,0,19,0,0xe">
                <v:fill on="t" focussize="0,0"/>
                <v:stroke on="f"/>
                <v:imagedata o:title=""/>
                <o:lock v:ext="edit" aspectratio="f"/>
              </v:shape>
            </w:pict>
          </mc:Fallback>
        </mc:AlternateContent>
      </w:r>
      <w:r>
        <w:rPr>
          <w:spacing w:val="-3"/>
          <w:sz w:val="24"/>
          <w:szCs w:val="24"/>
          <w14:textOutline w14:w="4358" w14:cap="sq" w14:cmpd="sng">
            <w14:solidFill>
              <w14:srgbClr w14:val="000000"/>
            </w14:solidFill>
            <w14:prstDash w14:val="solid"/>
            <w14:bevel/>
          </w14:textOutline>
        </w:rPr>
        <w:t>（以下无正文）</w:t>
      </w:r>
    </w:p>
    <w:p>
      <w:pPr>
        <w:spacing w:before="57"/>
      </w:pPr>
    </w:p>
    <w:p>
      <w:pPr>
        <w:spacing w:before="57"/>
      </w:pPr>
    </w:p>
    <w:p>
      <w:pPr>
        <w:sectPr>
          <w:footerReference r:id="rId6" w:type="default"/>
          <w:pgSz w:w="11906" w:h="16839"/>
          <w:pgMar w:top="1552" w:right="1785" w:bottom="1229" w:left="1643" w:header="1245" w:footer="1064" w:gutter="0"/>
          <w:cols w:equalWidth="0" w:num="1">
            <w:col w:w="8477"/>
          </w:cols>
        </w:sectPr>
      </w:pPr>
    </w:p>
    <w:p>
      <w:pPr>
        <w:pStyle w:val="2"/>
        <w:spacing w:before="47" w:line="221" w:lineRule="auto"/>
        <w:ind w:left="40"/>
        <w:rPr>
          <w:sz w:val="24"/>
          <w:szCs w:val="24"/>
        </w:rPr>
      </w:pPr>
      <w:r>
        <w:rPr>
          <w:spacing w:val="-17"/>
          <w:sz w:val="24"/>
          <w:szCs w:val="24"/>
          <w14:textOutline w14:w="4358" w14:cap="sq" w14:cmpd="sng">
            <w14:solidFill>
              <w14:srgbClr w14:val="000000"/>
            </w14:solidFill>
            <w14:prstDash w14:val="solid"/>
            <w14:bevel/>
          </w14:textOutline>
        </w:rPr>
        <w:t>甲</w:t>
      </w:r>
      <w:r>
        <w:rPr>
          <w:spacing w:val="5"/>
          <w:sz w:val="24"/>
          <w:szCs w:val="24"/>
        </w:rPr>
        <w:t xml:space="preserve">  </w:t>
      </w:r>
      <w:r>
        <w:rPr>
          <w:spacing w:val="-17"/>
          <w:sz w:val="24"/>
          <w:szCs w:val="24"/>
          <w14:textOutline w14:w="4358" w14:cap="sq" w14:cmpd="sng">
            <w14:solidFill>
              <w14:srgbClr w14:val="000000"/>
            </w14:solidFill>
            <w14:prstDash w14:val="solid"/>
            <w14:bevel/>
          </w14:textOutline>
        </w:rPr>
        <w:t>方：</w:t>
      </w:r>
    </w:p>
    <w:p>
      <w:pPr>
        <w:pStyle w:val="2"/>
        <w:spacing w:before="180" w:line="466" w:lineRule="exact"/>
        <w:ind w:left="8"/>
        <w:rPr>
          <w:sz w:val="24"/>
          <w:szCs w:val="24"/>
        </w:rPr>
      </w:pPr>
      <w:r>
        <w:rPr>
          <w:spacing w:val="-1"/>
          <w:position w:val="17"/>
          <w:sz w:val="24"/>
          <w:szCs w:val="24"/>
          <w14:textOutline w14:w="4358" w14:cap="sq" w14:cmpd="sng">
            <w14:solidFill>
              <w14:srgbClr w14:val="000000"/>
            </w14:solidFill>
            <w14:prstDash w14:val="solid"/>
            <w14:bevel/>
          </w14:textOutline>
        </w:rPr>
        <w:t>授权代表签字：</w:t>
      </w:r>
    </w:p>
    <w:p>
      <w:pPr>
        <w:pStyle w:val="2"/>
        <w:spacing w:line="218" w:lineRule="auto"/>
        <w:ind w:left="10"/>
        <w:rPr>
          <w:sz w:val="24"/>
          <w:szCs w:val="24"/>
        </w:rPr>
      </w:pPr>
      <w:r>
        <w:rPr>
          <w:spacing w:val="-4"/>
          <w:sz w:val="24"/>
          <w:szCs w:val="24"/>
          <w14:textOutline w14:w="4358" w14:cap="sq" w14:cmpd="sng">
            <w14:solidFill>
              <w14:srgbClr w14:val="000000"/>
            </w14:solidFill>
            <w14:prstDash w14:val="solid"/>
            <w14:bevel/>
          </w14:textOutline>
        </w:rPr>
        <w:t>盖章：</w:t>
      </w:r>
    </w:p>
    <w:p>
      <w:pPr>
        <w:spacing w:line="285" w:lineRule="auto"/>
        <w:rPr>
          <w:rFonts w:ascii="Arial"/>
          <w:sz w:val="21"/>
        </w:rPr>
      </w:pPr>
    </w:p>
    <w:p>
      <w:pPr>
        <w:spacing w:line="285" w:lineRule="auto"/>
        <w:rPr>
          <w:rFonts w:ascii="Arial"/>
          <w:sz w:val="21"/>
        </w:rPr>
      </w:pPr>
    </w:p>
    <w:p>
      <w:pPr>
        <w:pStyle w:val="2"/>
        <w:spacing w:before="79" w:line="184" w:lineRule="auto"/>
        <w:ind w:left="9"/>
        <w:rPr>
          <w:sz w:val="24"/>
          <w:szCs w:val="24"/>
        </w:rPr>
      </w:pPr>
      <w:r>
        <w:rPr>
          <w:spacing w:val="-3"/>
          <w:sz w:val="24"/>
          <w:szCs w:val="24"/>
        </w:rPr>
        <w:t>签约时间：  年</w:t>
      </w:r>
      <w:r>
        <w:rPr>
          <w:spacing w:val="9"/>
          <w:sz w:val="24"/>
          <w:szCs w:val="24"/>
        </w:rPr>
        <w:t xml:space="preserve">  </w:t>
      </w:r>
      <w:r>
        <w:rPr>
          <w:spacing w:val="-3"/>
          <w:sz w:val="24"/>
          <w:szCs w:val="24"/>
        </w:rPr>
        <w:t>月</w:t>
      </w:r>
      <w:r>
        <w:rPr>
          <w:spacing w:val="26"/>
          <w:sz w:val="24"/>
          <w:szCs w:val="24"/>
        </w:rPr>
        <w:t xml:space="preserve">  </w:t>
      </w:r>
      <w:r>
        <w:rPr>
          <w:spacing w:val="-3"/>
          <w:sz w:val="24"/>
          <w:szCs w:val="24"/>
        </w:rPr>
        <w:t>日</w:t>
      </w:r>
    </w:p>
    <w:p>
      <w:pPr>
        <w:spacing w:line="14" w:lineRule="auto"/>
        <w:rPr>
          <w:rFonts w:ascii="Arial"/>
          <w:sz w:val="2"/>
        </w:rPr>
      </w:pPr>
      <w:r>
        <w:rPr>
          <w:rFonts w:ascii="Arial" w:hAnsi="Arial" w:eastAsia="Arial" w:cs="Arial"/>
          <w:sz w:val="2"/>
          <w:szCs w:val="2"/>
        </w:rPr>
        <w:br w:type="column"/>
      </w:r>
    </w:p>
    <w:p>
      <w:pPr>
        <w:pStyle w:val="2"/>
        <w:spacing w:before="46" w:line="221" w:lineRule="auto"/>
        <w:ind w:left="24"/>
        <w:rPr>
          <w:sz w:val="24"/>
          <w:szCs w:val="24"/>
        </w:rPr>
      </w:pPr>
      <w:r>
        <w:rPr>
          <w:spacing w:val="-15"/>
          <w:sz w:val="24"/>
          <w:szCs w:val="24"/>
          <w14:textOutline w14:w="4358" w14:cap="sq" w14:cmpd="sng">
            <w14:solidFill>
              <w14:srgbClr w14:val="000000"/>
            </w14:solidFill>
            <w14:prstDash w14:val="solid"/>
            <w14:bevel/>
          </w14:textOutline>
        </w:rPr>
        <w:t>乙</w:t>
      </w:r>
      <w:r>
        <w:rPr>
          <w:spacing w:val="6"/>
          <w:sz w:val="24"/>
          <w:szCs w:val="24"/>
        </w:rPr>
        <w:t xml:space="preserve">  </w:t>
      </w:r>
      <w:r>
        <w:rPr>
          <w:spacing w:val="-15"/>
          <w:sz w:val="24"/>
          <w:szCs w:val="24"/>
          <w14:textOutline w14:w="4358" w14:cap="sq" w14:cmpd="sng">
            <w14:solidFill>
              <w14:srgbClr w14:val="000000"/>
            </w14:solidFill>
            <w14:prstDash w14:val="solid"/>
            <w14:bevel/>
          </w14:textOutline>
        </w:rPr>
        <w:t>方：</w:t>
      </w:r>
    </w:p>
    <w:p>
      <w:pPr>
        <w:pStyle w:val="2"/>
        <w:spacing w:before="180" w:line="466" w:lineRule="exact"/>
        <w:rPr>
          <w:sz w:val="24"/>
          <w:szCs w:val="24"/>
        </w:rPr>
      </w:pPr>
      <w:r>
        <w:rPr>
          <w:spacing w:val="-1"/>
          <w:position w:val="17"/>
          <w:sz w:val="24"/>
          <w:szCs w:val="24"/>
          <w14:textOutline w14:w="4358" w14:cap="sq" w14:cmpd="sng">
            <w14:solidFill>
              <w14:srgbClr w14:val="000000"/>
            </w14:solidFill>
            <w14:prstDash w14:val="solid"/>
            <w14:bevel/>
          </w14:textOutline>
        </w:rPr>
        <w:t>授权代表签字：</w:t>
      </w:r>
    </w:p>
    <w:p>
      <w:pPr>
        <w:pStyle w:val="2"/>
        <w:spacing w:line="218" w:lineRule="auto"/>
        <w:ind w:left="1"/>
        <w:rPr>
          <w:sz w:val="24"/>
          <w:szCs w:val="24"/>
        </w:rPr>
      </w:pPr>
      <w:r>
        <w:rPr>
          <w:spacing w:val="-4"/>
          <w:sz w:val="24"/>
          <w:szCs w:val="24"/>
          <w14:textOutline w14:w="4358" w14:cap="sq" w14:cmpd="sng">
            <w14:solidFill>
              <w14:srgbClr w14:val="000000"/>
            </w14:solidFill>
            <w14:prstDash w14:val="solid"/>
            <w14:bevel/>
          </w14:textOutline>
        </w:rPr>
        <w:t>盖章：</w:t>
      </w:r>
    </w:p>
    <w:p>
      <w:pPr>
        <w:spacing w:line="285" w:lineRule="auto"/>
        <w:rPr>
          <w:rFonts w:ascii="Arial"/>
          <w:sz w:val="21"/>
        </w:rPr>
      </w:pPr>
    </w:p>
    <w:p>
      <w:pPr>
        <w:spacing w:line="285" w:lineRule="auto"/>
        <w:rPr>
          <w:rFonts w:ascii="Arial"/>
          <w:sz w:val="21"/>
        </w:rPr>
      </w:pPr>
    </w:p>
    <w:p>
      <w:pPr>
        <w:pStyle w:val="2"/>
        <w:spacing w:before="79" w:line="184" w:lineRule="auto"/>
        <w:ind w:left="39"/>
        <w:rPr>
          <w:sz w:val="24"/>
          <w:szCs w:val="24"/>
        </w:rPr>
      </w:pPr>
      <w:r>
        <w:rPr>
          <w:spacing w:val="-1"/>
          <w:sz w:val="24"/>
          <w:szCs w:val="24"/>
        </w:rPr>
        <w:t>签约时间：年  月</w:t>
      </w:r>
      <w:r>
        <w:rPr>
          <w:spacing w:val="25"/>
          <w:sz w:val="24"/>
          <w:szCs w:val="24"/>
        </w:rPr>
        <w:t xml:space="preserve">  </w:t>
      </w:r>
      <w:r>
        <w:rPr>
          <w:spacing w:val="-1"/>
          <w:sz w:val="24"/>
          <w:szCs w:val="24"/>
        </w:rPr>
        <w:t>日</w:t>
      </w:r>
    </w:p>
    <w:p>
      <w:pPr>
        <w:spacing w:line="184" w:lineRule="auto"/>
        <w:rPr>
          <w:sz w:val="24"/>
          <w:szCs w:val="24"/>
        </w:rPr>
        <w:sectPr>
          <w:type w:val="continuous"/>
          <w:pgSz w:w="11906" w:h="16839"/>
          <w:pgMar w:top="1552" w:right="1785" w:bottom="1229" w:left="1643" w:header="1245" w:footer="1064" w:gutter="0"/>
          <w:cols w:equalWidth="0" w:num="2">
            <w:col w:w="5690" w:space="100"/>
            <w:col w:w="2687"/>
          </w:cols>
        </w:sect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098"/>
      <w:rPr>
        <w:rFonts w:ascii="Calibri" w:hAnsi="Calibri" w:eastAsia="Calibri" w:cs="Calibri"/>
        <w:sz w:val="18"/>
        <w:szCs w:val="18"/>
      </w:rPr>
    </w:pPr>
    <w:r>
      <w:rPr>
        <w:rFonts w:ascii="Calibri" w:hAnsi="Calibri" w:eastAsia="Calibri" w:cs="Calibri"/>
        <w:spacing w:val="-5"/>
        <w:sz w:val="18"/>
        <w:szCs w:val="18"/>
      </w:rPr>
      <w:t>32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098"/>
      <w:rPr>
        <w:rFonts w:ascii="Calibri" w:hAnsi="Calibri" w:eastAsia="Calibri" w:cs="Calibri"/>
        <w:sz w:val="18"/>
        <w:szCs w:val="18"/>
      </w:rPr>
    </w:pPr>
    <w:r>
      <w:rPr>
        <w:rFonts w:ascii="Calibri" w:hAnsi="Calibri" w:eastAsia="Calibri" w:cs="Calibri"/>
        <w:spacing w:val="-5"/>
        <w:sz w:val="18"/>
        <w:szCs w:val="18"/>
      </w:rPr>
      <w:t>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E6035A"/>
    <w:multiLevelType w:val="singleLevel"/>
    <w:tmpl w:val="10E6035A"/>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yNTA4ZTZjOGY2MDY1NjI5MDFhZTgwNzc5MTg1MmEifQ=="/>
  </w:docVars>
  <w:rsids>
    <w:rsidRoot w:val="57C55F22"/>
    <w:rsid w:val="57C55F22"/>
    <w:rsid w:val="6B8333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28"/>
      <w:szCs w:val="28"/>
      <w:lang w:val="en-US" w:eastAsia="en-US" w:bidi="ar-SA"/>
    </w:rPr>
  </w:style>
  <w:style w:type="paragraph" w:customStyle="1" w:styleId="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2024-04-02T02:55:00Z</dcterms:created>
  <dc:creator>向天军</dc:creator>
  <cp:lastModifiedBy>向天军</cp:lastModifiedBy>
  <dcterms:modified xsi:type="dcterms:W3CDTF">2024-04-03T03:33:50Z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8B71737ECD9C486D8B337EC4C41564EF_11</vt:lpwstr>
  </property>
</Properties>
</file>