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单一来源采购文件</w:t>
      </w:r>
      <w:r>
        <w:br/>
      </w:r>
      <w:r>
        <w:br/>
      </w:r>
      <w:r>
        <w:br/>
      </w:r>
    </w:p>
    <w:p>
      <w:pPr>
        <w:pStyle w:val="null3"/>
        <w:jc w:val="center"/>
        <w:outlineLvl w:val="5"/>
      </w:pPr>
      <w:r>
        <w:rPr>
          <w:b/>
          <w:sz w:val="15"/>
        </w:rPr>
        <w:t>（货物类）</w:t>
      </w:r>
      <w:r>
        <w:br/>
      </w:r>
      <w:r>
        <w:br/>
      </w:r>
      <w:r>
        <w:br/>
      </w:r>
      <w:r>
        <w:br/>
      </w:r>
      <w:r>
        <w:br/>
      </w:r>
      <w:r>
        <w:br/>
      </w:r>
      <w:r>
        <w:br/>
      </w:r>
      <w:r>
        <w:br/>
      </w:r>
      <w:r>
        <w:br/>
      </w:r>
      <w:r>
        <w:br/>
      </w:r>
      <w:r>
        <w:br/>
      </w:r>
    </w:p>
    <w:p>
      <w:pPr>
        <w:pStyle w:val="null3"/>
        <w:jc w:val="center"/>
        <w:outlineLvl w:val="5"/>
      </w:pPr>
      <w:r>
        <w:rPr>
          <w:b/>
          <w:sz w:val="15"/>
        </w:rPr>
        <w:t>项目名称：</w:t>
      </w:r>
      <w:r>
        <w:rPr>
          <w:b/>
          <w:sz w:val="15"/>
        </w:rPr>
        <w:t>2024年机动车号牌制作项目</w:t>
      </w:r>
    </w:p>
    <w:p>
      <w:pPr>
        <w:pStyle w:val="null3"/>
        <w:jc w:val="center"/>
        <w:outlineLvl w:val="5"/>
      </w:pPr>
      <w:r>
        <w:rPr>
          <w:b/>
          <w:sz w:val="15"/>
        </w:rPr>
        <w:t xml:space="preserve">项目编号: </w:t>
      </w:r>
      <w:r>
        <w:rPr>
          <w:b/>
          <w:sz w:val="15"/>
        </w:rPr>
        <w:t>SDZC2024--026</w:t>
      </w:r>
      <w:r>
        <w:br/>
      </w:r>
      <w:r>
        <w:br/>
      </w:r>
      <w:r>
        <w:br/>
      </w:r>
      <w:r>
        <w:br/>
      </w:r>
      <w:r>
        <w:br/>
      </w:r>
    </w:p>
    <w:p>
      <w:pPr>
        <w:pStyle w:val="null3"/>
        <w:jc w:val="center"/>
        <w:outlineLvl w:val="5"/>
      </w:pPr>
      <w:r>
        <w:rPr>
          <w:b/>
          <w:sz w:val="15"/>
        </w:rPr>
        <w:t>西安市公安局交通警察支队</w:t>
      </w:r>
    </w:p>
    <w:p>
      <w:pPr>
        <w:pStyle w:val="null3"/>
        <w:jc w:val="center"/>
        <w:outlineLvl w:val="5"/>
      </w:pPr>
      <w:r>
        <w:rPr>
          <w:b/>
          <w:sz w:val="15"/>
        </w:rPr>
        <w:t>陕西上德招标有限公司</w:t>
      </w:r>
      <w:r>
        <w:rPr>
          <w:b/>
          <w:sz w:val="15"/>
        </w:rPr>
        <w:t>共同编制</w:t>
      </w:r>
    </w:p>
    <w:p>
      <w:pPr>
        <w:pStyle w:val="null3"/>
        <w:jc w:val="center"/>
        <w:outlineLvl w:val="5"/>
      </w:pPr>
      <w:r>
        <w:rPr>
          <w:b/>
          <w:sz w:val="15"/>
        </w:rPr>
        <w:t>2024年05月08日</w:t>
      </w:r>
    </w:p>
    <w:p>
      <w:pPr>
        <w:pStyle w:val="null3"/>
      </w:pPr>
      <w:r>
        <w:rPr/>
        <w:t xml:space="preserve"> </w:t>
        <w:br/>
        <w:br w:type="page"/>
      </w:r>
    </w:p>
    <w:p>
      <w:pPr>
        <w:pStyle w:val="null3"/>
        <w:jc w:val="center"/>
        <w:outlineLvl w:val="1"/>
      </w:pPr>
      <w:r>
        <w:rPr>
          <w:b/>
          <w:sz w:val="36"/>
        </w:rPr>
        <w:t>第一章 协商邀请</w:t>
      </w:r>
    </w:p>
    <w:p>
      <w:pPr>
        <w:pStyle w:val="null3"/>
        <w:outlineLvl w:val="2"/>
      </w:pPr>
      <w:r>
        <w:rPr>
          <w:b/>
          <w:sz w:val="28"/>
        </w:rPr>
        <w:t>单一来源受邀供应商：</w:t>
      </w:r>
    </w:p>
    <w:p>
      <w:pPr>
        <w:pStyle w:val="null3"/>
        <w:ind w:firstLine="480"/>
      </w:pPr>
      <w:r>
        <w:rPr/>
        <w:t>陕西上德招标有限公司</w:t>
      </w:r>
      <w:r>
        <w:rPr/>
        <w:t>（以下简称“代理机构”）受</w:t>
      </w:r>
      <w:r>
        <w:rPr/>
        <w:t>西安市公安局交通警察支队</w:t>
      </w:r>
      <w:r>
        <w:rPr/>
        <w:t>委托，拟对</w:t>
      </w:r>
      <w:r>
        <w:rPr/>
        <w:t>2024年机动车号牌制作项目</w:t>
      </w:r>
      <w:r>
        <w:rPr/>
        <w:t>采用单一来源方式进行采购，现邀请贵公司参加该项目的协商。</w:t>
      </w:r>
    </w:p>
    <w:p>
      <w:pPr>
        <w:pStyle w:val="null3"/>
        <w:outlineLvl w:val="2"/>
      </w:pPr>
      <w:r>
        <w:rPr>
          <w:b/>
          <w:sz w:val="28"/>
        </w:rPr>
        <w:t>一、采购项目编号：</w:t>
      </w:r>
      <w:r>
        <w:rPr>
          <w:b/>
          <w:sz w:val="28"/>
        </w:rPr>
        <w:t>SDZC2024--026</w:t>
      </w:r>
    </w:p>
    <w:p>
      <w:pPr>
        <w:pStyle w:val="null3"/>
        <w:outlineLvl w:val="2"/>
      </w:pPr>
      <w:r>
        <w:rPr>
          <w:b/>
          <w:sz w:val="28"/>
        </w:rPr>
        <w:t>二、采购项目名称：</w:t>
      </w:r>
      <w:r>
        <w:rPr>
          <w:b/>
          <w:sz w:val="28"/>
        </w:rPr>
        <w:t>2024年机动车号牌制作项目</w:t>
      </w:r>
    </w:p>
    <w:p>
      <w:pPr>
        <w:pStyle w:val="null3"/>
        <w:outlineLvl w:val="2"/>
      </w:pPr>
      <w:r>
        <w:rPr>
          <w:b/>
          <w:sz w:val="28"/>
        </w:rPr>
        <w:t>三、协商项目简介：</w:t>
      </w:r>
    </w:p>
    <w:p>
      <w:pPr>
        <w:pStyle w:val="null3"/>
        <w:ind w:firstLine="480"/>
      </w:pPr>
      <w:r>
        <w:rPr/>
        <w:t>2024年机动车号牌制作项目</w:t>
      </w:r>
    </w:p>
    <w:p>
      <w:pPr>
        <w:pStyle w:val="null3"/>
        <w:outlineLvl w:val="2"/>
      </w:pPr>
      <w:r>
        <w:rPr>
          <w:b/>
          <w:sz w:val="28"/>
        </w:rPr>
        <w:t>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采购包1（2024年机动车号牌制作项目）：属于专门面向中小企业采购。</w:t>
      </w:r>
    </w:p>
    <w:p>
      <w:pPr>
        <w:pStyle w:val="null3"/>
        <w:ind w:firstLine="480"/>
      </w:pPr>
      <w:r>
        <w:rPr/>
        <w:t>（三）本项目的特定资格要求：</w:t>
      </w:r>
    </w:p>
    <w:p>
      <w:pPr>
        <w:pStyle w:val="null3"/>
      </w:pPr>
      <w:r>
        <w:rPr/>
        <w:t>采购包1：</w:t>
      </w:r>
    </w:p>
    <w:p>
      <w:pPr>
        <w:pStyle w:val="null3"/>
      </w:pPr>
      <w:r>
        <w:rPr/>
        <w:t>1、提供供应商合法注册的法人或其他组织的营业执照等证明文件、自然人的身份证明：提供供应商合法注册的法人或其他组织的营业执照等证明文件、自然人的身份证明；</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5、提供具有履行本合同所必需的设备和专业技术能力的说明及承诺：提供具有履行本合同所必需的设备和专业技术能力的说明及承诺；（提供书面说明及承诺，加盖供应商公章）</w:t>
      </w:r>
    </w:p>
    <w:p>
      <w:pPr>
        <w:pStyle w:val="null3"/>
      </w:pPr>
      <w:r>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法定代表人授权委托书：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式样见单一来源采购响应文件）</w:t>
      </w:r>
    </w:p>
    <w:p>
      <w:pPr>
        <w:pStyle w:val="null3"/>
      </w:pPr>
      <w:r>
        <w:rPr/>
        <w:t>8、信用截图：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单一来源采购响应截止日当天在“信用中国”网站和中国政府采购网站进行查询，截图留档；如网站无供应商信息的，供应商须提供相关证明资料或书面声明）</w:t>
      </w:r>
    </w:p>
    <w:p>
      <w:pPr>
        <w:pStyle w:val="null3"/>
        <w:ind w:firstLine="480"/>
      </w:pPr>
      <w:r>
        <w:rPr/>
        <w:t>说明：邀请参加该项目协商的供应商为采购人资格审查合格的供应商。</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t xml:space="preserve"> 注：获取的单一来源采购文件主体格式包括pdf、word两种格式版本，其中以pdf格式为准。</w:t>
      </w:r>
    </w:p>
    <w:p>
      <w:pPr>
        <w:pStyle w:val="null3"/>
        <w:outlineLvl w:val="2"/>
      </w:pPr>
      <w:r>
        <w:rPr>
          <w:b/>
          <w:sz w:val="28"/>
        </w:rPr>
        <w:t>七、 响应文件提交截止时间及开启时间、方式、地点</w:t>
      </w:r>
    </w:p>
    <w:p>
      <w:pPr>
        <w:pStyle w:val="null3"/>
        <w:ind w:firstLine="480"/>
      </w:pPr>
      <w:r>
        <w:rPr/>
        <w:t>（一）响应文件提交截止时间及开启时间：详见邀请书。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（三）本项目采取网上开标，即采购人或代理机构通过项目电子化交易系统“开标/开启大厅”组织在线开启。</w:t>
      </w:r>
    </w:p>
    <w:p>
      <w:pPr>
        <w:pStyle w:val="null3"/>
        <w:outlineLvl w:val="2"/>
      </w:pPr>
      <w:r>
        <w:rPr>
          <w:b/>
          <w:sz w:val="28"/>
        </w:rPr>
        <w:t>八、本次协商邀请由代理机构通过项目电子化交易系统发送邀请书和单一来源采购文件。</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西安市公安局交通警察支队</w:t>
      </w:r>
    </w:p>
    <w:p>
      <w:pPr>
        <w:pStyle w:val="null3"/>
      </w:pPr>
      <w:r>
        <w:rPr/>
        <w:t xml:space="preserve"> 地址： </w:t>
      </w:r>
      <w:r>
        <w:rPr/>
        <w:t>西安市太白南路222号</w:t>
      </w:r>
    </w:p>
    <w:p>
      <w:pPr>
        <w:pStyle w:val="null3"/>
      </w:pPr>
      <w:r>
        <w:rPr/>
        <w:t xml:space="preserve"> 邮编： </w:t>
      </w:r>
      <w:r>
        <w:rPr/>
        <w:t>710000</w:t>
      </w:r>
    </w:p>
    <w:p>
      <w:pPr>
        <w:pStyle w:val="null3"/>
      </w:pPr>
      <w:r>
        <w:rPr/>
        <w:t xml:space="preserve"> 联系人： </w:t>
      </w:r>
      <w:r>
        <w:rPr/>
        <w:t>许警官</w:t>
      </w:r>
    </w:p>
    <w:p>
      <w:pPr>
        <w:pStyle w:val="null3"/>
      </w:pPr>
      <w:r>
        <w:rPr/>
        <w:t xml:space="preserve"> 联系电话： </w:t>
      </w:r>
      <w:r>
        <w:rPr/>
        <w:t>029-86755037</w:t>
      </w:r>
    </w:p>
    <w:p>
      <w:pPr>
        <w:pStyle w:val="null3"/>
        <w:outlineLvl w:val="2"/>
      </w:pPr>
      <w:r>
        <w:rPr>
          <w:b/>
          <w:sz w:val="28"/>
        </w:rPr>
        <w:t>代理机构：</w:t>
      </w:r>
      <w:r>
        <w:rPr>
          <w:b/>
          <w:sz w:val="28"/>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710000</w:t>
      </w:r>
    </w:p>
    <w:p>
      <w:pPr>
        <w:pStyle w:val="null3"/>
      </w:pPr>
      <w:r>
        <w:rPr/>
        <w:t xml:space="preserve"> 联系人： </w:t>
      </w:r>
      <w:r>
        <w:rPr/>
        <w:t>宋芳芳（11号工位）、王涛</w:t>
      </w:r>
    </w:p>
    <w:p>
      <w:pPr>
        <w:pStyle w:val="null3"/>
      </w:pPr>
      <w:r>
        <w:rPr/>
        <w:t xml:space="preserve"> 联系电话： </w:t>
      </w:r>
      <w:r>
        <w:rPr/>
        <w:t>029-86673953、86518381、89299829、89293231转8011</w:t>
      </w:r>
    </w:p>
    <w:p>
      <w:pPr>
        <w:pStyle w:val="null3"/>
        <w:outlineLvl w:val="2"/>
      </w:pPr>
      <w:r>
        <w:rPr>
          <w:b/>
          <w:sz w:val="28"/>
        </w:rPr>
        <w:t>采购监督机构：</w:t>
      </w:r>
      <w:r>
        <w:rPr>
          <w:b/>
          <w:sz w:val="28"/>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本项目各包预算金额如下：</w:t>
            </w:r>
          </w:p>
          <w:p>
            <w:pPr>
              <w:pStyle w:val="null3"/>
            </w:pPr>
            <w:r>
              <w:rPr/>
              <w:t>采购包1：43,800,000.00元</w:t>
            </w:r>
            <w:r>
              <w:rPr/>
              <w:t>供应商的包件采购报价高于包件采购预算的，其响应文件将按无效处理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r>
              <w:rPr/>
              <w:t>采购包1：0.00元</w:t>
            </w:r>
            <w:r>
              <w:rPr/>
              <w:t xml:space="preserve"> 供应商的包件报价高于最高限价的，其响应文件将按无效处理。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8</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w:t>
            </w:r>
          </w:p>
          <w:p>
            <w:pPr>
              <w:pStyle w:val="null3"/>
            </w:pPr>
            <w:r>
              <w:rPr/>
              <w:t>可以待上述情形消除后继续组织采购活动；影响或者可能影响采购公平、公正的，采购人或代理机构应当依法终止采购活动。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西安市公安局交通警察支队</w:t>
      </w:r>
      <w:r>
        <w:rPr/>
        <w:t>和</w:t>
      </w:r>
      <w:r>
        <w:rPr/>
        <w:t>陕西上德招标有限公司</w:t>
      </w:r>
      <w:r>
        <w:rPr/>
        <w:t>享有。对采购文件中供应商参加本次政府采购活动应当具备的条件、项目技术、服务、商务及其他要求，评审标准由采购人负责解释。除上述采购文件内容，其他内容由</w:t>
      </w:r>
      <w:r>
        <w:rPr/>
        <w:t>陕西上德招标有限公司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一、“采购人”是指依法进行政府采购的各级国家机关、事业单位、团体组织。本次协商的采购人是</w:t>
      </w:r>
      <w:r>
        <w:rPr/>
        <w:t>西安市公安局交通警察支队</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陕西上德招标有限公司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b/>
          <w:sz w:val="28"/>
        </w:rPr>
        <w:t>2.3采购文件</w:t>
      </w:r>
    </w:p>
    <w:p>
      <w:pPr>
        <w:pStyle w:val="null3"/>
        <w:outlineLvl w:val="3"/>
      </w:pPr>
      <w:r>
        <w:rPr>
          <w:b/>
          <w:sz w:val="24"/>
        </w:rPr>
        <w:t xml:space="preserve"> 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（四）资格审查</w:t>
      </w:r>
    </w:p>
    <w:p>
      <w:pPr>
        <w:pStyle w:val="null3"/>
        <w:ind w:firstLine="480"/>
      </w:pPr>
      <w:r>
        <w:rPr/>
        <w:t>（五）协商办法</w:t>
      </w:r>
    </w:p>
    <w:p>
      <w:pPr>
        <w:pStyle w:val="null3"/>
        <w:ind w:firstLine="480"/>
      </w:pPr>
      <w:r>
        <w:rPr/>
        <w:t>（六）响应文件格式</w:t>
      </w:r>
    </w:p>
    <w:p>
      <w:pPr>
        <w:pStyle w:val="null3"/>
        <w:ind w:firstLine="480"/>
      </w:pPr>
      <w:r>
        <w:rPr/>
        <w:t>（七）拟签订采购的合同文本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b/>
          <w:sz w:val="24"/>
        </w:rPr>
        <w:t>2.3.2采购文件的澄清和修改</w:t>
      </w:r>
    </w:p>
    <w:p>
      <w:pPr>
        <w:pStyle w:val="null3"/>
        <w:ind w:firstLine="480"/>
      </w:pPr>
      <w:r>
        <w:rPr/>
        <w:t>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除采购文件中另有规定外，本项目均采用国家法定的计量单位。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三、若采用成交供应商所不拥有的知识产权，则在响应报价中必须包括合法使用该知识产权的相关费用。</w:t>
      </w:r>
    </w:p>
    <w:p>
      <w:pPr>
        <w:pStyle w:val="null3"/>
        <w:outlineLvl w:val="3"/>
      </w:pPr>
      <w:r>
        <w:rPr>
          <w:b/>
          <w:sz w:val="24"/>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b/>
          <w:sz w:val="24"/>
        </w:rPr>
        <w:t xml:space="preserve"> 2.4.6响应文件格式</w:t>
      </w:r>
    </w:p>
    <w:p>
      <w:pPr>
        <w:pStyle w:val="null3"/>
        <w:ind w:firstLine="480"/>
      </w:pPr>
      <w:r>
        <w:rPr/>
        <w:t>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b/>
          <w:sz w:val="24"/>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一、响应文件应当根据采购文件进行编制。供应商应通过陕西省政府采购网-服务专区-CA及签章服务下载投标(响应)客户端，使用客户端编制响应文件。</w:t>
      </w:r>
    </w:p>
    <w:p>
      <w:pPr>
        <w:pStyle w:val="null3"/>
        <w:ind w:firstLine="480"/>
      </w:pPr>
      <w:r>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b/>
          <w:sz w:val="24"/>
        </w:rPr>
        <w:t>2.4.10响应文件的提交</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b/>
          <w:sz w:val="24"/>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2.5.开启、资格审查、协商和成交</w:t>
      </w:r>
    </w:p>
    <w:p>
      <w:pPr>
        <w:pStyle w:val="null3"/>
        <w:outlineLvl w:val="3"/>
      </w:pPr>
      <w:r>
        <w:rPr>
          <w:b/>
          <w:sz w:val="24"/>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详见单一来源采购文件第四章。</w:t>
      </w:r>
    </w:p>
    <w:p>
      <w:pPr>
        <w:pStyle w:val="null3"/>
        <w:outlineLvl w:val="3"/>
      </w:pPr>
      <w:r>
        <w:rPr>
          <w:b/>
          <w:sz w:val="24"/>
        </w:rPr>
        <w:t>2.5.4协商</w:t>
      </w:r>
    </w:p>
    <w:p>
      <w:pPr>
        <w:pStyle w:val="null3"/>
        <w:ind w:firstLine="480"/>
      </w:pPr>
      <w:r>
        <w:rPr/>
        <w:t>详见单一来源采购文件第五章。</w:t>
      </w:r>
    </w:p>
    <w:p>
      <w:pPr>
        <w:pStyle w:val="null3"/>
        <w:outlineLvl w:val="3"/>
      </w:pPr>
      <w:r>
        <w:rPr>
          <w:b/>
          <w:sz w:val="24"/>
        </w:rPr>
        <w:t xml:space="preserve"> 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二、采购人和成交供应商签订的采购合同不得对采购文件确定的事项以及成交供应商的响应文件作实质性修改。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1. 验收标准：货物应按采购文件、响应文件以及国家和行业验收规范要求及合同中的相关条款进行数量及质量的验收。 2. 验收程序：货物验收分出厂检验、交货验收二个阶段。验收合格后，甲方签发《政府采购验收单》。</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（九）拒绝有关部门的监督检查或者向监督检查部门提供虚假情况；</w:t>
      </w:r>
    </w:p>
    <w:p>
      <w:pPr>
        <w:pStyle w:val="null3"/>
        <w:ind w:firstLine="480"/>
      </w:pPr>
      <w:r>
        <w:rPr/>
        <w:t>（十）法律法规规定的其他禁止情形。</w:t>
      </w:r>
    </w:p>
    <w:p>
      <w:pPr>
        <w:pStyle w:val="null3"/>
        <w:ind w:firstLine="480"/>
      </w:pPr>
      <w:r>
        <w:rPr/>
        <w:t>供应商有上述情形的，按照规定追究法律责任，具备一至十条情形之一的，其响应文件无效。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3.1项目概况</w:t>
      </w:r>
    </w:p>
    <w:p>
      <w:pPr>
        <w:pStyle w:val="null3"/>
        <w:ind w:firstLine="480"/>
      </w:pPr>
      <w:r>
        <w:rPr/>
        <w:t>2024年机动车号牌制作项目</w:t>
      </w:r>
    </w:p>
    <w:p>
      <w:pPr>
        <w:pStyle w:val="null3"/>
        <w:outlineLvl w:val="2"/>
      </w:pPr>
      <w:r>
        <w:rPr>
          <w:b/>
          <w:sz w:val="28"/>
        </w:rPr>
        <w:t>3.2采购内容</w:t>
      </w:r>
    </w:p>
    <w:p>
      <w:pPr>
        <w:pStyle w:val="null3"/>
      </w:pPr>
      <w:r>
        <w:rPr/>
        <w:t>采购包1：</w:t>
      </w:r>
    </w:p>
    <w:p>
      <w:pPr>
        <w:pStyle w:val="null3"/>
      </w:pPr>
      <w:r>
        <w:rPr/>
        <w:t>采购包预算金额（元）: 43,800,000.00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机动车号牌制作费</w:t>
            </w:r>
          </w:p>
        </w:tc>
        <w:tc>
          <w:tcPr>
            <w:tcW w:type="dxa" w:w="831"/>
          </w:tcPr>
          <w:p>
            <w:pPr>
              <w:pStyle w:val="null3"/>
              <w:jc w:val="right"/>
            </w:pPr>
            <w:r>
              <w:rPr/>
              <w:t>1.00</w:t>
            </w:r>
          </w:p>
        </w:tc>
        <w:tc>
          <w:tcPr>
            <w:tcW w:type="dxa" w:w="831"/>
          </w:tcPr>
          <w:p>
            <w:pPr>
              <w:pStyle w:val="null3"/>
              <w:jc w:val="right"/>
            </w:pPr>
            <w:r>
              <w:rPr/>
              <w:t>43,800,000.00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标的名称：机动车号牌制作费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pPr>
            <w:r>
              <w:rPr>
                <w:rFonts w:ascii="宋体" w:hAnsi="宋体" w:cs="宋体" w:eastAsia="宋体"/>
                <w:color w:val="000000"/>
                <w:sz w:val="24"/>
              </w:rPr>
              <w:t>一、项目概况</w:t>
            </w:r>
          </w:p>
          <w:p>
            <w:pPr>
              <w:pStyle w:val="null3"/>
              <w:ind w:firstLine="480"/>
              <w:jc w:val="both"/>
            </w:pPr>
            <w:r>
              <w:rPr>
                <w:rFonts w:ascii="宋体" w:hAnsi="宋体" w:cs="宋体" w:eastAsia="宋体"/>
                <w:sz w:val="24"/>
              </w:rPr>
              <w:t>为满足全市机动车业务办理的需求，支队</w:t>
            </w:r>
            <w:r>
              <w:rPr>
                <w:rFonts w:ascii="宋体" w:hAnsi="宋体" w:cs="宋体" w:eastAsia="宋体"/>
                <w:sz w:val="24"/>
              </w:rPr>
              <w:t>2024年拟采购机动车号牌，总数868735副（含大型汽车号牌、小型汽车号牌、摩托车号牌、轻骑号牌、农用车号牌、挂车号牌、学车号牌、新能源大车号牌、新能源小车号牌）</w:t>
            </w:r>
            <w:r>
              <w:rPr>
                <w:rFonts w:ascii="宋体" w:hAnsi="宋体" w:cs="宋体" w:eastAsia="宋体"/>
                <w:sz w:val="24"/>
              </w:rPr>
              <w:t>。</w:t>
            </w:r>
          </w:p>
          <w:p>
            <w:pPr>
              <w:pStyle w:val="null3"/>
              <w:ind w:firstLine="480"/>
            </w:pPr>
            <w:r>
              <w:rPr>
                <w:rFonts w:ascii="宋体" w:hAnsi="宋体" w:cs="宋体" w:eastAsia="宋体"/>
                <w:color w:val="000000"/>
                <w:sz w:val="24"/>
              </w:rPr>
              <w:t>二、采购</w:t>
            </w:r>
            <w:r>
              <w:rPr>
                <w:rFonts w:ascii="宋体" w:hAnsi="宋体" w:cs="宋体" w:eastAsia="宋体"/>
                <w:color w:val="000000"/>
                <w:sz w:val="24"/>
              </w:rPr>
              <w:t>清单</w:t>
            </w:r>
          </w:p>
          <w:tbl>
            <w:tblPr>
              <w:tblBorders>
                <w:top w:val="none" w:color="000000" w:sz="4"/>
                <w:left w:val="none" w:color="000000" w:sz="4"/>
                <w:bottom w:val="none" w:color="000000" w:sz="4"/>
                <w:right w:val="none" w:color="000000" w:sz="4"/>
                <w:insideH w:val="none"/>
                <w:insideV w:val="none"/>
              </w:tblBorders>
            </w:tblPr>
            <w:tblGrid>
              <w:gridCol w:w="411"/>
              <w:gridCol w:w="1345"/>
              <w:gridCol w:w="1039"/>
              <w:gridCol w:w="1027"/>
            </w:tblGrid>
            <w:tr>
              <w:tc>
                <w:tcPr>
                  <w:tcW w:type="dxa" w:w="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1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宋体" w:hAnsi="宋体" w:cs="宋体" w:eastAsia="宋体"/>
                      <w:sz w:val="24"/>
                    </w:rPr>
                    <w:t>号牌种类</w:t>
                  </w:r>
                </w:p>
              </w:tc>
              <w:tc>
                <w:tcPr>
                  <w:tcW w:type="dxa" w:w="10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号牌型号</w:t>
                  </w:r>
                </w:p>
              </w:tc>
              <w:tc>
                <w:tcPr>
                  <w:tcW w:type="dxa" w:w="10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宋体" w:hAnsi="宋体" w:cs="宋体" w:eastAsia="宋体"/>
                      <w:sz w:val="24"/>
                    </w:rPr>
                    <w:t>数量（副）</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宋体" w:hAnsi="宋体" w:cs="宋体" w:eastAsia="宋体"/>
                      <w:sz w:val="24"/>
                    </w:rPr>
                    <w:t>大型汽车号牌</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宋体" w:hAnsi="宋体" w:cs="宋体" w:eastAsia="宋体"/>
                      <w:sz w:val="24"/>
                    </w:rPr>
                    <w:t>CA-01</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20000</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宋体" w:hAnsi="宋体" w:cs="宋体" w:eastAsia="宋体"/>
                      <w:sz w:val="24"/>
                    </w:rPr>
                    <w:t>小型汽车号牌</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宋体" w:hAnsi="宋体" w:cs="宋体" w:eastAsia="宋体"/>
                      <w:sz w:val="24"/>
                    </w:rPr>
                    <w:t>CA-02</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665000</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宋体" w:hAnsi="宋体" w:cs="宋体" w:eastAsia="宋体"/>
                      <w:sz w:val="24"/>
                    </w:rPr>
                    <w:t>摩托车号牌</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宋体" w:hAnsi="宋体" w:cs="宋体" w:eastAsia="宋体"/>
                      <w:sz w:val="24"/>
                    </w:rPr>
                    <w:t>CA-07</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109320</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宋体" w:hAnsi="宋体" w:cs="宋体" w:eastAsia="宋体"/>
                      <w:sz w:val="24"/>
                    </w:rPr>
                    <w:t>轻骑号牌</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宋体" w:hAnsi="宋体" w:cs="宋体" w:eastAsia="宋体"/>
                      <w:sz w:val="24"/>
                    </w:rPr>
                    <w:t>CA-08</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8000</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宋体" w:hAnsi="宋体" w:cs="宋体" w:eastAsia="宋体"/>
                      <w:sz w:val="24"/>
                    </w:rPr>
                    <w:t>农用车号牌</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宋体" w:hAnsi="宋体" w:cs="宋体" w:eastAsia="宋体"/>
                      <w:sz w:val="24"/>
                    </w:rPr>
                    <w:t>CA-13</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600</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宋体" w:hAnsi="宋体" w:cs="宋体" w:eastAsia="宋体"/>
                      <w:sz w:val="24"/>
                    </w:rPr>
                    <w:t>挂车号牌</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宋体" w:hAnsi="宋体" w:cs="宋体" w:eastAsia="宋体"/>
                      <w:sz w:val="24"/>
                    </w:rPr>
                    <w:t>CA-15</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3015</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宋体" w:hAnsi="宋体" w:cs="宋体" w:eastAsia="宋体"/>
                      <w:sz w:val="24"/>
                    </w:rPr>
                    <w:t>学车号牌</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宋体" w:hAnsi="宋体" w:cs="宋体" w:eastAsia="宋体"/>
                      <w:sz w:val="24"/>
                    </w:rPr>
                    <w:t>CA-16</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1200</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宋体" w:hAnsi="宋体" w:cs="宋体" w:eastAsia="宋体"/>
                      <w:sz w:val="24"/>
                    </w:rPr>
                    <w:t>新能源大车号牌</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宋体" w:hAnsi="宋体" w:cs="宋体" w:eastAsia="宋体"/>
                      <w:sz w:val="24"/>
                    </w:rPr>
                    <w:t>CA-51</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3600</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宋体" w:hAnsi="宋体" w:cs="宋体" w:eastAsia="宋体"/>
                      <w:sz w:val="24"/>
                    </w:rPr>
                    <w:t>新能源小车号牌</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宋体" w:hAnsi="宋体" w:cs="宋体" w:eastAsia="宋体"/>
                      <w:sz w:val="24"/>
                    </w:rPr>
                    <w:t>CA-52</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58000</w:t>
                  </w:r>
                </w:p>
              </w:tc>
            </w:tr>
          </w:tbl>
          <w:p>
            <w:pPr>
              <w:pStyle w:val="null3"/>
            </w:pPr>
            <w:r>
              <w:rPr/>
              <w:t xml:space="preserve"> </w:t>
            </w:r>
          </w:p>
          <w:p>
            <w:pPr>
              <w:pStyle w:val="null3"/>
              <w:ind w:firstLine="480"/>
            </w:pPr>
            <w:r>
              <w:rPr>
                <w:rFonts w:ascii="宋体" w:hAnsi="宋体" w:cs="宋体" w:eastAsia="宋体"/>
                <w:color w:val="000000"/>
                <w:sz w:val="24"/>
              </w:rPr>
              <w:t>三、技术要求</w:t>
            </w:r>
          </w:p>
          <w:p>
            <w:pPr>
              <w:pStyle w:val="null3"/>
              <w:ind w:firstLine="480"/>
            </w:pPr>
            <w:r>
              <w:rPr>
                <w:rFonts w:ascii="宋体" w:hAnsi="宋体" w:cs="宋体" w:eastAsia="宋体"/>
                <w:sz w:val="24"/>
              </w:rPr>
              <w:t>（一）号牌符合中华人民共和国公共行业安全标准《</w:t>
            </w:r>
            <w:r>
              <w:rPr>
                <w:rFonts w:ascii="宋体" w:hAnsi="宋体" w:cs="宋体" w:eastAsia="宋体"/>
                <w:sz w:val="24"/>
              </w:rPr>
              <w:t>GA36-2018中华人民共和国机动车号牌》的相关要求。</w:t>
            </w:r>
          </w:p>
          <w:tbl>
            <w:tblPr>
              <w:tblInd w:type="dxa" w:w="135"/>
              <w:tblBorders>
                <w:top w:val="none" w:color="000000" w:sz="4"/>
                <w:left w:val="none" w:color="000000" w:sz="4"/>
                <w:bottom w:val="none" w:color="000000" w:sz="4"/>
                <w:right w:val="none" w:color="000000" w:sz="4"/>
                <w:insideH w:val="none"/>
                <w:insideV w:val="none"/>
              </w:tblBorders>
            </w:tblPr>
            <w:tblGrid>
              <w:gridCol w:w="322"/>
              <w:gridCol w:w="304"/>
              <w:gridCol w:w="529"/>
              <w:gridCol w:w="465"/>
              <w:gridCol w:w="319"/>
              <w:gridCol w:w="1115"/>
              <w:gridCol w:w="762"/>
            </w:tblGrid>
            <w:tr>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序号</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分类</w:t>
                  </w:r>
                </w:p>
              </w:tc>
              <w:tc>
                <w:tcPr>
                  <w:tcW w:type="dxa" w:w="5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外廓尺寸</w:t>
                  </w:r>
                </w:p>
              </w:tc>
              <w:tc>
                <w:tcPr>
                  <w:tcW w:type="dxa" w:w="4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颜色</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数量</w:t>
                  </w:r>
                </w:p>
              </w:tc>
              <w:tc>
                <w:tcPr>
                  <w:tcW w:type="dxa" w:w="1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适用范围</w:t>
                  </w:r>
                </w:p>
              </w:tc>
              <w:tc>
                <w:tcPr>
                  <w:tcW w:type="dxa" w:w="7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材质</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大型汽车号牌</w:t>
                  </w:r>
                </w:p>
              </w:tc>
              <w:tc>
                <w:tcPr>
                  <w:tcW w:type="dxa" w:w="52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前：</w:t>
                  </w:r>
                  <w:r>
                    <w:rPr>
                      <w:rFonts w:ascii="宋体" w:hAnsi="宋体" w:cs="宋体" w:eastAsia="宋体"/>
                      <w:color w:val="000000"/>
                      <w:sz w:val="24"/>
                    </w:rPr>
                    <w:t>440x140</w:t>
                  </w:r>
                </w:p>
                <w:p>
                  <w:pPr>
                    <w:pStyle w:val="null3"/>
                    <w:jc w:val="center"/>
                  </w:pPr>
                  <w:r>
                    <w:rPr>
                      <w:rFonts w:ascii="宋体" w:hAnsi="宋体" w:cs="宋体" w:eastAsia="宋体"/>
                      <w:color w:val="000000"/>
                      <w:sz w:val="24"/>
                    </w:rPr>
                    <w:t>后：</w:t>
                  </w:r>
                  <w:r>
                    <w:rPr>
                      <w:rFonts w:ascii="宋体" w:hAnsi="宋体" w:cs="宋体" w:eastAsia="宋体"/>
                      <w:color w:val="000000"/>
                      <w:sz w:val="24"/>
                    </w:rPr>
                    <w:t>440x220</w:t>
                  </w:r>
                </w:p>
              </w:tc>
              <w:tc>
                <w:tcPr>
                  <w:tcW w:type="dxa" w:w="4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黄底黑字，黑框线</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符合（</w:t>
                  </w:r>
                  <w:r>
                    <w:rPr>
                      <w:rFonts w:ascii="宋体" w:hAnsi="宋体" w:cs="宋体" w:eastAsia="宋体"/>
                      <w:color w:val="000000"/>
                      <w:sz w:val="24"/>
                    </w:rPr>
                    <w:t>GA802机动车术语和定义）规定的中型（含）以上载客、载货汽车和专业作业车（ 适用大型新能源汽车号牌的除外）；有轨电车</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金属（铝）、公安部备案的反光膜、黑色油墨</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挂车号牌</w:t>
                  </w:r>
                </w:p>
              </w:tc>
              <w:tc>
                <w:tcPr>
                  <w:tcW w:type="dxa" w:w="5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440x220</w:t>
                  </w:r>
                </w:p>
              </w:tc>
              <w:tc>
                <w:tcPr>
                  <w:tcW w:type="dxa" w:w="465"/>
                  <w:vMerge/>
                  <w:tcBorders>
                    <w:top w:val="none" w:color="000000" w:sz="4"/>
                    <w:left w:val="none" w:color="000000" w:sz="4"/>
                    <w:bottom w:val="single" w:color="000000" w:sz="4"/>
                    <w:right w:val="single" w:color="000000" w:sz="4"/>
                  </w:tcBorders>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符合（</w:t>
                  </w:r>
                  <w:r>
                    <w:rPr>
                      <w:rFonts w:ascii="宋体" w:hAnsi="宋体" w:cs="宋体" w:eastAsia="宋体"/>
                      <w:color w:val="000000"/>
                      <w:sz w:val="24"/>
                    </w:rPr>
                    <w:t>GA802机动车术语和定义）规定的挂车</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金属（铝）、公安部备案的反光膜、黑色油墨</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小型汽车号牌</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440x140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蓝底白字，白框线</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符合（</w:t>
                  </w:r>
                  <w:r>
                    <w:rPr>
                      <w:rFonts w:ascii="宋体" w:hAnsi="宋体" w:cs="宋体" w:eastAsia="宋体"/>
                      <w:color w:val="000000"/>
                      <w:sz w:val="24"/>
                    </w:rPr>
                    <w:t>GA802机动车术语和定义）规定的中型（含）以下的载客、载货汽车和专业作业车（ 适用小型新能源汽车号牌的除外）</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金属（铝）、公安部备案的反光膜</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学车号牌</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440x140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黄底黑字，黑框线</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符合（</w:t>
                  </w:r>
                  <w:r>
                    <w:rPr>
                      <w:rFonts w:ascii="宋体" w:hAnsi="宋体" w:cs="宋体" w:eastAsia="宋体"/>
                      <w:color w:val="000000"/>
                      <w:sz w:val="24"/>
                    </w:rPr>
                    <w:t>GA802机动车术语和定义）的教练用汽车</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金属（铝）、公安部备案的反光膜、黑色油墨</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摩托车号牌</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220x140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黄底黑字，黑框线</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符合（</w:t>
                  </w:r>
                  <w:r>
                    <w:rPr>
                      <w:rFonts w:ascii="宋体" w:hAnsi="宋体" w:cs="宋体" w:eastAsia="宋体"/>
                      <w:color w:val="000000"/>
                      <w:sz w:val="24"/>
                    </w:rPr>
                    <w:t>GA802机动车术语和定义）的两轮摩托车、边三轮摩托车和正三轮摩托车</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金属（铝）、公安部备案的反光膜、黑色油墨</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农用车号牌</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300x165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黄底黑字，黑框线</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符合（</w:t>
                  </w:r>
                  <w:r>
                    <w:rPr>
                      <w:rFonts w:ascii="宋体" w:hAnsi="宋体" w:cs="宋体" w:eastAsia="宋体"/>
                      <w:color w:val="000000"/>
                      <w:sz w:val="24"/>
                    </w:rPr>
                    <w:t>GA802机动车术语和定义）的低速载货汽车、三轮汽车和轮式专用机械车</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金属（铝）、公安部备案的反光膜、黑色油墨</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轻骑号牌</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220x140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蓝底白字，白框线</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符合（</w:t>
                  </w:r>
                  <w:r>
                    <w:rPr>
                      <w:rFonts w:ascii="宋体" w:hAnsi="宋体" w:cs="宋体" w:eastAsia="宋体"/>
                      <w:color w:val="000000"/>
                      <w:sz w:val="24"/>
                    </w:rPr>
                    <w:t>GA802机动车术语和定义）的轻便摩托车和正三轮轻便摩托车</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金属（铝）、公安部备案的反光膜</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新能源小车号牌</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480x140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渐变绿底黑字，黑框线</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符合（</w:t>
                  </w:r>
                  <w:r>
                    <w:rPr>
                      <w:rFonts w:ascii="宋体" w:hAnsi="宋体" w:cs="宋体" w:eastAsia="宋体"/>
                      <w:color w:val="000000"/>
                      <w:sz w:val="24"/>
                    </w:rPr>
                    <w:t>GA802机动车术语和定义）的中型以下的新能源汽车</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金属（铝）、公安部备案的反光膜、烫印膜</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新能源大车号牌</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480x140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黄绿底黑字，黑框线</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符合（</w:t>
                  </w:r>
                  <w:r>
                    <w:rPr>
                      <w:rFonts w:ascii="宋体" w:hAnsi="宋体" w:cs="宋体" w:eastAsia="宋体"/>
                      <w:color w:val="000000"/>
                      <w:sz w:val="24"/>
                    </w:rPr>
                    <w:t>GA802机动车术语和定义）规定的中型以上的新能源汽车</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金属（铝）、公安部备案的反光膜、烫印膜</w:t>
                  </w:r>
                </w:p>
              </w:tc>
            </w:tr>
          </w:tbl>
          <w:p>
            <w:pPr>
              <w:pStyle w:val="null3"/>
              <w:jc w:val="both"/>
            </w:pPr>
            <w:r>
              <w:rPr>
                <w:rFonts w:ascii="宋体" w:hAnsi="宋体" w:cs="宋体" w:eastAsia="宋体"/>
                <w:b/>
                <w:color w:val="000000"/>
                <w:sz w:val="24"/>
              </w:rPr>
              <w:t>（二）项目建设依据</w:t>
            </w:r>
          </w:p>
          <w:p>
            <w:pPr>
              <w:pStyle w:val="null3"/>
              <w:ind w:firstLine="480"/>
            </w:pPr>
            <w:r>
              <w:rPr>
                <w:rFonts w:ascii="宋体" w:hAnsi="宋体" w:cs="宋体" w:eastAsia="宋体"/>
                <w:color w:val="000000"/>
                <w:sz w:val="24"/>
              </w:rPr>
              <w:t>（</w:t>
            </w:r>
            <w:r>
              <w:rPr>
                <w:rFonts w:ascii="宋体" w:hAnsi="宋体" w:cs="宋体" w:eastAsia="宋体"/>
                <w:color w:val="000000"/>
                <w:sz w:val="24"/>
              </w:rPr>
              <w:t>1）中华人民共和国公共行业安全标准《GA36-2018中华人民共和国机动车号牌》</w:t>
            </w:r>
          </w:p>
          <w:p>
            <w:pPr>
              <w:pStyle w:val="null3"/>
              <w:ind w:firstLine="480"/>
            </w:pPr>
            <w:r>
              <w:rPr>
                <w:rFonts w:ascii="宋体" w:hAnsi="宋体" w:cs="宋体" w:eastAsia="宋体"/>
                <w:color w:val="000000"/>
                <w:sz w:val="24"/>
              </w:rPr>
              <w:t>（</w:t>
            </w:r>
            <w:r>
              <w:rPr>
                <w:rFonts w:ascii="宋体" w:hAnsi="宋体" w:cs="宋体" w:eastAsia="宋体"/>
                <w:color w:val="000000"/>
                <w:sz w:val="24"/>
              </w:rPr>
              <w:t>2）交警总队关于印发《机动车号牌监制规范》工作方案的通知，陕公交(2017)57号</w:t>
            </w:r>
          </w:p>
          <w:p>
            <w:pPr>
              <w:pStyle w:val="null3"/>
              <w:ind w:firstLine="480"/>
            </w:pPr>
            <w:r>
              <w:rPr>
                <w:rFonts w:ascii="宋体" w:hAnsi="宋体" w:cs="宋体" w:eastAsia="宋体"/>
                <w:color w:val="000000"/>
                <w:sz w:val="24"/>
              </w:rPr>
              <w:t>（</w:t>
            </w:r>
            <w:r>
              <w:rPr>
                <w:rFonts w:ascii="宋体" w:hAnsi="宋体" w:cs="宋体" w:eastAsia="宋体"/>
                <w:color w:val="000000"/>
                <w:sz w:val="24"/>
              </w:rPr>
              <w:t>3）交警总队关于进一步加强机动车号牌生产管理工作的通知，陕公交(2018)27号</w:t>
            </w:r>
          </w:p>
          <w:p>
            <w:pPr>
              <w:pStyle w:val="null3"/>
              <w:ind w:firstLine="480"/>
            </w:pPr>
            <w:r>
              <w:rPr>
                <w:rFonts w:ascii="宋体" w:hAnsi="宋体" w:cs="宋体" w:eastAsia="宋体"/>
                <w:color w:val="000000"/>
                <w:sz w:val="24"/>
              </w:rPr>
              <w:t>（</w:t>
            </w:r>
            <w:r>
              <w:rPr>
                <w:rFonts w:ascii="宋体" w:hAnsi="宋体" w:cs="宋体" w:eastAsia="宋体"/>
                <w:color w:val="000000"/>
                <w:sz w:val="24"/>
              </w:rPr>
              <w:t>4）交警总队转发《陕西省财政厅、陕西省公安厅关于调整机动车牌照工本费省市县分成比例的通知》的通知，陕公交(2013)220号</w:t>
            </w:r>
          </w:p>
          <w:p>
            <w:pPr>
              <w:pStyle w:val="null3"/>
              <w:ind w:firstLine="480"/>
            </w:pPr>
            <w:r>
              <w:rPr>
                <w:rFonts w:ascii="宋体" w:hAnsi="宋体" w:cs="宋体" w:eastAsia="宋体"/>
                <w:color w:val="000000"/>
                <w:sz w:val="24"/>
              </w:rPr>
              <w:t>（</w:t>
            </w:r>
            <w:r>
              <w:rPr>
                <w:rFonts w:ascii="宋体" w:hAnsi="宋体" w:cs="宋体" w:eastAsia="宋体"/>
                <w:color w:val="000000"/>
                <w:sz w:val="24"/>
              </w:rPr>
              <w:t>5）陕西省财政厅、陕西省公安厅关于调整机动车牌照工本费省市县分成比例的通知，陕财办综(2013)23号</w:t>
            </w:r>
          </w:p>
          <w:p>
            <w:pPr>
              <w:pStyle w:val="null3"/>
              <w:ind w:firstLine="480"/>
            </w:pPr>
            <w:r>
              <w:rPr>
                <w:rFonts w:ascii="宋体" w:hAnsi="宋体" w:cs="宋体" w:eastAsia="宋体"/>
                <w:color w:val="000000"/>
                <w:sz w:val="24"/>
              </w:rPr>
              <w:t>（</w:t>
            </w:r>
            <w:r>
              <w:rPr>
                <w:rFonts w:ascii="宋体" w:hAnsi="宋体" w:cs="宋体" w:eastAsia="宋体"/>
                <w:color w:val="000000"/>
                <w:sz w:val="24"/>
              </w:rPr>
              <w:t>6）GA802-2014机动车类型术语和定义</w:t>
            </w:r>
          </w:p>
          <w:p>
            <w:pPr>
              <w:pStyle w:val="null3"/>
              <w:ind w:firstLine="480"/>
            </w:pPr>
            <w:r>
              <w:rPr>
                <w:rFonts w:ascii="宋体" w:hAnsi="宋体" w:cs="宋体" w:eastAsia="宋体"/>
                <w:color w:val="000000"/>
                <w:sz w:val="24"/>
              </w:rPr>
              <w:t>（</w:t>
            </w:r>
            <w:r>
              <w:rPr>
                <w:rFonts w:ascii="宋体" w:hAnsi="宋体" w:cs="宋体" w:eastAsia="宋体"/>
                <w:color w:val="000000"/>
                <w:sz w:val="24"/>
              </w:rPr>
              <w:t>7）国家发展改革委 财政部关于降低部分行政事业性收费标准的通知,发改价格规〔2019〕1931号</w:t>
            </w:r>
          </w:p>
        </w:tc>
      </w:tr>
    </w:tbl>
    <w:p>
      <w:pPr>
        <w:pStyle w:val="null3"/>
        <w:outlineLvl w:val="2"/>
      </w:pPr>
      <w:r>
        <w:rPr>
          <w:b/>
          <w:sz w:val="28"/>
        </w:rPr>
        <w:t>3.4商务要求</w:t>
      </w:r>
    </w:p>
    <w:p>
      <w:pPr>
        <w:pStyle w:val="null3"/>
        <w:outlineLvl w:val="3"/>
      </w:pPr>
      <w:r>
        <w:rPr>
          <w:b/>
          <w:sz w:val="24"/>
        </w:rPr>
        <w:t>3.4.1交货时间</w:t>
      </w:r>
    </w:p>
    <w:p>
      <w:pPr>
        <w:pStyle w:val="null3"/>
      </w:pPr>
      <w:r>
        <w:rPr/>
        <w:t>采购包1：</w:t>
      </w:r>
    </w:p>
    <w:p>
      <w:pPr>
        <w:pStyle w:val="null3"/>
      </w:pPr>
      <w:r>
        <w:rPr/>
        <w:t>自合同签订后30个工作日内交付采购内容30%的货物运到采购人指定地点,2024年11月30日前交付其余货物运到采购人指定地点并交付验收。</w:t>
      </w:r>
    </w:p>
    <w:p>
      <w:pPr>
        <w:pStyle w:val="null3"/>
        <w:outlineLvl w:val="3"/>
      </w:pPr>
      <w:r>
        <w:rPr>
          <w:b/>
          <w:sz w:val="24"/>
        </w:rPr>
        <w:t>3.4.2交货地点</w:t>
      </w:r>
    </w:p>
    <w:p>
      <w:pPr>
        <w:pStyle w:val="null3"/>
      </w:pPr>
      <w:r>
        <w:rPr/>
        <w:t>采购包1：</w:t>
      </w:r>
    </w:p>
    <w:p>
      <w:pPr>
        <w:pStyle w:val="null3"/>
      </w:pPr>
      <w:r>
        <w:rPr/>
        <w:t>西安市公安局交通警察支队。</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合同生效后，甲方向乙方支付合同总额的40%预付款（¥17520000.00元）</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6月底前支付合同总额的约31.77%（支付¥13916900.00元），进行实际交付货物的结算，验收合格后进行支付</w:t>
      </w:r>
      <w:r>
        <w:rPr/>
        <w:t xml:space="preserve"> ，达到付款条件起 </w:t>
      </w:r>
      <w:r>
        <w:rPr/>
        <w:t>30</w:t>
      </w:r>
      <w:r>
        <w:rPr/>
        <w:t xml:space="preserve"> 日内，支付合同总金额的 </w:t>
      </w:r>
      <w:r>
        <w:rPr/>
        <w:t>31.77</w:t>
      </w:r>
      <w:r>
        <w:rPr/>
        <w:t>%。</w:t>
      </w:r>
    </w:p>
    <w:p>
      <w:pPr>
        <w:pStyle w:val="null3"/>
      </w:pPr>
      <w:r>
        <w:rPr/>
        <w:t>采购包1：</w:t>
      </w:r>
      <w:r>
        <w:rPr/>
        <w:t xml:space="preserve"> 付款条件说明： </w:t>
      </w:r>
      <w:r>
        <w:rPr/>
        <w:t>9月底前支付合同总额约23.66%（支付¥10363200元），进行实际交付货物的结算，验收合格后进行支付</w:t>
      </w:r>
      <w:r>
        <w:rPr/>
        <w:t xml:space="preserve"> ，达到付款条件起 </w:t>
      </w:r>
      <w:r>
        <w:rPr/>
        <w:t>30</w:t>
      </w:r>
      <w:r>
        <w:rPr/>
        <w:t xml:space="preserve"> 日内，支付合同总金额的 </w:t>
      </w:r>
      <w:r>
        <w:rPr/>
        <w:t>23.66</w:t>
      </w:r>
      <w:r>
        <w:rPr/>
        <w:t>%。</w:t>
      </w:r>
    </w:p>
    <w:p>
      <w:pPr>
        <w:pStyle w:val="null3"/>
      </w:pPr>
      <w:r>
        <w:rPr/>
        <w:t>采购包1：</w:t>
      </w:r>
      <w:r>
        <w:rPr/>
        <w:t xml:space="preserve"> 付款条件说明： </w:t>
      </w:r>
      <w:r>
        <w:rPr/>
        <w:t>11月底前（项目验收合格后，按照实际结算审计金额支付合同剩余尾款）进行实际交付货物的结算，验收合格后进行支付</w:t>
      </w:r>
      <w:r>
        <w:rPr/>
        <w:t xml:space="preserve"> ，达到付款条件起 </w:t>
      </w:r>
      <w:r>
        <w:rPr/>
        <w:t>30</w:t>
      </w:r>
      <w:r>
        <w:rPr/>
        <w:t xml:space="preserve"> 日内，支付合同总金额的 </w:t>
      </w:r>
      <w:r>
        <w:rPr/>
        <w:t>4.57</w:t>
      </w:r>
      <w:r>
        <w:rPr/>
        <w:t>%。</w:t>
      </w:r>
    </w:p>
    <w:p>
      <w:pPr>
        <w:pStyle w:val="null3"/>
        <w:jc w:val="left"/>
        <w:outlineLvl w:val="3"/>
      </w:pPr>
      <w:r>
        <w:rPr>
          <w:b/>
          <w:sz w:val="24"/>
        </w:rPr>
        <w:t>3.4.5.验收标准和方法</w:t>
      </w:r>
    </w:p>
    <w:p>
      <w:pPr>
        <w:pStyle w:val="null3"/>
      </w:pPr>
      <w:r>
        <w:rPr/>
        <w:t>采购包1：</w:t>
      </w:r>
    </w:p>
    <w:p>
      <w:pPr>
        <w:pStyle w:val="null3"/>
      </w:pPr>
      <w:r>
        <w:rPr/>
        <w:t>1. 验收标准：货物应按采购文件、响应文件以及国家和行业验收规范要求及合同中的相关条款进行数量及质量的验收。 2. 验收程序：货物验收分出厂检验、交货验收二个阶段。验收合格后，甲方签发《政府采购验收单》。 (1)出厂检验：乙方需提供货物、安装材料、工具和发货清单和计划，发货计划应经甲方认可后实施。乙方负责所提供货物的出厂检验，保证货物原产地和技术指标的真实性、完整性、合法性，并负责将货物送达安装地点，并向甲方提供公安部出具的“原材料”检测报告、原装拼配设备的证明资料和文件以及生产产家供货确认函。甲方在货物到货后，将按合同规定对所交货物进行清点、核对和商检。 (2)交货验收：货物到达交货地点后，由甲方会同有关部门进行基本质量和数量的验收（但不作为最终合格的保证），该验收应达到合同规定的要求。同时，甲方有权对所配送的货物送指定专业权威检测机构进行检测（包括破坏性实验及环保指数检测），检测费、检测产品损失由乙方承担。如送检结果达不到采购文件要求及我国执行的相应国标及相关规定（如国标与其他相关标准不一致的，以国标为准），甲方有权终止合同，甲方有权拒付不合格产品货款并追究乙方法律、经济责任。破坏性检测的产品乙方必须无偿补全该产品，但抽检产品应有数额限制，抽检每季度每一种抽检一副车牌。超出约定送检产品数量的，由甲方承担费用。甲方送检时间应在付款期限之前进行，不得以送检为由拖欠货款。</w:t>
      </w:r>
    </w:p>
    <w:p>
      <w:pPr>
        <w:pStyle w:val="null3"/>
        <w:outlineLvl w:val="3"/>
      </w:pPr>
      <w:r>
        <w:rPr>
          <w:b/>
          <w:sz w:val="24"/>
        </w:rPr>
        <w:t>3.4.6.包装方式及运输</w:t>
      </w:r>
    </w:p>
    <w:p>
      <w:pPr>
        <w:pStyle w:val="null3"/>
      </w:pPr>
      <w:r>
        <w:rPr/>
        <w:t>采购包1：</w:t>
      </w:r>
    </w:p>
    <w:p>
      <w:pPr>
        <w:pStyle w:val="null3"/>
      </w:pPr>
      <w:r>
        <w:rPr/>
        <w:t>/</w:t>
      </w:r>
    </w:p>
    <w:p>
      <w:pPr>
        <w:pStyle w:val="null3"/>
        <w:ind w:firstLine="480"/>
        <w:jc w:val="left"/>
      </w:pPr>
      <w:r>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质保期为货物交付验收合格之日起一年。</w:t>
      </w:r>
    </w:p>
    <w:p>
      <w:pPr>
        <w:pStyle w:val="null3"/>
        <w:outlineLvl w:val="3"/>
      </w:pPr>
      <w:r>
        <w:rPr>
          <w:b/>
          <w:sz w:val="24"/>
        </w:rPr>
        <w:t>3.4.8.违约责任与解决争议的方法</w:t>
      </w:r>
    </w:p>
    <w:p>
      <w:pPr>
        <w:pStyle w:val="null3"/>
      </w:pPr>
      <w:r>
        <w:rPr/>
        <w:t>采购包1：</w:t>
      </w:r>
    </w:p>
    <w:p>
      <w:pPr>
        <w:pStyle w:val="null3"/>
      </w:pPr>
      <w:r>
        <w:rPr/>
        <w:t>1、如乙方事先未征得甲方书面同意而单方面延迟完成项目的，每逾期一日按照合同总额的万分之五承担违约责任；乙方逾期累计15天以上的，甲方有权解除合同，且乙方应当承担本合同总金额20%的违约责任。 2、甲方收到号牌并收到全额等值的增值税发票后七个工作日内按合同价款全额付清；甲方逾期累计15天以上的，乙方有权停止提供服务。 3、部分产品不合格的，甲方有权要求乙方在指定期间内免费更换。乙方拒不更换的，甲方有权要求乙方承担合同价款30%的违约金，合同继续履行。甲方要求更换不合格产品，应持有权威鉴定机构出具的鉴定报告作为依据。 4、质保期内乙方未按照采购文件、采购响应文件规定及合同约定提供维保服务的，甲方有权指定第三方提供维保服务，但第三方维修费、交通费、人工费等合理费用由乙方承担。 5、因乙方提供的相关服务侵害他人权利或者造成采购人损害的，乙方承担全部赔偿责任。 6、交货后，因甲方自身原因或第三方使用不当所产生的损害与乙方无关。 7、除双方另有约定外，任意一方违反本合同约定致使另一方遭受损失的，违约方应赔偿守约方因此造成的全部损失。守约方通过诉讼的方式解决纠纷的，违约方应承担包括但不限于诉讼费、律师费、保全费、保全保险费等合理费用。</w:t>
      </w:r>
    </w:p>
    <w:p>
      <w:pPr>
        <w:pStyle w:val="null3"/>
        <w:outlineLvl w:val="2"/>
      </w:pPr>
      <w:r>
        <w:rPr>
          <w:b/>
          <w:sz w:val="28"/>
        </w:rPr>
        <w:t>3.5其他要求</w:t>
      </w:r>
    </w:p>
    <w:p>
      <w:pPr>
        <w:pStyle w:val="null3"/>
      </w:pPr>
      <w:r>
        <w:rPr/>
        <w:t>采购包1：</w:t>
      </w:r>
    </w:p>
    <w:p>
      <w:pPr>
        <w:pStyle w:val="null3"/>
      </w:pPr>
      <w:r>
        <w:rPr/>
        <w:t>中标人在领取中标通知书时提供一正两副纸质版文件。</w:t>
      </w:r>
    </w:p>
    <w:p>
      <w:pPr>
        <w:pStyle w:val="null3"/>
      </w:pPr>
      <w:r>
        <w:rPr/>
        <w:t xml:space="preserve"> </w:t>
        <w:br/>
        <w:br w:type="page"/>
      </w:r>
    </w:p>
    <w:p>
      <w:pPr>
        <w:pStyle w:val="null3"/>
        <w:jc w:val="center"/>
        <w:outlineLvl w:val="1"/>
      </w:pPr>
      <w:r>
        <w:rPr>
          <w:b/>
          <w:sz w:val="36"/>
        </w:rPr>
        <w:t>第四章 资格审查</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bl>
    <w:p>
      <w:pPr>
        <w:pStyle w:val="null3"/>
        <w:outlineLvl w:val="3"/>
      </w:pPr>
      <w:r>
        <w:rPr>
          <w:b/>
          <w:sz w:val="24"/>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提供供应商合法注册的法人或其他组织的营业执照等证明文件、自然人的身份证明</w:t>
            </w:r>
          </w:p>
        </w:tc>
        <w:tc>
          <w:tcPr>
            <w:tcW w:type="dxa" w:w="3322"/>
          </w:tcPr>
          <w:p>
            <w:pPr>
              <w:pStyle w:val="null3"/>
            </w:pPr>
            <w:r>
              <w:rPr/>
              <w:t>提供供应商合法注册的法人或其他组织的营业执照等证明文件、自然人的身份证明；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式样见单一来源采购响应文件）</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信用截图</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单一来源采购响应截止日当天在“信用中国”网站和中国政府采购网站进行查询，截图留档；如网站无供应商信息的，供应商须提供相关证明资料或书面声明）</w:t>
            </w:r>
          </w:p>
        </w:tc>
        <w:tc>
          <w:tcPr>
            <w:tcW w:type="dxa" w:w="1661"/>
          </w:tcPr>
          <w:p>
            <w:pPr>
              <w:pStyle w:val="null3"/>
            </w:pPr>
            <w:r>
              <w:rPr/>
              <w:t>资格证明文件</w:t>
            </w:r>
          </w:p>
        </w:tc>
      </w:tr>
    </w:tbl>
    <w:p>
      <w:pPr>
        <w:pStyle w:val="null3"/>
        <w:outlineLvl w:val="3"/>
      </w:pPr>
      <w:r>
        <w:rPr>
          <w:b/>
          <w:sz w:val="24"/>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供应商参与政府采购活动的承诺函 中小企业声明函 残疾人福利性单位声明函 拒绝政府采购领域商业贿赂承诺书 响应函 监狱企业的证明文件</w:t>
            </w:r>
          </w:p>
        </w:tc>
      </w:tr>
    </w:tbl>
    <w:p>
      <w:pPr>
        <w:pStyle w:val="null3"/>
      </w:pPr>
      <w:r>
        <w:rPr/>
        <w:t xml:space="preserve"> </w:t>
        <w:br/>
        <w:br w:type="page"/>
      </w:r>
    </w:p>
    <w:p>
      <w:pPr>
        <w:pStyle w:val="null3"/>
        <w:jc w:val="center"/>
        <w:outlineLvl w:val="1"/>
      </w:pPr>
      <w:r>
        <w:rPr>
          <w:b/>
          <w:sz w:val="36"/>
        </w:rPr>
        <w:t>第五章 协商办法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b/>
          <w:sz w:val="28"/>
        </w:rPr>
        <w:t>5.2协商程序</w:t>
      </w:r>
    </w:p>
    <w:p>
      <w:pPr>
        <w:pStyle w:val="null3"/>
        <w:outlineLvl w:val="3"/>
      </w:pPr>
      <w:r>
        <w:rPr>
          <w:b/>
          <w:sz w:val="24"/>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jc w:val="left"/>
      </w:pPr>
      <w:r>
        <w:rPr/>
        <w:t>（一）熟悉和理解单一来源采购文件；</w:t>
      </w:r>
    </w:p>
    <w:p>
      <w:pPr>
        <w:pStyle w:val="null3"/>
        <w:ind w:firstLine="480"/>
        <w:jc w:val="left"/>
      </w:pPr>
      <w:r>
        <w:rPr/>
        <w:t xml:space="preserve"> （二）审查供应商响应文件等是否满足单一来源采购文件要求，并作出评价；</w:t>
      </w:r>
    </w:p>
    <w:p>
      <w:pPr>
        <w:pStyle w:val="null3"/>
        <w:ind w:firstLine="480"/>
        <w:jc w:val="left"/>
      </w:pPr>
      <w:r>
        <w:rPr/>
        <w:t xml:space="preserve"> （三）根据需要要求采购组织单位对单一来源采购文件作出解释；根据需要要求供应商对响应文件有关事项作出澄清、说明或者更正；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（五）起草评审报告并进行签署；</w:t>
      </w:r>
    </w:p>
    <w:p>
      <w:pPr>
        <w:pStyle w:val="null3"/>
        <w:ind w:firstLine="480"/>
        <w:jc w:val="left"/>
      </w:pPr>
      <w:r>
        <w:rPr/>
        <w:t xml:space="preserve"> （六）向采购组织单位、财政部门或者其他监督部门报告非法干预评审工作的行为；</w:t>
      </w:r>
    </w:p>
    <w:p>
      <w:pPr>
        <w:pStyle w:val="null3"/>
        <w:ind w:firstLine="480"/>
        <w:jc w:val="left"/>
      </w:pPr>
      <w:r>
        <w:rPr/>
        <w:t>（七）法律、法规和规章规定的其他职责。</w:t>
      </w:r>
    </w:p>
    <w:p>
      <w:pPr>
        <w:pStyle w:val="null3"/>
        <w:jc w:val="left"/>
        <w:outlineLvl w:val="3"/>
      </w:pPr>
      <w:r>
        <w:rPr>
          <w:b/>
          <w:sz w:val="24"/>
        </w:rPr>
        <w:t>5.2.2.熟悉和理解采购文件和停止评审</w:t>
      </w:r>
    </w:p>
    <w:p>
      <w:pPr>
        <w:pStyle w:val="null3"/>
        <w:ind w:firstLine="480"/>
        <w:jc w:val="left"/>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t>二、本采购文件有下列情形之一的，协商小组应当停止评审：</w:t>
      </w:r>
    </w:p>
    <w:p>
      <w:pPr>
        <w:pStyle w:val="null3"/>
        <w:ind w:firstLine="480"/>
        <w:jc w:val="left"/>
      </w:pPr>
      <w:r>
        <w:rPr/>
        <w:t>（一）采购文件的规定存在歧义、重大缺陷的；</w:t>
      </w:r>
    </w:p>
    <w:p>
      <w:pPr>
        <w:pStyle w:val="null3"/>
        <w:ind w:firstLine="480"/>
        <w:jc w:val="left"/>
      </w:pPr>
      <w:r>
        <w:rPr/>
        <w:t>（二）采购文件明显以不合理条件对供应商实行差别待遇或者歧视待遇的；</w:t>
      </w:r>
    </w:p>
    <w:p>
      <w:pPr>
        <w:pStyle w:val="null3"/>
        <w:ind w:firstLine="480"/>
        <w:jc w:val="left"/>
      </w:pPr>
      <w:r>
        <w:rPr/>
        <w:t xml:space="preserve"> （三）采购项目属于国家规定的优先、强制采购范围，但是采购文件未依法体现优先、强制采购相关规定的；</w:t>
      </w:r>
    </w:p>
    <w:p>
      <w:pPr>
        <w:pStyle w:val="null3"/>
        <w:ind w:firstLine="480"/>
        <w:jc w:val="left"/>
      </w:pPr>
      <w:r>
        <w:rPr/>
        <w:t xml:space="preserve"> （四）采购项目属于政府采购促进中小企业发展的范围，但是采购文件未依法体现促进中小企业发展相关规定的；</w:t>
      </w:r>
    </w:p>
    <w:p>
      <w:pPr>
        <w:pStyle w:val="null3"/>
        <w:ind w:firstLine="480"/>
        <w:jc w:val="left"/>
      </w:pPr>
      <w:r>
        <w:rPr/>
        <w:t>（五）采购文件将供应商的资格条件列为评分因素的；</w:t>
      </w:r>
    </w:p>
    <w:p>
      <w:pPr>
        <w:pStyle w:val="null3"/>
        <w:ind w:firstLine="480"/>
        <w:jc w:val="left"/>
      </w:pPr>
      <w:r>
        <w:rPr/>
        <w:t>（六）采购文件载明的成交原则不合法的；</w:t>
      </w:r>
    </w:p>
    <w:p>
      <w:pPr>
        <w:pStyle w:val="null3"/>
        <w:ind w:firstLine="480"/>
        <w:jc w:val="left"/>
      </w:pPr>
      <w:r>
        <w:rPr/>
        <w:t>（七）采购文件有违反国家其他有关强制性规定的情形。</w:t>
      </w:r>
    </w:p>
    <w:p>
      <w:pPr>
        <w:pStyle w:val="null3"/>
        <w:ind w:firstLine="480"/>
        <w:jc w:val="left"/>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b/>
          <w:sz w:val="24"/>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报价一览表 分项报价表 标的清单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供应商参与政府采购活动的承诺函 拒绝政府采购领域商业贿赂承诺书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供应商认为有必要补充说明的事宜（若有） 响应函</w:t>
            </w:r>
          </w:p>
        </w:tc>
      </w:tr>
      <w:tr>
        <w:tc>
          <w:tcPr>
            <w:tcW w:type="dxa" w:w="831"/>
          </w:tcPr>
          <w:p>
            <w:pPr>
              <w:pStyle w:val="null3"/>
            </w:pPr>
            <w:r>
              <w:rPr/>
              <w:t>4</w:t>
            </w:r>
          </w:p>
        </w:tc>
        <w:tc>
          <w:tcPr>
            <w:tcW w:type="dxa" w:w="2492"/>
          </w:tcPr>
          <w:p>
            <w:pPr>
              <w:pStyle w:val="null3"/>
            </w:pPr>
            <w:r>
              <w:rPr/>
              <w:t>编制格式</w:t>
            </w:r>
          </w:p>
        </w:tc>
        <w:tc>
          <w:tcPr>
            <w:tcW w:type="dxa" w:w="3322"/>
          </w:tcPr>
          <w:p>
            <w:pPr>
              <w:pStyle w:val="null3"/>
            </w:pPr>
            <w:r>
              <w:rPr/>
              <w:t>除明确允许供应商可以自行编写的外，单一来源采购响应文件按照单一来源采购文件给定的格式编制</w:t>
            </w:r>
          </w:p>
        </w:tc>
        <w:tc>
          <w:tcPr>
            <w:tcW w:type="dxa" w:w="1661"/>
          </w:tcPr>
          <w:p>
            <w:pPr>
              <w:pStyle w:val="null3"/>
            </w:pPr>
            <w:r>
              <w:rPr/>
              <w:t>响应文件封面 报价一览表 法定代表人授权委托书 分项报价表 供应商参与政府采购活动的承诺函 中小企业声明函 残疾人福利性单位声明函 报价表 拒绝政府采购领域商业贿赂承诺书 响应函 监狱企业的证明文件</w:t>
            </w:r>
          </w:p>
        </w:tc>
      </w:tr>
      <w:tr>
        <w:tc>
          <w:tcPr>
            <w:tcW w:type="dxa" w:w="831"/>
          </w:tcPr>
          <w:p>
            <w:pPr>
              <w:pStyle w:val="null3"/>
            </w:pPr>
            <w:r>
              <w:rPr/>
              <w:t>5</w:t>
            </w:r>
          </w:p>
        </w:tc>
        <w:tc>
          <w:tcPr>
            <w:tcW w:type="dxa" w:w="2492"/>
          </w:tcPr>
          <w:p>
            <w:pPr>
              <w:pStyle w:val="null3"/>
            </w:pPr>
            <w:r>
              <w:rPr/>
              <w:t>盖章签字</w:t>
            </w:r>
          </w:p>
        </w:tc>
        <w:tc>
          <w:tcPr>
            <w:tcW w:type="dxa" w:w="3322"/>
          </w:tcPr>
          <w:p>
            <w:pPr>
              <w:pStyle w:val="null3"/>
            </w:pPr>
            <w:r>
              <w:rPr/>
              <w:t>单一来源采购响应文件按照单一来源采购文件的要求盖章签字</w:t>
            </w:r>
          </w:p>
        </w:tc>
        <w:tc>
          <w:tcPr>
            <w:tcW w:type="dxa" w:w="1661"/>
          </w:tcPr>
          <w:p>
            <w:pPr>
              <w:pStyle w:val="null3"/>
            </w:pPr>
            <w:r>
              <w:rPr/>
              <w:t>响应文件封面 技术规格偏离表 报价一览表 法定代表人授权委托书 分项报价表 标的清单 响应函 商务条款响应偏离表</w:t>
            </w:r>
          </w:p>
        </w:tc>
      </w:tr>
      <w:tr>
        <w:tc>
          <w:tcPr>
            <w:tcW w:type="dxa" w:w="831"/>
          </w:tcPr>
          <w:p>
            <w:pPr>
              <w:pStyle w:val="null3"/>
            </w:pPr>
            <w:r>
              <w:rPr/>
              <w:t>6</w:t>
            </w:r>
          </w:p>
        </w:tc>
        <w:tc>
          <w:tcPr>
            <w:tcW w:type="dxa" w:w="2492"/>
          </w:tcPr>
          <w:p>
            <w:pPr>
              <w:pStyle w:val="null3"/>
            </w:pPr>
            <w:r>
              <w:rPr/>
              <w:t>协商报价超过采购预算</w:t>
            </w:r>
          </w:p>
        </w:tc>
        <w:tc>
          <w:tcPr>
            <w:tcW w:type="dxa" w:w="3322"/>
          </w:tcPr>
          <w:p>
            <w:pPr>
              <w:pStyle w:val="null3"/>
            </w:pPr>
            <w:r>
              <w:rPr/>
              <w:t>协商报价未超过采购预算</w:t>
            </w:r>
          </w:p>
        </w:tc>
        <w:tc>
          <w:tcPr>
            <w:tcW w:type="dxa" w:w="1661"/>
          </w:tcPr>
          <w:p>
            <w:pPr>
              <w:pStyle w:val="null3"/>
            </w:pPr>
            <w:r>
              <w:rPr/>
              <w:t>报价一览表 分项报价表</w:t>
            </w:r>
          </w:p>
        </w:tc>
      </w:tr>
      <w:tr>
        <w:tc>
          <w:tcPr>
            <w:tcW w:type="dxa" w:w="831"/>
          </w:tcPr>
          <w:p>
            <w:pPr>
              <w:pStyle w:val="null3"/>
            </w:pPr>
            <w:r>
              <w:rPr/>
              <w:t>7</w:t>
            </w:r>
          </w:p>
        </w:tc>
        <w:tc>
          <w:tcPr>
            <w:tcW w:type="dxa" w:w="2492"/>
          </w:tcPr>
          <w:p>
            <w:pPr>
              <w:pStyle w:val="null3"/>
            </w:pPr>
            <w:r>
              <w:rPr/>
              <w:t>商务要求</w:t>
            </w:r>
          </w:p>
        </w:tc>
        <w:tc>
          <w:tcPr>
            <w:tcW w:type="dxa" w:w="3322"/>
          </w:tcPr>
          <w:p>
            <w:pPr>
              <w:pStyle w:val="null3"/>
            </w:pPr>
            <w:r>
              <w:rPr/>
              <w:t>对单一来源采购文件商务要求作出明确且实质性响应</w:t>
            </w:r>
          </w:p>
        </w:tc>
        <w:tc>
          <w:tcPr>
            <w:tcW w:type="dxa" w:w="1661"/>
          </w:tcPr>
          <w:p>
            <w:pPr>
              <w:pStyle w:val="null3"/>
            </w:pPr>
            <w:r>
              <w:rPr/>
              <w:t>商务条款响应偏离表</w:t>
            </w:r>
          </w:p>
        </w:tc>
      </w:tr>
      <w:tr>
        <w:tc>
          <w:tcPr>
            <w:tcW w:type="dxa" w:w="831"/>
          </w:tcPr>
          <w:p>
            <w:pPr>
              <w:pStyle w:val="null3"/>
            </w:pPr>
            <w:r>
              <w:rPr/>
              <w:t>8</w:t>
            </w:r>
          </w:p>
        </w:tc>
        <w:tc>
          <w:tcPr>
            <w:tcW w:type="dxa" w:w="2492"/>
          </w:tcPr>
          <w:p>
            <w:pPr>
              <w:pStyle w:val="null3"/>
            </w:pPr>
            <w:r>
              <w:rPr/>
              <w:t>技术要求</w:t>
            </w:r>
          </w:p>
        </w:tc>
        <w:tc>
          <w:tcPr>
            <w:tcW w:type="dxa" w:w="3322"/>
          </w:tcPr>
          <w:p>
            <w:pPr>
              <w:pStyle w:val="null3"/>
            </w:pPr>
            <w:r>
              <w:rPr/>
              <w:t>对单一来源采购文件技术要求作出明确且实质性响应</w:t>
            </w:r>
          </w:p>
        </w:tc>
        <w:tc>
          <w:tcPr>
            <w:tcW w:type="dxa" w:w="1661"/>
          </w:tcPr>
          <w:p>
            <w:pPr>
              <w:pStyle w:val="null3"/>
            </w:pPr>
            <w:r>
              <w:rPr/>
              <w:t>技术规格偏离表 售后服务 项目实施方案 质量保证承诺</w:t>
            </w:r>
          </w:p>
        </w:tc>
      </w:tr>
    </w:tbl>
    <w:p>
      <w:pPr>
        <w:pStyle w:val="null3"/>
        <w:outlineLvl w:val="3"/>
      </w:pPr>
      <w:r>
        <w:rPr>
          <w:b/>
          <w:sz w:val="24"/>
        </w:rPr>
        <w:t>5.2.4协商</w:t>
      </w:r>
    </w:p>
    <w:p>
      <w:pPr>
        <w:pStyle w:val="null3"/>
        <w:ind w:firstLine="480"/>
      </w:pPr>
      <w:r>
        <w:rPr/>
        <w:t>一、协商会议在项目电子化交易系统进行。协商会议由代理机构在线主持，供应商代表在线参加。</w:t>
      </w:r>
    </w:p>
    <w:p>
      <w:pPr>
        <w:pStyle w:val="null3"/>
        <w:ind w:firstLine="480"/>
      </w:pPr>
      <w:r>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b/>
          <w:sz w:val="24"/>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七、供应商最后报价无效的，本次采购活动终止，并发布终止公告。</w:t>
      </w:r>
    </w:p>
    <w:p>
      <w:pPr>
        <w:pStyle w:val="null3"/>
        <w:outlineLvl w:val="3"/>
      </w:pPr>
      <w:r>
        <w:rPr>
          <w:b/>
          <w:sz w:val="24"/>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四、协商小组应当积极履行澄清、说明或者更正的职责，不得滥用权力。</w:t>
      </w:r>
    </w:p>
    <w:p>
      <w:pPr>
        <w:pStyle w:val="null3"/>
        <w:outlineLvl w:val="3"/>
      </w:pPr>
      <w:r>
        <w:rPr>
          <w:b/>
          <w:sz w:val="24"/>
        </w:rPr>
        <w:t>5.2.7编写协商报告</w:t>
      </w:r>
    </w:p>
    <w:p>
      <w:pPr>
        <w:pStyle w:val="null3"/>
        <w:ind w:firstLine="480"/>
      </w:pPr>
      <w:r>
        <w:rPr/>
        <w:t>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（三）供应商提供的采购标的成本、同类项目合同价格以及相关专利、专有技术等情况说明；</w:t>
      </w:r>
    </w:p>
    <w:p>
      <w:pPr>
        <w:pStyle w:val="null3"/>
        <w:ind w:firstLine="480"/>
      </w:pPr>
      <w:r>
        <w:rPr/>
        <w:t>（四）合同主要条款及价格商定情况。</w:t>
      </w:r>
    </w:p>
    <w:p>
      <w:pPr>
        <w:pStyle w:val="null3"/>
        <w:ind w:firstLine="480"/>
        <w:jc w:val="left"/>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t>依据本办法第四十三条 出现下列情形之一的，采购人或者采购代理机构应当终止采购活动，发布项目终止公告并说明原因，重新开展采购活动：</w:t>
      </w:r>
    </w:p>
    <w:p>
      <w:pPr>
        <w:pStyle w:val="null3"/>
        <w:jc w:val="left"/>
      </w:pPr>
      <w:r>
        <w:rPr/>
        <w:t>（一）因情况变化，不再符合规定的单一来源采购方式适用情形的；</w:t>
      </w:r>
    </w:p>
    <w:p>
      <w:pPr>
        <w:pStyle w:val="null3"/>
        <w:jc w:val="left"/>
      </w:pPr>
      <w:r>
        <w:rPr/>
        <w:t>（二）出现影响采购公正的违法、违规行为的；</w:t>
      </w:r>
    </w:p>
    <w:p>
      <w:pPr>
        <w:pStyle w:val="null3"/>
        <w:jc w:val="left"/>
      </w:pPr>
      <w:r>
        <w:rPr/>
        <w:t>（三）报价超过采购预算的。</w:t>
      </w:r>
    </w:p>
    <w:p>
      <w:pPr>
        <w:pStyle w:val="null3"/>
        <w:ind w:firstLine="480"/>
      </w:pPr>
      <w:r>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b/>
          <w:sz w:val="24"/>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b/>
          <w:sz w:val="24"/>
        </w:rPr>
        <w:t>5.2.9终止采购活动情形</w:t>
      </w:r>
    </w:p>
    <w:p>
      <w:pPr>
        <w:pStyle w:val="null3"/>
        <w:ind w:firstLine="480"/>
      </w:pPr>
      <w:r>
        <w:rPr/>
        <w:t>出现下列情况之一的，协商小组应当终止采购活动，发布项目终止公告并说明原因，重新开展采购活动：</w:t>
      </w:r>
    </w:p>
    <w:p>
      <w:pPr>
        <w:pStyle w:val="null3"/>
        <w:ind w:firstLine="480"/>
      </w:pPr>
      <w:r>
        <w:rPr/>
        <w:t>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jc w:val="left"/>
        <w:outlineLvl w:val="3"/>
      </w:pPr>
      <w:r>
        <w:rPr>
          <w:b/>
          <w:sz w:val="24"/>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b/>
          <w:sz w:val="24"/>
        </w:rPr>
        <w:t>5.2.11协商小组成员义务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b/>
          <w:sz w:val="24"/>
        </w:rPr>
        <w:t xml:space="preserve"> 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详见附件：报价一览表</w:t>
      </w:r>
    </w:p>
    <w:p>
      <w:pPr>
        <w:pStyle w:val="null3"/>
        <w:ind w:firstLine="960"/>
      </w:pPr>
      <w:r>
        <w:rPr/>
        <w:t>详见附件：分项报价表</w:t>
      </w:r>
    </w:p>
    <w:p>
      <w:pPr>
        <w:pStyle w:val="null3"/>
        <w:ind w:firstLine="960"/>
      </w:pPr>
      <w:r>
        <w:rPr/>
        <w:t>详见附件：技术规格偏离表</w:t>
      </w:r>
    </w:p>
    <w:p>
      <w:pPr>
        <w:pStyle w:val="null3"/>
        <w:ind w:firstLine="960"/>
      </w:pPr>
      <w:r>
        <w:rPr/>
        <w:t>详见附件：商务条款响应偏离表</w:t>
      </w:r>
    </w:p>
    <w:p>
      <w:pPr>
        <w:pStyle w:val="null3"/>
        <w:ind w:firstLine="960"/>
      </w:pPr>
      <w:r>
        <w:rPr/>
        <w:t>详见附件：法定代表人授权委托书</w:t>
      </w:r>
    </w:p>
    <w:p>
      <w:pPr>
        <w:pStyle w:val="null3"/>
        <w:ind w:firstLine="960"/>
      </w:pPr>
      <w:r>
        <w:rPr/>
        <w:t>详见附件：项目实施方案</w:t>
      </w:r>
    </w:p>
    <w:p>
      <w:pPr>
        <w:pStyle w:val="null3"/>
        <w:ind w:firstLine="960"/>
      </w:pPr>
      <w:r>
        <w:rPr/>
        <w:t>详见附件：质量保证承诺</w:t>
      </w:r>
    </w:p>
    <w:p>
      <w:pPr>
        <w:pStyle w:val="null3"/>
        <w:ind w:firstLine="960"/>
      </w:pPr>
      <w:r>
        <w:rPr/>
        <w:t>详见附件：售后服务</w:t>
      </w:r>
    </w:p>
    <w:p>
      <w:pPr>
        <w:pStyle w:val="null3"/>
        <w:ind w:firstLine="960"/>
      </w:pPr>
      <w:r>
        <w:rPr/>
        <w:t>详见附件：供应商认为有必要补充说明的事宜（若有）</w:t>
      </w:r>
    </w:p>
    <w:p>
      <w:pPr>
        <w:pStyle w:val="null3"/>
        <w:ind w:firstLine="960"/>
      </w:pPr>
      <w:r>
        <w:rPr/>
        <w:t>详见附件：供应商参与政府采购活动的承诺函</w:t>
      </w:r>
    </w:p>
    <w:p>
      <w:pPr>
        <w:pStyle w:val="null3"/>
        <w:ind w:firstLine="960"/>
      </w:pPr>
      <w:r>
        <w:rPr/>
        <w:t>详见附件：拒绝政府采购领域商业贿赂承诺书</w:t>
      </w:r>
    </w:p>
    <w:p>
      <w:pPr>
        <w:pStyle w:val="null3"/>
        <w:ind w:firstLine="960"/>
      </w:pPr>
      <w:r>
        <w:rPr/>
        <w:t>详见附件：资格证明文件</w:t>
      </w:r>
    </w:p>
    <w:p>
      <w:pPr>
        <w:pStyle w:val="null3"/>
      </w:pPr>
      <w:r>
        <w:rPr/>
        <w:t xml:space="preserve"> </w:t>
        <w:br/>
        <w:br w:type="page"/>
      </w:r>
    </w:p>
    <w:p>
      <w:pPr>
        <w:pStyle w:val="null3"/>
        <w:jc w:val="center"/>
        <w:outlineLvl w:val="1"/>
      </w:pPr>
      <w:r>
        <w:rPr>
          <w:b/>
          <w:sz w:val="36"/>
        </w:rPr>
        <w:t>第七章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