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ind w:firstLine="562" w:firstLineChars="200"/>
        <w:rPr>
          <w:rFonts w:eastAsia="仿宋_GB2312"/>
          <w:b/>
          <w:sz w:val="28"/>
          <w:szCs w:val="28"/>
        </w:rPr>
      </w:pPr>
      <w:r>
        <w:rPr>
          <w:rFonts w:hint="eastAsia" w:eastAsia="仿宋_GB2312"/>
          <w:b/>
          <w:sz w:val="28"/>
          <w:szCs w:val="28"/>
        </w:rPr>
        <w:t>一、采购内容</w:t>
      </w:r>
    </w:p>
    <w:p>
      <w:pPr>
        <w:autoSpaceDE w:val="0"/>
        <w:autoSpaceDN w:val="0"/>
        <w:adjustRightInd w:val="0"/>
        <w:snapToGrid w:val="0"/>
        <w:spacing w:line="360" w:lineRule="auto"/>
        <w:ind w:firstLine="645"/>
        <w:rPr>
          <w:rFonts w:ascii="仿宋_GB2312" w:hAnsi="仿宋" w:eastAsia="仿宋_GB2312"/>
          <w:sz w:val="28"/>
          <w:szCs w:val="28"/>
          <w:lang w:val="zh-CN"/>
        </w:rPr>
      </w:pPr>
      <w:r>
        <w:rPr>
          <w:rFonts w:hint="eastAsia" w:ascii="仿宋_GB2312" w:hAnsi="仿宋" w:eastAsia="仿宋_GB2312"/>
          <w:sz w:val="28"/>
          <w:szCs w:val="28"/>
          <w:lang w:val="zh-CN"/>
        </w:rPr>
        <w:t>根据《财政部 交通运输部关于支持国家综合货运枢纽补链强链的通知》（财建〔2022〕219号）、《交通运输部办公厅 财政部办公厅关于做好国家综合货运枢纽补链强链工作的通知》（交办规划〔2022〕34号）等相关文件要求，并考虑2个（含）以上城市联合开展补链强链工作要求，编制《西安、银川国家综合货运枢纽补链强链实施方案2023年度工作报告》及绩效评价附件证明材料。</w:t>
      </w:r>
    </w:p>
    <w:p>
      <w:pPr>
        <w:autoSpaceDE w:val="0"/>
        <w:autoSpaceDN w:val="0"/>
        <w:adjustRightInd w:val="0"/>
        <w:snapToGrid w:val="0"/>
        <w:spacing w:line="360" w:lineRule="auto"/>
        <w:ind w:firstLine="645"/>
        <w:rPr>
          <w:rFonts w:ascii="仿宋_GB2312" w:hAnsi="仿宋" w:eastAsia="仿宋_GB2312"/>
          <w:sz w:val="28"/>
          <w:szCs w:val="28"/>
          <w:lang w:val="zh-CN"/>
        </w:rPr>
      </w:pPr>
      <w:r>
        <w:rPr>
          <w:rFonts w:hint="eastAsia" w:ascii="仿宋_GB2312" w:hAnsi="仿宋" w:eastAsia="仿宋_GB2312"/>
          <w:sz w:val="28"/>
          <w:szCs w:val="28"/>
          <w:lang w:val="zh-CN"/>
        </w:rPr>
        <w:t>（一）绩效完成概况。对绩效目标、重点任务、重点项目完成情况进行简述，形成重点任务和重点项目2023年度执行情况汇总表。</w:t>
      </w:r>
    </w:p>
    <w:p>
      <w:pPr>
        <w:autoSpaceDE w:val="0"/>
        <w:autoSpaceDN w:val="0"/>
        <w:adjustRightInd w:val="0"/>
        <w:snapToGrid w:val="0"/>
        <w:spacing w:line="360" w:lineRule="auto"/>
        <w:ind w:firstLine="645"/>
        <w:rPr>
          <w:rFonts w:ascii="仿宋_GB2312" w:hAnsi="仿宋" w:eastAsia="仿宋_GB2312"/>
          <w:sz w:val="28"/>
          <w:szCs w:val="28"/>
          <w:lang w:val="zh-CN"/>
        </w:rPr>
      </w:pPr>
      <w:r>
        <w:rPr>
          <w:rFonts w:hint="eastAsia" w:ascii="仿宋_GB2312" w:hAnsi="仿宋" w:eastAsia="仿宋_GB2312"/>
          <w:sz w:val="28"/>
          <w:szCs w:val="28"/>
          <w:lang w:val="zh-CN"/>
        </w:rPr>
        <w:t>（二）总体推进情况。对实施管理、实施产出、实施效益完成情况进行简述，具体包括在组织保障、资金管理、提升运输能力、优化运输服务、建立完善运营机制、提升综合效益和综合效率等方面开展的工作、出台的政策文件等。</w:t>
      </w:r>
    </w:p>
    <w:p>
      <w:pPr>
        <w:autoSpaceDE w:val="0"/>
        <w:autoSpaceDN w:val="0"/>
        <w:adjustRightInd w:val="0"/>
        <w:snapToGrid w:val="0"/>
        <w:spacing w:line="360" w:lineRule="auto"/>
        <w:ind w:firstLine="645"/>
        <w:rPr>
          <w:rFonts w:ascii="仿宋_GB2312" w:hAnsi="仿宋" w:eastAsia="仿宋_GB2312"/>
          <w:sz w:val="28"/>
          <w:szCs w:val="28"/>
          <w:lang w:val="zh-CN"/>
        </w:rPr>
      </w:pPr>
      <w:r>
        <w:rPr>
          <w:rFonts w:hint="eastAsia" w:ascii="仿宋_GB2312" w:hAnsi="仿宋" w:eastAsia="仿宋_GB2312"/>
          <w:sz w:val="28"/>
          <w:szCs w:val="28"/>
          <w:lang w:val="zh-CN"/>
        </w:rPr>
        <w:t>（三）工作成效和问题。结合实际从服务国家重大战略实施、稳定和扩大有效投资、提升综合交通运输网络效率、优化运输结构、降低物流成本、服务产业链供应链稳定、促进绿色低碳发展、壮大枢纽经济、提升安全智慧水平等角度梳理工作成效，梳理存在的突出问题。</w:t>
      </w:r>
    </w:p>
    <w:p>
      <w:pPr>
        <w:autoSpaceDE w:val="0"/>
        <w:autoSpaceDN w:val="0"/>
        <w:adjustRightInd w:val="0"/>
        <w:snapToGrid w:val="0"/>
        <w:spacing w:line="360" w:lineRule="auto"/>
        <w:ind w:firstLine="645"/>
        <w:rPr>
          <w:rFonts w:ascii="仿宋_GB2312" w:hAnsi="仿宋" w:eastAsia="仿宋_GB2312"/>
          <w:sz w:val="28"/>
          <w:szCs w:val="28"/>
          <w:lang w:val="zh-CN"/>
        </w:rPr>
      </w:pPr>
      <w:r>
        <w:rPr>
          <w:rFonts w:hint="eastAsia" w:ascii="仿宋_GB2312" w:hAnsi="仿宋" w:eastAsia="仿宋_GB2312"/>
          <w:sz w:val="28"/>
          <w:szCs w:val="28"/>
          <w:lang w:val="zh-CN"/>
        </w:rPr>
        <w:t>（四）改进措施和建议。结合存在的突出问题，提出有效的改进措施和下一年度2024年重点工作。</w:t>
      </w:r>
    </w:p>
    <w:p>
      <w:pPr>
        <w:autoSpaceDE w:val="0"/>
        <w:autoSpaceDN w:val="0"/>
        <w:adjustRightInd w:val="0"/>
        <w:snapToGrid w:val="0"/>
        <w:spacing w:line="360" w:lineRule="auto"/>
        <w:ind w:firstLine="645"/>
        <w:rPr>
          <w:rFonts w:ascii="仿宋_GB2312" w:hAnsi="仿宋" w:eastAsia="仿宋_GB2312"/>
          <w:sz w:val="28"/>
          <w:szCs w:val="28"/>
        </w:rPr>
      </w:pPr>
      <w:r>
        <w:rPr>
          <w:rFonts w:hint="eastAsia" w:ascii="仿宋_GB2312" w:hAnsi="仿宋" w:eastAsia="仿宋_GB2312"/>
          <w:sz w:val="28"/>
          <w:szCs w:val="28"/>
          <w:lang w:val="zh-CN"/>
        </w:rPr>
        <w:t>（五）附件证明材料。对照评价表相关要求，整理附件证明材料，形成证明材料索引，并给出自评价得分</w:t>
      </w:r>
      <w:r>
        <w:rPr>
          <w:rFonts w:hint="eastAsia" w:ascii="仿宋_GB2312" w:hAnsi="仿宋" w:eastAsia="仿宋_GB2312"/>
          <w:sz w:val="28"/>
          <w:szCs w:val="28"/>
        </w:rPr>
        <w:t>。</w:t>
      </w:r>
    </w:p>
    <w:p>
      <w:pPr>
        <w:adjustRightInd w:val="0"/>
        <w:snapToGrid w:val="0"/>
        <w:spacing w:line="360" w:lineRule="auto"/>
        <w:ind w:firstLine="562" w:firstLineChars="200"/>
        <w:rPr>
          <w:rFonts w:ascii="仿宋_GB2312" w:hAnsi="仿宋" w:eastAsia="仿宋_GB2312"/>
          <w:sz w:val="28"/>
          <w:szCs w:val="28"/>
          <w:lang w:val="zh-CN"/>
        </w:rPr>
      </w:pPr>
      <w:r>
        <w:rPr>
          <w:rFonts w:hint="eastAsia" w:eastAsia="仿宋_GB2312"/>
          <w:b/>
          <w:sz w:val="28"/>
          <w:szCs w:val="28"/>
        </w:rPr>
        <w:t>二、完成时间及成果</w:t>
      </w:r>
    </w:p>
    <w:p>
      <w:pPr>
        <w:autoSpaceDE w:val="0"/>
        <w:autoSpaceDN w:val="0"/>
        <w:adjustRightInd w:val="0"/>
        <w:snapToGrid w:val="0"/>
        <w:spacing w:line="360" w:lineRule="auto"/>
        <w:ind w:firstLine="645"/>
        <w:rPr>
          <w:rFonts w:ascii="仿宋_GB2312" w:hAnsi="仿宋" w:eastAsia="仿宋_GB2312"/>
          <w:sz w:val="28"/>
          <w:szCs w:val="28"/>
          <w:lang w:val="zh-CN"/>
        </w:rPr>
      </w:pPr>
      <w:r>
        <w:rPr>
          <w:rFonts w:hint="eastAsia" w:ascii="仿宋_GB2312" w:hAnsi="仿宋" w:eastAsia="仿宋_GB2312"/>
          <w:sz w:val="28"/>
          <w:szCs w:val="28"/>
          <w:lang w:val="zh-CN"/>
        </w:rPr>
        <w:t>2024年6月底前，完成资料收集及调研工作，完成2023年度工作报告编制工作，完成省级评价及上报工作。</w:t>
      </w:r>
    </w:p>
    <w:p>
      <w:pPr>
        <w:autoSpaceDE w:val="0"/>
        <w:autoSpaceDN w:val="0"/>
        <w:adjustRightInd w:val="0"/>
        <w:snapToGrid w:val="0"/>
        <w:spacing w:line="360" w:lineRule="auto"/>
        <w:ind w:firstLine="645"/>
        <w:rPr>
          <w:rFonts w:ascii="仿宋_GB2312" w:hAnsi="仿宋" w:eastAsia="仿宋_GB2312"/>
          <w:sz w:val="28"/>
          <w:szCs w:val="28"/>
          <w:lang w:val="zh-CN"/>
        </w:rPr>
      </w:pPr>
      <w:r>
        <w:rPr>
          <w:rFonts w:hint="eastAsia" w:ascii="仿宋_GB2312" w:hAnsi="仿宋" w:eastAsia="仿宋_GB2312"/>
          <w:sz w:val="28"/>
          <w:szCs w:val="28"/>
          <w:lang w:val="zh-CN"/>
        </w:rPr>
        <w:t>2024年7月—</w:t>
      </w:r>
      <w:r>
        <w:rPr>
          <w:rFonts w:ascii="仿宋_GB2312" w:hAnsi="仿宋" w:eastAsia="仿宋_GB2312"/>
          <w:sz w:val="28"/>
          <w:szCs w:val="28"/>
          <w:lang w:val="zh-CN"/>
        </w:rPr>
        <w:t>11</w:t>
      </w:r>
      <w:r>
        <w:rPr>
          <w:rFonts w:hint="eastAsia" w:ascii="仿宋_GB2312" w:hAnsi="仿宋" w:eastAsia="仿宋_GB2312"/>
          <w:sz w:val="28"/>
          <w:szCs w:val="28"/>
          <w:lang w:val="zh-CN"/>
        </w:rPr>
        <w:t>月底，完成部级评价，主要包括准备交通运输部、财政部所需的技术资料等工作。</w:t>
      </w:r>
    </w:p>
    <w:p>
      <w:r>
        <w:rPr>
          <w:rFonts w:hint="eastAsia" w:ascii="仿宋_GB2312" w:hAnsi="仿宋" w:eastAsia="仿宋_GB2312"/>
          <w:sz w:val="28"/>
          <w:szCs w:val="28"/>
          <w:lang w:val="zh-CN"/>
        </w:rPr>
        <w:t>成果应满足国家综合货运枢纽补链强链绩效评价关于工作报告编制质量及深度要求。</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Malgun Gothic Semilight"/>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Malgun Gothic Semilight">
    <w:panose1 w:val="020B0502040204020203"/>
    <w:charset w:val="86"/>
    <w:family w:val="auto"/>
    <w:pitch w:val="default"/>
    <w:sig w:usb0="900002AF" w:usb1="01D77CFB" w:usb2="00000012" w:usb3="00000000" w:csb0="203E01BD" w:csb1="D7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5ZmM3ZTRjNzNmYjlhOGQ1NzY4ZTk1NTg5ZDYxNDMifQ=="/>
  </w:docVars>
  <w:rsids>
    <w:rsidRoot w:val="00000000"/>
    <w:rsid w:val="4C1B64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Arial Unicode MS"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99"/>
    <w:pPr>
      <w:spacing w:line="360" w:lineRule="auto"/>
    </w:pPr>
    <w:rPr>
      <w:rFonts w:ascii="Tahoma" w:hAnsi="Tahom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2024-04-24T08:48:42Z</dcterms:created>
  <dc:creator>HP</dc:creator>
  <cp:lastModifiedBy>钟玉艳</cp:lastModifiedBy>
  <dcterms:modified xsi:type="dcterms:W3CDTF">2024-04-24T08:48:45Z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F36317C4460247B399B5DF1073480124_12</vt:lpwstr>
  </property>
</Properties>
</file>