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562" w:firstLineChars="200"/>
        <w:rPr>
          <w:rFonts w:eastAsia="仿宋_GB2312"/>
          <w:b/>
          <w:sz w:val="28"/>
          <w:szCs w:val="28"/>
        </w:rPr>
      </w:pPr>
      <w:r>
        <w:rPr>
          <w:rFonts w:hint="eastAsia" w:eastAsia="仿宋_GB2312"/>
          <w:b/>
          <w:sz w:val="28"/>
          <w:szCs w:val="28"/>
        </w:rPr>
        <w:t>一、采购内容</w:t>
      </w:r>
    </w:p>
    <w:p>
      <w:pPr>
        <w:autoSpaceDE w:val="0"/>
        <w:autoSpaceDN w:val="0"/>
        <w:adjustRightInd w:val="0"/>
        <w:snapToGrid w:val="0"/>
        <w:spacing w:line="360" w:lineRule="auto"/>
        <w:ind w:firstLine="645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（一）西安外环高速货车一致性收费政策主要内容与执行状况分析。对一致性收费政策出台背景、主要内容、执行过程中遇到的问题与挑战等进行分析，梳理政策执行状况与存在问题。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5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（二）一致性收费政策实施效果评估与分析。通过对比分析一致性政策实施前后同期的外环高速、绕城高速交通流量、车辆运行效率、货车减排测算、通行收费等交通运行状况及变化，评估一致性收费政策对过境货车分流绕行的影响效果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5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（三）收费政策优化建议。根据收费政策成效评估状况，进一步优化完善收费政策，提出相应的对策建议，提高政策措施的精准性、科学性和实效性</w:t>
      </w:r>
      <w:r>
        <w:rPr>
          <w:rFonts w:hint="eastAsia" w:ascii="仿宋_GB2312" w:hAnsi="仿宋" w:eastAsia="仿宋_GB2312"/>
          <w:sz w:val="28"/>
          <w:szCs w:val="28"/>
        </w:rPr>
        <w:t>。</w:t>
      </w:r>
    </w:p>
    <w:p>
      <w:pPr>
        <w:adjustRightInd w:val="0"/>
        <w:snapToGrid w:val="0"/>
        <w:spacing w:line="360" w:lineRule="auto"/>
        <w:ind w:firstLine="562" w:firstLineChars="200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eastAsia="仿宋_GB2312"/>
          <w:b/>
          <w:sz w:val="28"/>
          <w:szCs w:val="28"/>
        </w:rPr>
        <w:t>二、完成时间及成果</w:t>
      </w:r>
    </w:p>
    <w:p>
      <w:pPr>
        <w:autoSpaceDE w:val="0"/>
        <w:autoSpaceDN w:val="0"/>
        <w:adjustRightInd w:val="0"/>
        <w:snapToGrid w:val="0"/>
        <w:spacing w:line="360" w:lineRule="auto"/>
        <w:ind w:firstLine="645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2024年5月1日至2024年6月30日，对一致性收费政策评估工作进行信息收集与调研，完成西安外环高速货车一致性收费政策出台背景、主要内容、执行过程中遇到的问题与挑战等分析；完成1-5月份一致性政策实施前后同期的外环高速、绕城高速交通状况对比分析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5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2024年7月1日至2024年8月31日，完成6、7、8月同期的外环高速、绕城高速交通状况对比分析；系统评估一致性收费政策对过境货车分流绕行的影响效果，综合分析一致性收费政策运行中存在问题。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5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2024年9月1日至2024年1</w:t>
      </w:r>
      <w:r>
        <w:rPr>
          <w:rFonts w:ascii="仿宋_GB2312" w:hAnsi="仿宋" w:eastAsia="仿宋_GB2312"/>
          <w:sz w:val="28"/>
          <w:szCs w:val="28"/>
          <w:lang w:val="zh-CN"/>
        </w:rPr>
        <w:t>1</w:t>
      </w:r>
      <w:r>
        <w:rPr>
          <w:rFonts w:hint="eastAsia" w:ascii="仿宋_GB2312" w:hAnsi="仿宋" w:eastAsia="仿宋_GB2312"/>
          <w:sz w:val="28"/>
          <w:szCs w:val="28"/>
          <w:lang w:val="zh-CN"/>
        </w:rPr>
        <w:t>月3</w:t>
      </w:r>
      <w:r>
        <w:rPr>
          <w:rFonts w:ascii="仿宋_GB2312" w:hAnsi="仿宋" w:eastAsia="仿宋_GB2312"/>
          <w:sz w:val="28"/>
          <w:szCs w:val="28"/>
          <w:lang w:val="zh-CN"/>
        </w:rPr>
        <w:t>0</w:t>
      </w:r>
      <w:r>
        <w:rPr>
          <w:rFonts w:hint="eastAsia" w:ascii="仿宋_GB2312" w:hAnsi="仿宋" w:eastAsia="仿宋_GB2312"/>
          <w:sz w:val="28"/>
          <w:szCs w:val="28"/>
          <w:lang w:val="zh-CN"/>
        </w:rPr>
        <w:t>日，综合分析一致性政策实施前后同期外环高速、绕城高速交通状况对比分析；综合评估收费政策的精准性、科学性和实效性等运行成效，提出收费政策优化建议。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645"/>
        <w:rPr>
          <w:rFonts w:ascii="仿宋_GB2312" w:hAnsi="仿宋" w:eastAsia="仿宋_GB2312"/>
          <w:sz w:val="28"/>
          <w:szCs w:val="28"/>
          <w:lang w:val="zh-CN"/>
        </w:rPr>
      </w:pPr>
      <w:r>
        <w:rPr>
          <w:rFonts w:hint="eastAsia" w:ascii="仿宋_GB2312" w:hAnsi="仿宋" w:eastAsia="仿宋_GB2312"/>
          <w:sz w:val="28"/>
          <w:szCs w:val="28"/>
          <w:lang w:val="zh-CN"/>
        </w:rPr>
        <w:t>根据项目研究成果，完成相关核心期刊论文或EI检索学术会议论文1篇，并在验收通过后1年内正式发表。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Malgun Gothic Semilight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ZmM3ZTRjNzNmYjlhOGQ1NzY4ZTk1NTg5ZDYxNDMifQ=="/>
  </w:docVars>
  <w:rsids>
    <w:rsidRoot w:val="00000000"/>
    <w:rsid w:val="55A5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Arial Unicode MS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2024-04-24T08:38:05Z</dcterms:created>
  <dc:creator>HP</dc:creator>
  <cp:lastModifiedBy>钟玉艳</cp:lastModifiedBy>
  <dcterms:modified xsi:type="dcterms:W3CDTF">2024-04-24T08:38:41Z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D54043B6BF264BC7B7AFD65059DB791A_12</vt:lpwstr>
  </property>
</Properties>
</file>