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outlineLvl w:val="9"/>
        <w:rPr>
          <w:rFonts w:ascii="宋体" w:hAnsi="宋体" w:cs="宋体"/>
          <w:b/>
          <w:sz w:val="30"/>
        </w:rPr>
      </w:pPr>
      <w:bookmarkStart w:id="0" w:name="OLE_LINK9"/>
      <w:r>
        <w:rPr>
          <w:rFonts w:hint="eastAsia" w:ascii="宋体" w:hAnsi="宋体" w:cs="宋体"/>
          <w:b/>
          <w:sz w:val="30"/>
        </w:rPr>
        <w:t>政府采购项目</w:t>
      </w:r>
    </w:p>
    <w:p>
      <w:pPr>
        <w:bidi w:val="0"/>
        <w:rPr>
          <w:rFonts w:hint="eastAsia" w:ascii="宋体" w:hAnsi="宋体" w:eastAsia="宋体" w:cs="宋体"/>
          <w:b/>
          <w:sz w:val="30"/>
          <w:lang w:eastAsia="zh-CN"/>
        </w:rPr>
      </w:pPr>
      <w:r>
        <w:rPr>
          <w:rFonts w:hint="eastAsia" w:ascii="宋体" w:hAnsi="宋体" w:cs="宋体"/>
          <w:b/>
          <w:sz w:val="30"/>
        </w:rPr>
        <w:t>项目编号：</w:t>
      </w:r>
      <w:r>
        <w:rPr>
          <w:rFonts w:hint="eastAsia" w:ascii="宋体" w:hAnsi="宋体" w:cs="宋体"/>
          <w:b/>
          <w:bCs/>
          <w:kern w:val="0"/>
          <w:sz w:val="24"/>
          <w:szCs w:val="24"/>
          <w:lang w:eastAsia="zh-CN"/>
        </w:rPr>
        <w:t>SXWZ2024ZB-XAXZ-023A</w:t>
      </w: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rPr>
          <w:rFonts w:hint="eastAsia" w:ascii="宋体" w:hAnsi="宋体" w:cs="宋体"/>
          <w:b/>
          <w:sz w:val="48"/>
          <w:szCs w:val="48"/>
        </w:rPr>
      </w:pPr>
      <w:r>
        <w:rPr>
          <w:rFonts w:hint="eastAsia" w:ascii="宋体" w:hAnsi="宋体" w:cs="宋体"/>
          <w:b/>
          <w:sz w:val="48"/>
          <w:szCs w:val="48"/>
          <w:lang w:eastAsia="zh-CN"/>
        </w:rPr>
        <w:t>西安市中心血站地铁灯箱、公交车尾窗LED屏、微信朋友圈、短视频献血宣传项目(第3包二次)</w:t>
      </w:r>
      <w:r>
        <w:rPr>
          <w:rFonts w:hint="eastAsia" w:ascii="宋体" w:hAnsi="宋体" w:cs="宋体"/>
          <w:b/>
          <w:sz w:val="48"/>
          <w:szCs w:val="48"/>
        </w:rPr>
        <w:t xml:space="preserve">  </w:t>
      </w:r>
    </w:p>
    <w:p>
      <w:pPr>
        <w:adjustRightInd w:val="0"/>
        <w:snapToGrid w:val="0"/>
        <w:spacing w:line="360" w:lineRule="auto"/>
        <w:jc w:val="center"/>
        <w:rPr>
          <w:rFonts w:ascii="宋体" w:hAnsi="宋体" w:cs="宋体"/>
          <w:b/>
          <w:sz w:val="52"/>
          <w:szCs w:val="52"/>
        </w:rPr>
      </w:pPr>
      <w:r>
        <w:rPr>
          <w:rFonts w:hint="eastAsia" w:ascii="宋体" w:hAnsi="宋体" w:cs="宋体"/>
        </w:rPr>
        <w:drawing>
          <wp:anchor distT="0" distB="0" distL="114300" distR="114300" simplePos="0" relativeHeight="251664384" behindDoc="1" locked="0" layoutInCell="1" allowOverlap="1">
            <wp:simplePos x="0" y="0"/>
            <wp:positionH relativeFrom="column">
              <wp:posOffset>1550670</wp:posOffset>
            </wp:positionH>
            <wp:positionV relativeFrom="paragraph">
              <wp:posOffset>450215</wp:posOffset>
            </wp:positionV>
            <wp:extent cx="2312670" cy="1447800"/>
            <wp:effectExtent l="0" t="0" r="11430" b="0"/>
            <wp:wrapTight wrapText="bothSides">
              <wp:wrapPolygon>
                <wp:start x="0" y="0"/>
                <wp:lineTo x="0" y="21316"/>
                <wp:lineTo x="21351" y="21316"/>
                <wp:lineTo x="21351" y="0"/>
                <wp:lineTo x="0"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20"/>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center"/>
        <w:rPr>
          <w:rFonts w:ascii="宋体" w:hAnsi="宋体" w:cs="宋体"/>
          <w:b/>
          <w:sz w:val="52"/>
          <w:szCs w:val="52"/>
        </w:rPr>
      </w:pPr>
    </w:p>
    <w:p>
      <w:pPr>
        <w:adjustRightInd w:val="0"/>
        <w:snapToGrid w:val="0"/>
        <w:spacing w:line="360" w:lineRule="auto"/>
        <w:jc w:val="center"/>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outlineLvl w:val="9"/>
        <w:rPr>
          <w:rFonts w:ascii="宋体" w:hAnsi="宋体" w:cs="宋体"/>
          <w:b/>
          <w:sz w:val="30"/>
        </w:rPr>
      </w:pPr>
      <w:r>
        <w:rPr>
          <w:rFonts w:hint="eastAsia" w:ascii="宋体" w:hAnsi="宋体" w:cs="宋体"/>
          <w:b/>
          <w:sz w:val="72"/>
          <w:szCs w:val="72"/>
        </w:rPr>
        <w:t>竞争性磋商文件</w:t>
      </w:r>
    </w:p>
    <w:p>
      <w:pPr>
        <w:adjustRightInd w:val="0"/>
        <w:snapToGrid w:val="0"/>
        <w:spacing w:line="360" w:lineRule="auto"/>
        <w:jc w:val="left"/>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outlineLvl w:val="9"/>
        <w:rPr>
          <w:rFonts w:hint="eastAsia" w:ascii="宋体" w:hAnsi="宋体" w:eastAsia="宋体" w:cs="宋体"/>
          <w:b/>
          <w:sz w:val="32"/>
          <w:szCs w:val="32"/>
          <w:lang w:eastAsia="zh-CN"/>
        </w:rPr>
      </w:pPr>
      <w:r>
        <w:rPr>
          <w:rFonts w:hint="eastAsia" w:ascii="宋体" w:hAnsi="宋体" w:cs="宋体"/>
          <w:b/>
          <w:sz w:val="32"/>
          <w:szCs w:val="32"/>
        </w:rPr>
        <w:t>采   购   人：</w:t>
      </w:r>
      <w:r>
        <w:rPr>
          <w:rFonts w:hint="eastAsia" w:ascii="宋体" w:hAnsi="宋体" w:cs="宋体"/>
          <w:b/>
          <w:sz w:val="32"/>
          <w:szCs w:val="32"/>
          <w:lang w:eastAsia="zh-CN"/>
        </w:rPr>
        <w:t>西安市中心血站</w:t>
      </w:r>
    </w:p>
    <w:p>
      <w:pPr>
        <w:adjustRightInd w:val="0"/>
        <w:snapToGrid w:val="0"/>
        <w:spacing w:line="360" w:lineRule="auto"/>
        <w:ind w:firstLine="1606" w:firstLineChars="500"/>
        <w:jc w:val="both"/>
        <w:outlineLvl w:val="9"/>
        <w:rPr>
          <w:rFonts w:ascii="宋体" w:hAnsi="宋体" w:cs="宋体"/>
          <w:b/>
          <w:sz w:val="32"/>
          <w:szCs w:val="32"/>
        </w:rPr>
      </w:pPr>
      <w:r>
        <w:rPr>
          <w:rFonts w:hint="eastAsia" w:ascii="宋体" w:hAnsi="宋体" w:cs="宋体"/>
          <w:b/>
          <w:sz w:val="32"/>
          <w:szCs w:val="32"/>
        </w:rPr>
        <w:t>采购代理机构：陕西万泽招标有限公司</w:t>
      </w:r>
    </w:p>
    <w:p>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w:t>
      </w:r>
      <w:r>
        <w:rPr>
          <w:rFonts w:hint="eastAsia" w:ascii="宋体" w:hAnsi="宋体" w:cs="宋体"/>
          <w:b/>
          <w:sz w:val="32"/>
          <w:szCs w:val="32"/>
          <w:lang w:eastAsia="zh-CN"/>
        </w:rPr>
        <w:t>四</w:t>
      </w:r>
      <w:r>
        <w:rPr>
          <w:rFonts w:hint="eastAsia" w:ascii="宋体" w:hAnsi="宋体" w:cs="宋体"/>
          <w:b/>
          <w:sz w:val="32"/>
          <w:szCs w:val="32"/>
        </w:rPr>
        <w:t>年</w:t>
      </w:r>
      <w:r>
        <w:rPr>
          <w:rFonts w:hint="eastAsia" w:ascii="宋体" w:hAnsi="宋体" w:cs="宋体"/>
          <w:b/>
          <w:sz w:val="32"/>
          <w:szCs w:val="32"/>
          <w:lang w:eastAsia="zh-CN"/>
        </w:rPr>
        <w:t>三</w:t>
      </w:r>
      <w:r>
        <w:rPr>
          <w:rFonts w:hint="eastAsia" w:ascii="宋体" w:hAnsi="宋体" w:cs="宋体"/>
          <w:b/>
          <w:sz w:val="32"/>
          <w:szCs w:val="32"/>
        </w:rPr>
        <w:t>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315" w:bottom="1440" w:left="1349" w:header="851" w:footer="992" w:gutter="0"/>
          <w:pgNumType w:start="1"/>
          <w:cols w:space="0" w:num="1"/>
          <w:rtlGutter w:val="0"/>
          <w:docGrid w:type="lines" w:linePitch="312" w:charSpace="0"/>
        </w:sectPr>
      </w:pPr>
    </w:p>
    <w:p>
      <w:pPr>
        <w:pStyle w:val="13"/>
        <w:tabs>
          <w:tab w:val="right" w:leader="dot" w:pos="8306"/>
        </w:tabs>
        <w:spacing w:line="360" w:lineRule="auto"/>
        <w:jc w:val="center"/>
        <w:rPr>
          <w:rFonts w:ascii="宋体" w:hAnsi="宋体" w:cs="宋体"/>
          <w:b/>
          <w:bCs/>
          <w:sz w:val="40"/>
          <w:szCs w:val="40"/>
        </w:rPr>
      </w:pPr>
      <w:r>
        <w:rPr>
          <w:rFonts w:hint="eastAsia" w:ascii="宋体" w:hAnsi="宋体" w:cs="宋体"/>
          <w:b/>
          <w:bCs/>
          <w:sz w:val="40"/>
          <w:szCs w:val="40"/>
        </w:rPr>
        <w:t>目  录</w:t>
      </w:r>
    </w:p>
    <w:p>
      <w:pPr>
        <w:pStyle w:val="13"/>
        <w:tabs>
          <w:tab w:val="right" w:leader="dot" w:pos="8306"/>
        </w:tabs>
      </w:pPr>
      <w:r>
        <w:rPr>
          <w:sz w:val="24"/>
          <w:szCs w:val="24"/>
        </w:rPr>
        <w:fldChar w:fldCharType="begin"/>
      </w:r>
      <w:r>
        <w:rPr>
          <w:sz w:val="24"/>
          <w:szCs w:val="24"/>
        </w:rPr>
        <w:instrText xml:space="preserve">TOC \o "1-2" \h \u </w:instrText>
      </w:r>
      <w:r>
        <w:rPr>
          <w:sz w:val="24"/>
          <w:szCs w:val="24"/>
        </w:rPr>
        <w:fldChar w:fldCharType="separate"/>
      </w:r>
      <w:r>
        <w:fldChar w:fldCharType="begin"/>
      </w:r>
      <w:r>
        <w:instrText xml:space="preserve"> HYPERLINK \l "_Toc29617" </w:instrText>
      </w:r>
      <w:r>
        <w:fldChar w:fldCharType="separate"/>
      </w:r>
      <w:r>
        <w:rPr>
          <w:rFonts w:hint="eastAsia" w:ascii="宋体" w:hAnsi="宋体" w:cs="宋体"/>
        </w:rPr>
        <w:t>第一部分 竞争性磋商公告</w:t>
      </w:r>
      <w:r>
        <w:tab/>
      </w:r>
      <w:r>
        <w:fldChar w:fldCharType="begin"/>
      </w:r>
      <w:r>
        <w:instrText xml:space="preserve"> PAGEREF _Toc29617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"_Toc174" </w:instrText>
      </w:r>
      <w:r>
        <w:fldChar w:fldCharType="separate"/>
      </w:r>
      <w:r>
        <w:rPr>
          <w:rFonts w:hint="eastAsia" w:ascii="宋体" w:hAnsi="宋体" w:cs="宋体"/>
        </w:rPr>
        <w:t>第二部分 供应商须知前附表</w:t>
      </w:r>
      <w:r>
        <w:tab/>
      </w:r>
      <w:r>
        <w:fldChar w:fldCharType="begin"/>
      </w:r>
      <w:r>
        <w:instrText xml:space="preserve"> PAGEREF _Toc174 \h </w:instrText>
      </w:r>
      <w:r>
        <w:fldChar w:fldCharType="separate"/>
      </w:r>
      <w:r>
        <w:t>4</w:t>
      </w:r>
      <w:r>
        <w:fldChar w:fldCharType="end"/>
      </w:r>
      <w:r>
        <w:fldChar w:fldCharType="end"/>
      </w:r>
    </w:p>
    <w:p>
      <w:pPr>
        <w:pStyle w:val="13"/>
        <w:tabs>
          <w:tab w:val="right" w:leader="dot" w:pos="8306"/>
        </w:tabs>
      </w:pPr>
      <w:r>
        <w:fldChar w:fldCharType="begin"/>
      </w:r>
      <w:r>
        <w:instrText xml:space="preserve"> HYPERLINK \l "_Toc17802" </w:instrText>
      </w:r>
      <w:r>
        <w:fldChar w:fldCharType="separate"/>
      </w:r>
      <w:r>
        <w:rPr>
          <w:rFonts w:hint="eastAsia" w:ascii="宋体" w:hAnsi="宋体" w:cs="宋体"/>
        </w:rPr>
        <w:t>第三部分 供应商须知</w:t>
      </w:r>
      <w:r>
        <w:tab/>
      </w:r>
      <w:r>
        <w:fldChar w:fldCharType="begin"/>
      </w:r>
      <w:r>
        <w:instrText xml:space="preserve"> PAGEREF _Toc17802 \h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"_Toc28270" </w:instrText>
      </w:r>
      <w:r>
        <w:fldChar w:fldCharType="separate"/>
      </w:r>
      <w:r>
        <w:rPr>
          <w:rFonts w:hint="eastAsia" w:ascii="宋体" w:hAnsi="宋体"/>
          <w:bCs/>
          <w:kern w:val="0"/>
          <w:szCs w:val="28"/>
        </w:rPr>
        <w:t xml:space="preserve">一、 </w:t>
      </w:r>
      <w:r>
        <w:rPr>
          <w:rFonts w:hint="eastAsia" w:ascii="宋体" w:hAnsi="宋体" w:cs="宋体"/>
          <w:bCs/>
          <w:kern w:val="0"/>
          <w:szCs w:val="28"/>
        </w:rPr>
        <w:t>总则</w:t>
      </w:r>
      <w:r>
        <w:tab/>
      </w:r>
      <w:r>
        <w:fldChar w:fldCharType="begin"/>
      </w:r>
      <w:r>
        <w:instrText xml:space="preserve"> PAGEREF _Toc28270 \h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"_Toc7300" </w:instrText>
      </w:r>
      <w:r>
        <w:fldChar w:fldCharType="separate"/>
      </w:r>
      <w:r>
        <w:rPr>
          <w:rFonts w:hint="eastAsia" w:ascii="宋体" w:hAnsi="宋体"/>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_Toc7300 \h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"_Toc16608" </w:instrText>
      </w:r>
      <w:r>
        <w:fldChar w:fldCharType="separate"/>
      </w:r>
      <w:r>
        <w:rPr>
          <w:rFonts w:hint="eastAsia"/>
        </w:rPr>
        <w:t>三、 磋商响应文件</w:t>
      </w:r>
      <w:r>
        <w:tab/>
      </w:r>
      <w:r>
        <w:fldChar w:fldCharType="begin"/>
      </w:r>
      <w:r>
        <w:instrText xml:space="preserve"> PAGEREF _Toc16608 \h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"_Toc6882" </w:instrText>
      </w:r>
      <w:r>
        <w:fldChar w:fldCharType="separate"/>
      </w:r>
      <w:r>
        <w:rPr>
          <w:rFonts w:hint="eastAsia" w:ascii="宋体" w:hAnsi="宋体"/>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_Toc6882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"_Toc28196" </w:instrText>
      </w:r>
      <w:r>
        <w:fldChar w:fldCharType="separate"/>
      </w:r>
      <w:r>
        <w:rPr>
          <w:rFonts w:hint="eastAsia" w:ascii="宋体" w:hAnsi="宋体"/>
          <w:bCs/>
          <w:kern w:val="0"/>
          <w:szCs w:val="28"/>
        </w:rPr>
        <w:t xml:space="preserve">五、 </w:t>
      </w:r>
      <w:r>
        <w:rPr>
          <w:rFonts w:hint="eastAsia" w:ascii="宋体" w:hAnsi="宋体" w:cs="宋体"/>
          <w:bCs/>
          <w:kern w:val="0"/>
          <w:szCs w:val="28"/>
        </w:rPr>
        <w:t>磋商、评审、定标</w:t>
      </w:r>
      <w:r>
        <w:tab/>
      </w:r>
      <w:r>
        <w:fldChar w:fldCharType="begin"/>
      </w:r>
      <w:r>
        <w:instrText xml:space="preserve"> PAGEREF _Toc28196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"_Toc17033" </w:instrText>
      </w:r>
      <w:r>
        <w:fldChar w:fldCharType="separate"/>
      </w:r>
      <w:r>
        <w:rPr>
          <w:rFonts w:hint="eastAsia" w:ascii="宋体" w:hAnsi="宋体"/>
          <w:bCs/>
          <w:kern w:val="0"/>
          <w:szCs w:val="28"/>
        </w:rPr>
        <w:t xml:space="preserve">六、 </w:t>
      </w:r>
      <w:r>
        <w:rPr>
          <w:rFonts w:hint="eastAsia" w:ascii="宋体" w:hAnsi="宋体" w:cs="宋体"/>
          <w:bCs/>
          <w:kern w:val="0"/>
          <w:szCs w:val="28"/>
        </w:rPr>
        <w:t>签订合同</w:t>
      </w:r>
      <w:r>
        <w:tab/>
      </w:r>
      <w:r>
        <w:fldChar w:fldCharType="begin"/>
      </w:r>
      <w:r>
        <w:instrText xml:space="preserve"> PAGEREF _Toc17033 \h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"_Toc23496" </w:instrText>
      </w:r>
      <w:r>
        <w:fldChar w:fldCharType="separate"/>
      </w:r>
      <w:r>
        <w:rPr>
          <w:rFonts w:hint="eastAsia" w:ascii="宋体" w:hAnsi="宋体"/>
          <w:bCs/>
          <w:kern w:val="0"/>
          <w:szCs w:val="28"/>
        </w:rPr>
        <w:t xml:space="preserve">七、 </w:t>
      </w:r>
      <w:r>
        <w:rPr>
          <w:rFonts w:hint="eastAsia" w:ascii="宋体" w:hAnsi="宋体" w:cs="宋体"/>
          <w:bCs/>
          <w:kern w:val="0"/>
          <w:szCs w:val="28"/>
        </w:rPr>
        <w:t>代理服务费</w:t>
      </w:r>
      <w:r>
        <w:tab/>
      </w:r>
      <w:r>
        <w:fldChar w:fldCharType="begin"/>
      </w:r>
      <w:r>
        <w:instrText xml:space="preserve"> PAGEREF _Toc23496 \h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"_Toc2546" </w:instrText>
      </w:r>
      <w:r>
        <w:fldChar w:fldCharType="separate"/>
      </w:r>
      <w:r>
        <w:rPr>
          <w:rFonts w:hint="eastAsia" w:ascii="宋体" w:hAnsi="宋体"/>
          <w:bCs/>
          <w:kern w:val="0"/>
          <w:szCs w:val="28"/>
        </w:rPr>
        <w:t xml:space="preserve">八、 </w:t>
      </w:r>
      <w:r>
        <w:rPr>
          <w:rFonts w:hint="eastAsia" w:ascii="宋体" w:hAnsi="宋体" w:cs="宋体"/>
          <w:bCs/>
          <w:kern w:val="0"/>
          <w:szCs w:val="28"/>
        </w:rPr>
        <w:t>履约验收</w:t>
      </w:r>
      <w:r>
        <w:tab/>
      </w:r>
      <w:r>
        <w:fldChar w:fldCharType="begin"/>
      </w:r>
      <w:r>
        <w:instrText xml:space="preserve"> PAGEREF _Toc2546 \h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"_Toc6703" </w:instrText>
      </w:r>
      <w:r>
        <w:fldChar w:fldCharType="separate"/>
      </w:r>
      <w:r>
        <w:rPr>
          <w:rFonts w:hint="eastAsia" w:ascii="宋体" w:hAnsi="宋体"/>
          <w:bCs/>
          <w:kern w:val="0"/>
          <w:szCs w:val="28"/>
        </w:rPr>
        <w:t xml:space="preserve">九、 </w:t>
      </w:r>
      <w:r>
        <w:rPr>
          <w:rFonts w:hint="eastAsia" w:ascii="宋体" w:hAnsi="宋体" w:cs="宋体"/>
          <w:bCs/>
          <w:kern w:val="0"/>
          <w:szCs w:val="28"/>
        </w:rPr>
        <w:t>质疑和投诉</w:t>
      </w:r>
      <w:r>
        <w:tab/>
      </w:r>
      <w:r>
        <w:fldChar w:fldCharType="begin"/>
      </w:r>
      <w:r>
        <w:instrText xml:space="preserve"> PAGEREF _Toc6703 \h </w:instrText>
      </w:r>
      <w:r>
        <w:fldChar w:fldCharType="separate"/>
      </w:r>
      <w:r>
        <w:t>21</w:t>
      </w:r>
      <w:r>
        <w:fldChar w:fldCharType="end"/>
      </w:r>
      <w:r>
        <w:fldChar w:fldCharType="end"/>
      </w:r>
    </w:p>
    <w:p>
      <w:pPr>
        <w:pStyle w:val="14"/>
        <w:tabs>
          <w:tab w:val="right" w:leader="dot" w:pos="8306"/>
        </w:tabs>
      </w:pPr>
      <w:r>
        <w:fldChar w:fldCharType="begin"/>
      </w:r>
      <w:r>
        <w:instrText xml:space="preserve"> HYPERLINK \l "_Toc16379" </w:instrText>
      </w:r>
      <w:r>
        <w:fldChar w:fldCharType="separate"/>
      </w:r>
      <w:r>
        <w:rPr>
          <w:rFonts w:hint="eastAsia"/>
        </w:rPr>
        <w:t>十、政府采购融资政策及信用担保</w:t>
      </w:r>
      <w:r>
        <w:tab/>
      </w:r>
      <w:r>
        <w:fldChar w:fldCharType="begin"/>
      </w:r>
      <w:r>
        <w:instrText xml:space="preserve"> PAGEREF _Toc16379 \h </w:instrText>
      </w:r>
      <w:r>
        <w:fldChar w:fldCharType="separate"/>
      </w:r>
      <w:r>
        <w:t>22</w:t>
      </w:r>
      <w:r>
        <w:fldChar w:fldCharType="end"/>
      </w:r>
      <w:r>
        <w:fldChar w:fldCharType="end"/>
      </w:r>
    </w:p>
    <w:p>
      <w:pPr>
        <w:pStyle w:val="13"/>
        <w:tabs>
          <w:tab w:val="right" w:leader="dot" w:pos="8306"/>
        </w:tabs>
      </w:pPr>
      <w:r>
        <w:fldChar w:fldCharType="begin"/>
      </w:r>
      <w:r>
        <w:instrText xml:space="preserve"> HYPERLINK \l "_Toc5889" </w:instrText>
      </w:r>
      <w:r>
        <w:fldChar w:fldCharType="separate"/>
      </w:r>
      <w:r>
        <w:rPr>
          <w:rFonts w:hint="eastAsia"/>
        </w:rPr>
        <w:t>第四部分 评审标准</w:t>
      </w:r>
      <w:r>
        <w:tab/>
      </w:r>
      <w:r>
        <w:fldChar w:fldCharType="begin"/>
      </w:r>
      <w:r>
        <w:instrText xml:space="preserve"> PAGEREF _Toc5889 \h </w:instrText>
      </w:r>
      <w:r>
        <w:fldChar w:fldCharType="separate"/>
      </w:r>
      <w:r>
        <w:t>23</w:t>
      </w:r>
      <w:r>
        <w:fldChar w:fldCharType="end"/>
      </w:r>
      <w:r>
        <w:fldChar w:fldCharType="end"/>
      </w:r>
    </w:p>
    <w:p>
      <w:pPr>
        <w:pStyle w:val="13"/>
        <w:tabs>
          <w:tab w:val="right" w:leader="dot" w:pos="8306"/>
        </w:tabs>
      </w:pPr>
      <w:r>
        <w:fldChar w:fldCharType="begin"/>
      </w:r>
      <w:r>
        <w:instrText xml:space="preserve"> HYPERLINK \l "_Toc5345" </w:instrText>
      </w:r>
      <w:r>
        <w:fldChar w:fldCharType="separate"/>
      </w:r>
      <w:r>
        <w:rPr>
          <w:rFonts w:ascii="宋体" w:hAnsi="宋体" w:cs="宋体"/>
        </w:rPr>
        <w:t>第五部</w:t>
      </w:r>
      <w:r>
        <w:rPr>
          <w:rFonts w:hint="eastAsia" w:ascii="宋体" w:hAnsi="宋体" w:cs="宋体"/>
        </w:rPr>
        <w:t>分 采购要求</w:t>
      </w:r>
      <w:r>
        <w:tab/>
      </w:r>
      <w:r>
        <w:fldChar w:fldCharType="begin"/>
      </w:r>
      <w:r>
        <w:instrText xml:space="preserve"> PAGEREF _Toc5345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"_Toc15828" </w:instrText>
      </w:r>
      <w:r>
        <w:fldChar w:fldCharType="separate"/>
      </w:r>
      <w:r>
        <w:rPr>
          <w:rFonts w:hint="eastAsia"/>
        </w:rPr>
        <w:t xml:space="preserve">第六部分 </w:t>
      </w:r>
      <w:r>
        <w:t>合同</w:t>
      </w:r>
      <w:r>
        <w:rPr>
          <w:rFonts w:hint="eastAsia"/>
        </w:rPr>
        <w:t>主要</w:t>
      </w:r>
      <w:r>
        <w:t>条款</w:t>
      </w:r>
      <w:r>
        <w:rPr>
          <w:rFonts w:hint="eastAsia"/>
        </w:rPr>
        <w:t>（参考合同）</w:t>
      </w:r>
      <w:r>
        <w:tab/>
      </w:r>
      <w:r>
        <w:fldChar w:fldCharType="begin"/>
      </w:r>
      <w:r>
        <w:instrText xml:space="preserve"> PAGEREF _Toc15828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"_Toc3243" </w:instrText>
      </w:r>
      <w:r>
        <w:fldChar w:fldCharType="separate"/>
      </w:r>
      <w:r>
        <w:rPr>
          <w:rFonts w:hint="eastAsia" w:ascii="宋体" w:hAnsi="宋体" w:cs="宋体"/>
        </w:rPr>
        <w:t>第七部分 磋商响应文件格式</w:t>
      </w:r>
      <w:r>
        <w:tab/>
      </w:r>
      <w:r>
        <w:fldChar w:fldCharType="begin"/>
      </w:r>
      <w:r>
        <w:instrText xml:space="preserve"> PAGEREF _Toc3243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"_Toc19835" </w:instrText>
      </w:r>
      <w:r>
        <w:fldChar w:fldCharType="separate"/>
      </w:r>
      <w:r>
        <w:rPr>
          <w:rFonts w:hint="eastAsia"/>
        </w:rPr>
        <w:t>第一章  响应函</w:t>
      </w:r>
      <w:r>
        <w:tab/>
      </w:r>
      <w:r>
        <w:fldChar w:fldCharType="begin"/>
      </w:r>
      <w:r>
        <w:instrText xml:space="preserve"> PAGEREF _Toc19835 \h </w:instrText>
      </w:r>
      <w:r>
        <w:fldChar w:fldCharType="separate"/>
      </w:r>
      <w:r>
        <w:t>41</w:t>
      </w:r>
      <w:r>
        <w:fldChar w:fldCharType="end"/>
      </w:r>
      <w:r>
        <w:fldChar w:fldCharType="end"/>
      </w:r>
    </w:p>
    <w:p>
      <w:pPr>
        <w:pStyle w:val="14"/>
        <w:tabs>
          <w:tab w:val="right" w:leader="dot" w:pos="8306"/>
        </w:tabs>
      </w:pPr>
      <w:r>
        <w:fldChar w:fldCharType="begin"/>
      </w:r>
      <w:r>
        <w:instrText xml:space="preserve"> HYPERLINK \l "_Toc30085" </w:instrText>
      </w:r>
      <w:r>
        <w:fldChar w:fldCharType="separate"/>
      </w:r>
      <w:r>
        <w:rPr>
          <w:rFonts w:hint="eastAsia" w:ascii="宋体" w:hAnsi="宋体" w:cs="宋体"/>
        </w:rPr>
        <w:t>第二</w:t>
      </w:r>
      <w:r>
        <w:rPr>
          <w:rFonts w:hint="eastAsia"/>
        </w:rPr>
        <w:t xml:space="preserve">章  </w:t>
      </w:r>
      <w:r>
        <w:rPr>
          <w:rFonts w:hint="eastAsia" w:ascii="宋体" w:hAnsi="宋体" w:cs="宋体"/>
        </w:rPr>
        <w:t>磋商一览表</w:t>
      </w:r>
      <w:r>
        <w:tab/>
      </w:r>
      <w:r>
        <w:fldChar w:fldCharType="begin"/>
      </w:r>
      <w:r>
        <w:instrText xml:space="preserve"> PAGEREF _Toc30085 \h </w:instrText>
      </w:r>
      <w:r>
        <w:fldChar w:fldCharType="separate"/>
      </w:r>
      <w:r>
        <w:t>42</w:t>
      </w:r>
      <w:r>
        <w:fldChar w:fldCharType="end"/>
      </w:r>
      <w:r>
        <w:fldChar w:fldCharType="end"/>
      </w:r>
    </w:p>
    <w:p>
      <w:pPr>
        <w:pStyle w:val="14"/>
        <w:tabs>
          <w:tab w:val="right" w:leader="dot" w:pos="8306"/>
        </w:tabs>
      </w:pPr>
      <w:r>
        <w:fldChar w:fldCharType="begin"/>
      </w:r>
      <w:r>
        <w:instrText xml:space="preserve"> HYPERLINK \l "_Toc17065" </w:instrText>
      </w:r>
      <w:r>
        <w:fldChar w:fldCharType="separate"/>
      </w:r>
      <w:r>
        <w:rPr>
          <w:rFonts w:hint="eastAsia" w:hAnsi="宋体" w:cs="宋体"/>
        </w:rPr>
        <w:t xml:space="preserve">第三章  </w:t>
      </w:r>
      <w:r>
        <w:rPr>
          <w:rFonts w:hint="eastAsia"/>
          <w:szCs w:val="36"/>
        </w:rPr>
        <w:t>分项报价表</w:t>
      </w:r>
      <w:r>
        <w:tab/>
      </w:r>
      <w:r>
        <w:fldChar w:fldCharType="begin"/>
      </w:r>
      <w:r>
        <w:instrText xml:space="preserve"> PAGEREF _Toc17065 \h </w:instrText>
      </w:r>
      <w:r>
        <w:fldChar w:fldCharType="separate"/>
      </w:r>
      <w:r>
        <w:t>43</w:t>
      </w:r>
      <w:r>
        <w:fldChar w:fldCharType="end"/>
      </w:r>
      <w:r>
        <w:fldChar w:fldCharType="end"/>
      </w:r>
    </w:p>
    <w:p>
      <w:pPr>
        <w:pStyle w:val="14"/>
        <w:tabs>
          <w:tab w:val="right" w:leader="dot" w:pos="8306"/>
        </w:tabs>
      </w:pPr>
      <w:r>
        <w:fldChar w:fldCharType="begin"/>
      </w:r>
      <w:r>
        <w:instrText xml:space="preserve"> HYPERLINK \l "_Toc15714" </w:instrText>
      </w:r>
      <w:r>
        <w:fldChar w:fldCharType="separate"/>
      </w:r>
      <w:r>
        <w:rPr>
          <w:rFonts w:hint="eastAsia"/>
        </w:rPr>
        <w:t>第四章  供应商资质证明资料</w:t>
      </w:r>
      <w:r>
        <w:tab/>
      </w:r>
      <w:r>
        <w:fldChar w:fldCharType="begin"/>
      </w:r>
      <w:r>
        <w:instrText xml:space="preserve"> PAGEREF _Toc15714 \h </w:instrText>
      </w:r>
      <w:r>
        <w:fldChar w:fldCharType="separate"/>
      </w:r>
      <w:r>
        <w:t>44</w:t>
      </w:r>
      <w:r>
        <w:fldChar w:fldCharType="end"/>
      </w:r>
      <w:r>
        <w:fldChar w:fldCharType="end"/>
      </w:r>
    </w:p>
    <w:p>
      <w:pPr>
        <w:pStyle w:val="14"/>
        <w:tabs>
          <w:tab w:val="right" w:leader="dot" w:pos="8306"/>
        </w:tabs>
      </w:pPr>
      <w:r>
        <w:fldChar w:fldCharType="begin"/>
      </w:r>
      <w:r>
        <w:instrText xml:space="preserve"> HYPERLINK \l "_Toc20728" </w:instrText>
      </w:r>
      <w:r>
        <w:fldChar w:fldCharType="separate"/>
      </w:r>
      <w:r>
        <w:rPr>
          <w:rFonts w:hint="eastAsia"/>
        </w:rPr>
        <w:t>第五章  商务和技术响应偏离表</w:t>
      </w:r>
      <w:r>
        <w:tab/>
      </w:r>
      <w:r>
        <w:fldChar w:fldCharType="begin"/>
      </w:r>
      <w:r>
        <w:instrText xml:space="preserve"> PAGEREF _Toc20728 \h </w:instrText>
      </w:r>
      <w:r>
        <w:fldChar w:fldCharType="separate"/>
      </w:r>
      <w:r>
        <w:t>51</w:t>
      </w:r>
      <w:r>
        <w:fldChar w:fldCharType="end"/>
      </w:r>
      <w:r>
        <w:fldChar w:fldCharType="end"/>
      </w:r>
    </w:p>
    <w:p>
      <w:pPr>
        <w:pStyle w:val="14"/>
        <w:tabs>
          <w:tab w:val="right" w:leader="dot" w:pos="8306"/>
        </w:tabs>
      </w:pPr>
      <w:r>
        <w:fldChar w:fldCharType="begin"/>
      </w:r>
      <w:r>
        <w:instrText xml:space="preserve"> HYPERLINK \l "_Toc19555" </w:instrText>
      </w:r>
      <w:r>
        <w:fldChar w:fldCharType="separate"/>
      </w:r>
      <w:r>
        <w:rPr>
          <w:rFonts w:hint="eastAsia" w:asciiTheme="minorEastAsia" w:hAnsiTheme="minorEastAsia" w:eastAsiaTheme="minorEastAsia" w:cstheme="minorEastAsia"/>
          <w:szCs w:val="36"/>
        </w:rPr>
        <w:t>第六章  技术支持资料</w:t>
      </w:r>
      <w:r>
        <w:tab/>
      </w:r>
      <w:r>
        <w:fldChar w:fldCharType="begin"/>
      </w:r>
      <w:r>
        <w:instrText xml:space="preserve"> PAGEREF _Toc19555 \h </w:instrText>
      </w:r>
      <w:r>
        <w:fldChar w:fldCharType="separate"/>
      </w:r>
      <w:r>
        <w:t>53</w:t>
      </w:r>
      <w:r>
        <w:fldChar w:fldCharType="end"/>
      </w:r>
      <w:r>
        <w:fldChar w:fldCharType="end"/>
      </w:r>
    </w:p>
    <w:p>
      <w:pPr>
        <w:pStyle w:val="14"/>
        <w:tabs>
          <w:tab w:val="right" w:leader="dot" w:pos="8306"/>
        </w:tabs>
      </w:pPr>
      <w:r>
        <w:fldChar w:fldCharType="begin"/>
      </w:r>
      <w:r>
        <w:instrText xml:space="preserve"> HYPERLINK \l "_Toc13136" </w:instrText>
      </w:r>
      <w:r>
        <w:fldChar w:fldCharType="separate"/>
      </w:r>
      <w:r>
        <w:rPr>
          <w:rFonts w:hint="eastAsia"/>
        </w:rPr>
        <w:t>第七章  供应商业绩一览表</w:t>
      </w:r>
      <w:r>
        <w:tab/>
      </w:r>
      <w:r>
        <w:fldChar w:fldCharType="begin"/>
      </w:r>
      <w:r>
        <w:instrText xml:space="preserve"> PAGEREF _Toc13136 \h </w:instrText>
      </w:r>
      <w:r>
        <w:fldChar w:fldCharType="separate"/>
      </w:r>
      <w:r>
        <w:t>54</w:t>
      </w:r>
      <w:r>
        <w:fldChar w:fldCharType="end"/>
      </w:r>
      <w:r>
        <w:fldChar w:fldCharType="end"/>
      </w:r>
    </w:p>
    <w:p>
      <w:pPr>
        <w:pStyle w:val="14"/>
        <w:tabs>
          <w:tab w:val="right" w:leader="dot" w:pos="8306"/>
        </w:tabs>
      </w:pPr>
      <w:r>
        <w:fldChar w:fldCharType="begin"/>
      </w:r>
      <w:r>
        <w:instrText xml:space="preserve"> HYPERLINK \l "_Toc16365" </w:instrText>
      </w:r>
      <w:r>
        <w:fldChar w:fldCharType="separate"/>
      </w:r>
      <w:r>
        <w:rPr>
          <w:rFonts w:hint="eastAsia"/>
        </w:rPr>
        <w:t>第八章  供应商认为有必要说明的其他问题</w:t>
      </w:r>
      <w:r>
        <w:tab/>
      </w:r>
      <w:r>
        <w:fldChar w:fldCharType="begin"/>
      </w:r>
      <w:r>
        <w:instrText xml:space="preserve"> PAGEREF _Toc16365 \h </w:instrText>
      </w:r>
      <w:r>
        <w:fldChar w:fldCharType="separate"/>
      </w:r>
      <w:r>
        <w:t>55</w:t>
      </w:r>
      <w:r>
        <w:fldChar w:fldCharType="end"/>
      </w:r>
      <w:r>
        <w:fldChar w:fldCharType="end"/>
      </w:r>
    </w:p>
    <w:p>
      <w:pPr>
        <w:pStyle w:val="14"/>
        <w:tabs>
          <w:tab w:val="right" w:leader="dot" w:pos="8306"/>
        </w:tabs>
      </w:pPr>
      <w:r>
        <w:fldChar w:fldCharType="begin"/>
      </w:r>
      <w:r>
        <w:instrText xml:space="preserve"> HYPERLINK \l "_Toc12056" </w:instrText>
      </w:r>
      <w:r>
        <w:fldChar w:fldCharType="separate"/>
      </w:r>
      <w:r>
        <w:rPr>
          <w:rFonts w:hint="eastAsia" w:asciiTheme="minorEastAsia" w:hAnsiTheme="minorEastAsia" w:eastAsiaTheme="minorEastAsia" w:cstheme="minorEastAsia"/>
        </w:rPr>
        <w:t xml:space="preserve">第九章  </w:t>
      </w:r>
      <w:r>
        <w:rPr>
          <w:rFonts w:hint="eastAsia"/>
          <w:szCs w:val="30"/>
        </w:rPr>
        <w:t>供应商承诺书</w:t>
      </w:r>
      <w:r>
        <w:tab/>
      </w:r>
      <w:r>
        <w:fldChar w:fldCharType="begin"/>
      </w:r>
      <w:r>
        <w:instrText xml:space="preserve"> PAGEREF _Toc12056 \h </w:instrText>
      </w:r>
      <w:r>
        <w:fldChar w:fldCharType="separate"/>
      </w:r>
      <w:r>
        <w:t>56</w:t>
      </w:r>
      <w:r>
        <w:fldChar w:fldCharType="end"/>
      </w:r>
      <w:r>
        <w:fldChar w:fldCharType="end"/>
      </w:r>
    </w:p>
    <w:p>
      <w:pPr>
        <w:pStyle w:val="14"/>
        <w:tabs>
          <w:tab w:val="right" w:leader="dot" w:pos="8306"/>
        </w:tabs>
      </w:pPr>
      <w:r>
        <w:fldChar w:fldCharType="begin"/>
      </w:r>
      <w:r>
        <w:instrText xml:space="preserve"> HYPERLINK \l "_Toc22273" </w:instrText>
      </w:r>
      <w:r>
        <w:fldChar w:fldCharType="separate"/>
      </w:r>
      <w:r>
        <w:rPr>
          <w:rFonts w:hint="eastAsia" w:ascii="宋体" w:hAnsi="宋体" w:cs="宋体"/>
        </w:rPr>
        <w:t>附件一：封袋正面标识式样</w:t>
      </w:r>
      <w:r>
        <w:tab/>
      </w:r>
      <w:r>
        <w:fldChar w:fldCharType="begin"/>
      </w:r>
      <w:r>
        <w:instrText xml:space="preserve"> PAGEREF _Toc22273 \h </w:instrText>
      </w:r>
      <w:r>
        <w:fldChar w:fldCharType="separate"/>
      </w:r>
      <w:r>
        <w:t>59</w:t>
      </w:r>
      <w:r>
        <w:fldChar w:fldCharType="end"/>
      </w:r>
      <w:r>
        <w:fldChar w:fldCharType="end"/>
      </w:r>
    </w:p>
    <w:p>
      <w:pPr>
        <w:pStyle w:val="14"/>
        <w:tabs>
          <w:tab w:val="right" w:leader="dot" w:pos="8306"/>
        </w:tabs>
      </w:pPr>
      <w:r>
        <w:fldChar w:fldCharType="begin"/>
      </w:r>
      <w:r>
        <w:instrText xml:space="preserve"> HYPERLINK \l "_Toc8635" </w:instrText>
      </w:r>
      <w:r>
        <w:fldChar w:fldCharType="separate"/>
      </w:r>
      <w:r>
        <w:rPr>
          <w:rFonts w:hint="eastAsia"/>
        </w:rPr>
        <w:t>附件二、中小企业申明</w:t>
      </w:r>
      <w:r>
        <w:tab/>
      </w:r>
      <w:r>
        <w:fldChar w:fldCharType="begin"/>
      </w:r>
      <w:r>
        <w:instrText xml:space="preserve"> PAGEREF _Toc8635 \h </w:instrText>
      </w:r>
      <w:r>
        <w:fldChar w:fldCharType="separate"/>
      </w:r>
      <w:r>
        <w:t>61</w:t>
      </w:r>
      <w:r>
        <w:fldChar w:fldCharType="end"/>
      </w:r>
      <w:r>
        <w:fldChar w:fldCharType="end"/>
      </w:r>
    </w:p>
    <w:p>
      <w:pPr>
        <w:pStyle w:val="14"/>
        <w:tabs>
          <w:tab w:val="right" w:leader="dot" w:pos="8306"/>
        </w:tabs>
      </w:pPr>
      <w:r>
        <w:fldChar w:fldCharType="begin"/>
      </w:r>
      <w:r>
        <w:instrText xml:space="preserve"> HYPERLINK \l "_Toc21023" </w:instrText>
      </w:r>
      <w:r>
        <w:fldChar w:fldCharType="separate"/>
      </w:r>
      <w:r>
        <w:rPr>
          <w:rFonts w:hint="eastAsia"/>
        </w:rPr>
        <w:t>附件三、残疾人福利性单位声明</w:t>
      </w:r>
      <w:r>
        <w:tab/>
      </w:r>
      <w:r>
        <w:fldChar w:fldCharType="begin"/>
      </w:r>
      <w:r>
        <w:instrText xml:space="preserve"> PAGEREF _Toc21023 \h </w:instrText>
      </w:r>
      <w:r>
        <w:fldChar w:fldCharType="separate"/>
      </w:r>
      <w:r>
        <w:t>65</w:t>
      </w:r>
      <w:r>
        <w:fldChar w:fldCharType="end"/>
      </w:r>
      <w:r>
        <w:fldChar w:fldCharType="end"/>
      </w:r>
    </w:p>
    <w:p>
      <w:pPr>
        <w:pStyle w:val="14"/>
        <w:tabs>
          <w:tab w:val="right" w:leader="dot" w:pos="8306"/>
        </w:tabs>
      </w:pPr>
      <w:r>
        <w:fldChar w:fldCharType="begin"/>
      </w:r>
      <w:r>
        <w:instrText xml:space="preserve"> HYPERLINK \l "_Toc18290" </w:instrText>
      </w:r>
      <w:r>
        <w:fldChar w:fldCharType="separate"/>
      </w:r>
      <w:r>
        <w:rPr>
          <w:rFonts w:hint="eastAsia"/>
        </w:rPr>
        <w:t>附件四、监狱企业证明文件</w:t>
      </w:r>
      <w:r>
        <w:tab/>
      </w:r>
      <w:r>
        <w:fldChar w:fldCharType="begin"/>
      </w:r>
      <w:r>
        <w:instrText xml:space="preserve"> PAGEREF _Toc18290 \h </w:instrText>
      </w:r>
      <w:r>
        <w:fldChar w:fldCharType="separate"/>
      </w:r>
      <w:r>
        <w:t>66</w:t>
      </w:r>
      <w:r>
        <w:fldChar w:fldCharType="end"/>
      </w:r>
      <w:r>
        <w:fldChar w:fldCharType="end"/>
      </w:r>
    </w:p>
    <w:p>
      <w:pPr>
        <w:pStyle w:val="14"/>
        <w:tabs>
          <w:tab w:val="right" w:leader="dot" w:pos="8306"/>
        </w:tabs>
      </w:pPr>
      <w:r>
        <w:fldChar w:fldCharType="begin"/>
      </w:r>
      <w:r>
        <w:instrText xml:space="preserve"> HYPERLINK \l "_Toc27499" </w:instrText>
      </w:r>
      <w:r>
        <w:fldChar w:fldCharType="separate"/>
      </w:r>
      <w:r>
        <w:rPr>
          <w:rFonts w:hint="eastAsia" w:ascii="宋体" w:hAnsi="宋体" w:cs="宋体"/>
        </w:rPr>
        <w:t>附件五、“节能产品”，“环境标志产品”证明材料</w:t>
      </w:r>
      <w:r>
        <w:tab/>
      </w:r>
      <w:r>
        <w:fldChar w:fldCharType="begin"/>
      </w:r>
      <w:r>
        <w:instrText xml:space="preserve"> PAGEREF _Toc27499 \h </w:instrText>
      </w:r>
      <w:r>
        <w:fldChar w:fldCharType="separate"/>
      </w:r>
      <w:r>
        <w:t>66</w:t>
      </w:r>
      <w:r>
        <w:fldChar w:fldCharType="end"/>
      </w:r>
      <w:r>
        <w:fldChar w:fldCharType="end"/>
      </w:r>
    </w:p>
    <w:p>
      <w:pPr>
        <w:pStyle w:val="14"/>
        <w:tabs>
          <w:tab w:val="right" w:leader="dot" w:pos="8306"/>
        </w:tabs>
      </w:pPr>
      <w:r>
        <w:fldChar w:fldCharType="begin"/>
      </w:r>
      <w:r>
        <w:instrText xml:space="preserve"> HYPERLINK \l "_Toc27991" </w:instrText>
      </w:r>
      <w:r>
        <w:fldChar w:fldCharType="separate"/>
      </w:r>
      <w:r>
        <w:rPr>
          <w:rFonts w:hint="eastAsia"/>
        </w:rPr>
        <w:t>附件六、质疑函范本</w:t>
      </w:r>
      <w:r>
        <w:tab/>
      </w:r>
      <w:r>
        <w:fldChar w:fldCharType="begin"/>
      </w:r>
      <w:r>
        <w:instrText xml:space="preserve"> PAGEREF _Toc27991 \h </w:instrText>
      </w:r>
      <w:r>
        <w:fldChar w:fldCharType="separate"/>
      </w:r>
      <w:r>
        <w:t>67</w:t>
      </w:r>
      <w:r>
        <w:fldChar w:fldCharType="end"/>
      </w:r>
      <w:r>
        <w:fldChar w:fldCharType="end"/>
      </w:r>
    </w:p>
    <w:p>
      <w:pPr>
        <w:rPr>
          <w:sz w:val="24"/>
          <w:szCs w:val="24"/>
        </w:rPr>
        <w:sectPr>
          <w:footerReference r:id="rId6" w:type="default"/>
          <w:pgSz w:w="11906" w:h="16838"/>
          <w:pgMar w:top="1440" w:right="1349" w:bottom="1440" w:left="1349" w:header="851" w:footer="992" w:gutter="0"/>
          <w:cols w:space="0" w:num="1"/>
          <w:rtlGutter w:val="0"/>
          <w:docGrid w:type="lines" w:linePitch="312" w:charSpace="0"/>
        </w:sectPr>
      </w:pPr>
      <w:r>
        <w:rPr>
          <w:szCs w:val="24"/>
        </w:rPr>
        <w:fldChar w:fldCharType="end"/>
      </w:r>
    </w:p>
    <w:p>
      <w:pPr>
        <w:pStyle w:val="2"/>
        <w:rPr>
          <w:rFonts w:hint="eastAsia" w:ascii="宋体" w:hAnsi="宋体" w:cs="宋体"/>
        </w:rPr>
      </w:pPr>
      <w:bookmarkStart w:id="1" w:name="_Toc27507"/>
      <w:bookmarkStart w:id="2" w:name="_Toc26575"/>
      <w:bookmarkStart w:id="3" w:name="_Toc29617"/>
      <w:bookmarkStart w:id="4" w:name="_Toc27511"/>
      <w:bookmarkStart w:id="5" w:name="_Toc2813"/>
    </w:p>
    <w:p>
      <w:pPr>
        <w:pStyle w:val="2"/>
        <w:rPr>
          <w:rFonts w:ascii="宋体" w:hAnsi="宋体" w:cs="宋体"/>
        </w:rPr>
      </w:pPr>
      <w:r>
        <w:rPr>
          <w:rFonts w:hint="eastAsia" w:ascii="宋体" w:hAnsi="宋体" w:cs="宋体"/>
        </w:rPr>
        <w:t>第一部分 竞争性磋商公告</w:t>
      </w:r>
      <w:bookmarkEnd w:id="1"/>
      <w:bookmarkEnd w:id="2"/>
      <w:bookmarkEnd w:id="3"/>
      <w:bookmarkEnd w:id="4"/>
      <w:bookmarkEnd w:id="5"/>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w:t>
      </w:r>
      <w:r>
        <w:rPr>
          <w:rFonts w:hint="eastAsia" w:ascii="宋体" w:hAnsi="宋体" w:cs="宋体"/>
          <w:kern w:val="0"/>
          <w:sz w:val="24"/>
          <w:szCs w:val="24"/>
          <w:lang w:eastAsia="zh-CN"/>
        </w:rPr>
        <w:t>西安市中心血站</w:t>
      </w:r>
      <w:r>
        <w:rPr>
          <w:rFonts w:hint="eastAsia" w:ascii="宋体" w:hAnsi="宋体" w:cs="宋体"/>
          <w:kern w:val="0"/>
          <w:sz w:val="24"/>
          <w:szCs w:val="24"/>
        </w:rPr>
        <w:t>的委托，经政府采购管理部门批准，就</w:t>
      </w:r>
      <w:r>
        <w:rPr>
          <w:rFonts w:hint="eastAsia" w:ascii="宋体" w:hAnsi="宋体" w:cs="宋体"/>
          <w:kern w:val="0"/>
          <w:sz w:val="24"/>
          <w:szCs w:val="24"/>
          <w:lang w:eastAsia="zh-CN"/>
        </w:rPr>
        <w:t>西安市中心血站地铁灯箱、公交车尾窗LED屏、微信朋友圈、短视频献血宣传项目(第3包二次)</w:t>
      </w:r>
      <w:r>
        <w:rPr>
          <w:rFonts w:hint="eastAsia" w:ascii="宋体" w:hAnsi="宋体" w:cs="宋体"/>
          <w:kern w:val="0"/>
          <w:sz w:val="24"/>
          <w:szCs w:val="24"/>
        </w:rPr>
        <w:t>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西安市中心血站地铁灯箱、公交车尾窗LED屏、微信朋友圈、短视频献血宣传项目(第3包二次)</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bookmarkStart w:id="6" w:name="OLE_LINK2"/>
      <w:r>
        <w:rPr>
          <w:rFonts w:hint="eastAsia" w:ascii="宋体" w:hAnsi="宋体" w:cs="宋体"/>
          <w:kern w:val="0"/>
          <w:sz w:val="24"/>
          <w:szCs w:val="24"/>
          <w:lang w:eastAsia="zh-CN"/>
        </w:rPr>
        <w:t>SXWZ2024ZB-XAXZ-023A</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w:t>
      </w:r>
      <w:r>
        <w:rPr>
          <w:rFonts w:hint="eastAsia" w:ascii="宋体" w:hAnsi="宋体" w:cs="宋体"/>
          <w:kern w:val="0"/>
          <w:sz w:val="24"/>
          <w:szCs w:val="24"/>
          <w:lang w:eastAsia="zh-CN"/>
        </w:rPr>
        <w:t>西安市中心血站</w:t>
      </w:r>
    </w:p>
    <w:p>
      <w:pPr>
        <w:widowControl/>
        <w:wordWrap w:val="0"/>
        <w:snapToGrid w:val="0"/>
        <w:spacing w:line="360" w:lineRule="auto"/>
        <w:ind w:firstLine="960" w:firstLineChars="400"/>
        <w:jc w:val="left"/>
        <w:rPr>
          <w:rFonts w:hint="eastAsia" w:ascii="宋体" w:hAnsi="宋体" w:cs="宋体"/>
          <w:kern w:val="0"/>
          <w:sz w:val="24"/>
          <w:szCs w:val="24"/>
        </w:rPr>
      </w:pPr>
      <w:r>
        <w:rPr>
          <w:rFonts w:hint="eastAsia" w:ascii="宋体" w:hAnsi="宋体" w:cs="宋体"/>
          <w:kern w:val="0"/>
          <w:sz w:val="24"/>
          <w:szCs w:val="24"/>
        </w:rPr>
        <w:t>地    址：西安市朱雀大街407号</w:t>
      </w:r>
    </w:p>
    <w:p>
      <w:pPr>
        <w:widowControl/>
        <w:wordWrap w:val="0"/>
        <w:snapToGrid w:val="0"/>
        <w:spacing w:line="360" w:lineRule="auto"/>
        <w:ind w:firstLine="960" w:firstLineChars="400"/>
        <w:jc w:val="left"/>
        <w:rPr>
          <w:rFonts w:ascii="宋体" w:hAnsi="宋体" w:cs="宋体"/>
          <w:kern w:val="0"/>
          <w:sz w:val="24"/>
          <w:szCs w:val="24"/>
          <w:shd w:val="clear" w:color="auto" w:fill="FFFF00"/>
        </w:rPr>
      </w:pPr>
      <w:r>
        <w:rPr>
          <w:rFonts w:hint="eastAsia" w:ascii="宋体" w:hAnsi="宋体" w:cs="宋体"/>
          <w:kern w:val="0"/>
          <w:sz w:val="24"/>
          <w:szCs w:val="24"/>
        </w:rPr>
        <w:t>联系方式：029-85212746</w:t>
      </w:r>
    </w:p>
    <w:bookmarkEnd w:id="6"/>
    <w:p>
      <w:pPr>
        <w:widowControl/>
        <w:numPr>
          <w:ilvl w:val="0"/>
          <w:numId w:val="1"/>
        </w:numPr>
        <w:tabs>
          <w:tab w:val="left" w:pos="1620"/>
        </w:tabs>
        <w:wordWrap w:val="0"/>
        <w:snapToGrid w:val="0"/>
        <w:spacing w:line="36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 xml:space="preserve">    地    址：西安市莲湖区西关正街英达大厦1506室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采购内容和要求：</w:t>
      </w:r>
    </w:p>
    <w:p>
      <w:pPr>
        <w:pStyle w:val="9"/>
        <w:spacing w:before="183" w:line="220" w:lineRule="auto"/>
        <w:ind w:firstLine="229" w:firstLineChars="100"/>
        <w:rPr>
          <w:rFonts w:hint="eastAsia" w:eastAsia="宋体"/>
          <w:b/>
          <w:bCs/>
          <w:spacing w:val="-6"/>
          <w:sz w:val="24"/>
          <w:szCs w:val="24"/>
          <w:lang w:val="en-US" w:eastAsia="zh-CN"/>
        </w:rPr>
      </w:pPr>
      <w:r>
        <w:rPr>
          <w:rFonts w:hint="eastAsia" w:eastAsia="宋体"/>
          <w:b/>
          <w:bCs/>
          <w:spacing w:val="-6"/>
          <w:sz w:val="24"/>
          <w:szCs w:val="24"/>
          <w:lang w:val="en-US" w:eastAsia="zh-CN"/>
        </w:rPr>
        <w:t>合同包</w:t>
      </w:r>
      <w:r>
        <w:rPr>
          <w:rFonts w:hint="eastAsia"/>
          <w:b/>
          <w:bCs/>
          <w:spacing w:val="-6"/>
          <w:sz w:val="24"/>
          <w:szCs w:val="24"/>
          <w:lang w:val="en-US" w:eastAsia="zh-CN"/>
        </w:rPr>
        <w:t>3</w:t>
      </w:r>
      <w:r>
        <w:rPr>
          <w:rFonts w:hint="eastAsia" w:eastAsia="宋体"/>
          <w:b/>
          <w:bCs/>
          <w:spacing w:val="-6"/>
          <w:sz w:val="24"/>
          <w:szCs w:val="24"/>
          <w:lang w:val="en-US" w:eastAsia="zh-CN"/>
        </w:rPr>
        <w:t>(献血宣传短视频制作项目):</w:t>
      </w:r>
    </w:p>
    <w:p>
      <w:pPr>
        <w:pStyle w:val="9"/>
        <w:spacing w:before="183" w:line="217" w:lineRule="auto"/>
        <w:ind w:left="763"/>
        <w:rPr>
          <w:sz w:val="24"/>
          <w:szCs w:val="24"/>
        </w:rPr>
      </w:pPr>
      <w:r>
        <w:rPr>
          <w:spacing w:val="-1"/>
          <w:sz w:val="24"/>
          <w:szCs w:val="24"/>
        </w:rPr>
        <w:t>合同包预算金额：150,000.00</w:t>
      </w:r>
      <w:r>
        <w:rPr>
          <w:spacing w:val="-42"/>
          <w:sz w:val="24"/>
          <w:szCs w:val="24"/>
        </w:rPr>
        <w:t xml:space="preserve"> </w:t>
      </w:r>
      <w:r>
        <w:rPr>
          <w:spacing w:val="-1"/>
          <w:sz w:val="24"/>
          <w:szCs w:val="24"/>
        </w:rPr>
        <w:t>元</w:t>
      </w:r>
    </w:p>
    <w:p>
      <w:pPr>
        <w:pStyle w:val="9"/>
        <w:spacing w:before="185" w:line="217" w:lineRule="auto"/>
        <w:ind w:left="763"/>
        <w:rPr>
          <w:sz w:val="24"/>
          <w:szCs w:val="24"/>
        </w:rPr>
      </w:pPr>
      <w:r>
        <w:rPr>
          <w:spacing w:val="-1"/>
          <w:sz w:val="24"/>
          <w:szCs w:val="24"/>
        </w:rPr>
        <w:t>合同包最高限价：150,000.00</w:t>
      </w:r>
      <w:r>
        <w:rPr>
          <w:spacing w:val="-42"/>
          <w:sz w:val="24"/>
          <w:szCs w:val="24"/>
        </w:rPr>
        <w:t xml:space="preserve"> </w:t>
      </w:r>
      <w:r>
        <w:rPr>
          <w:spacing w:val="-1"/>
          <w:sz w:val="24"/>
          <w:szCs w:val="24"/>
        </w:rPr>
        <w:t>元</w:t>
      </w:r>
    </w:p>
    <w:p>
      <w:pPr>
        <w:spacing w:line="72" w:lineRule="exact"/>
      </w:pPr>
    </w:p>
    <w:tbl>
      <w:tblPr>
        <w:tblStyle w:val="22"/>
        <w:tblW w:w="9261" w:type="dxa"/>
        <w:tblInd w:w="7"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957"/>
        <w:gridCol w:w="1570"/>
        <w:gridCol w:w="1398"/>
        <w:gridCol w:w="1122"/>
        <w:gridCol w:w="1204"/>
        <w:gridCol w:w="1510"/>
        <w:gridCol w:w="1500"/>
      </w:tblGrid>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63" w:hRule="atLeast"/>
        </w:trPr>
        <w:tc>
          <w:tcPr>
            <w:tcW w:w="957" w:type="dxa"/>
            <w:vAlign w:val="top"/>
          </w:tcPr>
          <w:p>
            <w:pPr>
              <w:spacing w:line="332" w:lineRule="auto"/>
              <w:rPr>
                <w:rFonts w:ascii="Arial"/>
                <w:sz w:val="21"/>
              </w:rPr>
            </w:pPr>
          </w:p>
          <w:p>
            <w:pPr>
              <w:pStyle w:val="23"/>
              <w:spacing w:before="78" w:line="222" w:lineRule="auto"/>
              <w:ind w:left="143"/>
            </w:pPr>
            <w:r>
              <w:rPr>
                <w:spacing w:val="-10"/>
              </w:rPr>
              <w:t>品目号</w:t>
            </w:r>
          </w:p>
        </w:tc>
        <w:tc>
          <w:tcPr>
            <w:tcW w:w="1570" w:type="dxa"/>
            <w:vAlign w:val="top"/>
          </w:tcPr>
          <w:p>
            <w:pPr>
              <w:spacing w:line="333" w:lineRule="auto"/>
              <w:rPr>
                <w:rFonts w:ascii="Arial"/>
                <w:sz w:val="21"/>
              </w:rPr>
            </w:pPr>
          </w:p>
          <w:p>
            <w:pPr>
              <w:pStyle w:val="23"/>
              <w:spacing w:before="78" w:line="222" w:lineRule="auto"/>
              <w:ind w:left="329"/>
            </w:pPr>
            <w:r>
              <w:rPr>
                <w:spacing w:val="-8"/>
              </w:rPr>
              <w:t>品目名称</w:t>
            </w:r>
          </w:p>
        </w:tc>
        <w:tc>
          <w:tcPr>
            <w:tcW w:w="1398" w:type="dxa"/>
            <w:vAlign w:val="top"/>
          </w:tcPr>
          <w:p>
            <w:pPr>
              <w:spacing w:line="334" w:lineRule="auto"/>
              <w:rPr>
                <w:rFonts w:ascii="Arial"/>
                <w:sz w:val="21"/>
              </w:rPr>
            </w:pPr>
          </w:p>
          <w:p>
            <w:pPr>
              <w:pStyle w:val="23"/>
              <w:spacing w:before="78" w:line="219" w:lineRule="auto"/>
              <w:ind w:left="224"/>
            </w:pPr>
            <w:r>
              <w:rPr>
                <w:spacing w:val="-3"/>
              </w:rPr>
              <w:t>采购标的</w:t>
            </w:r>
          </w:p>
        </w:tc>
        <w:tc>
          <w:tcPr>
            <w:tcW w:w="1122" w:type="dxa"/>
            <w:vAlign w:val="top"/>
          </w:tcPr>
          <w:p>
            <w:pPr>
              <w:pStyle w:val="23"/>
              <w:spacing w:before="258" w:line="230" w:lineRule="auto"/>
              <w:ind w:left="115" w:right="83" w:firstLine="213"/>
            </w:pPr>
            <w:r>
              <w:rPr>
                <w:spacing w:val="-6"/>
              </w:rPr>
              <w:t>数量</w:t>
            </w:r>
            <w:r>
              <w:t xml:space="preserve">   </w:t>
            </w:r>
            <w:r>
              <w:rPr>
                <w:spacing w:val="-11"/>
              </w:rPr>
              <w:t>（单位）</w:t>
            </w:r>
          </w:p>
        </w:tc>
        <w:tc>
          <w:tcPr>
            <w:tcW w:w="1204" w:type="dxa"/>
            <w:vAlign w:val="top"/>
          </w:tcPr>
          <w:p>
            <w:pPr>
              <w:pStyle w:val="23"/>
              <w:spacing w:before="101" w:line="234" w:lineRule="auto"/>
              <w:ind w:left="129" w:right="119" w:firstLine="120"/>
              <w:jc w:val="both"/>
            </w:pPr>
            <w:r>
              <w:rPr>
                <w:spacing w:val="-4"/>
              </w:rPr>
              <w:t>技术规</w:t>
            </w:r>
            <w:r>
              <w:t xml:space="preserve">  </w:t>
            </w:r>
            <w:r>
              <w:rPr>
                <w:spacing w:val="-3"/>
              </w:rPr>
              <w:t>格、参数</w:t>
            </w:r>
            <w:r>
              <w:rPr>
                <w:spacing w:val="1"/>
              </w:rPr>
              <w:t xml:space="preserve"> </w:t>
            </w:r>
            <w:r>
              <w:rPr>
                <w:spacing w:val="36"/>
              </w:rPr>
              <w:t>及要求</w:t>
            </w:r>
          </w:p>
        </w:tc>
        <w:tc>
          <w:tcPr>
            <w:tcW w:w="1510" w:type="dxa"/>
            <w:vAlign w:val="top"/>
          </w:tcPr>
          <w:p>
            <w:pPr>
              <w:pStyle w:val="23"/>
              <w:spacing w:before="258" w:line="230" w:lineRule="auto"/>
              <w:ind w:left="565" w:right="270" w:hanging="262"/>
            </w:pPr>
            <w:r>
              <w:rPr>
                <w:spacing w:val="-8"/>
              </w:rPr>
              <w:t>品目预算</w:t>
            </w:r>
            <w:r>
              <w:rPr>
                <w:spacing w:val="1"/>
              </w:rPr>
              <w:t xml:space="preserve"> </w:t>
            </w:r>
            <w:r>
              <w:rPr>
                <w:spacing w:val="-18"/>
              </w:rPr>
              <w:t>(元)</w:t>
            </w:r>
          </w:p>
        </w:tc>
        <w:tc>
          <w:tcPr>
            <w:tcW w:w="1500" w:type="dxa"/>
            <w:vAlign w:val="top"/>
          </w:tcPr>
          <w:p>
            <w:pPr>
              <w:pStyle w:val="23"/>
              <w:spacing w:before="257" w:line="219" w:lineRule="auto"/>
              <w:ind w:left="278"/>
            </w:pPr>
            <w:r>
              <w:rPr>
                <w:spacing w:val="-4"/>
              </w:rPr>
              <w:t>最高限价</w:t>
            </w:r>
          </w:p>
          <w:p>
            <w:pPr>
              <w:pStyle w:val="23"/>
              <w:spacing w:before="27" w:line="221" w:lineRule="auto"/>
              <w:ind w:left="558"/>
            </w:pPr>
            <w:r>
              <w:rPr>
                <w:spacing w:val="-18"/>
              </w:rPr>
              <w:t>(元)</w:t>
            </w: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63" w:hRule="atLeast"/>
        </w:trPr>
        <w:tc>
          <w:tcPr>
            <w:tcW w:w="957" w:type="dxa"/>
            <w:vAlign w:val="top"/>
          </w:tcPr>
          <w:p>
            <w:pPr>
              <w:spacing w:line="367" w:lineRule="auto"/>
              <w:rPr>
                <w:rFonts w:ascii="Arial"/>
                <w:sz w:val="21"/>
              </w:rPr>
            </w:pPr>
          </w:p>
          <w:p>
            <w:pPr>
              <w:pStyle w:val="23"/>
              <w:spacing w:before="78" w:line="184" w:lineRule="auto"/>
              <w:ind w:left="308"/>
            </w:pPr>
            <w:r>
              <w:rPr>
                <w:rFonts w:hint="eastAsia"/>
                <w:spacing w:val="4"/>
                <w:lang w:val="en-US" w:eastAsia="zh-CN"/>
              </w:rPr>
              <w:t>3</w:t>
            </w:r>
            <w:r>
              <w:rPr>
                <w:spacing w:val="4"/>
              </w:rPr>
              <w:t>-1</w:t>
            </w:r>
          </w:p>
        </w:tc>
        <w:tc>
          <w:tcPr>
            <w:tcW w:w="1570" w:type="dxa"/>
            <w:vAlign w:val="top"/>
          </w:tcPr>
          <w:p>
            <w:pPr>
              <w:pStyle w:val="23"/>
              <w:spacing w:before="255" w:line="230" w:lineRule="auto"/>
              <w:ind w:left="670" w:right="184" w:hanging="481"/>
            </w:pPr>
            <w:r>
              <w:rPr>
                <w:spacing w:val="-2"/>
              </w:rPr>
              <w:t>广告宣传服</w:t>
            </w:r>
            <w:r>
              <w:t xml:space="preserve"> 务</w:t>
            </w:r>
          </w:p>
        </w:tc>
        <w:tc>
          <w:tcPr>
            <w:tcW w:w="1398" w:type="dxa"/>
            <w:vAlign w:val="top"/>
          </w:tcPr>
          <w:p>
            <w:pPr>
              <w:pStyle w:val="23"/>
              <w:spacing w:before="98" w:line="221" w:lineRule="auto"/>
              <w:ind w:left="107"/>
            </w:pPr>
            <w:r>
              <w:rPr>
                <w:spacing w:val="-3"/>
              </w:rPr>
              <w:t>拍摄制作献</w:t>
            </w:r>
          </w:p>
          <w:p>
            <w:pPr>
              <w:pStyle w:val="23"/>
              <w:spacing w:before="25" w:line="219" w:lineRule="auto"/>
              <w:ind w:left="107"/>
            </w:pPr>
            <w:r>
              <w:rPr>
                <w:spacing w:val="-3"/>
              </w:rPr>
              <w:t>血宣传短视</w:t>
            </w:r>
          </w:p>
          <w:p>
            <w:pPr>
              <w:pStyle w:val="23"/>
              <w:spacing w:before="27" w:line="222" w:lineRule="auto"/>
              <w:ind w:left="586"/>
            </w:pPr>
            <w:r>
              <w:t>频</w:t>
            </w:r>
          </w:p>
        </w:tc>
        <w:tc>
          <w:tcPr>
            <w:tcW w:w="1122" w:type="dxa"/>
            <w:vAlign w:val="top"/>
          </w:tcPr>
          <w:p>
            <w:pPr>
              <w:spacing w:line="331" w:lineRule="auto"/>
              <w:rPr>
                <w:rFonts w:ascii="Arial"/>
                <w:sz w:val="21"/>
              </w:rPr>
            </w:pPr>
          </w:p>
          <w:p>
            <w:pPr>
              <w:pStyle w:val="23"/>
              <w:spacing w:before="78" w:line="222" w:lineRule="auto"/>
              <w:ind w:left="376"/>
            </w:pPr>
            <w:r>
              <w:rPr>
                <w:spacing w:val="-14"/>
              </w:rPr>
              <w:t>1</w:t>
            </w:r>
            <w:r>
              <w:rPr>
                <w:spacing w:val="-52"/>
              </w:rPr>
              <w:t xml:space="preserve"> </w:t>
            </w:r>
            <w:r>
              <w:rPr>
                <w:spacing w:val="-14"/>
              </w:rPr>
              <w:t>批</w:t>
            </w:r>
          </w:p>
        </w:tc>
        <w:tc>
          <w:tcPr>
            <w:tcW w:w="1204" w:type="dxa"/>
            <w:vAlign w:val="top"/>
          </w:tcPr>
          <w:p>
            <w:pPr>
              <w:pStyle w:val="23"/>
              <w:spacing w:before="255" w:line="230" w:lineRule="auto"/>
              <w:ind w:left="371" w:right="119" w:hanging="239"/>
            </w:pPr>
            <w:r>
              <w:rPr>
                <w:spacing w:val="-4"/>
              </w:rPr>
              <w:t>详见采购</w:t>
            </w:r>
            <w:r>
              <w:rPr>
                <w:spacing w:val="2"/>
              </w:rPr>
              <w:t xml:space="preserve"> </w:t>
            </w:r>
            <w:r>
              <w:rPr>
                <w:spacing w:val="-6"/>
              </w:rPr>
              <w:t>文件</w:t>
            </w:r>
          </w:p>
        </w:tc>
        <w:tc>
          <w:tcPr>
            <w:tcW w:w="1510" w:type="dxa"/>
            <w:vAlign w:val="top"/>
          </w:tcPr>
          <w:p>
            <w:pPr>
              <w:spacing w:line="367" w:lineRule="auto"/>
              <w:rPr>
                <w:rFonts w:ascii="Arial"/>
                <w:sz w:val="21"/>
              </w:rPr>
            </w:pPr>
          </w:p>
          <w:p>
            <w:pPr>
              <w:pStyle w:val="23"/>
              <w:spacing w:before="78" w:line="184" w:lineRule="auto"/>
              <w:ind w:left="181"/>
            </w:pPr>
            <w:r>
              <w:rPr>
                <w:spacing w:val="-3"/>
              </w:rPr>
              <w:t>150,000.00</w:t>
            </w:r>
          </w:p>
        </w:tc>
        <w:tc>
          <w:tcPr>
            <w:tcW w:w="1500" w:type="dxa"/>
            <w:vAlign w:val="top"/>
          </w:tcPr>
          <w:p>
            <w:pPr>
              <w:spacing w:line="367" w:lineRule="auto"/>
              <w:rPr>
                <w:rFonts w:ascii="Arial"/>
                <w:sz w:val="21"/>
              </w:rPr>
            </w:pPr>
          </w:p>
          <w:p>
            <w:pPr>
              <w:pStyle w:val="23"/>
              <w:spacing w:before="78" w:line="184" w:lineRule="auto"/>
              <w:ind w:left="173"/>
            </w:pPr>
            <w:r>
              <w:rPr>
                <w:spacing w:val="-3"/>
              </w:rPr>
              <w:t>150,000.00</w:t>
            </w:r>
          </w:p>
        </w:tc>
      </w:tr>
    </w:tbl>
    <w:p>
      <w:pPr>
        <w:snapToGrid w:val="0"/>
        <w:spacing w:line="300" w:lineRule="auto"/>
        <w:ind w:left="567"/>
        <w:jc w:val="left"/>
        <w:rPr>
          <w:rFonts w:hint="eastAsia" w:ascii="宋体" w:hAnsi="宋体" w:cs="宋体"/>
          <w:bCs/>
          <w:kern w:val="0"/>
          <w:sz w:val="24"/>
          <w:szCs w:val="24"/>
        </w:rPr>
      </w:pPr>
      <w:r>
        <w:rPr>
          <w:rFonts w:hint="eastAsia" w:ascii="宋体" w:hAnsi="宋体" w:cs="宋体"/>
          <w:bCs/>
          <w:kern w:val="0"/>
          <w:sz w:val="24"/>
          <w:szCs w:val="24"/>
        </w:rPr>
        <w:t>本合同包不接受联合体投标</w:t>
      </w:r>
    </w:p>
    <w:p>
      <w:pPr>
        <w:pStyle w:val="6"/>
        <w:spacing w:line="360" w:lineRule="auto"/>
        <w:ind w:left="0" w:leftChars="0" w:firstLine="720" w:firstLineChars="300"/>
        <w:rPr>
          <w:rFonts w:ascii="宋体" w:hAnsi="宋体" w:cs="宋体"/>
          <w:sz w:val="24"/>
          <w:szCs w:val="24"/>
        </w:rPr>
      </w:pPr>
      <w:r>
        <w:rPr>
          <w:rFonts w:hint="eastAsia" w:ascii="宋体" w:hAnsi="宋体" w:cs="宋体"/>
          <w:sz w:val="24"/>
          <w:szCs w:val="24"/>
        </w:rPr>
        <w:t>项目用途：自用</w:t>
      </w:r>
    </w:p>
    <w:p>
      <w:pPr>
        <w:pStyle w:val="6"/>
        <w:spacing w:line="360" w:lineRule="auto"/>
        <w:ind w:left="0" w:leftChars="0" w:firstLine="720" w:firstLineChars="300"/>
        <w:rPr>
          <w:rFonts w:hint="eastAsia" w:ascii="宋体" w:hAnsi="宋体" w:cs="宋体"/>
          <w:sz w:val="24"/>
          <w:szCs w:val="24"/>
        </w:rPr>
      </w:pPr>
      <w:r>
        <w:rPr>
          <w:rFonts w:hint="eastAsia" w:ascii="宋体" w:hAnsi="宋体" w:cs="宋体"/>
          <w:sz w:val="24"/>
          <w:szCs w:val="24"/>
        </w:rPr>
        <w:t xml:space="preserve">项目性质：财政资金 </w:t>
      </w:r>
    </w:p>
    <w:p>
      <w:pPr>
        <w:numPr>
          <w:ilvl w:val="0"/>
          <w:numId w:val="1"/>
        </w:numPr>
        <w:snapToGrid w:val="0"/>
        <w:spacing w:line="300" w:lineRule="auto"/>
        <w:ind w:left="0" w:leftChars="0" w:firstLine="480" w:firstLineChars="200"/>
        <w:jc w:val="left"/>
        <w:rPr>
          <w:rFonts w:hint="eastAsia" w:ascii="宋体" w:hAnsi="宋体" w:cs="宋体"/>
          <w:bCs/>
          <w:kern w:val="0"/>
          <w:sz w:val="24"/>
          <w:szCs w:val="24"/>
        </w:rPr>
      </w:pPr>
      <w:r>
        <w:rPr>
          <w:rFonts w:hint="eastAsia" w:ascii="宋体" w:hAnsi="宋体" w:cs="宋体"/>
          <w:bCs/>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3</w:t>
      </w:r>
      <w:r>
        <w:rPr>
          <w:rFonts w:hint="eastAsia" w:ascii="宋体" w:hAnsi="宋体" w:cs="宋体"/>
          <w:bCs/>
          <w:kern w:val="0"/>
          <w:sz w:val="24"/>
          <w:szCs w:val="24"/>
        </w:rPr>
        <w:t>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w:t>
      </w:r>
      <w:r>
        <w:rPr>
          <w:rFonts w:hint="eastAsia" w:ascii="宋体" w:hAnsi="宋体" w:cs="宋体"/>
          <w:bCs/>
          <w:kern w:val="0"/>
          <w:sz w:val="24"/>
          <w:szCs w:val="24"/>
          <w:lang w:val="en-US" w:eastAsia="zh-CN"/>
        </w:rPr>
        <w:t>3</w:t>
      </w:r>
      <w:r>
        <w:rPr>
          <w:rFonts w:hint="eastAsia" w:ascii="宋体" w:hAnsi="宋体" w:cs="宋体"/>
          <w:bCs/>
          <w:kern w:val="0"/>
          <w:sz w:val="24"/>
          <w:szCs w:val="24"/>
        </w:rPr>
        <w:t>年</w:t>
      </w:r>
      <w:r>
        <w:rPr>
          <w:rFonts w:hint="eastAsia" w:ascii="宋体" w:hAnsi="宋体" w:cs="宋体"/>
          <w:bCs/>
          <w:kern w:val="0"/>
          <w:sz w:val="24"/>
          <w:szCs w:val="24"/>
          <w:lang w:val="en-US" w:eastAsia="zh-CN"/>
        </w:rPr>
        <w:t>3</w:t>
      </w:r>
      <w:r>
        <w:rPr>
          <w:rFonts w:hint="eastAsia" w:ascii="宋体" w:hAnsi="宋体" w:cs="宋体"/>
          <w:bCs/>
          <w:kern w:val="0"/>
          <w:sz w:val="24"/>
          <w:szCs w:val="24"/>
        </w:rPr>
        <w:t>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财务状况证明：提供经会计师事务所审计的2022年</w:t>
      </w:r>
      <w:r>
        <w:rPr>
          <w:rFonts w:hint="eastAsia" w:ascii="宋体" w:hAnsi="宋体" w:cs="宋体"/>
          <w:bCs/>
          <w:kern w:val="0"/>
          <w:sz w:val="24"/>
          <w:szCs w:val="24"/>
          <w:lang w:eastAsia="zh-CN"/>
        </w:rPr>
        <w:t>或</w:t>
      </w:r>
      <w:r>
        <w:rPr>
          <w:rFonts w:hint="eastAsia" w:ascii="宋体" w:hAnsi="宋体" w:cs="宋体"/>
          <w:bCs/>
          <w:kern w:val="0"/>
          <w:sz w:val="24"/>
          <w:szCs w:val="24"/>
          <w:lang w:val="en-US" w:eastAsia="zh-CN"/>
        </w:rPr>
        <w:t>2023年</w:t>
      </w:r>
      <w:r>
        <w:rPr>
          <w:rFonts w:hint="eastAsia" w:ascii="宋体" w:hAnsi="宋体" w:cs="宋体"/>
          <w:bCs/>
          <w:kern w:val="0"/>
          <w:sz w:val="24"/>
          <w:szCs w:val="24"/>
        </w:rPr>
        <w:t>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pStyle w:val="17"/>
        <w:spacing w:line="360" w:lineRule="auto"/>
        <w:ind w:left="0" w:leftChars="0" w:firstLine="0"/>
      </w:pPr>
      <w:r>
        <w:rPr>
          <w:rFonts w:hint="eastAsia" w:ascii="宋体" w:hAnsi="宋体" w:cs="宋体"/>
          <w:bCs/>
          <w:kern w:val="0"/>
          <w:sz w:val="24"/>
          <w:szCs w:val="24"/>
        </w:rPr>
        <w:t xml:space="preserve">    6、非法定代表人参加磋商的，须提供法定代表人授权委托书及被授权人身份证原件；法定代表人参加磋商时,只须提供法定代表人身份证原件； </w:t>
      </w:r>
    </w:p>
    <w:p>
      <w:pPr>
        <w:widowControl/>
        <w:tabs>
          <w:tab w:val="left" w:pos="1620"/>
        </w:tabs>
        <w:wordWrap w:val="0"/>
        <w:snapToGrid w:val="0"/>
        <w:spacing w:line="360" w:lineRule="auto"/>
        <w:ind w:firstLine="480" w:firstLineChars="200"/>
        <w:jc w:val="left"/>
        <w:outlineLvl w:val="9"/>
        <w:rPr>
          <w:rFonts w:hint="eastAsia" w:ascii="宋体" w:hAnsi="宋体" w:cs="宋体"/>
          <w:bCs/>
          <w:kern w:val="0"/>
          <w:sz w:val="24"/>
          <w:szCs w:val="24"/>
        </w:rPr>
      </w:pPr>
      <w:r>
        <w:rPr>
          <w:rFonts w:hint="eastAsia" w:ascii="宋体" w:hAnsi="宋体" w:cs="宋体"/>
          <w:sz w:val="24"/>
          <w:szCs w:val="24"/>
        </w:rPr>
        <w:t>7、</w:t>
      </w:r>
      <w:r>
        <w:rPr>
          <w:rFonts w:hint="eastAsia" w:ascii="宋体" w:hAnsi="宋体" w:cs="宋体"/>
          <w:bCs/>
          <w:kern w:val="0"/>
          <w:sz w:val="24"/>
          <w:szCs w:val="24"/>
        </w:rPr>
        <w:t>本项目不接受联合体磋商。</w:t>
      </w:r>
    </w:p>
    <w:p>
      <w:pPr>
        <w:widowControl/>
        <w:tabs>
          <w:tab w:val="left" w:pos="1620"/>
        </w:tabs>
        <w:wordWrap w:val="0"/>
        <w:snapToGrid w:val="0"/>
        <w:spacing w:line="360" w:lineRule="auto"/>
        <w:ind w:firstLine="480" w:firstLineChars="200"/>
        <w:jc w:val="left"/>
        <w:outlineLvl w:val="9"/>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8、</w:t>
      </w:r>
      <w:r>
        <w:rPr>
          <w:rFonts w:hint="eastAsia" w:ascii="宋体" w:hAnsi="宋体" w:cs="宋体"/>
          <w:bCs/>
          <w:color w:val="auto"/>
          <w:kern w:val="0"/>
          <w:sz w:val="24"/>
          <w:szCs w:val="24"/>
          <w:highlight w:val="none"/>
        </w:rPr>
        <w:t>本项目专门面向</w:t>
      </w:r>
      <w:r>
        <w:rPr>
          <w:rFonts w:hint="eastAsia" w:ascii="宋体" w:hAnsi="宋体" w:cs="宋体"/>
          <w:bCs/>
          <w:color w:val="auto"/>
          <w:kern w:val="0"/>
          <w:sz w:val="24"/>
          <w:szCs w:val="24"/>
          <w:highlight w:val="none"/>
          <w:lang w:eastAsia="zh-CN"/>
        </w:rPr>
        <w:t>中小</w:t>
      </w:r>
      <w:r>
        <w:rPr>
          <w:rFonts w:hint="eastAsia" w:ascii="宋体" w:hAnsi="宋体" w:cs="宋体"/>
          <w:bCs/>
          <w:color w:val="auto"/>
          <w:kern w:val="0"/>
          <w:sz w:val="24"/>
          <w:szCs w:val="24"/>
          <w:highlight w:val="none"/>
        </w:rPr>
        <w:t>企业采购，</w:t>
      </w:r>
      <w:r>
        <w:rPr>
          <w:rFonts w:hint="eastAsia" w:ascii="宋体" w:hAnsi="宋体" w:cs="宋体"/>
          <w:bCs/>
          <w:color w:val="auto"/>
          <w:kern w:val="0"/>
          <w:sz w:val="24"/>
          <w:szCs w:val="24"/>
          <w:highlight w:val="none"/>
          <w:lang w:val="en-US" w:eastAsia="zh-CN"/>
        </w:rPr>
        <w:t>供应商</w:t>
      </w:r>
      <w:r>
        <w:rPr>
          <w:rFonts w:hint="eastAsia" w:ascii="宋体" w:hAnsi="宋体" w:cs="宋体"/>
          <w:bCs/>
          <w:color w:val="auto"/>
          <w:kern w:val="0"/>
          <w:sz w:val="24"/>
          <w:szCs w:val="24"/>
          <w:highlight w:val="none"/>
        </w:rPr>
        <w:t>应提供</w:t>
      </w:r>
      <w:r>
        <w:rPr>
          <w:rFonts w:hint="eastAsia" w:ascii="宋体" w:hAnsi="宋体" w:cs="宋体"/>
          <w:bCs/>
          <w:color w:val="auto"/>
          <w:kern w:val="0"/>
          <w:sz w:val="24"/>
          <w:szCs w:val="24"/>
          <w:highlight w:val="none"/>
          <w:lang w:eastAsia="zh-CN"/>
        </w:rPr>
        <w:t>中小</w:t>
      </w:r>
      <w:r>
        <w:rPr>
          <w:rFonts w:hint="eastAsia" w:ascii="宋体" w:hAnsi="宋体" w:cs="宋体"/>
          <w:bCs/>
          <w:color w:val="auto"/>
          <w:kern w:val="0"/>
          <w:sz w:val="24"/>
          <w:szCs w:val="24"/>
          <w:highlight w:val="none"/>
        </w:rPr>
        <w:t>企业声明函</w:t>
      </w:r>
      <w:r>
        <w:rPr>
          <w:rFonts w:hint="eastAsia" w:ascii="宋体" w:hAnsi="宋体" w:cs="宋体"/>
          <w:bCs/>
          <w:color w:val="auto"/>
          <w:kern w:val="0"/>
          <w:sz w:val="24"/>
          <w:szCs w:val="24"/>
          <w:highlight w:val="none"/>
          <w:lang w:eastAsia="zh-CN"/>
        </w:rPr>
        <w:t>。</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采购项目需要落实的政府采购政策：</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snapToGrid w:val="0"/>
        <w:spacing w:line="360" w:lineRule="auto"/>
        <w:ind w:firstLine="480" w:firstLineChars="200"/>
        <w:rPr>
          <w:rFonts w:ascii="宋体" w:hAnsi="宋体" w:cs="宋体"/>
          <w:sz w:val="24"/>
        </w:rPr>
      </w:pPr>
      <w:r>
        <w:rPr>
          <w:rFonts w:hint="eastAsia" w:ascii="宋体" w:hAnsi="宋体" w:cs="宋体"/>
          <w:sz w:val="24"/>
        </w:rPr>
        <w:t>1、《政府采购促进中小企业发展管理办法》（财库〔2020〕46号）；</w:t>
      </w:r>
    </w:p>
    <w:p>
      <w:pPr>
        <w:snapToGrid w:val="0"/>
        <w:spacing w:line="360" w:lineRule="auto"/>
        <w:ind w:firstLine="480" w:firstLineChars="200"/>
        <w:rPr>
          <w:rFonts w:ascii="宋体" w:hAnsi="宋体" w:cs="宋体"/>
          <w:sz w:val="24"/>
        </w:rPr>
      </w:pPr>
      <w:r>
        <w:rPr>
          <w:rFonts w:hint="eastAsia" w:ascii="宋体" w:hAnsi="宋体" w:cs="宋体"/>
          <w:sz w:val="24"/>
        </w:rPr>
        <w:t>2、 《财政部司法部关于政府采购支持监狱企业发展有关问题的通知》（财库〔2014〕68号）；</w:t>
      </w:r>
    </w:p>
    <w:p>
      <w:pPr>
        <w:snapToGrid w:val="0"/>
        <w:spacing w:line="360" w:lineRule="auto"/>
        <w:ind w:firstLine="480" w:firstLineChars="200"/>
        <w:rPr>
          <w:rFonts w:ascii="宋体" w:hAnsi="宋体" w:cs="宋体"/>
          <w:sz w:val="24"/>
        </w:rPr>
      </w:pPr>
      <w:r>
        <w:rPr>
          <w:rFonts w:hint="eastAsia" w:ascii="宋体" w:hAnsi="宋体" w:cs="宋体"/>
          <w:sz w:val="24"/>
        </w:rPr>
        <w:t>3、《国务院办公厅关于建立政府强制采购节能产品制度的通知》（国办发〔2007〕51号）；</w:t>
      </w:r>
    </w:p>
    <w:p>
      <w:pPr>
        <w:snapToGrid w:val="0"/>
        <w:spacing w:line="360" w:lineRule="auto"/>
        <w:ind w:firstLine="480" w:firstLineChars="200"/>
        <w:rPr>
          <w:rFonts w:ascii="宋体" w:hAnsi="宋体" w:cs="宋体"/>
          <w:sz w:val="24"/>
        </w:rPr>
      </w:pPr>
      <w:r>
        <w:rPr>
          <w:rFonts w:hint="eastAsia" w:ascii="宋体" w:hAnsi="宋体" w:cs="宋体"/>
          <w:sz w:val="24"/>
        </w:rPr>
        <w:t>4、《节能产品政府采购实施意见》（财库[2004]185号）；</w:t>
      </w:r>
    </w:p>
    <w:p>
      <w:pPr>
        <w:snapToGrid w:val="0"/>
        <w:spacing w:line="360" w:lineRule="auto"/>
        <w:ind w:firstLine="480" w:firstLineChars="200"/>
        <w:rPr>
          <w:rFonts w:ascii="宋体" w:hAnsi="宋体" w:cs="宋体"/>
          <w:sz w:val="24"/>
        </w:rPr>
      </w:pPr>
      <w:r>
        <w:rPr>
          <w:rFonts w:hint="eastAsia" w:ascii="宋体" w:hAnsi="宋体" w:cs="宋体"/>
          <w:sz w:val="24"/>
        </w:rPr>
        <w:t>5、《环境标志产品政府采购实施的意见》（财库[2006]90号）；</w:t>
      </w:r>
    </w:p>
    <w:p>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、《三部门联合发布关于促进残疾人就业政府采购政策的通知》（财库〔2017〕141号）；</w:t>
      </w:r>
    </w:p>
    <w:p>
      <w:pPr>
        <w:pStyle w:val="17"/>
        <w:spacing w:line="360" w:lineRule="auto"/>
        <w:ind w:left="0" w:leftChars="0" w:firstLine="480" w:firstLineChars="200"/>
        <w:rPr>
          <w:rFonts w:ascii="宋体" w:hAnsi="宋体" w:cs="宋体"/>
          <w:bCs/>
          <w:kern w:val="0"/>
          <w:sz w:val="24"/>
          <w:szCs w:val="24"/>
        </w:rPr>
      </w:pPr>
      <w:r>
        <w:rPr>
          <w:rFonts w:hint="eastAsia" w:asciiTheme="minorEastAsia" w:hAnsiTheme="minorEastAsia" w:cstheme="minorEastAsia"/>
          <w:color w:val="000000"/>
          <w:sz w:val="24"/>
          <w:szCs w:val="24"/>
        </w:rPr>
        <w:t>7、</w:t>
      </w:r>
      <w:r>
        <w:rPr>
          <w:rFonts w:ascii="宋体" w:hAnsi="宋体" w:cs="宋体"/>
          <w:sz w:val="24"/>
          <w:szCs w:val="24"/>
        </w:rPr>
        <w:t>《西安市政府采购信用担保及信用融资工作实施方案（试行）》（市财发〔2014〕167）</w:t>
      </w:r>
      <w:r>
        <w:rPr>
          <w:rFonts w:hint="eastAsia" w:asciiTheme="minorEastAsia" w:hAnsiTheme="minorEastAsia" w:cstheme="minorEastAsia"/>
          <w:color w:val="000000"/>
          <w:sz w:val="24"/>
          <w:szCs w:val="24"/>
        </w:rPr>
        <w:t>。</w:t>
      </w:r>
    </w:p>
    <w:p>
      <w:pPr>
        <w:widowControl/>
        <w:tabs>
          <w:tab w:val="left" w:pos="1620"/>
        </w:tabs>
        <w:wordWrap w:val="0"/>
        <w:snapToGrid w:val="0"/>
        <w:spacing w:line="360" w:lineRule="auto"/>
        <w:ind w:firstLine="480" w:firstLineChars="200"/>
        <w:jc w:val="left"/>
        <w:outlineLvl w:val="9"/>
      </w:pPr>
      <w:r>
        <w:rPr>
          <w:rFonts w:hint="eastAsia" w:ascii="宋体" w:hAnsi="宋体" w:cs="宋体"/>
          <w:bCs/>
          <w:kern w:val="0"/>
          <w:sz w:val="24"/>
          <w:szCs w:val="24"/>
        </w:rPr>
        <w:t>8、其他需要落实的政府采购政策；</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sz w:val="24"/>
          <w:highlight w:val="none"/>
        </w:rPr>
        <w:t>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04</w:t>
      </w:r>
      <w:r>
        <w:rPr>
          <w:rFonts w:hint="eastAsia" w:ascii="宋体" w:hAnsi="宋体" w:cs="宋体"/>
          <w:b/>
          <w:bCs/>
          <w:sz w:val="24"/>
          <w:highlight w:val="none"/>
        </w:rPr>
        <w:t>月</w:t>
      </w:r>
      <w:r>
        <w:rPr>
          <w:rFonts w:hint="eastAsia" w:ascii="宋体" w:hAnsi="宋体" w:cs="宋体"/>
          <w:b/>
          <w:bCs/>
          <w:sz w:val="24"/>
          <w:highlight w:val="none"/>
          <w:lang w:val="en-US" w:eastAsia="zh-CN"/>
        </w:rPr>
        <w:t>26</w:t>
      </w:r>
      <w:r>
        <w:rPr>
          <w:rFonts w:hint="eastAsia" w:ascii="宋体" w:hAnsi="宋体" w:cs="宋体"/>
          <w:b/>
          <w:bCs/>
          <w:sz w:val="24"/>
          <w:highlight w:val="none"/>
        </w:rPr>
        <w:t>日至202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05</w:t>
      </w:r>
      <w:r>
        <w:rPr>
          <w:rFonts w:hint="eastAsia" w:ascii="宋体" w:hAnsi="宋体" w:cs="宋体"/>
          <w:b/>
          <w:bCs/>
          <w:sz w:val="24"/>
          <w:highlight w:val="none"/>
        </w:rPr>
        <w:t>月</w:t>
      </w:r>
      <w:r>
        <w:rPr>
          <w:rFonts w:hint="eastAsia" w:ascii="宋体" w:hAnsi="宋体" w:cs="宋体"/>
          <w:b/>
          <w:bCs/>
          <w:sz w:val="24"/>
          <w:highlight w:val="none"/>
          <w:lang w:val="en-US" w:eastAsia="zh-CN"/>
        </w:rPr>
        <w:t>07</w:t>
      </w:r>
      <w:r>
        <w:rPr>
          <w:rFonts w:hint="eastAsia" w:ascii="宋体" w:hAnsi="宋体" w:cs="宋体"/>
          <w:b/>
          <w:bCs/>
          <w:sz w:val="24"/>
          <w:highlight w:val="none"/>
        </w:rPr>
        <w:t>日</w:t>
      </w:r>
      <w:r>
        <w:rPr>
          <w:rFonts w:hint="eastAsia" w:ascii="宋体" w:hAnsi="宋体" w:cs="宋体"/>
          <w:color w:val="000000" w:themeColor="text1"/>
          <w:sz w:val="24"/>
          <w14:textFill>
            <w14:solidFill>
              <w14:schemeClr w14:val="tx1"/>
            </w14:solidFill>
          </w14:textFill>
        </w:rPr>
        <w:t>止</w:t>
      </w:r>
      <w:r>
        <w:rPr>
          <w:rFonts w:hint="eastAsia" w:ascii="宋体" w:hAnsi="宋体" w:cs="宋体"/>
          <w:color w:val="000000" w:themeColor="text1"/>
          <w:sz w:val="24"/>
          <w:szCs w:val="24"/>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2、发售地点：西安市莲湖区西关正街英达大厦1506室。</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3、文件售价：¥0元/套，谢绝邮寄。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w:t>
      </w:r>
      <w:r>
        <w:rPr>
          <w:rFonts w:hint="eastAsia" w:asciiTheme="minorEastAsia" w:hAnsiTheme="minorEastAsia" w:cstheme="minorEastAsia"/>
          <w:kern w:val="0"/>
          <w:sz w:val="24"/>
          <w:szCs w:val="24"/>
        </w:rPr>
        <w:t>供应商领取标书时，请携带单位介绍信及经办人身份证原件及复印件加盖公章。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kern w:val="0"/>
          <w:sz w:val="24"/>
          <w:szCs w:val="24"/>
        </w:rPr>
        <w:t>1、磋商响应文件递交截止时间</w:t>
      </w:r>
      <w:r>
        <w:rPr>
          <w:rFonts w:hint="eastAsia" w:ascii="宋体" w:hAnsi="宋体" w:cs="宋体"/>
          <w:kern w:val="0"/>
          <w:sz w:val="24"/>
          <w:szCs w:val="24"/>
          <w:highlight w:val="none"/>
        </w:rPr>
        <w:t>：</w:t>
      </w:r>
      <w:r>
        <w:rPr>
          <w:rFonts w:hint="eastAsia" w:ascii="宋体" w:hAnsi="宋体" w:cs="宋体"/>
          <w:b/>
          <w:bCs/>
          <w:color w:val="000000" w:themeColor="text1"/>
          <w:kern w:val="0"/>
          <w:sz w:val="24"/>
          <w:szCs w:val="24"/>
          <w:highlight w:val="none"/>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05</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sz w:val="24"/>
          <w:szCs w:val="24"/>
          <w:highlight w:val="none"/>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4</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05</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sz w:val="24"/>
          <w:szCs w:val="24"/>
          <w:highlight w:val="none"/>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w:t>
      </w:r>
      <w:r>
        <w:rPr>
          <w:rFonts w:hint="eastAsia" w:ascii="宋体" w:hAnsi="宋体" w:cs="宋体"/>
          <w:kern w:val="0"/>
          <w:sz w:val="24"/>
          <w:szCs w:val="24"/>
        </w:rPr>
        <w:t>西安市高新区唐延路旺座现代城C座25楼2504</w:t>
      </w:r>
      <w:r>
        <w:rPr>
          <w:rFonts w:hint="eastAsia" w:ascii="宋体" w:hAnsi="宋体" w:cs="宋体"/>
          <w:kern w:val="0"/>
          <w:sz w:val="24"/>
          <w:szCs w:val="24"/>
          <w:lang w:eastAsia="zh-CN"/>
        </w:rPr>
        <w:t>室</w:t>
      </w:r>
      <w:r>
        <w:rPr>
          <w:rFonts w:hint="eastAsia" w:ascii="宋体" w:hAnsi="宋体" w:cs="宋体"/>
          <w:kern w:val="0"/>
          <w:sz w:val="24"/>
          <w:szCs w:val="24"/>
          <w:highlight w:val="none"/>
        </w:rPr>
        <w:t>。</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 xml:space="preserve">其它应说明的事项： </w:t>
      </w:r>
    </w:p>
    <w:p>
      <w:pPr>
        <w:widowControl/>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 xml:space="preserve">1、采购项目联系人：崔方明 许芳芳 </w:t>
      </w:r>
      <w:r>
        <w:rPr>
          <w:rFonts w:hint="eastAsia" w:ascii="宋体" w:hAnsi="宋体" w:cs="宋体"/>
          <w:kern w:val="0"/>
          <w:sz w:val="24"/>
          <w:szCs w:val="24"/>
          <w:highlight w:val="none"/>
          <w:lang w:eastAsia="zh-CN"/>
        </w:rPr>
        <w:t>刘嘉辉</w:t>
      </w:r>
      <w:r>
        <w:rPr>
          <w:rFonts w:hint="eastAsia" w:ascii="宋体" w:hAnsi="宋体" w:cs="宋体"/>
          <w:kern w:val="0"/>
          <w:sz w:val="24"/>
          <w:szCs w:val="24"/>
          <w:highlight w:val="none"/>
        </w:rPr>
        <w:t xml:space="preserve"> 陈晓航  </w:t>
      </w:r>
    </w:p>
    <w:p>
      <w:pPr>
        <w:widowControl/>
        <w:wordWrap w:val="0"/>
        <w:snapToGrid w:val="0"/>
        <w:spacing w:line="300" w:lineRule="auto"/>
        <w:ind w:firstLine="840" w:firstLineChars="35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联系方式（电话/传真）：029-88319689-80</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4/8</w:t>
      </w:r>
      <w:r>
        <w:rPr>
          <w:rFonts w:hint="eastAsia" w:ascii="宋体" w:hAnsi="宋体" w:cs="宋体"/>
          <w:kern w:val="0"/>
          <w:sz w:val="24"/>
          <w:szCs w:val="24"/>
          <w:highlight w:val="none"/>
          <w:lang w:val="en-US" w:eastAsia="zh-CN"/>
        </w:rPr>
        <w:t>009</w:t>
      </w:r>
    </w:p>
    <w:p>
      <w:pPr>
        <w:widowControl/>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2、采购代理机构开户名称：陕</w:t>
      </w:r>
      <w:bookmarkStart w:id="358" w:name="_GoBack"/>
      <w:bookmarkEnd w:id="358"/>
      <w:r>
        <w:rPr>
          <w:rFonts w:hint="eastAsia" w:ascii="宋体" w:hAnsi="宋体" w:cs="宋体"/>
          <w:kern w:val="0"/>
          <w:sz w:val="24"/>
          <w:szCs w:val="24"/>
          <w:highlight w:val="none"/>
        </w:rPr>
        <w:t>西万泽招标有限公司</w:t>
      </w:r>
    </w:p>
    <w:p>
      <w:pPr>
        <w:widowControl/>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highlight w:val="none"/>
        </w:rPr>
      </w:pPr>
      <w:r>
        <w:rPr>
          <w:rFonts w:hint="eastAsia" w:ascii="宋体" w:hAnsi="宋体" w:cs="宋体"/>
          <w:kern w:val="0"/>
          <w:sz w:val="24"/>
          <w:szCs w:val="24"/>
          <w:highlight w:val="none"/>
        </w:rPr>
        <w:t>账      号：211011580000015489</w:t>
      </w:r>
    </w:p>
    <w:p>
      <w:pPr>
        <w:widowControl/>
        <w:numPr>
          <w:ilvl w:val="0"/>
          <w:numId w:val="1"/>
        </w:numPr>
        <w:tabs>
          <w:tab w:val="left" w:pos="1620"/>
        </w:tabs>
        <w:wordWrap w:val="0"/>
        <w:snapToGrid w:val="0"/>
        <w:spacing w:line="300" w:lineRule="auto"/>
        <w:ind w:firstLine="480" w:firstLineChars="200"/>
        <w:jc w:val="left"/>
        <w:outlineLvl w:val="9"/>
        <w:rPr>
          <w:rFonts w:ascii="宋体" w:hAnsi="宋体" w:cs="宋体"/>
          <w:kern w:val="0"/>
          <w:sz w:val="24"/>
          <w:szCs w:val="24"/>
          <w:highlight w:val="none"/>
        </w:rPr>
      </w:pPr>
      <w:r>
        <w:rPr>
          <w:rFonts w:hint="eastAsia" w:ascii="宋体" w:hAnsi="宋体" w:cs="宋体"/>
          <w:kern w:val="0"/>
          <w:sz w:val="24"/>
          <w:szCs w:val="24"/>
          <w:highlight w:val="none"/>
        </w:rPr>
        <w:t>竞争性磋商公告的公告期限为3个工作日。</w:t>
      </w:r>
    </w:p>
    <w:p>
      <w:pPr>
        <w:rPr>
          <w:highlight w:val="none"/>
        </w:rPr>
      </w:pPr>
    </w:p>
    <w:p>
      <w:pPr>
        <w:widowControl/>
        <w:tabs>
          <w:tab w:val="left" w:pos="1620"/>
        </w:tabs>
        <w:snapToGrid w:val="0"/>
        <w:spacing w:line="300" w:lineRule="auto"/>
        <w:ind w:firstLine="420" w:firstLineChars="175"/>
        <w:jc w:val="right"/>
        <w:outlineLvl w:val="9"/>
        <w:rPr>
          <w:rFonts w:ascii="宋体" w:hAnsi="宋体" w:cs="宋体"/>
          <w:kern w:val="0"/>
          <w:sz w:val="24"/>
          <w:szCs w:val="24"/>
          <w:highlight w:val="none"/>
        </w:rPr>
      </w:pPr>
      <w:r>
        <w:rPr>
          <w:rFonts w:hint="eastAsia" w:ascii="宋体" w:hAnsi="宋体" w:cs="宋体"/>
          <w:kern w:val="0"/>
          <w:sz w:val="24"/>
          <w:szCs w:val="24"/>
          <w:highlight w:val="none"/>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cs="宋体"/>
          <w:kern w:val="0"/>
          <w:sz w:val="24"/>
          <w:szCs w:val="24"/>
          <w:highlight w:val="none"/>
        </w:rPr>
        <w:t>日</w:t>
      </w:r>
    </w:p>
    <w:p>
      <w:pPr>
        <w:pStyle w:val="2"/>
        <w:keepLines w:val="0"/>
        <w:spacing w:line="312" w:lineRule="auto"/>
        <w:ind w:firstLine="562" w:firstLineChars="175"/>
        <w:rPr>
          <w:rFonts w:ascii="宋体" w:hAnsi="宋体" w:cs="宋体"/>
          <w:highlight w:val="none"/>
        </w:rPr>
        <w:sectPr>
          <w:footerReference r:id="rId7" w:type="default"/>
          <w:pgSz w:w="11906" w:h="16838"/>
          <w:pgMar w:top="1440" w:right="1286" w:bottom="1440" w:left="1349" w:header="851" w:footer="992" w:gutter="0"/>
          <w:pgNumType w:fmt="decimal" w:start="1"/>
          <w:cols w:space="0" w:num="1"/>
          <w:rtlGutter w:val="0"/>
          <w:docGrid w:type="lines" w:linePitch="312" w:charSpace="0"/>
        </w:sectPr>
      </w:pPr>
    </w:p>
    <w:p>
      <w:pPr>
        <w:pStyle w:val="2"/>
        <w:rPr>
          <w:rFonts w:ascii="宋体" w:hAnsi="宋体" w:cs="宋体"/>
        </w:rPr>
      </w:pPr>
      <w:bookmarkStart w:id="7" w:name="_Toc30089"/>
      <w:bookmarkStart w:id="8" w:name="_Toc2880"/>
      <w:bookmarkStart w:id="9" w:name="_Toc438048787"/>
      <w:bookmarkStart w:id="10" w:name="_Toc31083"/>
      <w:bookmarkStart w:id="11" w:name="_Toc31864"/>
      <w:bookmarkStart w:id="12" w:name="_Toc174"/>
      <w:r>
        <w:rPr>
          <w:rFonts w:hint="eastAsia" w:ascii="宋体" w:hAnsi="宋体" w:cs="宋体"/>
        </w:rPr>
        <w:t>第二部分 供应商须知前附表</w:t>
      </w:r>
      <w:bookmarkEnd w:id="7"/>
      <w:bookmarkEnd w:id="8"/>
      <w:bookmarkEnd w:id="9"/>
      <w:bookmarkEnd w:id="10"/>
      <w:bookmarkEnd w:id="11"/>
      <w:bookmarkEnd w:id="12"/>
    </w:p>
    <w:tbl>
      <w:tblPr>
        <w:tblStyle w:val="18"/>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359"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499" w:type="dxa"/>
            <w:vMerge w:val="restart"/>
            <w:vAlign w:val="center"/>
          </w:tcPr>
          <w:p>
            <w:pPr>
              <w:spacing w:before="156" w:beforeLines="50"/>
              <w:jc w:val="center"/>
              <w:rPr>
                <w:rFonts w:ascii="宋体" w:hAnsi="宋体" w:cs="宋体"/>
                <w:b/>
                <w:szCs w:val="21"/>
              </w:rPr>
            </w:pPr>
            <w:r>
              <w:rPr>
                <w:rFonts w:hint="eastAsia" w:ascii="宋体" w:hAnsi="宋体" w:cs="宋体"/>
                <w:b/>
                <w:szCs w:val="21"/>
              </w:rPr>
              <w:t>1</w:t>
            </w:r>
          </w:p>
          <w:p>
            <w:pPr>
              <w:spacing w:before="156" w:beforeLines="50"/>
              <w:jc w:val="center"/>
              <w:rPr>
                <w:rFonts w:ascii="宋体" w:hAnsi="宋体" w:cs="宋体"/>
                <w:b/>
                <w:szCs w:val="21"/>
              </w:rPr>
            </w:pPr>
          </w:p>
        </w:tc>
        <w:tc>
          <w:tcPr>
            <w:tcW w:w="1062" w:type="dxa"/>
            <w:vAlign w:val="center"/>
          </w:tcPr>
          <w:p>
            <w:pPr>
              <w:spacing w:line="360" w:lineRule="auto"/>
              <w:rPr>
                <w:rFonts w:ascii="宋体" w:hAnsi="宋体" w:cs="宋体"/>
                <w:szCs w:val="21"/>
              </w:rPr>
            </w:pPr>
            <w:r>
              <w:rPr>
                <w:rFonts w:hint="eastAsia" w:ascii="宋体" w:hAnsi="宋体" w:cs="宋体"/>
                <w:szCs w:val="21"/>
              </w:rPr>
              <w:t>项目名称</w:t>
            </w:r>
          </w:p>
        </w:tc>
        <w:tc>
          <w:tcPr>
            <w:tcW w:w="7359" w:type="dxa"/>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lang w:eastAsia="zh-CN"/>
              </w:rPr>
              <w:t>西安市中心血站地铁灯箱、公交车尾窗LED屏、微信朋友圈、短视频献血宣传项目(第3包二次)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499" w:type="dxa"/>
            <w:vMerge w:val="continue"/>
            <w:vAlign w:val="center"/>
          </w:tcPr>
          <w:p>
            <w:pPr>
              <w:spacing w:before="156" w:beforeLines="50"/>
              <w:jc w:val="center"/>
              <w:rPr>
                <w:rFonts w:ascii="宋体" w:hAnsi="宋体" w:cs="宋体"/>
                <w:b/>
                <w:szCs w:val="21"/>
              </w:rPr>
            </w:pPr>
          </w:p>
        </w:tc>
        <w:tc>
          <w:tcPr>
            <w:tcW w:w="1062" w:type="dxa"/>
            <w:vAlign w:val="center"/>
          </w:tcPr>
          <w:p>
            <w:pPr>
              <w:pStyle w:val="11"/>
              <w:jc w:val="left"/>
              <w:rPr>
                <w:rFonts w:hAnsi="宋体" w:cs="宋体"/>
              </w:rPr>
            </w:pPr>
            <w:r>
              <w:rPr>
                <w:rFonts w:hint="eastAsia" w:hAnsi="宋体" w:cs="宋体"/>
              </w:rPr>
              <w:t>采购预算</w:t>
            </w:r>
          </w:p>
        </w:tc>
        <w:tc>
          <w:tcPr>
            <w:tcW w:w="7359" w:type="dxa"/>
            <w:vAlign w:val="center"/>
          </w:tcPr>
          <w:p>
            <w:pP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本项目总预算金额及最高限价：</w:t>
            </w:r>
            <w:r>
              <w:rPr>
                <w:rFonts w:hint="eastAsia" w:ascii="宋体" w:hAnsi="宋体" w:cs="宋体"/>
                <w:kern w:val="2"/>
                <w:sz w:val="21"/>
                <w:szCs w:val="21"/>
                <w:lang w:val="en-US" w:eastAsia="zh-CN" w:bidi="ar-SA"/>
              </w:rPr>
              <w:t>150</w:t>
            </w:r>
            <w:r>
              <w:rPr>
                <w:rFonts w:hint="default" w:ascii="宋体" w:hAnsi="宋体" w:eastAsia="宋体" w:cs="宋体"/>
                <w:kern w:val="2"/>
                <w:sz w:val="21"/>
                <w:szCs w:val="21"/>
                <w:lang w:val="en-US" w:eastAsia="zh-CN" w:bidi="ar-SA"/>
              </w:rPr>
              <w:t>000.00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499" w:type="dxa"/>
            <w:vMerge w:val="continue"/>
            <w:vAlign w:val="center"/>
          </w:tcPr>
          <w:p>
            <w:pPr>
              <w:spacing w:before="156" w:beforeLines="50"/>
              <w:jc w:val="center"/>
              <w:rPr>
                <w:rFonts w:ascii="宋体" w:hAnsi="宋体" w:cs="宋体"/>
                <w:b/>
                <w:szCs w:val="21"/>
              </w:rPr>
            </w:pPr>
          </w:p>
        </w:tc>
        <w:tc>
          <w:tcPr>
            <w:tcW w:w="1062" w:type="dxa"/>
            <w:vAlign w:val="center"/>
          </w:tcPr>
          <w:p>
            <w:pPr>
              <w:pStyle w:val="11"/>
              <w:jc w:val="left"/>
              <w:rPr>
                <w:rFonts w:hAnsi="宋体" w:cs="宋体"/>
              </w:rPr>
            </w:pPr>
            <w:r>
              <w:rPr>
                <w:rFonts w:hint="eastAsia" w:hAnsi="宋体" w:cs="宋体"/>
              </w:rPr>
              <w:t>项目性质</w:t>
            </w:r>
          </w:p>
        </w:tc>
        <w:tc>
          <w:tcPr>
            <w:tcW w:w="7359" w:type="dxa"/>
            <w:vAlign w:val="center"/>
          </w:tcPr>
          <w:p>
            <w:pPr>
              <w:pStyle w:val="11"/>
              <w:jc w:val="left"/>
              <w:rPr>
                <w:rFonts w:hAnsi="宋体" w:cs="宋体"/>
              </w:rPr>
            </w:pPr>
            <w:r>
              <w:rPr>
                <w:rFonts w:hint="eastAsia" w:hAnsi="宋体" w:cs="宋体"/>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hint="eastAsia" w:ascii="宋体" w:hAnsi="宋体" w:eastAsia="宋体" w:cs="宋体"/>
                <w:szCs w:val="21"/>
                <w:lang w:eastAsia="zh-CN"/>
              </w:rPr>
            </w:pPr>
            <w:r>
              <w:rPr>
                <w:rFonts w:hint="eastAsia" w:ascii="宋体" w:hAnsi="宋体" w:cs="宋体"/>
                <w:szCs w:val="21"/>
              </w:rPr>
              <w:t>采购人名称：</w:t>
            </w:r>
            <w:r>
              <w:rPr>
                <w:rFonts w:hint="eastAsia" w:ascii="宋体" w:hAnsi="宋体" w:cs="宋体"/>
                <w:szCs w:val="21"/>
                <w:lang w:eastAsia="zh-CN"/>
              </w:rPr>
              <w:t>西安市中心血站</w:t>
            </w:r>
          </w:p>
          <w:p>
            <w:pPr>
              <w:pStyle w:val="17"/>
              <w:ind w:left="0" w:leftChars="0" w:firstLine="0"/>
              <w:rPr>
                <w:rFonts w:hint="eastAsia" w:eastAsia="宋体"/>
                <w:lang w:eastAsia="zh-CN"/>
              </w:rPr>
            </w:pPr>
            <w:r>
              <w:rPr>
                <w:rFonts w:hint="eastAsia"/>
              </w:rPr>
              <w:t>联 系 人：</w:t>
            </w:r>
            <w:r>
              <w:rPr>
                <w:rFonts w:hint="eastAsia"/>
                <w:lang w:eastAsia="zh-CN"/>
              </w:rPr>
              <w:t>靳老师</w:t>
            </w:r>
          </w:p>
          <w:p>
            <w:pPr>
              <w:widowControl/>
              <w:wordWrap w:val="0"/>
              <w:spacing w:line="360" w:lineRule="auto"/>
              <w:jc w:val="left"/>
              <w:rPr>
                <w:rFonts w:hint="eastAsia" w:ascii="宋体" w:hAnsi="宋体" w:cs="宋体"/>
                <w:szCs w:val="21"/>
              </w:rPr>
            </w:pPr>
            <w:r>
              <w:rPr>
                <w:rFonts w:ascii="宋体" w:hAnsi="宋体" w:cs="宋体"/>
                <w:szCs w:val="21"/>
              </w:rPr>
              <w:t>地</w:t>
            </w:r>
            <w:r>
              <w:rPr>
                <w:rFonts w:hint="eastAsia" w:ascii="宋体" w:hAnsi="宋体" w:cs="宋体"/>
                <w:szCs w:val="21"/>
              </w:rPr>
              <w:t xml:space="preserve">    </w:t>
            </w:r>
            <w:r>
              <w:rPr>
                <w:rFonts w:ascii="宋体" w:hAnsi="宋体" w:cs="宋体"/>
                <w:szCs w:val="21"/>
              </w:rPr>
              <w:t>址：</w:t>
            </w:r>
            <w:r>
              <w:rPr>
                <w:rFonts w:hint="eastAsia" w:ascii="宋体" w:hAnsi="宋体" w:cs="宋体"/>
                <w:szCs w:val="21"/>
              </w:rPr>
              <w:t>西安市朱雀大街407号</w:t>
            </w:r>
          </w:p>
          <w:p>
            <w:pPr>
              <w:widowControl/>
              <w:wordWrap w:val="0"/>
              <w:spacing w:line="360" w:lineRule="auto"/>
              <w:jc w:val="left"/>
              <w:rPr>
                <w:rFonts w:ascii="宋体" w:hAnsi="宋体" w:cs="宋体"/>
                <w:szCs w:val="21"/>
              </w:rPr>
            </w:pPr>
            <w:r>
              <w:rPr>
                <w:rFonts w:ascii="宋体" w:hAnsi="宋体" w:cs="宋体"/>
                <w:szCs w:val="21"/>
              </w:rPr>
              <w:t>联系方式：</w:t>
            </w:r>
            <w:r>
              <w:rPr>
                <w:rFonts w:hint="eastAsia" w:ascii="宋体" w:hAnsi="宋体" w:cs="宋体"/>
                <w:szCs w:val="21"/>
              </w:rPr>
              <w:t>029-85212746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w:t>
            </w:r>
            <w:r>
              <w:rPr>
                <w:rFonts w:hint="eastAsia" w:ascii="宋体" w:hAnsi="宋体" w:cs="宋体"/>
                <w:szCs w:val="21"/>
                <w:lang w:val="en-US" w:eastAsia="zh-CN"/>
              </w:rPr>
              <w:t>6</w:t>
            </w:r>
            <w:r>
              <w:rPr>
                <w:rFonts w:hint="eastAsia" w:ascii="宋体" w:hAnsi="宋体" w:cs="宋体"/>
                <w:szCs w:val="21"/>
              </w:rPr>
              <w:t>室</w:t>
            </w:r>
          </w:p>
          <w:p>
            <w:pPr>
              <w:spacing w:line="360" w:lineRule="auto"/>
              <w:jc w:val="left"/>
              <w:rPr>
                <w:rFonts w:ascii="宋体" w:hAnsi="宋体" w:cs="宋体"/>
                <w:szCs w:val="21"/>
              </w:rPr>
            </w:pPr>
            <w:r>
              <w:rPr>
                <w:rFonts w:hint="eastAsia" w:ascii="宋体" w:hAnsi="宋体" w:cs="宋体"/>
                <w:szCs w:val="21"/>
              </w:rPr>
              <w:t xml:space="preserve">联   系   人：崔方明 许芳芳 </w:t>
            </w:r>
            <w:r>
              <w:rPr>
                <w:rFonts w:hint="eastAsia" w:ascii="宋体" w:hAnsi="宋体" w:cs="宋体"/>
                <w:szCs w:val="21"/>
                <w:lang w:eastAsia="zh-CN"/>
              </w:rPr>
              <w:t>刘嘉辉</w:t>
            </w:r>
            <w:r>
              <w:rPr>
                <w:rFonts w:hint="eastAsia" w:ascii="宋体" w:hAnsi="宋体" w:cs="宋体"/>
                <w:szCs w:val="21"/>
              </w:rPr>
              <w:t xml:space="preserve"> 陈晓航</w:t>
            </w:r>
          </w:p>
          <w:p>
            <w:pPr>
              <w:spacing w:line="360" w:lineRule="auto"/>
              <w:jc w:val="left"/>
              <w:rPr>
                <w:rFonts w:hint="default" w:ascii="宋体" w:hAnsi="宋体" w:eastAsia="宋体" w:cs="宋体"/>
                <w:szCs w:val="21"/>
                <w:lang w:val="en-US" w:eastAsia="zh-CN"/>
              </w:rPr>
            </w:pPr>
            <w:r>
              <w:rPr>
                <w:rFonts w:hint="eastAsia" w:ascii="宋体" w:hAnsi="宋体" w:cs="宋体"/>
                <w:szCs w:val="21"/>
              </w:rPr>
              <w:t>电        话：029-88319689-80</w:t>
            </w:r>
            <w:r>
              <w:rPr>
                <w:rFonts w:hint="eastAsia" w:ascii="宋体" w:hAnsi="宋体" w:cs="宋体"/>
                <w:szCs w:val="21"/>
                <w:lang w:val="en-US" w:eastAsia="zh-CN"/>
              </w:rPr>
              <w:t>0</w:t>
            </w:r>
            <w:r>
              <w:rPr>
                <w:rFonts w:hint="eastAsia" w:ascii="宋体" w:hAnsi="宋体" w:cs="宋体"/>
                <w:szCs w:val="21"/>
              </w:rPr>
              <w:t>4/</w:t>
            </w:r>
            <w:r>
              <w:rPr>
                <w:rFonts w:hint="eastAsia" w:ascii="宋体" w:hAnsi="宋体" w:cs="宋体"/>
                <w:szCs w:val="21"/>
                <w:lang w:val="en-US" w:eastAsia="zh-CN"/>
              </w:rPr>
              <w:t>8009</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标  段</w:t>
            </w:r>
          </w:p>
        </w:tc>
        <w:tc>
          <w:tcPr>
            <w:tcW w:w="7359" w:type="dxa"/>
            <w:vAlign w:val="center"/>
          </w:tcPr>
          <w:p>
            <w:pPr>
              <w:spacing w:line="360" w:lineRule="auto"/>
              <w:jc w:val="left"/>
              <w:rPr>
                <w:rFonts w:ascii="宋体" w:hAnsi="宋体" w:cs="宋体"/>
                <w:szCs w:val="21"/>
              </w:rPr>
            </w:pPr>
            <w:r>
              <w:rPr>
                <w:rFonts w:hint="eastAsia" w:asciiTheme="minorEastAsia" w:hAnsiTheme="minorEastAsia" w:cstheme="minorEastAsia"/>
                <w:szCs w:val="21"/>
              </w:rPr>
              <w:t>本次采购项目分</w:t>
            </w:r>
            <w:r>
              <w:rPr>
                <w:rFonts w:hint="eastAsia" w:asciiTheme="minorEastAsia" w:hAnsiTheme="minorEastAsia" w:cstheme="minorEastAsia"/>
                <w:szCs w:val="21"/>
                <w:lang w:val="en-US" w:eastAsia="zh-CN"/>
              </w:rPr>
              <w:t>包</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供应商</w:t>
            </w:r>
            <w:r>
              <w:rPr>
                <w:rFonts w:hint="eastAsia" w:asciiTheme="minorEastAsia" w:hAnsiTheme="minorEastAsia" w:cstheme="minorEastAsia"/>
                <w:szCs w:val="21"/>
              </w:rPr>
              <w:t>可根据自身的资质情况和经营范围对本项目任一</w:t>
            </w:r>
            <w:r>
              <w:rPr>
                <w:rFonts w:hint="eastAsia" w:asciiTheme="minorEastAsia" w:hAnsiTheme="minorEastAsia" w:cstheme="minorEastAsia"/>
                <w:szCs w:val="21"/>
                <w:lang w:val="en-US" w:eastAsia="zh-CN"/>
              </w:rPr>
              <w:t>包</w:t>
            </w:r>
            <w:r>
              <w:rPr>
                <w:rFonts w:hint="eastAsia" w:asciiTheme="minorEastAsia" w:hAnsiTheme="minorEastAsia" w:cstheme="minorEastAsia"/>
                <w:szCs w:val="21"/>
              </w:rPr>
              <w:t>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 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w:t>
            </w:r>
            <w:r>
              <w:rPr>
                <w:rFonts w:hint="eastAsia" w:ascii="宋体" w:hAnsi="宋体" w:cs="宋体"/>
                <w:bCs/>
                <w:kern w:val="0"/>
                <w:szCs w:val="21"/>
                <w:lang w:val="en-US" w:eastAsia="zh-CN"/>
              </w:rPr>
              <w:t>3</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w:t>
            </w:r>
            <w:r>
              <w:rPr>
                <w:rFonts w:hint="eastAsia" w:ascii="宋体" w:hAnsi="宋体" w:cs="宋体"/>
                <w:bCs/>
                <w:kern w:val="0"/>
                <w:szCs w:val="21"/>
                <w:lang w:val="en-US" w:eastAsia="zh-CN"/>
              </w:rPr>
              <w:t>3</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4、财务状况证明：提供经会计师事务所审计的2022年</w:t>
            </w:r>
            <w:r>
              <w:rPr>
                <w:rFonts w:hint="eastAsia" w:ascii="宋体" w:hAnsi="宋体" w:cs="宋体"/>
                <w:bCs/>
                <w:kern w:val="0"/>
                <w:szCs w:val="21"/>
                <w:lang w:eastAsia="zh-CN"/>
              </w:rPr>
              <w:t>或</w:t>
            </w:r>
            <w:r>
              <w:rPr>
                <w:rFonts w:hint="eastAsia" w:ascii="宋体" w:hAnsi="宋体" w:cs="宋体"/>
                <w:bCs/>
                <w:kern w:val="0"/>
                <w:szCs w:val="21"/>
                <w:lang w:val="en-US" w:eastAsia="zh-CN"/>
              </w:rPr>
              <w:t>2023年</w:t>
            </w:r>
            <w:r>
              <w:rPr>
                <w:rFonts w:hint="eastAsia" w:ascii="宋体" w:hAnsi="宋体" w:cs="宋体"/>
                <w:bCs/>
                <w:kern w:val="0"/>
                <w:szCs w:val="21"/>
              </w:rPr>
              <w:t>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cstheme="minorBidi"/>
                <w:b/>
                <w:bCs/>
                <w:szCs w:val="21"/>
              </w:rPr>
              <w:t>提供声明原件，格式可参考磋商文件第七部分。</w:t>
            </w:r>
          </w:p>
          <w:p>
            <w:pPr>
              <w:snapToGrid w:val="0"/>
              <w:spacing w:line="360" w:lineRule="auto"/>
              <w:ind w:firstLine="420" w:firstLineChars="200"/>
              <w:jc w:val="left"/>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7、本项目不接受联合体磋商。</w:t>
            </w:r>
          </w:p>
          <w:p>
            <w:pPr>
              <w:snapToGrid w:val="0"/>
              <w:spacing w:line="360" w:lineRule="auto"/>
              <w:ind w:firstLine="420" w:firstLineChars="200"/>
              <w:jc w:val="left"/>
              <w:rPr>
                <w:rFonts w:hint="eastAsia" w:ascii="宋体" w:hAnsi="宋体" w:cs="宋体"/>
                <w:b/>
                <w:bCs w:val="0"/>
                <w:color w:val="auto"/>
                <w:kern w:val="0"/>
                <w:sz w:val="24"/>
                <w:szCs w:val="24"/>
                <w:highlight w:val="none"/>
                <w:lang w:eastAsia="zh-CN"/>
              </w:rPr>
            </w:pPr>
            <w:r>
              <w:rPr>
                <w:rFonts w:hint="eastAsia" w:ascii="宋体" w:hAnsi="宋体" w:cs="宋体"/>
                <w:bCs/>
                <w:kern w:val="0"/>
                <w:szCs w:val="21"/>
                <w:lang w:val="en-US" w:eastAsia="zh-CN"/>
              </w:rPr>
              <w:t>8、</w:t>
            </w:r>
            <w:r>
              <w:rPr>
                <w:rFonts w:hint="eastAsia" w:ascii="宋体" w:hAnsi="宋体" w:cs="宋体"/>
                <w:bCs/>
                <w:kern w:val="0"/>
                <w:szCs w:val="21"/>
              </w:rPr>
              <w:t>本项目专门面向</w:t>
            </w:r>
            <w:r>
              <w:rPr>
                <w:rFonts w:hint="eastAsia" w:ascii="宋体" w:hAnsi="宋体" w:cs="宋体"/>
                <w:bCs/>
                <w:kern w:val="0"/>
                <w:szCs w:val="21"/>
                <w:lang w:eastAsia="zh-CN"/>
              </w:rPr>
              <w:t>中小</w:t>
            </w:r>
            <w:r>
              <w:rPr>
                <w:rFonts w:hint="eastAsia" w:ascii="宋体" w:hAnsi="宋体" w:cs="宋体"/>
                <w:bCs/>
                <w:kern w:val="0"/>
                <w:szCs w:val="21"/>
              </w:rPr>
              <w:t>企业采购，</w:t>
            </w:r>
            <w:r>
              <w:rPr>
                <w:rFonts w:hint="eastAsia" w:ascii="宋体" w:hAnsi="宋体" w:cs="宋体"/>
                <w:b/>
                <w:bCs w:val="0"/>
                <w:kern w:val="0"/>
                <w:szCs w:val="21"/>
                <w:lang w:val="en-US" w:eastAsia="zh-CN"/>
              </w:rPr>
              <w:t>供应商</w:t>
            </w:r>
            <w:r>
              <w:rPr>
                <w:rFonts w:hint="eastAsia" w:ascii="宋体" w:hAnsi="宋体" w:cs="宋体"/>
                <w:b/>
                <w:bCs w:val="0"/>
                <w:kern w:val="0"/>
                <w:szCs w:val="21"/>
              </w:rPr>
              <w:t>应提供</w:t>
            </w:r>
            <w:r>
              <w:rPr>
                <w:rFonts w:hint="eastAsia" w:ascii="宋体" w:hAnsi="宋体" w:cs="宋体"/>
                <w:b/>
                <w:bCs w:val="0"/>
                <w:kern w:val="0"/>
                <w:szCs w:val="21"/>
                <w:lang w:eastAsia="zh-CN"/>
              </w:rPr>
              <w:t>中小</w:t>
            </w:r>
            <w:r>
              <w:rPr>
                <w:rFonts w:hint="eastAsia" w:ascii="宋体" w:hAnsi="宋体" w:cs="宋体"/>
                <w:b/>
                <w:bCs w:val="0"/>
                <w:kern w:val="0"/>
                <w:szCs w:val="21"/>
              </w:rPr>
              <w:t>企业声明函</w:t>
            </w:r>
            <w:r>
              <w:rPr>
                <w:rFonts w:hint="eastAsia" w:ascii="宋体" w:hAnsi="宋体" w:cs="宋体"/>
                <w:bCs/>
                <w:kern w:val="0"/>
                <w:szCs w:val="21"/>
                <w:lang w:eastAsia="zh-CN"/>
              </w:rPr>
              <w:t>。</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6"/>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6"/>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保证金要求</w:t>
            </w:r>
          </w:p>
        </w:tc>
        <w:tc>
          <w:tcPr>
            <w:tcW w:w="7359" w:type="dxa"/>
          </w:tcPr>
          <w:p>
            <w:pPr>
              <w:spacing w:line="500" w:lineRule="exact"/>
              <w:jc w:val="left"/>
              <w:rPr>
                <w:rFonts w:ascii="宋体" w:hAnsi="宋体" w:cs="宋体"/>
                <w:szCs w:val="21"/>
              </w:rPr>
            </w:pPr>
            <w:r>
              <w:rPr>
                <w:rFonts w:hint="eastAsia" w:ascii="宋体" w:hAnsi="宋体" w:cs="宋体"/>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1"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92"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w:t>
            </w:r>
            <w:r>
              <w:rPr>
                <w:rFonts w:hint="eastAsia" w:ascii="宋体" w:hAnsi="宋体" w:cs="宋体"/>
                <w:szCs w:val="21"/>
                <w:lang w:eastAsia="zh-CN"/>
              </w:rPr>
              <w:t>、</w:t>
            </w:r>
            <w:r>
              <w:rPr>
                <w:rFonts w:hint="eastAsia" w:ascii="宋体" w:hAnsi="宋体" w:cs="宋体"/>
                <w:szCs w:val="21"/>
                <w:lang w:val="en-US" w:eastAsia="zh-CN"/>
              </w:rPr>
              <w:t>包号</w:t>
            </w:r>
            <w:r>
              <w:rPr>
                <w:rFonts w:hint="eastAsia" w:ascii="宋体" w:hAnsi="宋体" w:cs="宋体"/>
                <w:szCs w:val="21"/>
              </w:rPr>
              <w:t>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2" w:firstLineChars="200"/>
              <w:jc w:val="left"/>
              <w:rPr>
                <w:rFonts w:ascii="宋体" w:hAnsi="宋体" w:cs="宋体"/>
                <w:szCs w:val="21"/>
              </w:rPr>
            </w:pPr>
            <w:r>
              <w:rPr>
                <w:rFonts w:hint="eastAsia" w:ascii="宋体" w:hAnsi="宋体" w:cs="宋体"/>
                <w:b/>
                <w:bCs/>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集中答疑</w:t>
            </w:r>
          </w:p>
        </w:tc>
        <w:tc>
          <w:tcPr>
            <w:tcW w:w="7359" w:type="dxa"/>
            <w:vAlign w:val="center"/>
          </w:tcPr>
          <w:p>
            <w:pPr>
              <w:pStyle w:val="9"/>
              <w:spacing w:line="360" w:lineRule="auto"/>
              <w:rPr>
                <w:rFonts w:ascii="宋体" w:hAnsi="宋体" w:cs="宋体"/>
                <w:szCs w:val="21"/>
                <w:u w:val="single"/>
              </w:rPr>
            </w:pPr>
            <w:r>
              <w:rPr>
                <w:rFonts w:hint="eastAsia" w:ascii="宋体" w:hAnsi="宋体" w:cs="宋体"/>
                <w:szCs w:val="21"/>
              </w:rPr>
              <w:t>□组织,答疑地点为:</w:t>
            </w:r>
            <w:r>
              <w:rPr>
                <w:rFonts w:hint="eastAsia" w:ascii="宋体" w:hAnsi="宋体" w:cs="宋体"/>
                <w:szCs w:val="21"/>
                <w:u w:val="single"/>
              </w:rPr>
              <w:t xml:space="preserve">          </w:t>
            </w:r>
          </w:p>
          <w:p>
            <w:pPr>
              <w:pStyle w:val="9"/>
              <w:spacing w:line="360" w:lineRule="auto"/>
              <w:rPr>
                <w:rFonts w:ascii="宋体" w:hAnsi="宋体" w:cs="宋体"/>
                <w:szCs w:val="21"/>
              </w:rPr>
            </w:pPr>
            <w:r>
              <w:rPr>
                <w:rFonts w:hint="eastAsia" w:ascii="宋体" w:hAnsi="宋体" w:cs="宋体"/>
                <w:szCs w:val="21"/>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3"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kern w:val="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spacing w:line="360" w:lineRule="auto"/>
              <w:jc w:val="center"/>
              <w:rPr>
                <w:rFonts w:ascii="宋体" w:hAnsi="宋体" w:cs="宋体"/>
                <w:sz w:val="24"/>
                <w:szCs w:val="24"/>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 w:val="24"/>
                <w:szCs w:val="24"/>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spacing w:line="360" w:lineRule="auto"/>
              <w:rPr>
                <w:rFonts w:ascii="宋体" w:hAnsi="宋体" w:cs="宋体"/>
                <w:szCs w:val="21"/>
                <w:highlight w:val="none"/>
              </w:rPr>
            </w:pPr>
            <w:r>
              <w:rPr>
                <w:rFonts w:hint="eastAsia" w:ascii="宋体" w:hAnsi="宋体" w:cs="宋体"/>
                <w:szCs w:val="21"/>
                <w:highlight w:val="none"/>
              </w:rPr>
              <w:t>项目性质</w:t>
            </w:r>
          </w:p>
        </w:tc>
        <w:tc>
          <w:tcPr>
            <w:tcW w:w="7359" w:type="dxa"/>
            <w:vAlign w:val="center"/>
          </w:tcPr>
          <w:p>
            <w:pPr>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非专门面向中小企业采购</w:t>
            </w:r>
          </w:p>
          <w:p>
            <w:pPr>
              <w:spacing w:line="360" w:lineRule="auto"/>
              <w:rPr>
                <w:rFonts w:ascii="宋体" w:hAnsi="宋体" w:cs="宋体"/>
                <w:szCs w:val="21"/>
                <w:highlight w:val="none"/>
              </w:rPr>
            </w:pPr>
            <w:r>
              <w:rPr>
                <w:rFonts w:hint="eastAsia" w:ascii="宋体" w:hAnsi="宋体" w:cs="宋体"/>
                <w:szCs w:val="21"/>
                <w:highlight w:val="none"/>
              </w:rPr>
              <w:t>对符合《政府采购促进中小企业发展管理办法》(财库{2020}46号)规定的小微企业(监狱企业视同小型、微型企业)的报价给予</w:t>
            </w:r>
            <w:r>
              <w:rPr>
                <w:rFonts w:hint="eastAsia" w:ascii="宋体" w:hAnsi="宋体" w:cs="宋体"/>
                <w:szCs w:val="21"/>
                <w:highlight w:val="none"/>
                <w:u w:val="single"/>
              </w:rPr>
              <w:t xml:space="preserve"> 10 </w:t>
            </w:r>
            <w:r>
              <w:rPr>
                <w:rFonts w:hint="eastAsia" w:ascii="宋体" w:hAnsi="宋体" w:cs="宋体"/>
                <w:szCs w:val="21"/>
                <w:highlight w:val="none"/>
              </w:rPr>
              <w:t>％(6％-10％)的扣除,用扣除后的价格参加评审。</w:t>
            </w:r>
          </w:p>
          <w:p>
            <w:pPr>
              <w:spacing w:line="360" w:lineRule="auto"/>
              <w:jc w:val="left"/>
              <w:rPr>
                <w:rFonts w:ascii="宋体" w:hAnsi="宋体" w:cs="宋体"/>
                <w:szCs w:val="21"/>
                <w:highlight w:val="none"/>
              </w:rPr>
            </w:pPr>
            <w:r>
              <w:rPr>
                <w:rFonts w:hint="eastAsia" w:ascii="宋体" w:hAnsi="宋体" w:cs="宋体"/>
                <w:szCs w:val="21"/>
                <w:highlight w:val="none"/>
              </w:rPr>
              <w:t>根据《政府采购促进中小企业发展暂行办法》，投标人提供的《中小企业声明函》</w:t>
            </w:r>
            <w:r>
              <w:rPr>
                <w:rFonts w:hint="eastAsia" w:ascii="宋体" w:hAnsi="宋体" w:cs="宋体"/>
                <w:b/>
                <w:bCs/>
                <w:szCs w:val="21"/>
                <w:highlight w:val="none"/>
              </w:rPr>
              <w:t>（附件二）</w:t>
            </w:r>
            <w:r>
              <w:rPr>
                <w:rFonts w:hint="eastAsia" w:ascii="宋体" w:hAnsi="宋体" w:cs="宋体"/>
                <w:szCs w:val="21"/>
                <w:highlight w:val="none"/>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b/>
                <w:bCs/>
                <w:szCs w:val="21"/>
                <w:highlight w:val="none"/>
              </w:rPr>
              <w:t>专门面向中小企业采购</w:t>
            </w:r>
          </w:p>
          <w:p>
            <w:pPr>
              <w:spacing w:line="360" w:lineRule="auto"/>
              <w:jc w:val="left"/>
              <w:rPr>
                <w:rFonts w:hAnsi="宋体" w:cs="宋体"/>
                <w:szCs w:val="21"/>
                <w:highlight w:val="none"/>
              </w:rPr>
            </w:pPr>
            <w:r>
              <w:rPr>
                <w:rFonts w:hint="eastAsia" w:ascii="宋体" w:hAnsi="宋体" w:cs="宋体"/>
                <w:szCs w:val="21"/>
                <w:highlight w:val="none"/>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政府采购融资政策</w:t>
            </w:r>
          </w:p>
        </w:tc>
        <w:tc>
          <w:tcPr>
            <w:tcW w:w="7359" w:type="dxa"/>
            <w:vAlign w:val="center"/>
          </w:tcPr>
          <w:p>
            <w:pPr>
              <w:spacing w:line="360" w:lineRule="auto"/>
              <w:rPr>
                <w:rFonts w:hAnsi="宋体" w:cs="宋体"/>
                <w:szCs w:val="21"/>
              </w:rPr>
            </w:pPr>
            <w:r>
              <w:rPr>
                <w:rFonts w:hint="eastAsia" w:hAnsi="宋体" w:cs="宋体"/>
                <w:szCs w:val="21"/>
              </w:rPr>
              <w:t>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hint="eastAsia" w:hAnsi="宋体" w:cs="宋体"/>
                <w:szCs w:val="21"/>
              </w:rPr>
              <w:drawing>
                <wp:inline distT="0" distB="0" distL="114300" distR="114300">
                  <wp:extent cx="190500" cy="142875"/>
                  <wp:effectExtent l="0" t="0" r="0" b="9525"/>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21"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http://xaczj.xa.gov.cn/zfcg/cgfg/5db9054565cbd804f69e97e0.html中《西安市财政局关于进一步做好政府采购信用担保及信用融资工作有关事宜的通知》）。</w:t>
            </w:r>
          </w:p>
          <w:p>
            <w:pPr>
              <w:spacing w:line="360" w:lineRule="auto"/>
              <w:rPr>
                <w:rFonts w:hAnsi="宋体" w:cs="宋体"/>
                <w:szCs w:val="21"/>
              </w:rPr>
            </w:pPr>
            <w:r>
              <w:rPr>
                <w:rFonts w:hint="eastAsia" w:hAnsi="宋体" w:cs="宋体"/>
                <w:szCs w:val="21"/>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hint="eastAsia" w:hAnsi="宋体" w:cs="宋体"/>
                <w:szCs w:val="21"/>
              </w:rPr>
              <w:drawing>
                <wp:inline distT="0" distB="0" distL="114300" distR="114300">
                  <wp:extent cx="190500" cy="142875"/>
                  <wp:effectExtent l="0" t="0" r="0" b="9525"/>
                  <wp:docPr id="2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IMG_257"/>
                          <pic:cNvPicPr>
                            <a:picLocks noChangeAspect="1"/>
                          </pic:cNvPicPr>
                        </pic:nvPicPr>
                        <pic:blipFill>
                          <a:blip r:embed="rId21"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http://xaczj.xa.gov.cn/)政府采购专栏中查询了解。</w:t>
            </w:r>
          </w:p>
          <w:p>
            <w:pPr>
              <w:spacing w:line="360" w:lineRule="auto"/>
              <w:rPr>
                <w:rFonts w:hAnsi="宋体" w:cs="宋体"/>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18</w:t>
            </w:r>
          </w:p>
        </w:tc>
        <w:tc>
          <w:tcPr>
            <w:tcW w:w="1062" w:type="dxa"/>
            <w:vAlign w:val="center"/>
          </w:tcPr>
          <w:p>
            <w:pPr>
              <w:spacing w:line="360" w:lineRule="auto"/>
              <w:jc w:val="center"/>
              <w:rPr>
                <w:rFonts w:ascii="宋体" w:hAnsi="宋体" w:cs="宋体"/>
                <w:szCs w:val="21"/>
              </w:rPr>
            </w:pPr>
            <w:r>
              <w:rPr>
                <w:rFonts w:hint="eastAsia" w:ascii="宋体" w:hAnsi="宋体" w:cs="宋体"/>
                <w:color w:val="000000"/>
                <w:szCs w:val="21"/>
              </w:rPr>
              <w:t>弃标须知</w:t>
            </w:r>
          </w:p>
        </w:tc>
        <w:tc>
          <w:tcPr>
            <w:tcW w:w="7359" w:type="dxa"/>
            <w:vAlign w:val="center"/>
          </w:tcPr>
          <w:p>
            <w:pPr>
              <w:spacing w:line="360" w:lineRule="auto"/>
              <w:ind w:firstLine="420" w:firstLineChars="200"/>
              <w:jc w:val="left"/>
              <w:rPr>
                <w:rFonts w:hAnsi="宋体" w:cs="宋体"/>
                <w:szCs w:val="21"/>
              </w:rPr>
            </w:pPr>
            <w:r>
              <w:rPr>
                <w:rFonts w:hint="eastAsia" w:ascii="宋体" w:hAnsi="宋体" w:cs="宋体"/>
                <w:szCs w:val="21"/>
              </w:rPr>
              <w:t>根据市财函｛2021｝431号文第16条规定：供应商登记免费领取磋商响应文件的，如不参与项目磋商，应在递交磋商（或相应）文件截止时间前一日以书面形式告知招标代理机构。否则，招标代理机构可以向财政部门反应情况并提供佐证。供应商一年内累计出现三次该情形，将被监管部门记录为失信行为。</w:t>
            </w:r>
          </w:p>
        </w:tc>
      </w:tr>
    </w:tbl>
    <w:p>
      <w:pPr>
        <w:pStyle w:val="2"/>
        <w:keepLines w:val="0"/>
        <w:jc w:val="both"/>
        <w:rPr>
          <w:rFonts w:ascii="宋体" w:hAnsi="宋体" w:cs="宋体"/>
        </w:rPr>
        <w:sectPr>
          <w:footerReference r:id="rId8" w:type="default"/>
          <w:pgSz w:w="11906" w:h="16838"/>
          <w:pgMar w:top="1440" w:right="1310" w:bottom="1440" w:left="1349" w:header="851" w:footer="992" w:gutter="0"/>
          <w:pgNumType w:fmt="decimal"/>
          <w:cols w:space="0" w:num="1"/>
          <w:rtlGutter w:val="0"/>
          <w:docGrid w:type="lines" w:linePitch="312" w:charSpace="0"/>
        </w:sectPr>
      </w:pPr>
    </w:p>
    <w:p>
      <w:pPr>
        <w:pStyle w:val="2"/>
        <w:keepLines w:val="0"/>
        <w:ind w:firstLine="643" w:firstLineChars="200"/>
        <w:rPr>
          <w:rFonts w:ascii="宋体" w:hAnsi="宋体" w:cs="宋体"/>
        </w:rPr>
      </w:pPr>
      <w:bookmarkStart w:id="13" w:name="_Toc17802"/>
      <w:bookmarkStart w:id="14" w:name="_Toc19272"/>
      <w:bookmarkStart w:id="15" w:name="_Toc18370"/>
      <w:bookmarkStart w:id="16" w:name="_Toc25094"/>
      <w:bookmarkStart w:id="17" w:name="_Toc26164"/>
      <w:r>
        <w:rPr>
          <w:rFonts w:hint="eastAsia" w:ascii="宋体" w:hAnsi="宋体" w:cs="宋体"/>
        </w:rPr>
        <w:t>第三部分 供应商须知</w:t>
      </w:r>
      <w:bookmarkEnd w:id="13"/>
      <w:bookmarkEnd w:id="14"/>
      <w:bookmarkEnd w:id="15"/>
      <w:bookmarkEnd w:id="16"/>
      <w:bookmarkEnd w:id="17"/>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18" w:name="_Toc10909"/>
      <w:bookmarkStart w:id="19" w:name="_Toc12064"/>
      <w:bookmarkStart w:id="20" w:name="_Toc28270"/>
      <w:bookmarkStart w:id="21" w:name="_Toc22312"/>
      <w:bookmarkStart w:id="22" w:name="_Toc26739"/>
      <w:r>
        <w:rPr>
          <w:rFonts w:hint="eastAsia" w:ascii="宋体" w:hAnsi="宋体" w:cs="宋体"/>
          <w:b/>
          <w:bCs/>
          <w:kern w:val="0"/>
          <w:sz w:val="32"/>
          <w:szCs w:val="28"/>
        </w:rPr>
        <w:t>总则</w:t>
      </w:r>
      <w:bookmarkEnd w:id="18"/>
      <w:bookmarkEnd w:id="19"/>
      <w:bookmarkEnd w:id="20"/>
      <w:bookmarkEnd w:id="21"/>
      <w:bookmarkEnd w:id="22"/>
    </w:p>
    <w:p>
      <w:pPr>
        <w:pStyle w:val="4"/>
        <w:numPr>
          <w:ilvl w:val="0"/>
          <w:numId w:val="4"/>
        </w:numPr>
        <w:ind w:firstLine="562" w:firstLineChars="200"/>
        <w:rPr>
          <w:rFonts w:ascii="宋体" w:hAnsi="宋体" w:cs="宋体"/>
        </w:rPr>
      </w:pPr>
      <w:bookmarkStart w:id="23" w:name="_Toc380336725"/>
      <w:bookmarkStart w:id="24" w:name="_Toc6742"/>
      <w:bookmarkStart w:id="25" w:name="_Toc358364319"/>
      <w:bookmarkStart w:id="26" w:name="_Toc9257"/>
      <w:r>
        <w:rPr>
          <w:rFonts w:hint="eastAsia" w:ascii="宋体" w:hAnsi="宋体" w:cs="宋体"/>
        </w:rPr>
        <w:t>适用范围</w:t>
      </w:r>
      <w:bookmarkEnd w:id="23"/>
      <w:bookmarkEnd w:id="24"/>
      <w:bookmarkEnd w:id="25"/>
      <w:bookmarkEnd w:id="26"/>
    </w:p>
    <w:p>
      <w:pPr>
        <w:widowControl/>
        <w:spacing w:line="500" w:lineRule="exact"/>
        <w:ind w:firstLine="480" w:firstLineChars="200"/>
        <w:outlineLvl w:val="9"/>
        <w:rPr>
          <w:rFonts w:ascii="宋体" w:hAnsi="宋体" w:cs="宋体"/>
          <w:kern w:val="0"/>
          <w:sz w:val="24"/>
          <w:szCs w:val="24"/>
        </w:rPr>
      </w:pPr>
      <w:r>
        <w:rPr>
          <w:rFonts w:hint="eastAsia" w:ascii="宋体" w:hAnsi="宋体" w:cs="宋体"/>
          <w:kern w:val="0"/>
          <w:sz w:val="24"/>
          <w:szCs w:val="24"/>
        </w:rPr>
        <w:t>1.1 本磋商文件适用于本次采购活动的全过程。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pPr>
        <w:pStyle w:val="4"/>
        <w:numPr>
          <w:ilvl w:val="0"/>
          <w:numId w:val="4"/>
        </w:numPr>
        <w:ind w:firstLine="562" w:firstLineChars="200"/>
        <w:rPr>
          <w:rFonts w:ascii="宋体" w:hAnsi="宋体" w:cs="宋体"/>
        </w:rPr>
      </w:pPr>
      <w:bookmarkStart w:id="27" w:name="_Toc358364320"/>
      <w:bookmarkStart w:id="28" w:name="_Toc11287"/>
      <w:bookmarkStart w:id="29" w:name="_Toc7922"/>
      <w:bookmarkStart w:id="30" w:name="_Toc380336726"/>
      <w:r>
        <w:rPr>
          <w:rFonts w:hint="eastAsia" w:ascii="宋体" w:hAnsi="宋体" w:cs="宋体"/>
        </w:rPr>
        <w:t>定义</w:t>
      </w:r>
      <w:bookmarkEnd w:id="27"/>
      <w:bookmarkEnd w:id="28"/>
      <w:bookmarkEnd w:id="29"/>
      <w:bookmarkEnd w:id="30"/>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w:t>
      </w:r>
      <w:r>
        <w:rPr>
          <w:rFonts w:hint="eastAsia" w:ascii="宋体" w:hAnsi="宋体" w:cs="宋体"/>
          <w:color w:val="000000" w:themeColor="text1"/>
          <w:kern w:val="0"/>
          <w:sz w:val="24"/>
          <w:szCs w:val="24"/>
          <w14:textFill>
            <w14:solidFill>
              <w14:schemeClr w14:val="tx1"/>
            </w14:solidFill>
          </w14:textFill>
        </w:rPr>
        <w:t>、产品、等</w:t>
      </w:r>
      <w:r>
        <w:rPr>
          <w:rFonts w:hint="eastAsia" w:ascii="宋体" w:hAnsi="宋体" w:cs="宋体"/>
          <w:kern w:val="0"/>
          <w:sz w:val="24"/>
          <w:szCs w:val="24"/>
        </w:rPr>
        <w:t>。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pStyle w:val="4"/>
        <w:numPr>
          <w:ilvl w:val="0"/>
          <w:numId w:val="4"/>
        </w:numPr>
        <w:spacing w:line="500" w:lineRule="exact"/>
        <w:ind w:firstLine="562" w:firstLineChars="200"/>
        <w:rPr>
          <w:rFonts w:ascii="宋体" w:hAnsi="宋体" w:cs="宋体"/>
          <w:szCs w:val="28"/>
        </w:rPr>
      </w:pPr>
      <w:bookmarkStart w:id="31" w:name="_Toc380336727"/>
      <w:bookmarkStart w:id="32" w:name="_Toc17676"/>
      <w:bookmarkStart w:id="33" w:name="_Toc358364321"/>
      <w:bookmarkStart w:id="34" w:name="_Toc23781"/>
      <w:r>
        <w:rPr>
          <w:rFonts w:hint="eastAsia" w:ascii="宋体" w:hAnsi="宋体" w:cs="宋体"/>
          <w:szCs w:val="28"/>
        </w:rPr>
        <w:t>合格的</w:t>
      </w:r>
      <w:bookmarkEnd w:id="31"/>
      <w:bookmarkEnd w:id="32"/>
      <w:bookmarkEnd w:id="33"/>
      <w:bookmarkEnd w:id="34"/>
      <w:r>
        <w:rPr>
          <w:rFonts w:hint="eastAsia" w:ascii="宋体" w:hAnsi="宋体" w:cs="宋体"/>
          <w:szCs w:val="28"/>
        </w:rPr>
        <w:t>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3.1具有本项目生产、制造、加工、供应或实施能力，符合、承认并承诺履行本磋商文件各项规定的国内供应商。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5"/>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6" w:firstLine="499" w:firstLineChars="208"/>
        <w:outlineLvl w:val="9"/>
        <w:rPr>
          <w:rFonts w:ascii="宋体" w:hAnsi="宋体" w:cs="宋体"/>
          <w:sz w:val="24"/>
          <w:szCs w:val="24"/>
        </w:rPr>
      </w:pPr>
      <w:r>
        <w:rPr>
          <w:rFonts w:hint="eastAsia" w:ascii="宋体" w:hAnsi="宋体" w:cs="宋体"/>
          <w:sz w:val="24"/>
          <w:szCs w:val="24"/>
        </w:rPr>
        <w:t>3.3供应商购买磋商文件时应登记备案，并提供有效联系方式。</w:t>
      </w:r>
    </w:p>
    <w:p>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outlineLvl w:val="9"/>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sz w:val="24"/>
          <w:szCs w:val="24"/>
        </w:rPr>
        <w:t>：</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1"/>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21"/>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pPr>
        <w:pStyle w:val="4"/>
        <w:numPr>
          <w:ilvl w:val="0"/>
          <w:numId w:val="4"/>
        </w:numPr>
        <w:spacing w:line="500" w:lineRule="exact"/>
        <w:ind w:firstLine="562" w:firstLineChars="200"/>
        <w:rPr>
          <w:rFonts w:ascii="宋体" w:hAnsi="宋体" w:cs="宋体"/>
          <w:szCs w:val="28"/>
        </w:rPr>
      </w:pPr>
      <w:bookmarkStart w:id="35" w:name="_Toc540"/>
      <w:bookmarkStart w:id="36" w:name="_Toc22444"/>
      <w:bookmarkStart w:id="37" w:name="_Toc358364322"/>
      <w:bookmarkStart w:id="38" w:name="_Toc380336728"/>
      <w:r>
        <w:rPr>
          <w:rFonts w:hint="eastAsia" w:ascii="宋体" w:hAnsi="宋体" w:cs="宋体"/>
          <w:szCs w:val="28"/>
        </w:rPr>
        <w:t>费用</w:t>
      </w:r>
      <w:bookmarkEnd w:id="35"/>
      <w:bookmarkEnd w:id="36"/>
      <w:bookmarkEnd w:id="37"/>
      <w:bookmarkEnd w:id="38"/>
    </w:p>
    <w:p>
      <w:pPr>
        <w:widowControl/>
        <w:wordWrap w:val="0"/>
        <w:snapToGrid w:val="0"/>
        <w:spacing w:before="156"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供应商应承担所有与准备和参加磋商有关的费用，采购代理机构（或采购人)在任何情况下均无义务和责任承担这些费用。</w:t>
      </w:r>
    </w:p>
    <w:p>
      <w:pPr>
        <w:pStyle w:val="4"/>
        <w:numPr>
          <w:ilvl w:val="0"/>
          <w:numId w:val="4"/>
        </w:numPr>
        <w:spacing w:line="500" w:lineRule="exact"/>
        <w:ind w:firstLine="562" w:firstLineChars="200"/>
        <w:rPr>
          <w:rFonts w:ascii="宋体" w:hAnsi="宋体" w:cs="宋体"/>
          <w:szCs w:val="28"/>
        </w:rPr>
      </w:pPr>
      <w:r>
        <w:rPr>
          <w:rFonts w:hint="eastAsia" w:ascii="宋体" w:hAnsi="宋体" w:cs="宋体"/>
          <w:szCs w:val="28"/>
        </w:rPr>
        <w:t>采购进口产品</w:t>
      </w:r>
    </w:p>
    <w:p>
      <w:pPr>
        <w:widowControl/>
        <w:wordWrap w:val="0"/>
        <w:snapToGrid w:val="0"/>
        <w:spacing w:before="156"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pPr>
        <w:pStyle w:val="4"/>
        <w:numPr>
          <w:ilvl w:val="0"/>
          <w:numId w:val="4"/>
        </w:numPr>
        <w:spacing w:after="312" w:afterLines="100" w:line="500" w:lineRule="exact"/>
        <w:ind w:firstLine="562" w:firstLineChars="200"/>
        <w:rPr>
          <w:rFonts w:ascii="宋体" w:hAnsi="宋体" w:cs="宋体"/>
          <w:szCs w:val="28"/>
        </w:rPr>
      </w:pPr>
      <w:r>
        <w:rPr>
          <w:rFonts w:hint="eastAsia" w:ascii="宋体" w:hAnsi="宋体" w:cs="宋体"/>
          <w:szCs w:val="28"/>
        </w:rPr>
        <w:t>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6.1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6.3 产品同时属于“非强制采购节能产品”、环境标志产品的，评审时只有其中一项能享受优先待遇（供应商自行选择，并在报价文件中填写相关信息及数据）。</w:t>
      </w:r>
    </w:p>
    <w:p>
      <w:pPr>
        <w:widowControl/>
        <w:wordWrap w:val="0"/>
        <w:snapToGrid w:val="0"/>
        <w:spacing w:line="360" w:lineRule="auto"/>
        <w:ind w:right="-92" w:rightChars="-44" w:firstLine="480" w:firstLineChars="200"/>
        <w:jc w:val="left"/>
        <w:rPr>
          <w:rFonts w:ascii="宋体" w:hAnsi="宋体" w:cs="宋体"/>
          <w:kern w:val="0"/>
          <w:sz w:val="24"/>
          <w:szCs w:val="24"/>
        </w:rPr>
      </w:pPr>
    </w:p>
    <w:p>
      <w:pPr>
        <w:widowControl/>
        <w:wordWrap w:val="0"/>
        <w:snapToGrid w:val="0"/>
        <w:spacing w:line="360" w:lineRule="auto"/>
        <w:ind w:right="-90" w:rightChars="-43" w:firstLine="480" w:firstLineChars="200"/>
        <w:jc w:val="left"/>
        <w:rPr>
          <w:rFonts w:ascii="宋体" w:hAnsi="宋体" w:cs="宋体"/>
          <w:kern w:val="0"/>
          <w:sz w:val="24"/>
          <w:szCs w:val="24"/>
        </w:rPr>
      </w:pPr>
    </w:p>
    <w:p>
      <w:pPr>
        <w:widowControl/>
        <w:spacing w:line="360" w:lineRule="auto"/>
        <w:rPr>
          <w:rFonts w:ascii="宋体" w:hAnsi="宋体" w:cs="宋体"/>
          <w:b/>
          <w:bCs/>
          <w:kern w:val="0"/>
          <w:sz w:val="32"/>
          <w:szCs w:val="28"/>
        </w:rPr>
        <w:sectPr>
          <w:pgSz w:w="11906" w:h="16838"/>
          <w:pgMar w:top="1440" w:right="1310" w:bottom="1440" w:left="1349" w:header="851" w:footer="992" w:gutter="0"/>
          <w:pgNumType w:fmt="decimal"/>
          <w:cols w:space="0" w:num="1"/>
          <w:rtlGutter w:val="0"/>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39" w:name="_Toc24962"/>
      <w:bookmarkStart w:id="40" w:name="_Toc7300"/>
      <w:bookmarkStart w:id="41" w:name="_Toc9177"/>
      <w:bookmarkStart w:id="42" w:name="_Toc1811"/>
      <w:r>
        <w:rPr>
          <w:rFonts w:hint="eastAsia" w:ascii="宋体" w:hAnsi="宋体" w:cs="宋体"/>
          <w:b/>
          <w:bCs/>
          <w:kern w:val="0"/>
          <w:sz w:val="32"/>
          <w:szCs w:val="28"/>
        </w:rPr>
        <w:t>竞争性磋商文件</w:t>
      </w:r>
      <w:bookmarkEnd w:id="39"/>
      <w:bookmarkEnd w:id="40"/>
      <w:bookmarkEnd w:id="41"/>
      <w:bookmarkEnd w:id="42"/>
    </w:p>
    <w:p>
      <w:pPr>
        <w:pStyle w:val="4"/>
        <w:numPr>
          <w:ilvl w:val="0"/>
          <w:numId w:val="6"/>
        </w:numPr>
        <w:outlineLvl w:val="2"/>
        <w:rPr>
          <w:rFonts w:ascii="宋体" w:hAnsi="宋体" w:cs="宋体"/>
        </w:rPr>
      </w:pPr>
      <w:bookmarkStart w:id="43" w:name="_Toc5801"/>
      <w:r>
        <w:rPr>
          <w:rFonts w:hint="eastAsia" w:ascii="宋体" w:hAnsi="宋体" w:cs="宋体"/>
        </w:rPr>
        <w:t>竞争性磋商文件的构成</w:t>
      </w:r>
      <w:bookmarkEnd w:id="43"/>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pPr>
        <w:numPr>
          <w:ilvl w:val="0"/>
          <w:numId w:val="7"/>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4"/>
        <w:numPr>
          <w:ilvl w:val="0"/>
          <w:numId w:val="6"/>
        </w:numPr>
        <w:outlineLvl w:val="2"/>
        <w:rPr>
          <w:rFonts w:ascii="宋体" w:hAnsi="宋体" w:cs="宋体"/>
        </w:rPr>
      </w:pPr>
      <w:bookmarkStart w:id="44" w:name="_Toc19797"/>
      <w:r>
        <w:rPr>
          <w:rFonts w:hint="eastAsia" w:ascii="宋体" w:hAnsi="宋体" w:cs="宋体"/>
        </w:rPr>
        <w:t>竞争性磋商文件的澄清</w:t>
      </w:r>
      <w:bookmarkEnd w:id="44"/>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pPr>
        <w:pStyle w:val="4"/>
        <w:numPr>
          <w:ilvl w:val="0"/>
          <w:numId w:val="6"/>
        </w:numPr>
        <w:rPr>
          <w:rFonts w:ascii="宋体" w:hAnsi="宋体" w:cs="宋体"/>
        </w:rPr>
      </w:pPr>
      <w:bookmarkStart w:id="45" w:name="_Toc6390"/>
      <w:r>
        <w:rPr>
          <w:rFonts w:hint="eastAsia" w:ascii="宋体" w:hAnsi="宋体" w:cs="宋体"/>
        </w:rPr>
        <w:t>竞争性磋商文件的修改</w:t>
      </w:r>
      <w:bookmarkEnd w:id="45"/>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pPr>
        <w:pStyle w:val="4"/>
        <w:numPr>
          <w:ilvl w:val="0"/>
          <w:numId w:val="6"/>
        </w:numPr>
        <w:rPr>
          <w:rFonts w:ascii="宋体" w:hAnsi="宋体" w:cs="宋体"/>
        </w:rPr>
      </w:pPr>
      <w:bookmarkStart w:id="46" w:name="_Toc31188"/>
      <w:r>
        <w:rPr>
          <w:rFonts w:hint="eastAsia" w:ascii="宋体" w:hAnsi="宋体" w:cs="宋体"/>
        </w:rPr>
        <w:t>竞争性磋商文件的获取</w:t>
      </w:r>
      <w:bookmarkEnd w:id="46"/>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供应商必须从代理机构购买竞争性磋商文件，供应商自行转让或复制竞争性磋商文件视为无效。竞争性磋商文件一经售出，一律不退，仅作为本次竞争性磋商使用。</w:t>
      </w:r>
    </w:p>
    <w:p>
      <w:pPr>
        <w:pStyle w:val="4"/>
        <w:numPr>
          <w:ilvl w:val="0"/>
          <w:numId w:val="6"/>
        </w:numPr>
        <w:rPr>
          <w:rFonts w:ascii="宋体" w:hAnsi="宋体" w:cs="宋体"/>
        </w:rPr>
      </w:pPr>
      <w:bookmarkStart w:id="47" w:name="_Toc5095"/>
      <w:r>
        <w:rPr>
          <w:rFonts w:hint="eastAsia" w:ascii="宋体" w:hAnsi="宋体" w:cs="宋体"/>
        </w:rPr>
        <w:t>竞争性磋商文件的解释权归代理机构。</w:t>
      </w:r>
      <w:bookmarkEnd w:id="47"/>
    </w:p>
    <w:p>
      <w:pPr>
        <w:widowControl/>
        <w:numPr>
          <w:ilvl w:val="0"/>
          <w:numId w:val="3"/>
        </w:numPr>
        <w:spacing w:line="360" w:lineRule="auto"/>
        <w:ind w:firstLine="643" w:firstLineChars="200"/>
        <w:jc w:val="center"/>
        <w:outlineLvl w:val="1"/>
        <w:rPr>
          <w:rFonts w:ascii="宋体" w:hAnsi="宋体" w:cs="宋体"/>
          <w:b/>
          <w:bCs/>
          <w:kern w:val="0"/>
          <w:sz w:val="32"/>
          <w:szCs w:val="28"/>
        </w:rPr>
        <w:sectPr>
          <w:pgSz w:w="11906" w:h="16838"/>
          <w:pgMar w:top="1440" w:right="1310" w:bottom="1440" w:left="1349" w:header="851" w:footer="992" w:gutter="0"/>
          <w:pgNumType w:fmt="decimal"/>
          <w:cols w:space="0" w:num="1"/>
          <w:rtlGutter w:val="0"/>
          <w:docGrid w:type="lines" w:linePitch="312" w:charSpace="0"/>
        </w:sectPr>
      </w:pPr>
    </w:p>
    <w:p>
      <w:pPr>
        <w:pStyle w:val="3"/>
        <w:numPr>
          <w:ilvl w:val="0"/>
          <w:numId w:val="3"/>
        </w:numPr>
        <w:jc w:val="center"/>
      </w:pPr>
      <w:bookmarkStart w:id="48" w:name="_Toc16608"/>
      <w:bookmarkStart w:id="49" w:name="_Toc23299"/>
      <w:bookmarkStart w:id="50" w:name="_Toc30195"/>
      <w:bookmarkStart w:id="51" w:name="_Toc25919"/>
      <w:bookmarkStart w:id="52" w:name="_Toc17371"/>
      <w:bookmarkStart w:id="53" w:name="_Toc3736"/>
      <w:r>
        <w:rPr>
          <w:rFonts w:hint="eastAsia"/>
        </w:rPr>
        <w:t>磋商响应文件</w:t>
      </w:r>
      <w:bookmarkEnd w:id="48"/>
      <w:bookmarkEnd w:id="49"/>
      <w:bookmarkEnd w:id="50"/>
      <w:bookmarkEnd w:id="51"/>
      <w:bookmarkEnd w:id="52"/>
    </w:p>
    <w:p>
      <w:pPr>
        <w:pStyle w:val="4"/>
        <w:numPr>
          <w:ilvl w:val="0"/>
          <w:numId w:val="8"/>
        </w:numPr>
        <w:outlineLvl w:val="2"/>
        <w:rPr>
          <w:rFonts w:ascii="宋体" w:hAnsi="宋体" w:cs="宋体"/>
        </w:rPr>
      </w:pPr>
      <w:bookmarkStart w:id="54" w:name="_Toc17549"/>
      <w:r>
        <w:rPr>
          <w:rFonts w:hint="eastAsia" w:ascii="宋体" w:hAnsi="宋体" w:cs="宋体"/>
        </w:rPr>
        <w:t>磋商响应文件的编制</w:t>
      </w:r>
      <w:bookmarkEnd w:id="54"/>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响应函；</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磋商一览表 ；</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分项报价表；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供应商资质证明资料；</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商务和技术响应偏离表；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技术支持资料；</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供应商业绩一览表；</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供应商认为有必要说明的其他问题；</w:t>
      </w:r>
    </w:p>
    <w:p>
      <w:pPr>
        <w:numPr>
          <w:ilvl w:val="0"/>
          <w:numId w:val="9"/>
        </w:numPr>
        <w:tabs>
          <w:tab w:val="left" w:pos="0"/>
        </w:tabs>
        <w:adjustRightInd w:val="0"/>
        <w:snapToGrid w:val="0"/>
        <w:spacing w:line="440" w:lineRule="exact"/>
        <w:jc w:val="left"/>
        <w:rPr>
          <w:rFonts w:ascii="宋体" w:hAnsi="宋体" w:cs="宋体"/>
          <w:sz w:val="24"/>
          <w:szCs w:val="24"/>
        </w:rPr>
      </w:pPr>
      <w:r>
        <w:rPr>
          <w:rFonts w:hint="eastAsia" w:ascii="宋体" w:hAnsi="宋体" w:cs="宋体"/>
          <w:sz w:val="24"/>
          <w:szCs w:val="24"/>
        </w:rPr>
        <w:t>供应商承诺书；</w:t>
      </w:r>
    </w:p>
    <w:p>
      <w:pPr>
        <w:pStyle w:val="4"/>
        <w:numPr>
          <w:ilvl w:val="0"/>
          <w:numId w:val="8"/>
        </w:numPr>
        <w:outlineLvl w:val="2"/>
        <w:rPr>
          <w:rFonts w:ascii="宋体" w:hAnsi="宋体" w:cs="宋体"/>
        </w:rPr>
      </w:pPr>
      <w:r>
        <w:rPr>
          <w:rFonts w:hint="eastAsia" w:ascii="宋体" w:hAnsi="宋体" w:cs="宋体"/>
        </w:rPr>
        <w:t>响应报价</w:t>
      </w:r>
    </w:p>
    <w:p>
      <w:pPr>
        <w:tabs>
          <w:tab w:val="left" w:pos="0"/>
        </w:tabs>
        <w:adjustRightInd w:val="0"/>
        <w:snapToGrid w:val="0"/>
        <w:spacing w:line="440" w:lineRule="exact"/>
        <w:ind w:firstLine="480" w:firstLineChars="200"/>
        <w:jc w:val="left"/>
        <w:rPr>
          <w:rFonts w:ascii="宋体" w:hAnsi="宋体" w:cs="宋体"/>
          <w:sz w:val="24"/>
          <w:szCs w:val="24"/>
        </w:rPr>
      </w:pPr>
      <w:bookmarkStart w:id="55" w:name="_Toc29200"/>
      <w:r>
        <w:rPr>
          <w:rFonts w:hint="eastAsia" w:ascii="宋体" w:hAnsi="宋体" w:cs="宋体"/>
          <w:sz w:val="24"/>
          <w:szCs w:val="24"/>
        </w:rPr>
        <w:t>2.1供应商应在响应报价表中标明本次招标所要求的货物、工程、服务且验收合格的所有费用，包括总报价、服务报价、技术培训费（如果有）、检测费、人工费、税金及进口产品（如果有）国家按现行税收政策征收的一切税费等。在合同实施期间，响应报价表中标明本项目所需的总报价，不受市场价变化的影响，不受实际数量变化的影响。任何有选择的报价将不予接受，否则按无效响应处理。</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2.2供应商成交后承担服务过程中发生的安全事故产生的所有法律及经济责任。</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2.3响应报价表成交的价格，在合同执行过程中，不得以任何理由变更。</w:t>
      </w:r>
    </w:p>
    <w:p>
      <w:pPr>
        <w:tabs>
          <w:tab w:val="left" w:pos="0"/>
        </w:tabs>
        <w:adjustRightInd w:val="0"/>
        <w:snapToGrid w:val="0"/>
        <w:spacing w:line="440" w:lineRule="exact"/>
        <w:ind w:firstLine="480" w:firstLineChars="200"/>
        <w:jc w:val="left"/>
        <w:rPr>
          <w:rFonts w:ascii="宋体" w:hAnsi="宋体" w:cs="宋体"/>
          <w:color w:val="0000FF"/>
          <w:sz w:val="24"/>
          <w:szCs w:val="24"/>
        </w:rPr>
      </w:pPr>
      <w:r>
        <w:rPr>
          <w:rFonts w:hint="eastAsia" w:ascii="宋体" w:hAnsi="宋体" w:cs="宋体"/>
          <w:sz w:val="24"/>
          <w:szCs w:val="24"/>
        </w:rPr>
        <w:t>2.4供应商应在磋商响应文件中的磋商一览表上，标明总报价、服务期等磋商文件要求的其他内容；任何有选择的报价不予接受。</w:t>
      </w:r>
    </w:p>
    <w:p>
      <w:pPr>
        <w:tabs>
          <w:tab w:val="left" w:pos="0"/>
        </w:tabs>
        <w:adjustRightInd w:val="0"/>
        <w:snapToGrid w:val="0"/>
        <w:spacing w:line="440" w:lineRule="exact"/>
        <w:ind w:firstLine="480" w:firstLineChars="200"/>
        <w:jc w:val="left"/>
        <w:outlineLvl w:val="9"/>
        <w:rPr>
          <w:rFonts w:ascii="宋体" w:hAnsi="宋体" w:cs="宋体"/>
          <w:sz w:val="24"/>
          <w:szCs w:val="24"/>
        </w:rPr>
      </w:pPr>
      <w:r>
        <w:rPr>
          <w:rFonts w:hint="eastAsia" w:ascii="宋体" w:hAnsi="宋体" w:cs="宋体"/>
          <w:sz w:val="24"/>
          <w:szCs w:val="24"/>
        </w:rPr>
        <w:t>2.5最低报价不是成交的唯一依据。</w:t>
      </w:r>
    </w:p>
    <w:p>
      <w:pPr>
        <w:pStyle w:val="4"/>
        <w:numPr>
          <w:ilvl w:val="0"/>
          <w:numId w:val="8"/>
        </w:numPr>
        <w:outlineLvl w:val="2"/>
        <w:rPr>
          <w:rFonts w:ascii="宋体" w:hAnsi="宋体" w:cs="宋体"/>
        </w:rPr>
      </w:pPr>
      <w:r>
        <w:rPr>
          <w:rFonts w:hint="eastAsia" w:ascii="宋体" w:hAnsi="宋体" w:cs="宋体"/>
        </w:rPr>
        <w:t>磋商货币</w:t>
      </w:r>
      <w:bookmarkEnd w:id="55"/>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采购人只接受人民币作为唯一磋商货币。</w:t>
      </w:r>
    </w:p>
    <w:p>
      <w:pPr>
        <w:pStyle w:val="4"/>
        <w:numPr>
          <w:ilvl w:val="0"/>
          <w:numId w:val="8"/>
        </w:numPr>
        <w:outlineLvl w:val="2"/>
        <w:rPr>
          <w:rFonts w:ascii="宋体" w:hAnsi="宋体" w:cs="宋体"/>
        </w:rPr>
      </w:pPr>
      <w:bookmarkStart w:id="56" w:name="_Toc19668"/>
      <w:r>
        <w:rPr>
          <w:rFonts w:hint="eastAsia" w:ascii="宋体" w:hAnsi="宋体" w:cs="宋体"/>
        </w:rPr>
        <w:t>磋商有效期</w:t>
      </w:r>
      <w:bookmarkEnd w:id="56"/>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pPr>
        <w:pStyle w:val="4"/>
        <w:numPr>
          <w:ilvl w:val="0"/>
          <w:numId w:val="8"/>
        </w:numPr>
        <w:outlineLvl w:val="2"/>
        <w:rPr>
          <w:rFonts w:ascii="宋体" w:hAnsi="宋体" w:cs="宋体"/>
          <w:szCs w:val="32"/>
        </w:rPr>
      </w:pPr>
      <w:bookmarkStart w:id="57" w:name="_Toc24827"/>
      <w:r>
        <w:rPr>
          <w:rFonts w:hint="eastAsia" w:ascii="宋体" w:hAnsi="宋体" w:cs="宋体"/>
        </w:rPr>
        <w:t>磋商响应文件的格式、装订、密封和签署</w:t>
      </w:r>
      <w:bookmarkEnd w:id="57"/>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5.1供应商须依据竞争性磋商文件内容和磋商响应文件格式的要求编制磋商响应文件；</w:t>
      </w:r>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并在每一页的正下方清楚标明第几页、共几页等字样。</w:t>
      </w:r>
    </w:p>
    <w:p>
      <w:pPr>
        <w:tabs>
          <w:tab w:val="left" w:pos="0"/>
        </w:tabs>
        <w:spacing w:line="360" w:lineRule="auto"/>
        <w:ind w:firstLine="480" w:firstLineChars="200"/>
        <w:outlineLvl w:val="9"/>
        <w:rPr>
          <w:rFonts w:ascii="宋体" w:hAnsi="宋体" w:cs="宋体"/>
          <w:sz w:val="24"/>
          <w:szCs w:val="24"/>
        </w:rPr>
      </w:pPr>
      <w:r>
        <w:rPr>
          <w:rFonts w:hint="eastAsia" w:ascii="宋体" w:hAnsi="宋体" w:cs="宋体"/>
          <w:sz w:val="24"/>
          <w:szCs w:val="24"/>
        </w:rPr>
        <w:t>5.2磋商响应文件的装订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，分别胶装装订成册（散页无效），且封面须清楚地标明“正本”或“副本”；若正本和副本不符，以正本书面文件为准；同时提供与正本内容一致的</w:t>
      </w:r>
      <w:bookmarkStart w:id="58" w:name="OLE_LINK13"/>
      <w:r>
        <w:rPr>
          <w:rFonts w:hint="eastAsia" w:ascii="宋体" w:hAnsi="宋体" w:cs="宋体"/>
          <w:sz w:val="24"/>
          <w:szCs w:val="24"/>
        </w:rPr>
        <w:t>电子版</w:t>
      </w:r>
      <w:bookmarkEnd w:id="58"/>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pPr>
        <w:spacing w:line="360" w:lineRule="auto"/>
        <w:ind w:firstLine="480" w:firstLineChars="200"/>
        <w:jc w:val="left"/>
        <w:outlineLvl w:val="9"/>
        <w:rPr>
          <w:rFonts w:ascii="宋体" w:hAnsi="宋体" w:cs="宋体"/>
          <w:sz w:val="24"/>
          <w:szCs w:val="24"/>
        </w:rPr>
      </w:pPr>
      <w:r>
        <w:rPr>
          <w:rFonts w:hint="eastAsia" w:ascii="宋体" w:hAnsi="宋体" w:cs="宋体"/>
          <w:sz w:val="24"/>
          <w:szCs w:val="24"/>
        </w:rPr>
        <w:t>5.3磋商响应文件的签署</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磋商响应文件应字迹清楚、内容齐全、不得涂改或增删。如有修改和增删，必须有供应商公章及法定代表人或其授权代表签字。</w:t>
      </w:r>
    </w:p>
    <w:p>
      <w:pPr>
        <w:numPr>
          <w:ilvl w:val="0"/>
          <w:numId w:val="10"/>
        </w:numPr>
        <w:spacing w:line="360" w:lineRule="auto"/>
        <w:jc w:val="left"/>
        <w:rPr>
          <w:rFonts w:ascii="宋体" w:hAnsi="宋体" w:cs="宋体"/>
          <w:sz w:val="24"/>
          <w:szCs w:val="24"/>
        </w:rPr>
      </w:pPr>
      <w:r>
        <w:rPr>
          <w:rFonts w:hint="eastAsia" w:ascii="宋体" w:hAnsi="宋体" w:cs="宋体"/>
          <w:sz w:val="24"/>
          <w:szCs w:val="24"/>
        </w:rPr>
        <w:t>因磋商响应文件字迹潦草或表达不清所引起的不利后果由供应商承担。</w:t>
      </w:r>
    </w:p>
    <w:p>
      <w:pPr>
        <w:spacing w:line="360" w:lineRule="auto"/>
        <w:ind w:firstLine="480" w:firstLineChars="200"/>
        <w:jc w:val="left"/>
        <w:outlineLvl w:val="9"/>
        <w:rPr>
          <w:rFonts w:ascii="宋体" w:hAnsi="宋体" w:cs="宋体"/>
          <w:sz w:val="24"/>
          <w:szCs w:val="24"/>
        </w:rPr>
      </w:pPr>
      <w:r>
        <w:rPr>
          <w:rFonts w:hint="eastAsia" w:ascii="宋体" w:hAnsi="宋体" w:cs="宋体"/>
          <w:sz w:val="24"/>
          <w:szCs w:val="24"/>
        </w:rPr>
        <w:t>5.4磋商响应文件的密封</w:t>
      </w:r>
    </w:p>
    <w:p>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w:t>
      </w:r>
      <w:r>
        <w:rPr>
          <w:rFonts w:hint="eastAsia" w:ascii="宋体" w:hAnsi="宋体" w:cs="宋体"/>
          <w:sz w:val="24"/>
          <w:szCs w:val="24"/>
          <w:lang w:eastAsia="zh-CN"/>
        </w:rPr>
        <w:t>、</w:t>
      </w:r>
      <w:r>
        <w:rPr>
          <w:rFonts w:hint="eastAsia" w:ascii="宋体" w:hAnsi="宋体" w:cs="宋体"/>
          <w:sz w:val="24"/>
          <w:szCs w:val="24"/>
          <w:lang w:val="en-US" w:eastAsia="zh-CN"/>
        </w:rPr>
        <w:t>包号</w:t>
      </w:r>
      <w:r>
        <w:rPr>
          <w:rFonts w:hint="eastAsia" w:ascii="宋体" w:hAnsi="宋体" w:cs="宋体"/>
          <w:sz w:val="24"/>
          <w:szCs w:val="24"/>
        </w:rPr>
        <w:t>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5.5本次磋商只接受简体中文文字的磋商响应文件；如磋商响应文件中出现外文资料，必须配以中文译文。否则，由此引发的一切责任由供应商自负。</w:t>
      </w:r>
    </w:p>
    <w:p>
      <w:pPr>
        <w:widowControl/>
        <w:spacing w:line="360" w:lineRule="auto"/>
        <w:ind w:firstLine="480" w:firstLineChars="200"/>
        <w:outlineLvl w:val="9"/>
        <w:rPr>
          <w:rFonts w:ascii="宋体" w:hAnsi="宋体" w:cs="宋体"/>
          <w:kern w:val="0"/>
          <w:sz w:val="24"/>
        </w:rPr>
      </w:pPr>
      <w:r>
        <w:rPr>
          <w:rFonts w:hint="eastAsia" w:ascii="宋体" w:hAnsi="宋体" w:cs="宋体"/>
          <w:kern w:val="0"/>
          <w:sz w:val="24"/>
        </w:rPr>
        <w:t>5.6拒绝接受以电话、传真、电子邮件形式的磋商。</w:t>
      </w:r>
    </w:p>
    <w:p>
      <w:pPr>
        <w:pStyle w:val="4"/>
        <w:numPr>
          <w:ilvl w:val="0"/>
          <w:numId w:val="8"/>
        </w:numPr>
        <w:outlineLvl w:val="2"/>
        <w:rPr>
          <w:rFonts w:ascii="宋体" w:hAnsi="宋体" w:cs="宋体"/>
        </w:rPr>
      </w:pPr>
      <w:bookmarkStart w:id="59" w:name="_Toc22752"/>
      <w:r>
        <w:rPr>
          <w:rFonts w:hint="eastAsia" w:ascii="宋体" w:hAnsi="宋体" w:cs="宋体"/>
        </w:rPr>
        <w:t>知识产权</w:t>
      </w:r>
      <w:bookmarkEnd w:id="59"/>
    </w:p>
    <w:p>
      <w:pPr>
        <w:spacing w:line="360" w:lineRule="auto"/>
        <w:ind w:firstLine="480" w:firstLineChars="200"/>
        <w:jc w:val="left"/>
        <w:rPr>
          <w:rFonts w:ascii="宋体" w:hAnsi="宋体" w:cs="宋体"/>
          <w:sz w:val="24"/>
          <w:szCs w:val="24"/>
        </w:rPr>
      </w:pPr>
      <w:r>
        <w:rPr>
          <w:rFonts w:hint="eastAsia" w:ascii="宋体" w:hAnsi="宋体" w:cs="宋体"/>
          <w:sz w:val="24"/>
          <w:szCs w:val="24"/>
        </w:rPr>
        <w:t>6.1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80" w:firstLineChars="200"/>
        <w:jc w:val="left"/>
        <w:outlineLvl w:val="9"/>
        <w:rPr>
          <w:rFonts w:ascii="宋体" w:hAnsi="宋体" w:cs="宋体"/>
          <w:sz w:val="24"/>
          <w:szCs w:val="24"/>
        </w:rPr>
      </w:pPr>
      <w:r>
        <w:rPr>
          <w:rFonts w:hint="eastAsia" w:ascii="宋体" w:hAnsi="宋体" w:cs="宋体"/>
          <w:sz w:val="24"/>
          <w:szCs w:val="24"/>
        </w:rPr>
        <w:t>6.2采购人享有本项目在实施过程中产生的知识成果及知识产权。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6.4如供应商所不拥有的知识产权，则在响应报价中必须包括合法获取该知识产权的相关费用。</w:t>
      </w:r>
    </w:p>
    <w:p>
      <w:pPr>
        <w:widowControl/>
        <w:numPr>
          <w:ilvl w:val="0"/>
          <w:numId w:val="3"/>
        </w:numPr>
        <w:spacing w:line="360" w:lineRule="auto"/>
        <w:ind w:firstLine="643" w:firstLineChars="200"/>
        <w:jc w:val="center"/>
        <w:outlineLvl w:val="1"/>
        <w:rPr>
          <w:rFonts w:ascii="宋体" w:hAnsi="宋体" w:cs="宋体"/>
          <w:b/>
          <w:bCs/>
          <w:kern w:val="0"/>
          <w:sz w:val="32"/>
          <w:szCs w:val="28"/>
        </w:rPr>
        <w:sectPr>
          <w:pgSz w:w="11906" w:h="16838"/>
          <w:pgMar w:top="1440" w:right="1310" w:bottom="1440" w:left="1349" w:header="851" w:footer="992" w:gutter="0"/>
          <w:pgNumType w:fmt="decimal"/>
          <w:cols w:space="0" w:num="1"/>
          <w:rtlGutter w:val="0"/>
          <w:docGrid w:type="lines" w:linePitch="312" w:charSpace="0"/>
        </w:sect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60" w:name="_Toc3565"/>
      <w:bookmarkStart w:id="61" w:name="_Toc2312"/>
      <w:bookmarkStart w:id="62" w:name="_Toc17723"/>
      <w:bookmarkStart w:id="63" w:name="_Toc6882"/>
      <w:bookmarkStart w:id="64" w:name="_Toc7624"/>
      <w:r>
        <w:rPr>
          <w:rFonts w:hint="eastAsia" w:ascii="宋体" w:hAnsi="宋体" w:cs="宋体"/>
          <w:b/>
          <w:bCs/>
          <w:kern w:val="0"/>
          <w:sz w:val="32"/>
          <w:szCs w:val="28"/>
        </w:rPr>
        <w:t>磋商响应文件的递交</w:t>
      </w:r>
      <w:bookmarkEnd w:id="60"/>
      <w:bookmarkEnd w:id="61"/>
      <w:bookmarkEnd w:id="62"/>
      <w:bookmarkEnd w:id="63"/>
      <w:bookmarkEnd w:id="64"/>
    </w:p>
    <w:bookmarkEnd w:id="53"/>
    <w:p>
      <w:pPr>
        <w:pStyle w:val="4"/>
        <w:numPr>
          <w:ilvl w:val="0"/>
          <w:numId w:val="11"/>
        </w:numPr>
        <w:ind w:firstLine="562" w:firstLineChars="200"/>
        <w:rPr>
          <w:rFonts w:ascii="宋体" w:hAnsi="宋体" w:cs="宋体"/>
        </w:rPr>
      </w:pPr>
      <w:bookmarkStart w:id="65" w:name="_Toc3685"/>
      <w:r>
        <w:rPr>
          <w:rFonts w:hint="eastAsia" w:ascii="宋体" w:hAnsi="宋体" w:cs="宋体"/>
        </w:rPr>
        <w:t>磋商响应文件递交</w:t>
      </w:r>
      <w:bookmarkEnd w:id="65"/>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pPr>
        <w:pStyle w:val="4"/>
        <w:numPr>
          <w:ilvl w:val="0"/>
          <w:numId w:val="11"/>
        </w:numPr>
        <w:ind w:firstLine="562" w:firstLineChars="200"/>
        <w:rPr>
          <w:rFonts w:ascii="宋体" w:hAnsi="宋体" w:cs="宋体"/>
        </w:rPr>
      </w:pPr>
      <w:bookmarkStart w:id="66" w:name="_Toc12741"/>
      <w:r>
        <w:rPr>
          <w:rFonts w:hint="eastAsia" w:ascii="宋体" w:hAnsi="宋体" w:cs="宋体"/>
        </w:rPr>
        <w:t>磋商响应文件的修改和撤回</w:t>
      </w:r>
      <w:bookmarkEnd w:id="66"/>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在磋商截止时间之后，供应商不得对其递交的磋商响应文件做任何修改或撤回。</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67" w:name="_Toc30333"/>
      <w:bookmarkStart w:id="68" w:name="_Toc28196"/>
      <w:bookmarkStart w:id="69" w:name="_Toc6281"/>
      <w:bookmarkStart w:id="70" w:name="_Toc14415"/>
      <w:bookmarkStart w:id="71" w:name="_Toc27217"/>
      <w:bookmarkStart w:id="72" w:name="_Toc27066"/>
      <w:r>
        <w:rPr>
          <w:rFonts w:hint="eastAsia" w:ascii="宋体" w:hAnsi="宋体" w:cs="宋体"/>
          <w:b/>
          <w:bCs/>
          <w:kern w:val="0"/>
          <w:sz w:val="32"/>
          <w:szCs w:val="28"/>
        </w:rPr>
        <w:t>磋商、评审、定标</w:t>
      </w:r>
      <w:bookmarkEnd w:id="67"/>
      <w:bookmarkEnd w:id="68"/>
      <w:bookmarkEnd w:id="69"/>
      <w:bookmarkEnd w:id="70"/>
      <w:bookmarkEnd w:id="71"/>
      <w:bookmarkEnd w:id="72"/>
    </w:p>
    <w:p>
      <w:pPr>
        <w:pStyle w:val="4"/>
        <w:numPr>
          <w:ilvl w:val="0"/>
          <w:numId w:val="12"/>
        </w:numPr>
        <w:ind w:firstLine="562" w:firstLineChars="200"/>
        <w:rPr>
          <w:rFonts w:ascii="宋体" w:hAnsi="宋体" w:cs="宋体"/>
        </w:rPr>
      </w:pPr>
      <w:r>
        <w:rPr>
          <w:rFonts w:hint="eastAsia" w:ascii="宋体" w:hAnsi="宋体" w:cs="宋体"/>
        </w:rPr>
        <w:t>磋商</w:t>
      </w:r>
    </w:p>
    <w:p>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1.3磋商时，磋商响应文件中出现下列情况，修正原则为：</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磋商文件中磋商一览表（报价表）内容与响应文件中相应内容不一致的，以磋商一览表（报价表）为准；报价精确到小数点后两位，不进行四舍五入；</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pPr>
        <w:widowControl/>
        <w:numPr>
          <w:ilvl w:val="0"/>
          <w:numId w:val="13"/>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pPr>
        <w:pStyle w:val="4"/>
        <w:numPr>
          <w:ilvl w:val="0"/>
          <w:numId w:val="12"/>
        </w:numPr>
        <w:rPr>
          <w:rFonts w:ascii="宋体" w:hAnsi="宋体" w:cs="宋体"/>
        </w:rPr>
      </w:pPr>
      <w:r>
        <w:rPr>
          <w:rFonts w:hint="eastAsia" w:ascii="宋体" w:hAnsi="宋体" w:cs="宋体"/>
        </w:rPr>
        <w:t>磋商小组</w:t>
      </w:r>
    </w:p>
    <w:p>
      <w:pPr>
        <w:widowControl/>
        <w:spacing w:line="360" w:lineRule="auto"/>
        <w:ind w:firstLine="480" w:firstLineChars="200"/>
        <w:rPr>
          <w:rFonts w:ascii="宋体" w:hAnsi="宋体" w:cs="宋体"/>
          <w:kern w:val="0"/>
          <w:sz w:val="24"/>
        </w:rPr>
      </w:pPr>
      <w:bookmarkStart w:id="73" w:name="_Toc27940"/>
      <w:bookmarkStart w:id="74" w:name="_Toc385958808"/>
      <w:bookmarkStart w:id="75" w:name="_Toc28085"/>
      <w:bookmarkStart w:id="76" w:name="_Toc386129876"/>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pPr>
        <w:widowControl/>
        <w:spacing w:line="360" w:lineRule="auto"/>
        <w:ind w:firstLine="480" w:firstLineChars="200"/>
        <w:outlineLvl w:val="9"/>
        <w:rPr>
          <w:rFonts w:ascii="宋体" w:hAnsi="宋体" w:cs="宋体"/>
          <w:kern w:val="0"/>
          <w:sz w:val="24"/>
        </w:rPr>
      </w:pPr>
      <w:r>
        <w:rPr>
          <w:rFonts w:hint="eastAsia" w:ascii="宋体" w:hAnsi="宋体" w:cs="宋体"/>
          <w:kern w:val="0"/>
          <w:sz w:val="24"/>
        </w:rPr>
        <w:t>2.3磋商小组成员有下列情形之一的，应当回避：</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2.3.1参加采购活动前3年内，与投标人存在劳动关系，或者担任过投标人的董事、监事，或者是投标人的控股股东或实际控制人；</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2.3.2参加采购活动前3年内与投标人发生过法律纠纷；</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2.3.3与投标人的法定代表人或者负责人有夫妻、直系血亲、三代以内旁系血亲或者近姻亲关系；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2.3.4与投标人有其他可能影响政府采购活动公平、公正进行的关系。评审专家发现本人与参加采购活动的投标人有利害关系的,应当主动提出回避。采购人或者采购代理机构发现评审专家与参加采购活动的投标人有利害关系的,应当要求其回避。</w:t>
      </w:r>
    </w:p>
    <w:p>
      <w:pPr>
        <w:widowControl/>
        <w:spacing w:line="360" w:lineRule="auto"/>
        <w:ind w:firstLine="480" w:firstLineChars="200"/>
      </w:pPr>
      <w:r>
        <w:rPr>
          <w:rFonts w:hint="eastAsia" w:ascii="宋体" w:hAnsi="宋体" w:cs="宋体"/>
          <w:kern w:val="0"/>
          <w:sz w:val="24"/>
        </w:rPr>
        <w:t>2.4磋商小组对各供应商的磋商响应文件进行审查、评估和比较，并推荐出成交候选人。</w:t>
      </w:r>
    </w:p>
    <w:p>
      <w:pPr>
        <w:pStyle w:val="4"/>
        <w:numPr>
          <w:ilvl w:val="0"/>
          <w:numId w:val="12"/>
        </w:numPr>
        <w:rPr>
          <w:rFonts w:ascii="宋体" w:hAnsi="宋体" w:cs="宋体"/>
        </w:rPr>
      </w:pPr>
      <w:r>
        <w:rPr>
          <w:rFonts w:hint="eastAsia" w:ascii="宋体" w:hAnsi="宋体" w:cs="宋体"/>
        </w:rPr>
        <w:t>磋商响应文件初审</w:t>
      </w:r>
      <w:bookmarkEnd w:id="73"/>
      <w:bookmarkEnd w:id="74"/>
      <w:bookmarkEnd w:id="75"/>
      <w:bookmarkEnd w:id="76"/>
    </w:p>
    <w:p>
      <w:pPr>
        <w:overflowPunct w:val="0"/>
        <w:adjustRightInd w:val="0"/>
        <w:snapToGrid w:val="0"/>
        <w:spacing w:line="360" w:lineRule="auto"/>
        <w:ind w:firstLine="480" w:firstLineChars="200"/>
        <w:outlineLvl w:val="9"/>
        <w:rPr>
          <w:rFonts w:ascii="宋体" w:hAnsi="宋体" w:cs="宋体"/>
          <w:kern w:val="0"/>
          <w:sz w:val="24"/>
        </w:rPr>
      </w:pPr>
      <w:r>
        <w:rPr>
          <w:rFonts w:hint="eastAsia" w:ascii="宋体" w:hAnsi="宋体" w:cs="宋体"/>
          <w:kern w:val="0"/>
          <w:sz w:val="24"/>
        </w:rPr>
        <w:t>3.1磋商响应文件的资格性审查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依据法律法规和竞争性磋商文件的规定，由采购代理机构或采购人对磋商响应文件中的资格证明文件等进行审查，以确保供应商是否具备相应资格。</w:t>
      </w:r>
    </w:p>
    <w:p>
      <w:pPr>
        <w:overflowPunct w:val="0"/>
        <w:adjustRightInd w:val="0"/>
        <w:snapToGrid w:val="0"/>
        <w:spacing w:line="360" w:lineRule="auto"/>
        <w:ind w:firstLine="480" w:firstLineChars="200"/>
        <w:outlineLvl w:val="9"/>
        <w:rPr>
          <w:rFonts w:ascii="宋体" w:hAnsi="宋体" w:cs="宋体"/>
          <w:kern w:val="0"/>
          <w:sz w:val="24"/>
        </w:rPr>
      </w:pPr>
      <w:r>
        <w:rPr>
          <w:rFonts w:hint="eastAsia" w:ascii="宋体" w:hAnsi="宋体" w:cs="宋体"/>
          <w:kern w:val="0"/>
          <w:sz w:val="24"/>
        </w:rPr>
        <w:t>3.2磋商响应文件符合性审查</w:t>
      </w:r>
    </w:p>
    <w:p>
      <w:pPr>
        <w:overflowPunct w:val="0"/>
        <w:adjustRightInd w:val="0"/>
        <w:snapToGrid w:val="0"/>
        <w:spacing w:line="500" w:lineRule="exact"/>
        <w:ind w:firstLine="480" w:firstLineChars="200"/>
        <w:rPr>
          <w:rFonts w:hint="eastAsia" w:ascii="宋体" w:hAnsi="宋体" w:cs="宋体"/>
          <w:kern w:val="0"/>
          <w:sz w:val="24"/>
        </w:rPr>
      </w:pPr>
      <w:r>
        <w:rPr>
          <w:rFonts w:hint="eastAsia" w:asciiTheme="minorEastAsia" w:hAnsiTheme="minorEastAsia" w:cstheme="minorEastAsia"/>
          <w:kern w:val="0"/>
          <w:sz w:val="24"/>
          <w:szCs w:val="24"/>
        </w:rPr>
        <w:t>依据</w:t>
      </w:r>
      <w:r>
        <w:rPr>
          <w:rFonts w:hint="eastAsia" w:ascii="宋体" w:hAnsi="宋体" w:cs="宋体"/>
          <w:kern w:val="0"/>
          <w:sz w:val="24"/>
        </w:rPr>
        <w:t>法律法规和竞争性磋商文件的规定，由磋商小组对符合资格要求的供应商的响应文件有效性、完整性和对磋商文件的响应程度进行符合性审查，以确定是否对磋商文件的实质性内容作出响应，下列情况有一项不满足者（但不限于）不得进入下一轮评审：</w:t>
      </w:r>
    </w:p>
    <w:p>
      <w:pPr>
        <w:overflowPunct w:val="0"/>
        <w:adjustRightInd w:val="0"/>
        <w:snapToGrid w:val="0"/>
        <w:spacing w:line="500" w:lineRule="exact"/>
        <w:ind w:firstLine="480" w:firstLineChars="200"/>
        <w:rPr>
          <w:rFonts w:hint="eastAsia" w:ascii="宋体" w:hAnsi="宋体" w:cs="宋体"/>
          <w:kern w:val="0"/>
          <w:sz w:val="24"/>
        </w:rPr>
      </w:pPr>
    </w:p>
    <w:tbl>
      <w:tblPr>
        <w:tblStyle w:val="19"/>
        <w:tblW w:w="8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93"/>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 w:type="dxa"/>
            <w:vMerge w:val="restart"/>
            <w:vAlign w:val="center"/>
          </w:tcPr>
          <w:p>
            <w:pPr>
              <w:overflowPunct w:val="0"/>
              <w:adjustRightInd w:val="0"/>
              <w:snapToGrid w:val="0"/>
              <w:spacing w:line="500" w:lineRule="exact"/>
              <w:rPr>
                <w:rFonts w:asciiTheme="minorEastAsia" w:hAnsiTheme="minorEastAsia" w:cstheme="minorEastAsia"/>
                <w:kern w:val="0"/>
                <w:sz w:val="22"/>
              </w:rPr>
            </w:pPr>
            <w:r>
              <w:rPr>
                <w:rFonts w:hint="eastAsia" w:asciiTheme="minorEastAsia" w:hAnsiTheme="minorEastAsia" w:cstheme="minorEastAsia"/>
                <w:kern w:val="0"/>
                <w:sz w:val="22"/>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 w:val="22"/>
              </w:rPr>
              <w:t>审查</w:t>
            </w:r>
          </w:p>
        </w:tc>
        <w:tc>
          <w:tcPr>
            <w:tcW w:w="293"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1</w:t>
            </w:r>
          </w:p>
        </w:tc>
        <w:tc>
          <w:tcPr>
            <w:tcW w:w="7387"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293"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2</w:t>
            </w:r>
          </w:p>
        </w:tc>
        <w:tc>
          <w:tcPr>
            <w:tcW w:w="7387"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响应报价是否超过预算或最高限价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293"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3</w:t>
            </w:r>
          </w:p>
        </w:tc>
        <w:tc>
          <w:tcPr>
            <w:tcW w:w="7387"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响应文件签字、盖章是否满足竞争性磋商文件要求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293"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4</w:t>
            </w:r>
          </w:p>
        </w:tc>
        <w:tc>
          <w:tcPr>
            <w:tcW w:w="7387"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磋商有效期是否满足竞争性磋商文件要求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293"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kern w:val="0"/>
                <w:sz w:val="24"/>
                <w:szCs w:val="24"/>
              </w:rPr>
              <w:t>5</w:t>
            </w:r>
          </w:p>
        </w:tc>
        <w:tc>
          <w:tcPr>
            <w:tcW w:w="7387"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 w:val="24"/>
                <w:szCs w:val="24"/>
              </w:rPr>
              <w:t>无与磋商文件商务要求条款不一致或增加了采购人难以接受的条款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1"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293" w:type="dxa"/>
          </w:tcPr>
          <w:p>
            <w:pPr>
              <w:overflowPunct w:val="0"/>
              <w:adjustRightInd w:val="0"/>
              <w:snapToGrid w:val="0"/>
              <w:spacing w:line="500" w:lineRule="exact"/>
              <w:rPr>
                <w:rFonts w:asciiTheme="minorEastAsia" w:hAnsiTheme="minorEastAsia" w:cstheme="minorEastAsia"/>
                <w:kern w:val="0"/>
                <w:sz w:val="22"/>
              </w:rPr>
            </w:pPr>
            <w:r>
              <w:rPr>
                <w:rFonts w:hint="eastAsia" w:ascii="宋体" w:hAnsi="宋体" w:cs="宋体"/>
                <w:kern w:val="0"/>
                <w:sz w:val="24"/>
                <w:szCs w:val="24"/>
              </w:rPr>
              <w:t>6</w:t>
            </w:r>
          </w:p>
        </w:tc>
        <w:tc>
          <w:tcPr>
            <w:tcW w:w="7387" w:type="dxa"/>
          </w:tcPr>
          <w:p>
            <w:pPr>
              <w:overflowPunct w:val="0"/>
              <w:adjustRightInd w:val="0"/>
              <w:snapToGrid w:val="0"/>
              <w:spacing w:line="500" w:lineRule="exact"/>
              <w:rPr>
                <w:rFonts w:ascii="宋体" w:hAnsi="宋体" w:cs="宋体"/>
                <w:sz w:val="22"/>
              </w:rPr>
            </w:pPr>
            <w:r>
              <w:rPr>
                <w:rFonts w:hint="eastAsia" w:ascii="宋体" w:hAnsi="宋体" w:cs="宋体"/>
                <w:kern w:val="0"/>
                <w:sz w:val="24"/>
                <w:szCs w:val="24"/>
              </w:rPr>
              <w:t>是否符合法律法规和磋商文件规定的其他实质性要求</w:t>
            </w:r>
          </w:p>
        </w:tc>
      </w:tr>
    </w:tbl>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3.3经过对供应商及磋商响应文件审查，出现下列情况者（但不限于），视为未响应磋商文件实质性条款，其响应文件按无效处理。</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pPr>
        <w:numPr>
          <w:ilvl w:val="0"/>
          <w:numId w:val="14"/>
        </w:numPr>
        <w:spacing w:line="360" w:lineRule="auto"/>
        <w:ind w:firstLine="480" w:firstLineChars="200"/>
        <w:rPr>
          <w:rFonts w:ascii="宋体" w:hAnsi="宋体" w:cs="宋体"/>
          <w:sz w:val="24"/>
        </w:rPr>
      </w:pPr>
      <w:r>
        <w:rPr>
          <w:rFonts w:hint="eastAsia" w:ascii="宋体" w:hAnsi="宋体" w:cs="宋体"/>
          <w:sz w:val="24"/>
          <w:szCs w:val="24"/>
        </w:rPr>
        <w:t>供应商未按照竞争性磋商文件要求交纳磋商保证金的或磋商保证金的交付单位和供应商的名称不一致，视为无效响应</w:t>
      </w:r>
      <w:r>
        <w:rPr>
          <w:rFonts w:hint="eastAsia" w:ascii="宋体" w:hAnsi="宋体" w:cs="宋体"/>
          <w:sz w:val="24"/>
        </w:rPr>
        <w:t>；</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经磋商小组一致认定响应产品的技术参数、性能指标与竞争性磋商文件要求出现重大负偏差的；或者提供虚假证明（包括第三方的虚假证明），除按无效文件处理外，还将按照政府采购法的有关规定进行处罚；</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磋商响应文件在商务响应方面（付款方式、服务期、服务承诺、验收条件等）与竞争性磋商文件要求不一致或附加了采购单位难以接受的条件或条款的；</w:t>
      </w:r>
    </w:p>
    <w:p>
      <w:pPr>
        <w:numPr>
          <w:ilvl w:val="0"/>
          <w:numId w:val="14"/>
        </w:numPr>
        <w:spacing w:line="360" w:lineRule="auto"/>
        <w:ind w:firstLine="480" w:firstLineChars="200"/>
        <w:rPr>
          <w:rFonts w:ascii="宋体" w:hAnsi="宋体" w:cs="宋体"/>
          <w:kern w:val="0"/>
          <w:sz w:val="24"/>
        </w:rPr>
      </w:pPr>
      <w:r>
        <w:rPr>
          <w:rFonts w:hint="eastAsia" w:ascii="宋体" w:hAnsi="宋体" w:cs="宋体"/>
          <w:sz w:val="24"/>
        </w:rPr>
        <w:t>如澄清、说明的内容与磋商响应文件内容有重大相悖或矛盾，将被认定为无效磋商。</w:t>
      </w:r>
    </w:p>
    <w:p>
      <w:pPr>
        <w:pStyle w:val="4"/>
        <w:numPr>
          <w:ilvl w:val="0"/>
          <w:numId w:val="12"/>
        </w:numPr>
        <w:rPr>
          <w:rFonts w:ascii="宋体" w:hAnsi="宋体" w:cs="宋体"/>
        </w:rPr>
      </w:pPr>
      <w:bookmarkStart w:id="77" w:name="_Toc17705"/>
      <w:r>
        <w:rPr>
          <w:rFonts w:hint="eastAsia" w:ascii="宋体" w:hAnsi="宋体" w:cs="宋体"/>
        </w:rPr>
        <w:t>磋商响应文件澄清</w:t>
      </w:r>
      <w:bookmarkEnd w:id="77"/>
    </w:p>
    <w:p>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pPr>
        <w:pStyle w:val="4"/>
        <w:numPr>
          <w:ilvl w:val="0"/>
          <w:numId w:val="12"/>
        </w:numPr>
        <w:rPr>
          <w:rFonts w:ascii="宋体" w:hAnsi="宋体" w:cs="宋体"/>
        </w:rPr>
      </w:pPr>
      <w:r>
        <w:rPr>
          <w:rFonts w:hint="eastAsia" w:ascii="宋体" w:hAnsi="宋体" w:cs="宋体"/>
        </w:rPr>
        <w:t>评审</w:t>
      </w:r>
    </w:p>
    <w:p>
      <w:pPr>
        <w:spacing w:line="360" w:lineRule="auto"/>
        <w:ind w:firstLine="480" w:firstLineChars="200"/>
        <w:rPr>
          <w:rFonts w:ascii="宋体" w:hAnsi="宋体" w:cs="宋体"/>
          <w:sz w:val="24"/>
        </w:rPr>
      </w:pPr>
      <w:bookmarkStart w:id="78"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5.1磋商小组有权对在磋商、评审过程中出现的一切问题，根据《中华人民共和国政府采购法》和《政府采购竞争性磋商采购方式管理暂行办法》的条款，本着公开、公平、公正的原则进行处理。 </w:t>
      </w:r>
    </w:p>
    <w:p>
      <w:pPr>
        <w:pStyle w:val="9"/>
        <w:spacing w:line="360" w:lineRule="auto"/>
        <w:ind w:firstLine="480" w:firstLineChars="200"/>
        <w:jc w:val="left"/>
        <w:rPr>
          <w:sz w:val="24"/>
          <w:szCs w:val="24"/>
        </w:rPr>
      </w:pPr>
      <w:r>
        <w:rPr>
          <w:rFonts w:hint="eastAsia"/>
          <w:sz w:val="24"/>
          <w:szCs w:val="24"/>
        </w:rPr>
        <w:t>5.2磋商小组按照第四部分“评审标准”规定的方法、评审因素、标准和程序对投标文件进行评审。第四部分“评审标准”没有规定的方法、评审因素和标准，不作为评审依据。</w:t>
      </w:r>
    </w:p>
    <w:p>
      <w:pPr>
        <w:spacing w:line="360" w:lineRule="auto"/>
        <w:ind w:firstLine="480" w:firstLineChars="200"/>
        <w:jc w:val="left"/>
        <w:outlineLvl w:val="9"/>
        <w:rPr>
          <w:rFonts w:ascii="宋体" w:hAnsi="宋体" w:cs="宋体"/>
          <w:sz w:val="24"/>
        </w:rPr>
      </w:pPr>
      <w:r>
        <w:rPr>
          <w:rFonts w:hint="eastAsia" w:ascii="宋体" w:hAnsi="宋体" w:cs="宋体"/>
          <w:sz w:val="24"/>
        </w:rPr>
        <w:t>5.3磋商流程</w:t>
      </w:r>
    </w:p>
    <w:p>
      <w:pPr>
        <w:numPr>
          <w:ilvl w:val="0"/>
          <w:numId w:val="15"/>
        </w:numPr>
        <w:spacing w:line="360" w:lineRule="auto"/>
        <w:rPr>
          <w:rFonts w:ascii="宋体" w:hAnsi="宋体" w:cs="宋体"/>
          <w:sz w:val="24"/>
        </w:rPr>
      </w:pPr>
      <w:r>
        <w:rPr>
          <w:rFonts w:hint="eastAsia" w:ascii="宋体" w:hAnsi="宋体" w:cs="宋体"/>
          <w:sz w:val="24"/>
        </w:rPr>
        <w:t>采购人或采购代理机构先对供应商作资格性审查，磋商小组对供应商作符合性审查，只有通过资格性/符合性审查的供应商，才能进入第二阶段的磋商，否则被淘汰。</w:t>
      </w:r>
    </w:p>
    <w:p>
      <w:pPr>
        <w:numPr>
          <w:ilvl w:val="0"/>
          <w:numId w:val="15"/>
        </w:numPr>
        <w:spacing w:line="360" w:lineRule="auto"/>
        <w:rPr>
          <w:rFonts w:ascii="宋体" w:hAnsi="宋体" w:cs="宋体"/>
          <w:sz w:val="24"/>
        </w:rPr>
      </w:pPr>
      <w:r>
        <w:rPr>
          <w:rFonts w:hint="eastAsia" w:ascii="宋体" w:hAnsi="宋体" w:cs="宋体"/>
          <w:sz w:val="24"/>
        </w:rPr>
        <w:t>磋商小组所有成员集中与单一供应商分别进行磋商（磋商轮次为多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numPr>
          <w:ilvl w:val="0"/>
          <w:numId w:val="15"/>
        </w:numPr>
        <w:spacing w:line="360" w:lineRule="auto"/>
        <w:rPr>
          <w:rFonts w:ascii="宋体" w:hAnsi="宋体" w:cs="宋体"/>
          <w:sz w:val="24"/>
        </w:rPr>
      </w:pPr>
      <w:r>
        <w:rPr>
          <w:rFonts w:hint="eastAsia" w:ascii="宋体" w:hAnsi="宋体" w:cs="宋体"/>
          <w:kern w:val="0"/>
          <w:sz w:val="24"/>
          <w:szCs w:val="24"/>
        </w:rPr>
        <w:t xml:space="preserve"> 如磋商小组认为某个供应商最终报价明显不合理且低于其他通过符合性审查供应商的最终报价，有可能影响服务质量或者不能诚信履约的，应当在评标现场要求供应商提供书面说明及相关证明材料。供应商未提供或提供的相关证明材料不能证明其报价合理性的，将视为无效投标。</w:t>
      </w:r>
    </w:p>
    <w:p>
      <w:pPr>
        <w:numPr>
          <w:ilvl w:val="0"/>
          <w:numId w:val="15"/>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numPr>
          <w:ilvl w:val="0"/>
          <w:numId w:val="15"/>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pPr>
        <w:widowControl/>
        <w:numPr>
          <w:ilvl w:val="0"/>
          <w:numId w:val="15"/>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磋商小组第四部分评分标准规定的各项因素进行比较、自主打分、综合评审。磋商小组将评审得分汇总后，按评审总得分由高到低汇总排序，推荐3名成交候选人；</w:t>
      </w:r>
      <w:r>
        <w:rPr>
          <w:rFonts w:hint="eastAsia" w:ascii="宋体" w:hAnsi="宋体" w:cs="宋体"/>
          <w:sz w:val="24"/>
          <w:szCs w:val="24"/>
        </w:rPr>
        <w:t>评审得分相同的，按照最后报价由低到高的顺序推荐。评审得分且最后报价相同的，按照技术指标优劣顺序推荐。</w:t>
      </w:r>
    </w:p>
    <w:p>
      <w:pPr>
        <w:pStyle w:val="4"/>
        <w:numPr>
          <w:ilvl w:val="0"/>
          <w:numId w:val="12"/>
        </w:numPr>
        <w:rPr>
          <w:rFonts w:ascii="宋体" w:hAnsi="宋体" w:cs="宋体"/>
        </w:rPr>
      </w:pPr>
      <w:r>
        <w:rPr>
          <w:rFonts w:hint="eastAsia" w:ascii="宋体" w:hAnsi="宋体" w:cs="宋体"/>
        </w:rPr>
        <w:t>定标</w:t>
      </w:r>
      <w:bookmarkEnd w:id="78"/>
    </w:p>
    <w:p>
      <w:pPr>
        <w:spacing w:line="360" w:lineRule="auto"/>
        <w:ind w:left="420"/>
        <w:jc w:val="left"/>
        <w:outlineLvl w:val="9"/>
        <w:rPr>
          <w:rFonts w:ascii="宋体" w:hAnsi="宋体" w:cs="宋体"/>
          <w:sz w:val="24"/>
        </w:rPr>
      </w:pPr>
      <w:r>
        <w:rPr>
          <w:rFonts w:hint="eastAsia" w:ascii="宋体" w:hAnsi="宋体" w:cs="宋体"/>
          <w:sz w:val="24"/>
        </w:rPr>
        <w:t>6.1代理机构在评审结束后1个工作日内将评审报告送达采购单位，采购单</w:t>
      </w:r>
    </w:p>
    <w:p>
      <w:pPr>
        <w:spacing w:line="360" w:lineRule="auto"/>
        <w:jc w:val="left"/>
        <w:rPr>
          <w:rFonts w:ascii="宋体" w:hAnsi="宋体" w:cs="宋体"/>
          <w:sz w:val="24"/>
        </w:rPr>
      </w:pPr>
      <w:r>
        <w:rPr>
          <w:rFonts w:hint="eastAsia" w:ascii="宋体" w:hAnsi="宋体" w:cs="宋体"/>
          <w:sz w:val="24"/>
        </w:rPr>
        <w:t>位在收到评审报告后4个工作日内，按照评审报告中推荐的成交候选人顺序确认第一成交候选人为成交单位，同时书面复函代理机构；</w:t>
      </w:r>
    </w:p>
    <w:p>
      <w:pPr>
        <w:spacing w:line="360" w:lineRule="auto"/>
        <w:ind w:firstLine="420" w:firstLineChars="175"/>
        <w:rPr>
          <w:rFonts w:ascii="宋体" w:hAnsi="宋体" w:cs="宋体"/>
          <w:sz w:val="24"/>
        </w:rPr>
      </w:pPr>
      <w:r>
        <w:rPr>
          <w:rFonts w:hint="eastAsia" w:ascii="宋体" w:hAnsi="宋体" w:cs="宋体"/>
          <w:sz w:val="24"/>
        </w:rPr>
        <w:t>6.2代理机构收到采购单位“定标复函”后1个工作日内，在财政部门指定的政府采购信息媒体上发布公告，并向成交供应商发出“成交通知书”。</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79" w:name="_Toc17839"/>
      <w:bookmarkStart w:id="80" w:name="_Toc740"/>
      <w:bookmarkStart w:id="81" w:name="_Toc25308"/>
      <w:bookmarkStart w:id="82" w:name="_Toc794"/>
      <w:bookmarkStart w:id="83" w:name="_Toc17033"/>
      <w:bookmarkStart w:id="84" w:name="_Toc19972"/>
      <w:r>
        <w:rPr>
          <w:rFonts w:hint="eastAsia" w:ascii="宋体" w:hAnsi="宋体" w:cs="宋体"/>
          <w:b/>
          <w:bCs/>
          <w:kern w:val="0"/>
          <w:sz w:val="32"/>
          <w:szCs w:val="28"/>
        </w:rPr>
        <w:t>签订合同</w:t>
      </w:r>
      <w:bookmarkEnd w:id="79"/>
      <w:bookmarkEnd w:id="80"/>
      <w:bookmarkEnd w:id="81"/>
      <w:bookmarkEnd w:id="82"/>
      <w:bookmarkEnd w:id="83"/>
      <w:bookmarkEnd w:id="84"/>
    </w:p>
    <w:p>
      <w:pPr>
        <w:numPr>
          <w:ilvl w:val="0"/>
          <w:numId w:val="16"/>
        </w:numPr>
        <w:spacing w:line="360" w:lineRule="auto"/>
        <w:ind w:firstLine="480" w:firstLineChars="200"/>
        <w:jc w:val="left"/>
        <w:rPr>
          <w:rFonts w:ascii="宋体" w:hAnsi="宋体" w:cs="宋体"/>
          <w:sz w:val="24"/>
        </w:rPr>
      </w:pPr>
      <w:r>
        <w:rPr>
          <w:rFonts w:hint="eastAsia" w:ascii="宋体" w:hAnsi="宋体" w:cs="宋体"/>
          <w:sz w:val="24"/>
        </w:rPr>
        <w:t>成交后，成交供应商与采购人洽谈合同条款，采购人应当自中标通知书发出之日起三十日内并签订供货合同，</w:t>
      </w:r>
      <w:r>
        <w:rPr>
          <w:rFonts w:ascii="宋体" w:hAnsi="宋体"/>
          <w:sz w:val="24"/>
        </w:rPr>
        <w:t>合同的标的</w:t>
      </w:r>
      <w:r>
        <w:rPr>
          <w:rFonts w:hint="eastAsia" w:ascii="宋体" w:hAnsi="宋体"/>
          <w:sz w:val="24"/>
        </w:rPr>
        <w:t>、</w:t>
      </w:r>
      <w:r>
        <w:rPr>
          <w:rFonts w:ascii="宋体" w:hAnsi="宋体"/>
          <w:sz w:val="24"/>
        </w:rPr>
        <w:t>价款</w:t>
      </w:r>
      <w:r>
        <w:rPr>
          <w:rFonts w:hint="eastAsia" w:ascii="宋体" w:hAnsi="宋体"/>
          <w:sz w:val="24"/>
        </w:rPr>
        <w:t>、</w:t>
      </w:r>
      <w:r>
        <w:rPr>
          <w:rFonts w:ascii="宋体" w:hAnsi="宋体"/>
          <w:sz w:val="24"/>
        </w:rPr>
        <w:t>质量、履行期限等主要条款应当与</w:t>
      </w:r>
      <w:r>
        <w:rPr>
          <w:rFonts w:hint="eastAsia" w:ascii="宋体" w:hAnsi="宋体"/>
          <w:sz w:val="24"/>
        </w:rPr>
        <w:t>招标</w:t>
      </w:r>
      <w:r>
        <w:rPr>
          <w:rFonts w:ascii="宋体" w:hAnsi="宋体"/>
          <w:sz w:val="24"/>
        </w:rPr>
        <w:t>文件和</w:t>
      </w:r>
      <w:r>
        <w:rPr>
          <w:rFonts w:hint="eastAsia" w:ascii="宋体" w:hAnsi="宋体"/>
          <w:sz w:val="24"/>
        </w:rPr>
        <w:t>中标人</w:t>
      </w:r>
      <w:r>
        <w:rPr>
          <w:rFonts w:ascii="宋体" w:hAnsi="宋体"/>
          <w:sz w:val="24"/>
        </w:rPr>
        <w:t>的</w:t>
      </w:r>
      <w:r>
        <w:rPr>
          <w:rFonts w:hint="eastAsia" w:ascii="宋体" w:hAnsi="宋体"/>
          <w:sz w:val="24"/>
        </w:rPr>
        <w:t>投标</w:t>
      </w:r>
      <w:r>
        <w:rPr>
          <w:rFonts w:ascii="宋体" w:hAnsi="宋体"/>
          <w:sz w:val="24"/>
        </w:rPr>
        <w:t>文件</w:t>
      </w:r>
      <w:r>
        <w:rPr>
          <w:rFonts w:hint="eastAsia" w:ascii="宋体" w:hAnsi="宋体"/>
          <w:sz w:val="24"/>
        </w:rPr>
        <w:t>内容</w:t>
      </w:r>
      <w:r>
        <w:rPr>
          <w:rFonts w:ascii="宋体" w:hAnsi="宋体"/>
          <w:sz w:val="24"/>
        </w:rPr>
        <w:t>一致</w:t>
      </w:r>
      <w:r>
        <w:rPr>
          <w:rFonts w:hint="eastAsia" w:ascii="宋体" w:hAnsi="宋体"/>
          <w:sz w:val="24"/>
        </w:rPr>
        <w:t>；</w:t>
      </w:r>
      <w:r>
        <w:rPr>
          <w:rFonts w:ascii="宋体" w:hAnsi="宋体"/>
          <w:sz w:val="24"/>
        </w:rPr>
        <w:t>采购人或</w:t>
      </w:r>
      <w:r>
        <w:rPr>
          <w:rFonts w:hint="eastAsia" w:ascii="宋体" w:hAnsi="宋体"/>
          <w:sz w:val="24"/>
        </w:rPr>
        <w:t>中标人</w:t>
      </w:r>
      <w:r>
        <w:rPr>
          <w:rFonts w:ascii="宋体" w:hAnsi="宋体"/>
          <w:sz w:val="24"/>
        </w:rPr>
        <w:t>不得拒绝</w:t>
      </w:r>
      <w:r>
        <w:rPr>
          <w:rFonts w:hint="eastAsia" w:ascii="宋体" w:hAnsi="宋体"/>
          <w:sz w:val="24"/>
        </w:rPr>
        <w:t>或</w:t>
      </w:r>
      <w:r>
        <w:rPr>
          <w:rFonts w:ascii="宋体" w:hAnsi="宋体"/>
          <w:sz w:val="24"/>
        </w:rPr>
        <w:t>拖延与另一方签订合同,采购人和</w:t>
      </w:r>
      <w:r>
        <w:rPr>
          <w:rFonts w:hint="eastAsia" w:ascii="宋体" w:hAnsi="宋体"/>
          <w:sz w:val="24"/>
        </w:rPr>
        <w:t>中标人</w:t>
      </w:r>
      <w:r>
        <w:rPr>
          <w:rFonts w:ascii="宋体" w:hAnsi="宋体"/>
          <w:sz w:val="24"/>
        </w:rPr>
        <w:t>不得再行订立背离</w:t>
      </w:r>
      <w:r>
        <w:rPr>
          <w:rFonts w:hint="eastAsia" w:ascii="宋体" w:hAnsi="宋体"/>
          <w:sz w:val="24"/>
        </w:rPr>
        <w:t>招标</w:t>
      </w:r>
      <w:r>
        <w:rPr>
          <w:rFonts w:ascii="宋体" w:hAnsi="宋体"/>
          <w:sz w:val="24"/>
        </w:rPr>
        <w:t>文件</w:t>
      </w:r>
      <w:r>
        <w:rPr>
          <w:rFonts w:hint="eastAsia" w:ascii="宋体" w:hAnsi="宋体"/>
          <w:sz w:val="24"/>
        </w:rPr>
        <w:t>、投标</w:t>
      </w:r>
      <w:r>
        <w:rPr>
          <w:rFonts w:ascii="宋体" w:hAnsi="宋体"/>
          <w:sz w:val="24"/>
        </w:rPr>
        <w:t>文件实质性内容的其他协议或其他附加条件</w:t>
      </w:r>
      <w:r>
        <w:rPr>
          <w:rFonts w:hint="eastAsia" w:ascii="宋体" w:hAnsi="宋体"/>
          <w:sz w:val="24"/>
        </w:rPr>
        <w:t>，合同签订后</w:t>
      </w:r>
      <w:r>
        <w:rPr>
          <w:rFonts w:hint="eastAsia" w:ascii="宋体" w:hAnsi="宋体" w:cs="宋体"/>
          <w:sz w:val="24"/>
        </w:rPr>
        <w:t>同时送代理机构归档，竞争性磋商文件及成交供应商的磋商响应文件均作为合同的组成部分。</w:t>
      </w:r>
    </w:p>
    <w:p>
      <w:pPr>
        <w:pStyle w:val="9"/>
        <w:spacing w:line="360" w:lineRule="auto"/>
      </w:pPr>
      <w:r>
        <w:rPr>
          <w:rFonts w:hint="eastAsia" w:ascii="宋体" w:hAnsi="宋体" w:cs="宋体"/>
          <w:sz w:val="24"/>
        </w:rPr>
        <w:t xml:space="preserve">   2、政府采购合同履行中，采购人需追加与合同标的相同的货物、工程或者服务的，在不改变合同其他条款的前提下，可以根据相关政策法规与中标人协商签订补充合同。</w:t>
      </w:r>
    </w:p>
    <w:p>
      <w:pPr>
        <w:spacing w:line="360" w:lineRule="auto"/>
        <w:ind w:firstLine="480" w:firstLineChars="200"/>
        <w:jc w:val="left"/>
        <w:rPr>
          <w:rFonts w:ascii="宋体" w:hAnsi="宋体" w:cs="宋体"/>
          <w:sz w:val="24"/>
        </w:rPr>
      </w:pPr>
      <w:r>
        <w:rPr>
          <w:rFonts w:hint="eastAsia" w:ascii="宋体" w:hAnsi="宋体" w:cs="宋体"/>
          <w:sz w:val="24"/>
        </w:rPr>
        <w:t>3、根据需要，代理机构应协助采购人监督、协调和处理履约过程中出现的</w:t>
      </w:r>
    </w:p>
    <w:p>
      <w:pPr>
        <w:spacing w:line="360" w:lineRule="auto"/>
        <w:jc w:val="left"/>
        <w:rPr>
          <w:rFonts w:ascii="宋体" w:hAnsi="宋体" w:cs="宋体"/>
          <w:sz w:val="24"/>
        </w:rPr>
      </w:pPr>
      <w:r>
        <w:rPr>
          <w:rFonts w:hint="eastAsia" w:ascii="宋体" w:hAnsi="宋体" w:cs="宋体"/>
          <w:sz w:val="24"/>
        </w:rPr>
        <w:t>问题。</w:t>
      </w:r>
    </w:p>
    <w:p>
      <w:pPr>
        <w:spacing w:line="460" w:lineRule="exact"/>
        <w:ind w:firstLine="480" w:firstLineChars="200"/>
        <w:rPr>
          <w:rFonts w:ascii="宋体" w:hAnsi="宋体"/>
          <w:sz w:val="24"/>
        </w:rPr>
      </w:pPr>
      <w:r>
        <w:rPr>
          <w:rFonts w:hint="eastAsia" w:ascii="宋体" w:hAnsi="宋体"/>
          <w:sz w:val="24"/>
        </w:rPr>
        <w:t>4、中标人</w:t>
      </w:r>
      <w:r>
        <w:rPr>
          <w:rFonts w:ascii="宋体" w:hAnsi="宋体"/>
          <w:sz w:val="24"/>
        </w:rPr>
        <w:t>应当按照合同约定履行义务，完成</w:t>
      </w:r>
      <w:r>
        <w:rPr>
          <w:rFonts w:hint="eastAsia" w:ascii="宋体" w:hAnsi="宋体"/>
          <w:sz w:val="24"/>
        </w:rPr>
        <w:t>中标</w:t>
      </w:r>
      <w:r>
        <w:rPr>
          <w:rFonts w:ascii="宋体" w:hAnsi="宋体"/>
          <w:sz w:val="24"/>
        </w:rPr>
        <w:t>的项目。</w:t>
      </w:r>
      <w:r>
        <w:rPr>
          <w:rFonts w:hint="eastAsia" w:ascii="宋体" w:hAnsi="宋体"/>
          <w:sz w:val="24"/>
        </w:rPr>
        <w:t>中标人</w:t>
      </w:r>
      <w:r>
        <w:rPr>
          <w:rFonts w:ascii="宋体" w:hAnsi="宋体"/>
          <w:sz w:val="24"/>
        </w:rPr>
        <w:t>不得向他人转让</w:t>
      </w:r>
      <w:r>
        <w:rPr>
          <w:rFonts w:hint="eastAsia" w:ascii="宋体" w:hAnsi="宋体"/>
          <w:sz w:val="24"/>
        </w:rPr>
        <w:t>中标</w:t>
      </w:r>
      <w:r>
        <w:rPr>
          <w:rFonts w:ascii="宋体" w:hAnsi="宋体"/>
          <w:sz w:val="24"/>
        </w:rPr>
        <w:t>的</w:t>
      </w:r>
      <w:r>
        <w:rPr>
          <w:rFonts w:hint="eastAsia" w:ascii="宋体" w:hAnsi="宋体"/>
          <w:sz w:val="24"/>
        </w:rPr>
        <w:t>项目</w:t>
      </w:r>
      <w:r>
        <w:rPr>
          <w:rFonts w:ascii="宋体" w:hAnsi="宋体"/>
          <w:sz w:val="24"/>
        </w:rPr>
        <w:t>。</w:t>
      </w:r>
    </w:p>
    <w:p>
      <w:pPr>
        <w:spacing w:line="460" w:lineRule="exact"/>
        <w:ind w:firstLine="480" w:firstLineChars="200"/>
        <w:rPr>
          <w:rFonts w:ascii="宋体" w:hAnsi="宋体" w:cs="宋体"/>
          <w:sz w:val="24"/>
        </w:rPr>
      </w:pPr>
      <w:r>
        <w:rPr>
          <w:rFonts w:hint="eastAsia" w:ascii="宋体" w:hAnsi="宋体"/>
          <w:sz w:val="24"/>
        </w:rPr>
        <w:t>5、</w:t>
      </w:r>
      <w:r>
        <w:rPr>
          <w:rFonts w:ascii="宋体" w:hAnsi="宋体"/>
          <w:sz w:val="24"/>
        </w:rPr>
        <w:t>政府采购管理部门</w:t>
      </w:r>
      <w:r>
        <w:rPr>
          <w:rFonts w:hint="eastAsia" w:ascii="宋体" w:hAnsi="宋体"/>
          <w:sz w:val="24"/>
        </w:rPr>
        <w:t>在合同履行期间以及履行期后，可以随时检查项目的执行情况，对采购标准、采购内容进行调查核实，并对发现的问题进行处理。</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85" w:name="_Toc20350"/>
      <w:bookmarkStart w:id="86" w:name="_Toc28110"/>
      <w:bookmarkStart w:id="87" w:name="_Toc28603"/>
      <w:bookmarkStart w:id="88" w:name="_Toc6476"/>
      <w:bookmarkStart w:id="89" w:name="_Toc26132"/>
      <w:bookmarkStart w:id="90" w:name="_Toc23496"/>
      <w:r>
        <w:rPr>
          <w:rFonts w:hint="eastAsia" w:ascii="宋体" w:hAnsi="宋体" w:cs="宋体"/>
          <w:b/>
          <w:bCs/>
          <w:kern w:val="0"/>
          <w:sz w:val="32"/>
          <w:szCs w:val="28"/>
        </w:rPr>
        <w:t>代理服务费</w:t>
      </w:r>
      <w:bookmarkEnd w:id="85"/>
      <w:bookmarkEnd w:id="86"/>
      <w:bookmarkEnd w:id="87"/>
      <w:bookmarkEnd w:id="88"/>
      <w:bookmarkEnd w:id="89"/>
      <w:bookmarkEnd w:id="90"/>
    </w:p>
    <w:p>
      <w:pPr>
        <w:spacing w:line="560" w:lineRule="exact"/>
        <w:ind w:firstLine="480" w:firstLineChars="200"/>
        <w:jc w:val="left"/>
        <w:rPr>
          <w:rFonts w:ascii="宋体" w:hAnsi="宋体" w:cs="宋体"/>
          <w:sz w:val="24"/>
          <w:szCs w:val="24"/>
        </w:rPr>
      </w:pPr>
      <w:bookmarkStart w:id="91" w:name="_Toc11862"/>
      <w:bookmarkStart w:id="92" w:name="_Toc13048"/>
      <w:bookmarkStart w:id="93" w:name="_Toc13674"/>
      <w:bookmarkStart w:id="94" w:name="_Toc14280"/>
      <w:r>
        <w:rPr>
          <w:rFonts w:hint="eastAsia" w:ascii="宋体" w:hAnsi="宋体" w:cs="宋体"/>
          <w:sz w:val="24"/>
          <w:szCs w:val="24"/>
        </w:rPr>
        <w:t>1、以本采购项目中标价为基数，参照国家计委关于印发《招标代理服务收费管理暂行办法》的通知（计价格[2002]1980号）和发改办价格[2003]857号规定收取。</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95" w:name="_Toc10999"/>
      <w:bookmarkStart w:id="96" w:name="_Toc2546"/>
      <w:r>
        <w:rPr>
          <w:rFonts w:hint="eastAsia" w:ascii="宋体" w:hAnsi="宋体" w:cs="宋体"/>
          <w:b/>
          <w:bCs/>
          <w:kern w:val="0"/>
          <w:sz w:val="32"/>
          <w:szCs w:val="28"/>
        </w:rPr>
        <w:t>履约验收</w:t>
      </w:r>
      <w:bookmarkEnd w:id="95"/>
      <w:bookmarkEnd w:id="96"/>
    </w:p>
    <w:p>
      <w:pPr>
        <w:spacing w:line="560" w:lineRule="exact"/>
        <w:ind w:firstLine="480" w:firstLineChars="200"/>
        <w:jc w:val="left"/>
        <w:rPr>
          <w:rFonts w:ascii="宋体" w:hAnsi="宋体" w:cs="宋体"/>
          <w:sz w:val="24"/>
          <w:szCs w:val="24"/>
        </w:rPr>
      </w:pPr>
      <w:r>
        <w:rPr>
          <w:rFonts w:hint="eastAsia" w:ascii="宋体" w:hAnsi="宋体" w:cs="宋体"/>
          <w:sz w:val="24"/>
          <w:szCs w:val="24"/>
        </w:rPr>
        <w:t>1、政府采购合同的履行、违约责任和解决争议的方法等适用《中华人民共和国合同法》。采购人按照政府采购合同规定的技术、服务、安全标准组织对供应商履约情况进行验收，并出具验收书。</w:t>
      </w:r>
    </w:p>
    <w:p>
      <w:pPr>
        <w:spacing w:line="560" w:lineRule="exact"/>
        <w:ind w:firstLine="480" w:firstLineChars="200"/>
        <w:jc w:val="left"/>
        <w:outlineLvl w:val="9"/>
        <w:rPr>
          <w:rFonts w:hint="eastAsia" w:ascii="宋体" w:hAnsi="宋体" w:cs="宋体"/>
          <w:sz w:val="24"/>
          <w:szCs w:val="24"/>
        </w:rPr>
      </w:pPr>
      <w:r>
        <w:rPr>
          <w:rFonts w:hint="eastAsia" w:ascii="宋体" w:hAnsi="宋体" w:cs="宋体"/>
          <w:sz w:val="24"/>
          <w:szCs w:val="24"/>
        </w:rPr>
        <w:t>2、履约验收的费用及要求详见“供应商须知前附表”</w:t>
      </w:r>
    </w:p>
    <w:p>
      <w:pPr>
        <w:spacing w:line="560" w:lineRule="exact"/>
        <w:ind w:firstLine="480" w:firstLineChars="200"/>
        <w:jc w:val="left"/>
        <w:outlineLvl w:val="9"/>
        <w:rPr>
          <w:rFonts w:hint="eastAsia" w:ascii="宋体" w:hAnsi="宋体" w:cs="宋体"/>
          <w:sz w:val="24"/>
          <w:szCs w:val="24"/>
        </w:rPr>
      </w:pPr>
    </w:p>
    <w:p>
      <w:pPr>
        <w:widowControl/>
        <w:numPr>
          <w:ilvl w:val="0"/>
          <w:numId w:val="3"/>
        </w:numPr>
        <w:spacing w:line="360" w:lineRule="auto"/>
        <w:ind w:firstLine="643" w:firstLineChars="200"/>
        <w:jc w:val="center"/>
        <w:outlineLvl w:val="1"/>
        <w:rPr>
          <w:rFonts w:ascii="宋体" w:hAnsi="宋体" w:cs="宋体"/>
          <w:b/>
          <w:bCs/>
          <w:kern w:val="0"/>
          <w:sz w:val="32"/>
          <w:szCs w:val="28"/>
        </w:rPr>
      </w:pPr>
      <w:bookmarkStart w:id="97" w:name="_Toc6703"/>
      <w:bookmarkStart w:id="98" w:name="_Toc26573"/>
      <w:r>
        <w:rPr>
          <w:rFonts w:hint="eastAsia" w:ascii="宋体" w:hAnsi="宋体" w:cs="宋体"/>
          <w:b/>
          <w:bCs/>
          <w:kern w:val="0"/>
          <w:sz w:val="32"/>
          <w:szCs w:val="28"/>
        </w:rPr>
        <w:t>质疑和投诉</w:t>
      </w:r>
      <w:bookmarkEnd w:id="91"/>
      <w:bookmarkEnd w:id="92"/>
      <w:bookmarkEnd w:id="93"/>
      <w:bookmarkEnd w:id="94"/>
      <w:bookmarkEnd w:id="97"/>
      <w:bookmarkEnd w:id="98"/>
    </w:p>
    <w:p>
      <w:pPr>
        <w:spacing w:line="360" w:lineRule="auto"/>
        <w:ind w:firstLine="480" w:firstLineChars="200"/>
        <w:rPr>
          <w:rFonts w:asciiTheme="minorEastAsia" w:hAnsiTheme="minorEastAsia" w:cstheme="minorEastAsia"/>
          <w:sz w:val="24"/>
          <w:szCs w:val="24"/>
        </w:rPr>
      </w:pPr>
      <w:bookmarkStart w:id="99" w:name="_Toc3298"/>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560" w:lineRule="exact"/>
        <w:ind w:firstLine="480" w:firstLineChars="200"/>
        <w:jc w:val="left"/>
        <w:outlineLvl w:val="9"/>
        <w:rPr>
          <w:rFonts w:asciiTheme="minorEastAsia" w:hAnsiTheme="minorEastAsia" w:cstheme="minorEastAsia"/>
          <w:sz w:val="24"/>
          <w:szCs w:val="24"/>
        </w:rPr>
      </w:pPr>
      <w:r>
        <w:rPr>
          <w:rFonts w:hint="eastAsia" w:asciiTheme="minorEastAsia" w:hAnsiTheme="minorEastAsia" w:cstheme="minorEastAsia"/>
          <w:sz w:val="24"/>
          <w:szCs w:val="24"/>
        </w:rPr>
        <w:t>2、 质疑文件应当包括下列主要内容：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56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tabs>
          <w:tab w:val="left" w:pos="840"/>
        </w:tabs>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4）提出质疑的日期。</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3、质疑函应当署名。质疑供应商为自然人的，应当由本人签字；质疑供应商为法人或者其他组织的，应当由法定代表人或者主要负责人签字盖章并加盖公章。</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4、供应商质疑应当有明确的请求和必要的证明材料。</w:t>
      </w:r>
      <w:r>
        <w:rPr>
          <w:rFonts w:hint="eastAsia" w:asciiTheme="minorEastAsia" w:hAnsiTheme="minorEastAsia" w:cstheme="minorEastAsia"/>
          <w:color w:val="000000" w:themeColor="text1"/>
          <w:sz w:val="24"/>
          <w:szCs w:val="24"/>
          <w14:textFill>
            <w14:solidFill>
              <w14:schemeClr w14:val="tx1"/>
            </w14:solidFill>
          </w14:textFill>
        </w:rPr>
        <w:t>质疑内容不得含有虚假、恶意成份。依照谁主张谁举证的原则，提出质疑者必须同时提交相关确凿的证据材料和注明证据的确切来源，证据来源必须合法，采购代理机构有权将质疑函转发质疑事项各关联方，请</w:t>
      </w:r>
      <w:r>
        <w:rPr>
          <w:rFonts w:hint="eastAsia" w:asciiTheme="minorEastAsia" w:hAnsiTheme="minorEastAsia" w:cstheme="minorEastAsia"/>
          <w:sz w:val="24"/>
          <w:szCs w:val="24"/>
        </w:rPr>
        <w:t>其作出解释说明。对捏造事实、滥用维权扰乱采购秩序的恶意质疑者，将依法处理。</w:t>
      </w:r>
    </w:p>
    <w:p>
      <w:pPr>
        <w:spacing w:line="360" w:lineRule="auto"/>
        <w:ind w:left="19" w:leftChars="9" w:firstLine="458" w:firstLineChars="191"/>
        <w:rPr>
          <w:rFonts w:asciiTheme="minorEastAsia" w:hAnsiTheme="minorEastAsia" w:cstheme="minorEastAsia"/>
          <w:sz w:val="24"/>
          <w:szCs w:val="24"/>
        </w:rPr>
      </w:pPr>
      <w:r>
        <w:rPr>
          <w:rFonts w:hint="eastAsia" w:asciiTheme="minorEastAsia" w:hAnsiTheme="minorEastAsia" w:cstheme="minorEastAsia"/>
          <w:sz w:val="24"/>
          <w:szCs w:val="24"/>
        </w:rPr>
        <w:t xml:space="preserve">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 。 </w:t>
      </w:r>
    </w:p>
    <w:p>
      <w:pPr>
        <w:spacing w:line="360" w:lineRule="auto"/>
        <w:ind w:left="19" w:leftChars="9" w:firstLine="458" w:firstLineChars="191"/>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7、质疑受理部门：陕西万泽招标有限公司。</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8、提交质疑文件地点：西安市西关正街英达大厦150</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室。</w:t>
      </w:r>
    </w:p>
    <w:p>
      <w:pPr>
        <w:tabs>
          <w:tab w:val="left" w:pos="0"/>
          <w:tab w:val="left" w:pos="600"/>
          <w:tab w:val="left" w:pos="4700"/>
        </w:tabs>
        <w:autoSpaceDE w:val="0"/>
        <w:autoSpaceDN w:val="0"/>
        <w:spacing w:line="360" w:lineRule="auto"/>
        <w:ind w:left="599" w:leftChars="228" w:hanging="120" w:hangingChars="50"/>
        <w:textAlignment w:val="bottom"/>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9、本次采购活动中，采购代理机构对质疑回复等文件的送达方式为现场取件。</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10、质疑函应当使用中文。质疑函范本详见财政部制定的范本即采购文件附件六。</w:t>
      </w:r>
    </w:p>
    <w:p>
      <w:pPr>
        <w:pStyle w:val="3"/>
        <w:rPr>
          <w:rFonts w:ascii="宋体" w:hAnsi="宋体" w:cs="宋体"/>
          <w:szCs w:val="28"/>
        </w:rPr>
      </w:pPr>
      <w:bookmarkStart w:id="100" w:name="_Toc21950"/>
      <w:bookmarkStart w:id="101" w:name="_Toc16379"/>
      <w:r>
        <w:rPr>
          <w:rFonts w:hint="eastAsia"/>
        </w:rPr>
        <w:t>十、政府采购融资政策及信用担保</w:t>
      </w:r>
      <w:bookmarkEnd w:id="100"/>
      <w:bookmarkEnd w:id="101"/>
    </w:p>
    <w:bookmarkEnd w:id="99"/>
    <w:p>
      <w:pPr>
        <w:spacing w:line="500" w:lineRule="exact"/>
        <w:ind w:firstLine="480" w:firstLineChars="200"/>
        <w:jc w:val="left"/>
        <w:rPr>
          <w:rFonts w:ascii="宋体" w:hAnsi="宋体" w:cs="宋体"/>
          <w:sz w:val="24"/>
          <w:szCs w:val="24"/>
        </w:rPr>
      </w:pPr>
      <w:bookmarkStart w:id="102" w:name="_Toc10238"/>
      <w:bookmarkStart w:id="103" w:name="_Toc8030"/>
      <w:bookmarkStart w:id="104" w:name="_Toc19588"/>
      <w:bookmarkStart w:id="105" w:name="_Toc10430"/>
      <w:r>
        <w:rPr>
          <w:rFonts w:ascii="宋体" w:hAnsi="宋体" w:cs="宋体"/>
          <w:sz w:val="24"/>
          <w:szCs w:val="24"/>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w:t>
      </w:r>
      <w:r>
        <w:rPr>
          <w:rFonts w:ascii="宋体" w:hAnsi="宋体" w:cs="宋体"/>
          <w:sz w:val="24"/>
          <w:szCs w:val="24"/>
        </w:rPr>
        <w:drawing>
          <wp:inline distT="0" distB="0" distL="114300" distR="114300">
            <wp:extent cx="190500" cy="142875"/>
            <wp:effectExtent l="0" t="0" r="0" b="9525"/>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21" cstate="print"/>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szCs w:val="24"/>
        </w:rPr>
        <w:t>http://xaczj.xa.gov.cn/zfcg/cgfg/5db9054565cbd804f69e97e0.html中《西安市财政局关于进一步做好政府采购信用担保及信用融资工作有关事宜的通知》）。</w:t>
      </w:r>
    </w:p>
    <w:p>
      <w:pPr>
        <w:spacing w:line="500" w:lineRule="exact"/>
        <w:ind w:firstLine="480" w:firstLineChars="200"/>
        <w:jc w:val="left"/>
        <w:rPr>
          <w:rFonts w:asciiTheme="minorEastAsia" w:hAnsiTheme="minorEastAsia" w:cstheme="minorEastAsia"/>
          <w:sz w:val="24"/>
          <w:szCs w:val="24"/>
        </w:rPr>
      </w:pPr>
      <w:r>
        <w:rPr>
          <w:rFonts w:ascii="宋体" w:hAnsi="宋体" w:cs="宋体"/>
          <w:sz w:val="24"/>
          <w:szCs w:val="24"/>
        </w:rPr>
        <w:t>投标供应商在缴纳投标保证金及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w:t>
      </w:r>
      <w:r>
        <w:rPr>
          <w:rFonts w:ascii="宋体" w:hAnsi="宋体" w:cs="宋体"/>
          <w:sz w:val="24"/>
          <w:szCs w:val="24"/>
        </w:rPr>
        <w:drawing>
          <wp:inline distT="0" distB="0" distL="114300" distR="114300">
            <wp:extent cx="190500" cy="142875"/>
            <wp:effectExtent l="0" t="0" r="0" b="9525"/>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pic:cNvPicPr>
                  </pic:nvPicPr>
                  <pic:blipFill>
                    <a:blip r:embed="rId21" cstate="print"/>
                    <a:stretch>
                      <a:fillRect/>
                    </a:stretch>
                  </pic:blipFill>
                  <pic:spPr>
                    <a:xfrm>
                      <a:off x="0" y="0"/>
                      <a:ext cx="190500" cy="142875"/>
                    </a:xfrm>
                    <a:prstGeom prst="rect">
                      <a:avLst/>
                    </a:prstGeom>
                    <a:noFill/>
                    <a:ln w="9525">
                      <a:noFill/>
                    </a:ln>
                  </pic:spPr>
                </pic:pic>
              </a:graphicData>
            </a:graphic>
          </wp:inline>
        </w:drawing>
      </w:r>
      <w:r>
        <w:rPr>
          <w:rFonts w:ascii="宋体" w:hAnsi="宋体" w:cs="宋体"/>
          <w:sz w:val="24"/>
          <w:szCs w:val="24"/>
        </w:rPr>
        <w:t>http://xaczj.xa.gov.cn/)政府采购专栏中查询了解。</w:t>
      </w:r>
    </w:p>
    <w:p>
      <w:r>
        <w:rPr>
          <w:rFonts w:hint="eastAsia"/>
        </w:rPr>
        <w:br w:type="page"/>
      </w:r>
    </w:p>
    <w:p>
      <w:pPr>
        <w:pStyle w:val="2"/>
        <w:keepLines w:val="0"/>
        <w:ind w:firstLine="643" w:firstLineChars="200"/>
      </w:pPr>
      <w:bookmarkStart w:id="106" w:name="_Toc5889"/>
      <w:r>
        <w:rPr>
          <w:rFonts w:hint="eastAsia"/>
        </w:rPr>
        <w:t>第四部分 评审标准</w:t>
      </w:r>
      <w:bookmarkEnd w:id="102"/>
      <w:bookmarkEnd w:id="103"/>
      <w:bookmarkEnd w:id="104"/>
      <w:bookmarkEnd w:id="105"/>
      <w:bookmarkEnd w:id="106"/>
    </w:p>
    <w:p>
      <w:pPr>
        <w:spacing w:line="50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本次评标采用综合评分法，综合评分因素的主要因素为价格、技术、业绩、服务等以及对竞争性磋商文件的响应程度。每一供应商的最终得分为所有评委评分的算数平均值。</w:t>
      </w:r>
    </w:p>
    <w:tbl>
      <w:tblPr>
        <w:tblStyle w:val="22"/>
        <w:tblW w:w="9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1386"/>
        <w:gridCol w:w="6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665" w:type="dxa"/>
            <w:vAlign w:val="top"/>
          </w:tcPr>
          <w:p>
            <w:pPr>
              <w:pStyle w:val="23"/>
              <w:spacing w:before="149" w:line="220" w:lineRule="auto"/>
              <w:ind w:left="360"/>
            </w:pPr>
            <w:r>
              <w:rPr>
                <w:spacing w:val="-3"/>
                <w14:textOutline w14:w="4358" w14:cap="sq" w14:cmpd="sng">
                  <w14:solidFill>
                    <w14:srgbClr w14:val="000000"/>
                  </w14:solidFill>
                  <w14:prstDash w14:val="solid"/>
                  <w14:bevel/>
                </w14:textOutline>
              </w:rPr>
              <w:t>分值构成</w:t>
            </w:r>
          </w:p>
        </w:tc>
        <w:tc>
          <w:tcPr>
            <w:tcW w:w="1386" w:type="dxa"/>
            <w:vAlign w:val="top"/>
          </w:tcPr>
          <w:p>
            <w:pPr>
              <w:pStyle w:val="23"/>
              <w:spacing w:before="149" w:line="220" w:lineRule="auto"/>
              <w:ind w:left="112"/>
            </w:pPr>
            <w:r>
              <w:rPr>
                <w:spacing w:val="-6"/>
                <w14:textOutline w14:w="4358" w14:cap="sq" w14:cmpd="sng">
                  <w14:solidFill>
                    <w14:srgbClr w14:val="000000"/>
                  </w14:solidFill>
                  <w14:prstDash w14:val="solid"/>
                  <w14:bevel/>
                </w14:textOutline>
              </w:rPr>
              <w:t>满分</w:t>
            </w:r>
            <w:r>
              <w:rPr>
                <w:spacing w:val="-49"/>
              </w:rPr>
              <w:t xml:space="preserve"> </w:t>
            </w:r>
            <w:r>
              <w:rPr>
                <w:spacing w:val="-6"/>
                <w14:textOutline w14:w="4358" w14:cap="sq" w14:cmpd="sng">
                  <w14:solidFill>
                    <w14:srgbClr w14:val="000000"/>
                  </w14:solidFill>
                  <w14:prstDash w14:val="solid"/>
                  <w14:bevel/>
                </w14:textOutline>
              </w:rPr>
              <w:t>100</w:t>
            </w:r>
            <w:r>
              <w:rPr>
                <w:spacing w:val="-62"/>
              </w:rPr>
              <w:t xml:space="preserve"> </w:t>
            </w:r>
            <w:r>
              <w:rPr>
                <w:spacing w:val="-6"/>
                <w14:textOutline w14:w="4358" w14:cap="sq" w14:cmpd="sng">
                  <w14:solidFill>
                    <w14:srgbClr w14:val="000000"/>
                  </w14:solidFill>
                  <w14:prstDash w14:val="solid"/>
                  <w14:bevel/>
                </w14:textOutline>
              </w:rPr>
              <w:t>分</w:t>
            </w:r>
          </w:p>
        </w:tc>
        <w:tc>
          <w:tcPr>
            <w:tcW w:w="6362" w:type="dxa"/>
            <w:vAlign w:val="top"/>
          </w:tcPr>
          <w:p>
            <w:pPr>
              <w:pStyle w:val="23"/>
              <w:spacing w:before="149" w:line="220" w:lineRule="auto"/>
              <w:ind w:left="2702"/>
            </w:pPr>
            <w:r>
              <w:rPr>
                <w:spacing w:val="-2"/>
                <w14:textOutline w14:w="4358" w14:cap="sq" w14:cmpd="sng">
                  <w14:solidFill>
                    <w14:srgbClr w14:val="000000"/>
                  </w14:solidFill>
                  <w14:prstDash w14:val="solid"/>
                  <w14:bevel/>
                </w14:textOutline>
              </w:rPr>
              <w:t>评审内容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66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3"/>
              <w:spacing w:before="25" w:line="220" w:lineRule="auto"/>
              <w:jc w:val="center"/>
              <w:rPr>
                <w:rFonts w:hint="eastAsia"/>
                <w:spacing w:val="-8"/>
                <w:lang w:eastAsia="zh-CN"/>
              </w:rPr>
            </w:pPr>
            <w:r>
              <w:rPr>
                <w:rFonts w:hint="eastAsia"/>
                <w:spacing w:val="-8"/>
                <w:lang w:eastAsia="zh-CN"/>
              </w:rPr>
              <w:t>价格分</w:t>
            </w:r>
          </w:p>
          <w:p>
            <w:pPr>
              <w:pStyle w:val="23"/>
              <w:spacing w:before="25" w:line="220" w:lineRule="auto"/>
              <w:jc w:val="right"/>
            </w:pPr>
            <w:r>
              <w:rPr>
                <w:spacing w:val="-12"/>
              </w:rPr>
              <w:t>（满分</w:t>
            </w:r>
            <w:r>
              <w:rPr>
                <w:spacing w:val="-31"/>
              </w:rPr>
              <w:t xml:space="preserve"> </w:t>
            </w:r>
            <w:r>
              <w:rPr>
                <w:spacing w:val="-12"/>
              </w:rPr>
              <w:t>15</w:t>
            </w:r>
            <w:r>
              <w:rPr>
                <w:spacing w:val="-48"/>
              </w:rPr>
              <w:t xml:space="preserve"> </w:t>
            </w:r>
            <w:r>
              <w:rPr>
                <w:spacing w:val="-12"/>
              </w:rPr>
              <w:t>分）</w:t>
            </w:r>
          </w:p>
        </w:tc>
        <w:tc>
          <w:tcPr>
            <w:tcW w:w="1386"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23"/>
              <w:spacing w:before="1" w:line="220" w:lineRule="auto"/>
              <w:jc w:val="center"/>
              <w:rPr>
                <w:rFonts w:hint="eastAsia"/>
                <w:spacing w:val="-4"/>
                <w:lang w:eastAsia="zh-CN"/>
              </w:rPr>
            </w:pPr>
            <w:r>
              <w:rPr>
                <w:rFonts w:hint="eastAsia"/>
                <w:spacing w:val="-4"/>
                <w:lang w:eastAsia="zh-CN"/>
              </w:rPr>
              <w:t>价格分</w:t>
            </w:r>
          </w:p>
          <w:p>
            <w:pPr>
              <w:pStyle w:val="23"/>
              <w:spacing w:before="1" w:line="220" w:lineRule="auto"/>
              <w:jc w:val="center"/>
            </w:pPr>
            <w:r>
              <w:rPr>
                <w:rFonts w:hint="eastAsia"/>
                <w:spacing w:val="-4"/>
                <w:lang w:eastAsia="zh-CN"/>
              </w:rPr>
              <w:t>（</w:t>
            </w:r>
            <w:r>
              <w:rPr>
                <w:spacing w:val="-10"/>
              </w:rPr>
              <w:t>15</w:t>
            </w:r>
            <w:r>
              <w:rPr>
                <w:spacing w:val="-46"/>
              </w:rPr>
              <w:t xml:space="preserve"> </w:t>
            </w:r>
            <w:r>
              <w:rPr>
                <w:spacing w:val="-10"/>
              </w:rPr>
              <w:t>分</w:t>
            </w:r>
            <w:r>
              <w:rPr>
                <w:rFonts w:hint="eastAsia"/>
                <w:spacing w:val="-4"/>
                <w:lang w:eastAsia="zh-CN"/>
              </w:rPr>
              <w:t>）</w:t>
            </w:r>
          </w:p>
        </w:tc>
        <w:tc>
          <w:tcPr>
            <w:tcW w:w="6362" w:type="dxa"/>
            <w:vAlign w:val="top"/>
          </w:tcPr>
          <w:p>
            <w:pPr>
              <w:pStyle w:val="23"/>
              <w:spacing w:before="191" w:line="308" w:lineRule="auto"/>
              <w:ind w:left="118" w:right="108" w:hanging="1"/>
            </w:pPr>
            <w:r>
              <w:rPr>
                <w:spacing w:val="-4"/>
              </w:rPr>
              <w:t>竞争性磋商报价得分采用低价优先法计算，即</w:t>
            </w:r>
            <w:r>
              <w:rPr>
                <w:spacing w:val="-5"/>
              </w:rPr>
              <w:t>满足竞争性磋</w:t>
            </w:r>
            <w:r>
              <w:t xml:space="preserve"> </w:t>
            </w:r>
            <w:r>
              <w:rPr>
                <w:spacing w:val="-1"/>
              </w:rPr>
              <w:t>商文件要求且最后提交的竞争性磋商报价最低的报价为评</w:t>
            </w:r>
            <w:r>
              <w:rPr>
                <w:spacing w:val="4"/>
              </w:rPr>
              <w:t xml:space="preserve">  </w:t>
            </w:r>
            <w:r>
              <w:rPr>
                <w:spacing w:val="-5"/>
              </w:rPr>
              <w:t>审基准价，其价格分为满分。其他供应商的价格分统一按照</w:t>
            </w:r>
          </w:p>
          <w:p>
            <w:pPr>
              <w:pStyle w:val="23"/>
              <w:spacing w:line="220" w:lineRule="auto"/>
              <w:ind w:left="121"/>
            </w:pPr>
            <w:r>
              <w:rPr>
                <w:spacing w:val="-3"/>
              </w:rPr>
              <w:t>下列公式计算：</w:t>
            </w:r>
          </w:p>
          <w:p>
            <w:pPr>
              <w:pStyle w:val="23"/>
              <w:spacing w:before="112" w:line="401" w:lineRule="exact"/>
              <w:ind w:right="12"/>
              <w:jc w:val="right"/>
            </w:pPr>
            <w:r>
              <w:rPr>
                <w:spacing w:val="-1"/>
                <w:position w:val="11"/>
              </w:rPr>
              <w:t>竞争性磋商报价得分=（评审基准价/最后竞争性磋商报价）</w:t>
            </w:r>
          </w:p>
          <w:p>
            <w:pPr>
              <w:pStyle w:val="23"/>
              <w:ind w:left="147"/>
            </w:pPr>
            <w:r>
              <w:rPr>
                <w:spacing w:val="-15"/>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7" w:hRule="atLeast"/>
        </w:trPr>
        <w:tc>
          <w:tcPr>
            <w:tcW w:w="166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3"/>
              <w:spacing w:before="78" w:line="220" w:lineRule="auto"/>
              <w:ind w:left="600"/>
            </w:pPr>
            <w:r>
              <w:rPr>
                <w:spacing w:val="-6"/>
              </w:rPr>
              <w:t>技术</w:t>
            </w:r>
          </w:p>
          <w:p>
            <w:pPr>
              <w:pStyle w:val="23"/>
              <w:spacing w:before="26" w:line="220" w:lineRule="auto"/>
              <w:ind w:left="602"/>
            </w:pPr>
            <w:r>
              <w:rPr>
                <w:spacing w:val="-7"/>
              </w:rPr>
              <w:t>部分</w:t>
            </w:r>
          </w:p>
          <w:p>
            <w:pPr>
              <w:pStyle w:val="23"/>
              <w:spacing w:before="26" w:line="220" w:lineRule="auto"/>
              <w:jc w:val="center"/>
            </w:pPr>
            <w:r>
              <w:rPr>
                <w:spacing w:val="-10"/>
              </w:rPr>
              <w:t>（满分7</w:t>
            </w:r>
            <w:r>
              <w:rPr>
                <w:rFonts w:hint="eastAsia"/>
                <w:spacing w:val="-7"/>
                <w:lang w:val="en-US" w:eastAsia="zh-CN"/>
              </w:rPr>
              <w:t>0</w:t>
            </w:r>
            <w:r>
              <w:rPr>
                <w:spacing w:val="-47"/>
              </w:rPr>
              <w:t xml:space="preserve"> </w:t>
            </w:r>
            <w:r>
              <w:rPr>
                <w:spacing w:val="-7"/>
              </w:rPr>
              <w:t>分</w:t>
            </w:r>
            <w:r>
              <w:rPr>
                <w:spacing w:val="-10"/>
              </w:rPr>
              <w:t>）</w:t>
            </w:r>
          </w:p>
        </w:tc>
        <w:tc>
          <w:tcPr>
            <w:tcW w:w="138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3"/>
              <w:spacing w:before="78" w:line="220" w:lineRule="auto"/>
              <w:ind w:left="218"/>
            </w:pPr>
            <w:r>
              <w:rPr>
                <w:spacing w:val="-3"/>
              </w:rPr>
              <w:t>服务需求</w:t>
            </w:r>
          </w:p>
          <w:p>
            <w:pPr>
              <w:pStyle w:val="23"/>
              <w:spacing w:before="25" w:line="221" w:lineRule="auto"/>
              <w:ind w:left="219"/>
            </w:pPr>
            <w:r>
              <w:rPr>
                <w:spacing w:val="-3"/>
              </w:rPr>
              <w:t>整体理解</w:t>
            </w:r>
          </w:p>
          <w:p>
            <w:pPr>
              <w:pStyle w:val="23"/>
              <w:spacing w:before="24" w:line="221" w:lineRule="auto"/>
              <w:ind w:left="457"/>
            </w:pPr>
            <w:r>
              <w:rPr>
                <w:spacing w:val="-5"/>
              </w:rPr>
              <w:t>程度</w:t>
            </w:r>
          </w:p>
          <w:p>
            <w:pPr>
              <w:pStyle w:val="23"/>
              <w:spacing w:before="25" w:line="221" w:lineRule="auto"/>
              <w:ind w:left="258"/>
            </w:pPr>
            <w:r>
              <w:rPr>
                <w:spacing w:val="-9"/>
              </w:rPr>
              <w:t>（</w:t>
            </w:r>
            <w:r>
              <w:rPr>
                <w:rFonts w:hint="eastAsia"/>
                <w:spacing w:val="-9"/>
                <w:lang w:val="en-US" w:eastAsia="zh-CN"/>
              </w:rPr>
              <w:t>10</w:t>
            </w:r>
            <w:r>
              <w:rPr>
                <w:spacing w:val="-9"/>
              </w:rPr>
              <w:t>分）</w:t>
            </w:r>
          </w:p>
        </w:tc>
        <w:tc>
          <w:tcPr>
            <w:tcW w:w="6362" w:type="dxa"/>
            <w:vAlign w:val="top"/>
          </w:tcPr>
          <w:p>
            <w:pPr>
              <w:pStyle w:val="23"/>
              <w:spacing w:before="172" w:line="468" w:lineRule="exact"/>
              <w:ind w:left="114"/>
            </w:pPr>
            <w:r>
              <w:rPr>
                <w:spacing w:val="-4"/>
                <w:position w:val="17"/>
              </w:rPr>
              <w:t>根据供应商对本项目服务需求的响应程度、理解程度</w:t>
            </w:r>
            <w:r>
              <w:rPr>
                <w:spacing w:val="-5"/>
                <w:position w:val="17"/>
              </w:rPr>
              <w:t>、准确</w:t>
            </w:r>
          </w:p>
          <w:p>
            <w:pPr>
              <w:pStyle w:val="23"/>
              <w:spacing w:before="1" w:line="220" w:lineRule="auto"/>
              <w:ind w:left="114"/>
            </w:pPr>
            <w:r>
              <w:rPr>
                <w:spacing w:val="-2"/>
              </w:rPr>
              <w:t>性进行综合评审：</w:t>
            </w:r>
          </w:p>
          <w:p>
            <w:pPr>
              <w:pStyle w:val="23"/>
              <w:spacing w:before="180" w:line="468" w:lineRule="exact"/>
              <w:ind w:left="113"/>
            </w:pPr>
            <w:r>
              <w:rPr>
                <w:spacing w:val="-4"/>
                <w:position w:val="17"/>
              </w:rPr>
              <w:t>对本项目服务内容了解全面完整、准确充分，对本项目</w:t>
            </w:r>
            <w:r>
              <w:rPr>
                <w:spacing w:val="-5"/>
                <w:position w:val="17"/>
              </w:rPr>
              <w:t>的服</w:t>
            </w:r>
          </w:p>
          <w:p>
            <w:pPr>
              <w:pStyle w:val="23"/>
              <w:spacing w:line="220" w:lineRule="auto"/>
              <w:ind w:left="116"/>
            </w:pPr>
            <w:r>
              <w:rPr>
                <w:spacing w:val="-2"/>
              </w:rPr>
              <w:t>务需求理解表述准确清楚得</w:t>
            </w:r>
            <w:r>
              <w:rPr>
                <w:spacing w:val="-46"/>
              </w:rPr>
              <w:t xml:space="preserve"> </w:t>
            </w:r>
            <w:r>
              <w:rPr>
                <w:rFonts w:hint="eastAsia"/>
                <w:spacing w:val="-46"/>
                <w:lang w:val="en-US" w:eastAsia="zh-CN"/>
              </w:rPr>
              <w:t>7</w:t>
            </w:r>
            <w:r>
              <w:rPr>
                <w:spacing w:val="-2"/>
              </w:rPr>
              <w:t>.1</w:t>
            </w:r>
            <w:r>
              <w:rPr>
                <w:rFonts w:hint="eastAsia"/>
                <w:spacing w:val="-2"/>
                <w:lang w:val="en-US" w:eastAsia="zh-CN"/>
              </w:rPr>
              <w:t>-10</w:t>
            </w:r>
            <w:r>
              <w:rPr>
                <w:spacing w:val="-2"/>
              </w:rPr>
              <w:t>分；</w:t>
            </w:r>
          </w:p>
          <w:p>
            <w:pPr>
              <w:pStyle w:val="23"/>
              <w:spacing w:before="181" w:line="468" w:lineRule="exact"/>
              <w:ind w:left="113"/>
            </w:pPr>
            <w:r>
              <w:rPr>
                <w:spacing w:val="-4"/>
                <w:position w:val="17"/>
              </w:rPr>
              <w:t>对本项目服务内容了解</w:t>
            </w:r>
            <w:r>
              <w:rPr>
                <w:rFonts w:hint="eastAsia"/>
                <w:spacing w:val="-4"/>
                <w:position w:val="17"/>
                <w:lang w:eastAsia="zh-CN"/>
              </w:rPr>
              <w:t>较</w:t>
            </w:r>
            <w:r>
              <w:rPr>
                <w:spacing w:val="-4"/>
                <w:position w:val="17"/>
              </w:rPr>
              <w:t>充分，对本项目的服务需求</w:t>
            </w:r>
            <w:r>
              <w:rPr>
                <w:rFonts w:hint="eastAsia"/>
                <w:spacing w:val="-4"/>
                <w:position w:val="17"/>
                <w:lang w:eastAsia="zh-CN"/>
              </w:rPr>
              <w:t>基本</w:t>
            </w:r>
            <w:r>
              <w:rPr>
                <w:spacing w:val="-5"/>
                <w:position w:val="17"/>
              </w:rPr>
              <w:t>表述</w:t>
            </w:r>
          </w:p>
          <w:p>
            <w:pPr>
              <w:pStyle w:val="23"/>
              <w:spacing w:line="220" w:lineRule="auto"/>
              <w:ind w:left="116"/>
            </w:pPr>
            <w:r>
              <w:rPr>
                <w:spacing w:val="-3"/>
              </w:rPr>
              <w:t>准确清楚得</w:t>
            </w:r>
            <w:r>
              <w:rPr>
                <w:spacing w:val="-46"/>
              </w:rPr>
              <w:t xml:space="preserve"> </w:t>
            </w:r>
            <w:r>
              <w:rPr>
                <w:rFonts w:hint="eastAsia"/>
                <w:spacing w:val="-46"/>
                <w:lang w:val="en-US" w:eastAsia="zh-CN"/>
              </w:rPr>
              <w:t>4 .</w:t>
            </w:r>
            <w:r>
              <w:rPr>
                <w:spacing w:val="-2"/>
              </w:rPr>
              <w:t>1</w:t>
            </w:r>
            <w:r>
              <w:rPr>
                <w:rFonts w:ascii="宋体" w:hAnsi="宋体" w:eastAsia="宋体" w:cs="宋体"/>
                <w:spacing w:val="-46"/>
              </w:rPr>
              <w:t xml:space="preserve"> </w:t>
            </w:r>
            <w:r>
              <w:rPr>
                <w:rFonts w:hint="eastAsia"/>
                <w:spacing w:val="-3"/>
                <w:lang w:val="en-US" w:eastAsia="zh-CN"/>
              </w:rPr>
              <w:t>-7</w:t>
            </w:r>
            <w:r>
              <w:rPr>
                <w:spacing w:val="-3"/>
              </w:rPr>
              <w:t>分；</w:t>
            </w:r>
          </w:p>
          <w:p>
            <w:pPr>
              <w:pStyle w:val="23"/>
              <w:spacing w:before="182" w:line="468" w:lineRule="exact"/>
              <w:ind w:left="113"/>
            </w:pPr>
            <w:r>
              <w:rPr>
                <w:spacing w:val="-4"/>
                <w:position w:val="17"/>
              </w:rPr>
              <w:t>对本项目服务内容了解</w:t>
            </w:r>
            <w:r>
              <w:rPr>
                <w:rFonts w:hint="eastAsia"/>
                <w:spacing w:val="-4"/>
                <w:position w:val="17"/>
                <w:lang w:eastAsia="zh-CN"/>
              </w:rPr>
              <w:t>不</w:t>
            </w:r>
            <w:r>
              <w:rPr>
                <w:spacing w:val="-4"/>
                <w:position w:val="17"/>
              </w:rPr>
              <w:t>充分，对本项目的服务需求理解</w:t>
            </w:r>
            <w:r>
              <w:rPr>
                <w:spacing w:val="-5"/>
                <w:position w:val="17"/>
              </w:rPr>
              <w:t>表述</w:t>
            </w:r>
          </w:p>
          <w:p>
            <w:pPr>
              <w:pStyle w:val="23"/>
              <w:spacing w:line="220" w:lineRule="auto"/>
              <w:ind w:left="115"/>
            </w:pPr>
            <w:r>
              <w:rPr>
                <w:rFonts w:hint="eastAsia"/>
                <w:spacing w:val="-5"/>
                <w:lang w:eastAsia="zh-CN"/>
              </w:rPr>
              <w:t>不准确</w:t>
            </w:r>
            <w:r>
              <w:rPr>
                <w:spacing w:val="-5"/>
              </w:rPr>
              <w:t>得</w:t>
            </w:r>
            <w:r>
              <w:rPr>
                <w:spacing w:val="-33"/>
              </w:rPr>
              <w:t xml:space="preserve"> </w:t>
            </w:r>
            <w:r>
              <w:rPr>
                <w:rFonts w:hint="eastAsia"/>
                <w:spacing w:val="-33"/>
                <w:lang w:val="en-US" w:eastAsia="zh-CN"/>
              </w:rPr>
              <w:t>0</w:t>
            </w:r>
            <w:r>
              <w:rPr>
                <w:spacing w:val="-5"/>
              </w:rPr>
              <w:t>-</w:t>
            </w:r>
            <w:r>
              <w:rPr>
                <w:rFonts w:hint="eastAsia"/>
                <w:spacing w:val="-5"/>
                <w:lang w:val="en-US" w:eastAsia="zh-CN"/>
              </w:rPr>
              <w:t>4</w:t>
            </w:r>
            <w:r>
              <w:rPr>
                <w:spacing w:val="-48"/>
              </w:rPr>
              <w:t xml:space="preserve"> </w:t>
            </w:r>
            <w:r>
              <w:rPr>
                <w:spacing w:val="-5"/>
              </w:rPr>
              <w:t>分；</w:t>
            </w:r>
          </w:p>
          <w:p>
            <w:pPr>
              <w:pStyle w:val="23"/>
              <w:spacing w:before="182" w:line="219" w:lineRule="auto"/>
              <w:ind w:left="117"/>
            </w:pPr>
            <w:r>
              <w:rPr>
                <w:spacing w:val="-2"/>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9" w:hRule="atLeast"/>
        </w:trPr>
        <w:tc>
          <w:tcPr>
            <w:tcW w:w="1665" w:type="dxa"/>
            <w:vMerge w:val="continue"/>
            <w:tcBorders>
              <w:top w:val="nil"/>
            </w:tcBorders>
            <w:vAlign w:val="top"/>
          </w:tcPr>
          <w:p>
            <w:pPr>
              <w:rPr>
                <w:rFonts w:ascii="Arial"/>
                <w:sz w:val="21"/>
              </w:rPr>
            </w:pPr>
          </w:p>
        </w:tc>
        <w:tc>
          <w:tcPr>
            <w:tcW w:w="138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23"/>
              <w:spacing w:before="24" w:line="221" w:lineRule="auto"/>
              <w:ind w:left="198"/>
              <w:jc w:val="center"/>
              <w:rPr>
                <w:rFonts w:hint="eastAsia"/>
                <w:spacing w:val="-3"/>
                <w:lang w:eastAsia="zh-CN"/>
              </w:rPr>
            </w:pPr>
            <w:r>
              <w:rPr>
                <w:rFonts w:hint="eastAsia"/>
                <w:spacing w:val="-3"/>
                <w:lang w:eastAsia="zh-CN"/>
              </w:rPr>
              <w:t>总体服务</w:t>
            </w:r>
          </w:p>
          <w:p>
            <w:pPr>
              <w:pStyle w:val="23"/>
              <w:spacing w:before="24" w:line="221" w:lineRule="auto"/>
              <w:ind w:left="198"/>
              <w:jc w:val="center"/>
              <w:rPr>
                <w:rFonts w:hint="eastAsia"/>
                <w:spacing w:val="-3"/>
                <w:lang w:eastAsia="zh-CN"/>
              </w:rPr>
            </w:pPr>
            <w:r>
              <w:rPr>
                <w:rFonts w:hint="eastAsia"/>
                <w:spacing w:val="-3"/>
                <w:lang w:eastAsia="zh-CN"/>
              </w:rPr>
              <w:t>方案</w:t>
            </w:r>
          </w:p>
          <w:p>
            <w:pPr>
              <w:pStyle w:val="23"/>
              <w:spacing w:before="24" w:line="221" w:lineRule="auto"/>
              <w:ind w:left="198"/>
              <w:jc w:val="center"/>
            </w:pPr>
            <w:r>
              <w:rPr>
                <w:spacing w:val="-7"/>
              </w:rPr>
              <w:t>（</w:t>
            </w:r>
            <w:r>
              <w:rPr>
                <w:rFonts w:hint="eastAsia"/>
                <w:spacing w:val="-7"/>
                <w:lang w:val="en-US" w:eastAsia="zh-CN"/>
              </w:rPr>
              <w:t>10</w:t>
            </w:r>
            <w:r>
              <w:rPr>
                <w:spacing w:val="-47"/>
              </w:rPr>
              <w:t xml:space="preserve"> </w:t>
            </w:r>
            <w:r>
              <w:rPr>
                <w:spacing w:val="-7"/>
              </w:rPr>
              <w:t>分）</w:t>
            </w:r>
          </w:p>
        </w:tc>
        <w:tc>
          <w:tcPr>
            <w:tcW w:w="6362" w:type="dxa"/>
            <w:vAlign w:val="top"/>
          </w:tcPr>
          <w:p>
            <w:pPr>
              <w:pStyle w:val="23"/>
              <w:spacing w:before="117" w:line="360" w:lineRule="auto"/>
              <w:ind w:left="114" w:right="72"/>
              <w:jc w:val="both"/>
              <w:rPr>
                <w:spacing w:val="7"/>
              </w:rPr>
            </w:pPr>
            <w:r>
              <w:rPr>
                <w:spacing w:val="-4"/>
              </w:rPr>
              <w:t>根据供应商针对本项目所提供的总体服务方案（包括</w:t>
            </w:r>
            <w:r>
              <w:rPr>
                <w:spacing w:val="-5"/>
              </w:rPr>
              <w:t>但不限</w:t>
            </w:r>
            <w:r>
              <w:t xml:space="preserve"> </w:t>
            </w:r>
            <w:r>
              <w:rPr>
                <w:spacing w:val="-3"/>
              </w:rPr>
              <w:t>于服务内容、服务时间、服务地点等内容）进行综合评审：</w:t>
            </w:r>
            <w:r>
              <w:rPr>
                <w:spacing w:val="7"/>
              </w:rPr>
              <w:t xml:space="preserve"> </w:t>
            </w:r>
          </w:p>
          <w:p>
            <w:pPr>
              <w:pStyle w:val="23"/>
              <w:spacing w:before="117" w:line="360" w:lineRule="auto"/>
              <w:ind w:left="114" w:right="72"/>
              <w:jc w:val="both"/>
            </w:pPr>
            <w:r>
              <w:rPr>
                <w:spacing w:val="-4"/>
              </w:rPr>
              <w:t>服务方案详细具体，具有针对性和可行性，完全符合</w:t>
            </w:r>
            <w:r>
              <w:rPr>
                <w:spacing w:val="-5"/>
              </w:rPr>
              <w:t>采购人</w:t>
            </w:r>
            <w:r>
              <w:rPr>
                <w:spacing w:val="-3"/>
              </w:rPr>
              <w:t>对项目实际使用需求得</w:t>
            </w:r>
            <w:r>
              <w:rPr>
                <w:spacing w:val="-31"/>
              </w:rPr>
              <w:t xml:space="preserve"> </w:t>
            </w:r>
            <w:r>
              <w:rPr>
                <w:rFonts w:hint="eastAsia"/>
                <w:spacing w:val="-31"/>
                <w:lang w:val="en-US" w:eastAsia="zh-CN"/>
              </w:rPr>
              <w:t>7</w:t>
            </w:r>
            <w:r>
              <w:rPr>
                <w:spacing w:val="-3"/>
              </w:rPr>
              <w:t>.1-</w:t>
            </w:r>
            <w:r>
              <w:rPr>
                <w:rFonts w:hint="eastAsia"/>
                <w:spacing w:val="-3"/>
                <w:lang w:val="en-US" w:eastAsia="zh-CN"/>
              </w:rPr>
              <w:t>10</w:t>
            </w:r>
            <w:r>
              <w:rPr>
                <w:spacing w:val="-48"/>
              </w:rPr>
              <w:t xml:space="preserve"> </w:t>
            </w:r>
            <w:r>
              <w:rPr>
                <w:spacing w:val="-3"/>
              </w:rPr>
              <w:t>分；</w:t>
            </w:r>
          </w:p>
          <w:p>
            <w:pPr>
              <w:pStyle w:val="23"/>
              <w:spacing w:before="181" w:line="468" w:lineRule="exact"/>
              <w:ind w:left="114"/>
              <w:rPr>
                <w:rFonts w:hint="default" w:eastAsia="宋体"/>
                <w:spacing w:val="-5"/>
                <w:position w:val="17"/>
                <w:lang w:val="en-US" w:eastAsia="zh-CN"/>
              </w:rPr>
            </w:pPr>
            <w:r>
              <w:rPr>
                <w:spacing w:val="-4"/>
                <w:position w:val="17"/>
              </w:rPr>
              <w:t>服务方案详细，有一定的可行性，</w:t>
            </w:r>
            <w:r>
              <w:rPr>
                <w:rFonts w:hint="eastAsia"/>
                <w:spacing w:val="-4"/>
                <w:position w:val="17"/>
                <w:lang w:eastAsia="zh-CN"/>
              </w:rPr>
              <w:t>基本</w:t>
            </w:r>
            <w:r>
              <w:rPr>
                <w:spacing w:val="-4"/>
                <w:position w:val="17"/>
              </w:rPr>
              <w:t>符合采购人对项目</w:t>
            </w:r>
            <w:r>
              <w:rPr>
                <w:spacing w:val="-5"/>
                <w:position w:val="17"/>
              </w:rPr>
              <w:t>实际使</w:t>
            </w:r>
            <w:r>
              <w:rPr>
                <w:rFonts w:hint="eastAsia"/>
                <w:spacing w:val="-5"/>
                <w:position w:val="17"/>
                <w:lang w:eastAsia="zh-CN"/>
              </w:rPr>
              <w:t>用需求得</w:t>
            </w:r>
            <w:r>
              <w:rPr>
                <w:rFonts w:hint="eastAsia"/>
                <w:spacing w:val="-5"/>
                <w:position w:val="17"/>
                <w:lang w:val="en-US" w:eastAsia="zh-CN"/>
              </w:rPr>
              <w:t>4.1-7分</w:t>
            </w:r>
          </w:p>
          <w:p>
            <w:pPr>
              <w:pStyle w:val="23"/>
              <w:spacing w:before="181" w:line="468" w:lineRule="exact"/>
              <w:ind w:left="114"/>
            </w:pPr>
            <w:r>
              <w:rPr>
                <w:spacing w:val="-2"/>
                <w:position w:val="17"/>
              </w:rPr>
              <w:t>服务方案</w:t>
            </w:r>
            <w:r>
              <w:rPr>
                <w:rFonts w:hint="eastAsia"/>
                <w:spacing w:val="-2"/>
                <w:position w:val="17"/>
                <w:lang w:eastAsia="zh-CN"/>
              </w:rPr>
              <w:t>不完善</w:t>
            </w:r>
            <w:r>
              <w:rPr>
                <w:spacing w:val="-2"/>
                <w:position w:val="17"/>
              </w:rPr>
              <w:t>，</w:t>
            </w:r>
            <w:r>
              <w:rPr>
                <w:rFonts w:hint="eastAsia"/>
                <w:spacing w:val="-2"/>
                <w:position w:val="17"/>
                <w:lang w:eastAsia="zh-CN"/>
              </w:rPr>
              <w:t>不能</w:t>
            </w:r>
            <w:r>
              <w:rPr>
                <w:spacing w:val="-2"/>
                <w:position w:val="17"/>
              </w:rPr>
              <w:t>满足采购人要求得</w:t>
            </w:r>
            <w:r>
              <w:rPr>
                <w:spacing w:val="-33"/>
                <w:position w:val="17"/>
              </w:rPr>
              <w:t xml:space="preserve"> </w:t>
            </w:r>
            <w:r>
              <w:rPr>
                <w:rFonts w:hint="eastAsia"/>
                <w:spacing w:val="-33"/>
                <w:position w:val="17"/>
                <w:lang w:val="en-US" w:eastAsia="zh-CN"/>
              </w:rPr>
              <w:t>0</w:t>
            </w:r>
            <w:r>
              <w:rPr>
                <w:spacing w:val="-2"/>
                <w:position w:val="17"/>
              </w:rPr>
              <w:t>-</w:t>
            </w:r>
            <w:r>
              <w:rPr>
                <w:rFonts w:hint="eastAsia"/>
                <w:spacing w:val="-2"/>
                <w:position w:val="17"/>
                <w:lang w:val="en-US" w:eastAsia="zh-CN"/>
              </w:rPr>
              <w:t>4</w:t>
            </w:r>
            <w:r>
              <w:rPr>
                <w:spacing w:val="-48"/>
                <w:position w:val="17"/>
              </w:rPr>
              <w:t xml:space="preserve"> </w:t>
            </w:r>
            <w:r>
              <w:rPr>
                <w:spacing w:val="-2"/>
                <w:position w:val="17"/>
              </w:rPr>
              <w:t>分；</w:t>
            </w:r>
          </w:p>
          <w:p>
            <w:pPr>
              <w:pStyle w:val="23"/>
              <w:spacing w:before="1" w:line="219" w:lineRule="auto"/>
              <w:ind w:left="117"/>
            </w:pPr>
            <w:r>
              <w:rPr>
                <w:spacing w:val="-2"/>
              </w:rPr>
              <w:t>未提供不得分。</w:t>
            </w:r>
          </w:p>
        </w:tc>
      </w:tr>
    </w:tbl>
    <w:p>
      <w:pPr>
        <w:rPr>
          <w:rFonts w:ascii="Arial"/>
          <w:sz w:val="21"/>
        </w:rPr>
      </w:pPr>
    </w:p>
    <w:p>
      <w:pPr>
        <w:rPr>
          <w:rFonts w:ascii="Arial" w:hAnsi="Arial" w:eastAsia="Arial" w:cs="Arial"/>
          <w:sz w:val="21"/>
          <w:szCs w:val="21"/>
        </w:rPr>
        <w:sectPr>
          <w:footerReference r:id="rId9" w:type="default"/>
          <w:pgSz w:w="11906" w:h="16839"/>
          <w:pgMar w:top="1136" w:right="1244" w:bottom="1000" w:left="1243" w:header="624" w:footer="785" w:gutter="0"/>
          <w:pgNumType w:fmt="decimal"/>
          <w:cols w:space="720" w:num="1"/>
        </w:sectPr>
      </w:pPr>
    </w:p>
    <w:tbl>
      <w:tblPr>
        <w:tblStyle w:val="22"/>
        <w:tblW w:w="9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1386"/>
        <w:gridCol w:w="6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6" w:hRule="atLeast"/>
        </w:trPr>
        <w:tc>
          <w:tcPr>
            <w:tcW w:w="1665" w:type="dxa"/>
            <w:vMerge w:val="restart"/>
            <w:tcBorders>
              <w:bottom w:val="nil"/>
              <w:right w:val="single" w:color="auto" w:sz="4" w:space="0"/>
            </w:tcBorders>
            <w:vAlign w:val="top"/>
          </w:tcPr>
          <w:p>
            <w:pPr>
              <w:rPr>
                <w:rFonts w:ascii="Arial"/>
                <w:sz w:val="21"/>
              </w:rPr>
            </w:pPr>
          </w:p>
        </w:tc>
        <w:tc>
          <w:tcPr>
            <w:tcW w:w="1386" w:type="dxa"/>
            <w:tcBorders>
              <w:top w:val="single" w:color="auto" w:sz="4" w:space="0"/>
              <w:left w:val="single" w:color="auto" w:sz="4" w:space="0"/>
              <w:bottom w:val="single" w:color="auto" w:sz="4" w:space="0"/>
              <w:right w:val="single" w:color="auto" w:sz="4" w:space="0"/>
            </w:tcBorders>
            <w:vAlign w:val="top"/>
          </w:tcPr>
          <w:p>
            <w:pPr>
              <w:jc w:val="center"/>
              <w:rPr>
                <w:spacing w:val="-4"/>
              </w:rPr>
            </w:pPr>
          </w:p>
          <w:p>
            <w:pPr>
              <w:jc w:val="center"/>
              <w:rPr>
                <w:spacing w:val="-4"/>
              </w:rPr>
            </w:pPr>
          </w:p>
          <w:p>
            <w:pPr>
              <w:jc w:val="center"/>
              <w:rPr>
                <w:spacing w:val="-4"/>
              </w:rPr>
            </w:pPr>
          </w:p>
          <w:p>
            <w:pPr>
              <w:jc w:val="center"/>
              <w:rPr>
                <w:spacing w:val="-4"/>
              </w:rPr>
            </w:pPr>
          </w:p>
          <w:p>
            <w:pPr>
              <w:jc w:val="center"/>
              <w:rPr>
                <w:spacing w:val="-4"/>
              </w:rPr>
            </w:pPr>
          </w:p>
          <w:p>
            <w:pPr>
              <w:jc w:val="center"/>
              <w:rPr>
                <w:spacing w:val="-4"/>
              </w:rPr>
            </w:pPr>
          </w:p>
          <w:p>
            <w:pPr>
              <w:jc w:val="center"/>
              <w:rPr>
                <w:spacing w:val="-4"/>
              </w:rPr>
            </w:pPr>
          </w:p>
          <w:p>
            <w:pPr>
              <w:jc w:val="center"/>
              <w:rPr>
                <w:spacing w:val="-4"/>
              </w:rPr>
            </w:pPr>
          </w:p>
          <w:p>
            <w:pPr>
              <w:jc w:val="center"/>
              <w:rPr>
                <w:spacing w:val="-4"/>
              </w:rPr>
            </w:pPr>
          </w:p>
          <w:p>
            <w:pPr>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后期服务</w:t>
            </w:r>
          </w:p>
          <w:p>
            <w:pPr>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保障措施</w:t>
            </w:r>
          </w:p>
          <w:p>
            <w:pPr>
              <w:jc w:val="center"/>
              <w:rPr>
                <w:rFonts w:hint="eastAsia" w:ascii="Arial" w:eastAsia="宋体"/>
                <w:sz w:val="21"/>
                <w:lang w:eastAsia="zh-CN"/>
              </w:rPr>
            </w:pPr>
            <w:r>
              <w:rPr>
                <w:rFonts w:hint="eastAsia" w:ascii="宋体" w:hAnsi="宋体" w:eastAsia="宋体" w:cs="宋体"/>
                <w:spacing w:val="-3"/>
                <w:kern w:val="2"/>
                <w:sz w:val="24"/>
                <w:szCs w:val="24"/>
                <w:lang w:val="en-US" w:eastAsia="zh-CN" w:bidi="ar-SA"/>
              </w:rPr>
              <w:t>（10分）</w:t>
            </w:r>
          </w:p>
        </w:tc>
        <w:tc>
          <w:tcPr>
            <w:tcW w:w="6362" w:type="dxa"/>
            <w:tcBorders>
              <w:left w:val="single" w:color="auto" w:sz="4" w:space="0"/>
            </w:tcBorders>
            <w:vAlign w:val="top"/>
          </w:tcPr>
          <w:p>
            <w:pPr>
              <w:pStyle w:val="23"/>
              <w:spacing w:before="118" w:line="360" w:lineRule="auto"/>
              <w:ind w:left="117" w:right="108" w:hanging="3"/>
              <w:jc w:val="both"/>
            </w:pPr>
            <w:r>
              <w:rPr>
                <w:spacing w:val="-4"/>
              </w:rPr>
              <w:t>根据供应商针对本项目所提供的拍摄制作审核流程、</w:t>
            </w:r>
            <w:r>
              <w:rPr>
                <w:spacing w:val="-5"/>
              </w:rPr>
              <w:t>剪辑修</w:t>
            </w:r>
            <w:r>
              <w:t xml:space="preserve"> </w:t>
            </w:r>
            <w:r>
              <w:rPr>
                <w:spacing w:val="-4"/>
              </w:rPr>
              <w:t>改、后期服务保障措施（包括但不限于采购</w:t>
            </w:r>
            <w:r>
              <w:rPr>
                <w:spacing w:val="-5"/>
              </w:rPr>
              <w:t>需求、拍摄的背</w:t>
            </w:r>
            <w:r>
              <w:t xml:space="preserve"> </w:t>
            </w:r>
            <w:r>
              <w:rPr>
                <w:spacing w:val="-4"/>
              </w:rPr>
              <w:t>景文字材料、图像视频、视频脚本创作、影</w:t>
            </w:r>
            <w:r>
              <w:rPr>
                <w:spacing w:val="-5"/>
              </w:rPr>
              <w:t>视特效、包装和</w:t>
            </w:r>
          </w:p>
          <w:p>
            <w:pPr>
              <w:pStyle w:val="23"/>
              <w:spacing w:line="220" w:lineRule="auto"/>
              <w:ind w:left="116"/>
            </w:pPr>
            <w:r>
              <w:rPr>
                <w:spacing w:val="-1"/>
              </w:rPr>
              <w:t>成片制作等内容）进行评分：</w:t>
            </w:r>
          </w:p>
          <w:p>
            <w:pPr>
              <w:pStyle w:val="23"/>
              <w:spacing w:before="181" w:line="468" w:lineRule="exact"/>
              <w:ind w:left="115"/>
            </w:pPr>
            <w:r>
              <w:rPr>
                <w:spacing w:val="-4"/>
                <w:position w:val="17"/>
              </w:rPr>
              <w:t>保障措施高效率高质量且科学合理、符合服务质量要求，制</w:t>
            </w:r>
          </w:p>
          <w:p>
            <w:pPr>
              <w:pStyle w:val="23"/>
              <w:spacing w:line="220" w:lineRule="auto"/>
              <w:ind w:left="115"/>
            </w:pPr>
            <w:r>
              <w:rPr>
                <w:spacing w:val="-2"/>
              </w:rPr>
              <w:t>作审核、剪辑修改流程严谨高效得</w:t>
            </w:r>
            <w:r>
              <w:rPr>
                <w:spacing w:val="-40"/>
              </w:rPr>
              <w:t xml:space="preserve"> </w:t>
            </w:r>
            <w:r>
              <w:rPr>
                <w:rFonts w:hint="eastAsia"/>
                <w:spacing w:val="-40"/>
                <w:lang w:val="en-US" w:eastAsia="zh-CN"/>
              </w:rPr>
              <w:t>7.1</w:t>
            </w:r>
            <w:r>
              <w:rPr>
                <w:spacing w:val="-2"/>
              </w:rPr>
              <w:t>-</w:t>
            </w:r>
            <w:r>
              <w:rPr>
                <w:rFonts w:hint="eastAsia"/>
                <w:spacing w:val="-2"/>
                <w:lang w:val="en-US" w:eastAsia="zh-CN"/>
              </w:rPr>
              <w:t>10</w:t>
            </w:r>
            <w:r>
              <w:rPr>
                <w:spacing w:val="-2"/>
              </w:rPr>
              <w:t>分；</w:t>
            </w:r>
          </w:p>
          <w:p>
            <w:pPr>
              <w:pStyle w:val="23"/>
              <w:spacing w:before="181" w:line="468" w:lineRule="exact"/>
              <w:ind w:left="115"/>
              <w:rPr>
                <w:rFonts w:hint="eastAsia" w:eastAsia="宋体"/>
                <w:lang w:val="en-US" w:eastAsia="zh-CN"/>
              </w:rPr>
            </w:pPr>
            <w:r>
              <w:rPr>
                <w:spacing w:val="-2"/>
                <w:position w:val="17"/>
              </w:rPr>
              <w:t>保障措施效率高较为科学合理、</w:t>
            </w:r>
            <w:r>
              <w:rPr>
                <w:rFonts w:hint="eastAsia"/>
                <w:spacing w:val="-2"/>
                <w:position w:val="17"/>
                <w:lang w:eastAsia="zh-CN"/>
              </w:rPr>
              <w:t>基本</w:t>
            </w:r>
            <w:r>
              <w:rPr>
                <w:spacing w:val="-2"/>
                <w:position w:val="17"/>
              </w:rPr>
              <w:t>保障完成质量得</w:t>
            </w:r>
            <w:r>
              <w:rPr>
                <w:spacing w:val="-48"/>
                <w:position w:val="17"/>
              </w:rPr>
              <w:t xml:space="preserve"> </w:t>
            </w:r>
            <w:r>
              <w:rPr>
                <w:rFonts w:hint="eastAsia"/>
                <w:spacing w:val="-48"/>
                <w:position w:val="17"/>
                <w:lang w:val="en-US" w:eastAsia="zh-CN"/>
              </w:rPr>
              <w:t>4 .</w:t>
            </w:r>
            <w:r>
              <w:rPr>
                <w:spacing w:val="-3"/>
                <w:position w:val="17"/>
              </w:rPr>
              <w:t>1-</w:t>
            </w:r>
            <w:r>
              <w:rPr>
                <w:rFonts w:hint="eastAsia"/>
                <w:spacing w:val="-3"/>
                <w:position w:val="17"/>
                <w:lang w:val="en-US" w:eastAsia="zh-CN"/>
              </w:rPr>
              <w:t>7</w:t>
            </w:r>
          </w:p>
          <w:p>
            <w:pPr>
              <w:pStyle w:val="23"/>
              <w:spacing w:before="1" w:line="220" w:lineRule="auto"/>
              <w:ind w:left="117"/>
            </w:pPr>
            <w:r>
              <w:rPr>
                <w:spacing w:val="-7"/>
              </w:rPr>
              <w:t>分；</w:t>
            </w:r>
          </w:p>
          <w:p>
            <w:pPr>
              <w:pStyle w:val="23"/>
              <w:spacing w:before="181" w:line="468" w:lineRule="exact"/>
              <w:ind w:left="115"/>
            </w:pPr>
            <w:r>
              <w:rPr>
                <w:spacing w:val="-2"/>
                <w:position w:val="17"/>
              </w:rPr>
              <w:t>保障措施效率较低，不够科学合理，</w:t>
            </w:r>
            <w:r>
              <w:rPr>
                <w:rFonts w:hint="eastAsia"/>
                <w:spacing w:val="-2"/>
                <w:position w:val="17"/>
                <w:lang w:eastAsia="zh-CN"/>
              </w:rPr>
              <w:t>不能保证</w:t>
            </w:r>
            <w:r>
              <w:rPr>
                <w:spacing w:val="-2"/>
                <w:position w:val="17"/>
              </w:rPr>
              <w:t>完成质量得</w:t>
            </w:r>
            <w:r>
              <w:rPr>
                <w:spacing w:val="-20"/>
                <w:position w:val="17"/>
              </w:rPr>
              <w:t xml:space="preserve"> </w:t>
            </w:r>
            <w:r>
              <w:rPr>
                <w:rFonts w:hint="eastAsia"/>
                <w:spacing w:val="-20"/>
                <w:position w:val="17"/>
                <w:lang w:val="en-US" w:eastAsia="zh-CN"/>
              </w:rPr>
              <w:t>0</w:t>
            </w:r>
            <w:r>
              <w:rPr>
                <w:spacing w:val="-2"/>
                <w:position w:val="17"/>
              </w:rPr>
              <w:t>-2</w:t>
            </w:r>
          </w:p>
          <w:p>
            <w:pPr>
              <w:pStyle w:val="23"/>
              <w:spacing w:before="1" w:line="220" w:lineRule="auto"/>
              <w:ind w:left="117"/>
            </w:pPr>
            <w:r>
              <w:rPr>
                <w:spacing w:val="-7"/>
              </w:rPr>
              <w:t>分；</w:t>
            </w:r>
          </w:p>
          <w:p>
            <w:pPr>
              <w:pStyle w:val="23"/>
              <w:spacing w:before="182" w:line="219" w:lineRule="auto"/>
              <w:ind w:left="117"/>
            </w:pPr>
            <w:r>
              <w:rPr>
                <w:spacing w:val="-2"/>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1665" w:type="dxa"/>
            <w:vMerge w:val="continue"/>
            <w:tcBorders>
              <w:top w:val="nil"/>
              <w:bottom w:val="nil"/>
              <w:right w:val="single" w:color="auto" w:sz="4" w:space="0"/>
            </w:tcBorders>
            <w:vAlign w:val="top"/>
          </w:tcPr>
          <w:p>
            <w:pPr>
              <w:rPr>
                <w:rFonts w:ascii="Arial"/>
                <w:sz w:val="21"/>
              </w:rPr>
            </w:pPr>
          </w:p>
        </w:tc>
        <w:tc>
          <w:tcPr>
            <w:tcW w:w="1386" w:type="dxa"/>
            <w:tcBorders>
              <w:top w:val="single" w:color="auto" w:sz="4" w:space="0"/>
              <w:left w:val="single" w:color="auto" w:sz="4" w:space="0"/>
              <w:bottom w:val="single" w:color="auto" w:sz="4" w:space="0"/>
              <w:right w:val="single" w:color="auto" w:sz="4" w:space="0"/>
            </w:tcBorders>
            <w:vAlign w:val="top"/>
          </w:tcPr>
          <w:p>
            <w:pPr>
              <w:rPr>
                <w:rFonts w:hint="eastAsia" w:eastAsia="宋体" w:cs="Times New Roman"/>
                <w:spacing w:val="-4"/>
                <w:lang w:eastAsia="zh-CN"/>
              </w:rPr>
            </w:pPr>
          </w:p>
          <w:p>
            <w:pPr>
              <w:rPr>
                <w:rFonts w:hint="eastAsia" w:eastAsia="宋体" w:cs="Times New Roman"/>
                <w:spacing w:val="-4"/>
                <w:lang w:eastAsia="zh-CN"/>
              </w:rPr>
            </w:pPr>
          </w:p>
          <w:p>
            <w:pPr>
              <w:rPr>
                <w:rFonts w:hint="eastAsia" w:eastAsia="宋体" w:cs="Times New Roman"/>
                <w:spacing w:val="-4"/>
                <w:lang w:eastAsia="zh-CN"/>
              </w:rPr>
            </w:pPr>
          </w:p>
          <w:p>
            <w:pPr>
              <w:rPr>
                <w:rFonts w:hint="eastAsia" w:eastAsia="宋体" w:cs="Times New Roman"/>
                <w:spacing w:val="-4"/>
                <w:lang w:eastAsia="zh-CN"/>
              </w:rPr>
            </w:pPr>
          </w:p>
          <w:p>
            <w:pPr>
              <w:rPr>
                <w:rFonts w:hint="eastAsia" w:eastAsia="宋体" w:cs="Times New Roman"/>
                <w:spacing w:val="-4"/>
                <w:lang w:eastAsia="zh-CN"/>
              </w:rPr>
            </w:pPr>
          </w:p>
          <w:p>
            <w:pPr>
              <w:rPr>
                <w:rFonts w:hint="eastAsia" w:eastAsia="宋体" w:cs="Times New Roman"/>
                <w:spacing w:val="-4"/>
                <w:lang w:eastAsia="zh-CN"/>
              </w:rPr>
            </w:pPr>
          </w:p>
          <w:p>
            <w:pPr>
              <w:rPr>
                <w:rFonts w:hint="eastAsia" w:eastAsia="宋体" w:cs="Times New Roman"/>
                <w:spacing w:val="-4"/>
                <w:lang w:eastAsia="zh-CN"/>
              </w:rPr>
            </w:pPr>
          </w:p>
          <w:p>
            <w:pPr>
              <w:jc w:val="center"/>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艺术</w:t>
            </w:r>
            <w:r>
              <w:rPr>
                <w:rFonts w:hint="eastAsia" w:ascii="宋体" w:hAnsi="宋体" w:cs="宋体"/>
                <w:spacing w:val="-3"/>
                <w:kern w:val="2"/>
                <w:sz w:val="24"/>
                <w:szCs w:val="24"/>
                <w:lang w:val="en-US" w:eastAsia="zh-CN" w:bidi="ar-SA"/>
              </w:rPr>
              <w:t>表现</w:t>
            </w:r>
          </w:p>
          <w:p>
            <w:pPr>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方案</w:t>
            </w:r>
          </w:p>
          <w:p>
            <w:pPr>
              <w:jc w:val="center"/>
              <w:rPr>
                <w:rFonts w:hint="eastAsia" w:ascii="Arial" w:eastAsia="宋体"/>
                <w:sz w:val="21"/>
                <w:lang w:eastAsia="zh-CN"/>
              </w:rPr>
            </w:pPr>
            <w:r>
              <w:rPr>
                <w:rFonts w:hint="eastAsia" w:ascii="宋体" w:hAnsi="宋体" w:eastAsia="宋体" w:cs="宋体"/>
                <w:spacing w:val="-3"/>
                <w:kern w:val="2"/>
                <w:sz w:val="24"/>
                <w:szCs w:val="24"/>
                <w:lang w:val="en-US" w:eastAsia="zh-CN" w:bidi="ar-SA"/>
              </w:rPr>
              <w:t>（</w:t>
            </w:r>
            <w:r>
              <w:rPr>
                <w:rFonts w:hint="default" w:ascii="宋体" w:hAnsi="宋体" w:cs="宋体"/>
                <w:spacing w:val="-3"/>
                <w:kern w:val="2"/>
                <w:sz w:val="24"/>
                <w:szCs w:val="24"/>
                <w:lang w:eastAsia="zh-CN" w:bidi="ar-SA"/>
              </w:rPr>
              <w:t>10</w:t>
            </w:r>
            <w:r>
              <w:rPr>
                <w:rFonts w:hint="eastAsia" w:ascii="宋体" w:hAnsi="宋体" w:eastAsia="宋体" w:cs="宋体"/>
                <w:spacing w:val="-3"/>
                <w:kern w:val="2"/>
                <w:sz w:val="24"/>
                <w:szCs w:val="24"/>
                <w:lang w:val="en-US" w:eastAsia="zh-CN" w:bidi="ar-SA"/>
              </w:rPr>
              <w:t>分）</w:t>
            </w:r>
          </w:p>
        </w:tc>
        <w:tc>
          <w:tcPr>
            <w:tcW w:w="6362" w:type="dxa"/>
            <w:tcBorders>
              <w:left w:val="single" w:color="auto" w:sz="4" w:space="0"/>
            </w:tcBorders>
            <w:vAlign w:val="top"/>
          </w:tcPr>
          <w:p>
            <w:pPr>
              <w:pStyle w:val="23"/>
              <w:spacing w:before="117" w:line="468" w:lineRule="exact"/>
              <w:ind w:left="114"/>
            </w:pPr>
            <w:r>
              <w:rPr>
                <w:spacing w:val="-4"/>
                <w:position w:val="17"/>
              </w:rPr>
              <w:t>根据供应商针对本项目提供的艺术表现方案（包括但</w:t>
            </w:r>
            <w:r>
              <w:rPr>
                <w:spacing w:val="-5"/>
                <w:position w:val="17"/>
              </w:rPr>
              <w:t>不限于</w:t>
            </w:r>
          </w:p>
          <w:p>
            <w:pPr>
              <w:pStyle w:val="23"/>
              <w:spacing w:line="220" w:lineRule="auto"/>
              <w:ind w:left="116"/>
            </w:pPr>
            <w:r>
              <w:rPr>
                <w:spacing w:val="-1"/>
              </w:rPr>
              <w:t>拍摄手法及拍摄文案等内容）进行评审：</w:t>
            </w:r>
          </w:p>
          <w:p>
            <w:pPr>
              <w:pStyle w:val="23"/>
              <w:spacing w:before="181" w:line="468" w:lineRule="exact"/>
              <w:ind w:left="119"/>
            </w:pPr>
            <w:r>
              <w:rPr>
                <w:spacing w:val="-5"/>
                <w:position w:val="17"/>
              </w:rPr>
              <w:t>艺术表现方案内容主线清晰，内容新颖，叙述连贯，过渡自</w:t>
            </w:r>
          </w:p>
          <w:p>
            <w:pPr>
              <w:pStyle w:val="23"/>
              <w:spacing w:line="219" w:lineRule="auto"/>
              <w:ind w:left="115"/>
            </w:pPr>
            <w:r>
              <w:rPr>
                <w:spacing w:val="-2"/>
              </w:rPr>
              <w:t>然，感染力强，具有广泛传播性得</w:t>
            </w:r>
            <w:r>
              <w:rPr>
                <w:spacing w:val="-40"/>
              </w:rPr>
              <w:t xml:space="preserve"> </w:t>
            </w:r>
            <w:r>
              <w:rPr>
                <w:spacing w:val="-2"/>
              </w:rPr>
              <w:t>7.1-10</w:t>
            </w:r>
            <w:r>
              <w:rPr>
                <w:spacing w:val="-48"/>
              </w:rPr>
              <w:t xml:space="preserve"> </w:t>
            </w:r>
            <w:r>
              <w:rPr>
                <w:spacing w:val="-2"/>
              </w:rPr>
              <w:t>分；</w:t>
            </w:r>
          </w:p>
          <w:p>
            <w:pPr>
              <w:pStyle w:val="23"/>
              <w:spacing w:before="182" w:line="468" w:lineRule="exact"/>
              <w:ind w:left="119"/>
            </w:pPr>
            <w:r>
              <w:rPr>
                <w:spacing w:val="-5"/>
                <w:position w:val="17"/>
              </w:rPr>
              <w:t>艺术表现方案内容较为清晰，叙述较为连贯，有一定创意及</w:t>
            </w:r>
          </w:p>
          <w:p>
            <w:pPr>
              <w:pStyle w:val="23"/>
              <w:spacing w:before="1" w:line="219" w:lineRule="auto"/>
              <w:ind w:left="115"/>
            </w:pPr>
            <w:r>
              <w:rPr>
                <w:spacing w:val="-2"/>
              </w:rPr>
              <w:t>感染力，有一定的传播性得</w:t>
            </w:r>
            <w:r>
              <w:rPr>
                <w:spacing w:val="-46"/>
              </w:rPr>
              <w:t xml:space="preserve"> </w:t>
            </w:r>
            <w:r>
              <w:rPr>
                <w:spacing w:val="-2"/>
              </w:rPr>
              <w:t>4.1-7分；</w:t>
            </w:r>
          </w:p>
          <w:p>
            <w:pPr>
              <w:pStyle w:val="23"/>
              <w:spacing w:before="183" w:line="468" w:lineRule="exact"/>
              <w:ind w:left="119"/>
            </w:pPr>
            <w:r>
              <w:rPr>
                <w:spacing w:val="-5"/>
                <w:position w:val="17"/>
              </w:rPr>
              <w:t>艺术表现方案内容有欠缺，叙述</w:t>
            </w:r>
            <w:r>
              <w:rPr>
                <w:rFonts w:hint="eastAsia"/>
                <w:spacing w:val="-5"/>
                <w:position w:val="17"/>
                <w:lang w:eastAsia="zh-CN"/>
              </w:rPr>
              <w:t>不</w:t>
            </w:r>
            <w:r>
              <w:rPr>
                <w:spacing w:val="-5"/>
                <w:position w:val="17"/>
              </w:rPr>
              <w:t>连贯，创意、感染力</w:t>
            </w:r>
          </w:p>
          <w:p>
            <w:pPr>
              <w:pStyle w:val="23"/>
              <w:spacing w:line="219" w:lineRule="auto"/>
              <w:ind w:left="113"/>
            </w:pPr>
            <w:r>
              <w:rPr>
                <w:spacing w:val="-4"/>
              </w:rPr>
              <w:t>及传播性</w:t>
            </w:r>
            <w:r>
              <w:rPr>
                <w:rFonts w:hint="eastAsia"/>
                <w:spacing w:val="-4"/>
                <w:lang w:eastAsia="zh-CN"/>
              </w:rPr>
              <w:t>较弱</w:t>
            </w:r>
            <w:r>
              <w:rPr>
                <w:spacing w:val="-4"/>
              </w:rPr>
              <w:t>得</w:t>
            </w:r>
            <w:r>
              <w:rPr>
                <w:spacing w:val="-33"/>
              </w:rPr>
              <w:t xml:space="preserve"> </w:t>
            </w:r>
            <w:r>
              <w:rPr>
                <w:rFonts w:hint="eastAsia"/>
                <w:spacing w:val="-33"/>
                <w:lang w:val="en-US" w:eastAsia="zh-CN"/>
              </w:rPr>
              <w:t>0</w:t>
            </w:r>
            <w:r>
              <w:rPr>
                <w:spacing w:val="-4"/>
              </w:rPr>
              <w:t>-4</w:t>
            </w:r>
            <w:r>
              <w:rPr>
                <w:spacing w:val="-48"/>
              </w:rPr>
              <w:t xml:space="preserve"> </w:t>
            </w:r>
            <w:r>
              <w:rPr>
                <w:spacing w:val="-4"/>
              </w:rPr>
              <w:t>分；</w:t>
            </w:r>
          </w:p>
          <w:p>
            <w:pPr>
              <w:pStyle w:val="23"/>
              <w:spacing w:before="183" w:line="219" w:lineRule="auto"/>
              <w:ind w:left="117"/>
            </w:pPr>
            <w:r>
              <w:rPr>
                <w:spacing w:val="-2"/>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0" w:hRule="atLeast"/>
        </w:trPr>
        <w:tc>
          <w:tcPr>
            <w:tcW w:w="1665" w:type="dxa"/>
            <w:vMerge w:val="continue"/>
            <w:tcBorders>
              <w:top w:val="nil"/>
              <w:right w:val="single" w:color="auto" w:sz="4" w:space="0"/>
            </w:tcBorders>
            <w:vAlign w:val="top"/>
          </w:tcPr>
          <w:p>
            <w:pPr>
              <w:rPr>
                <w:rFonts w:ascii="Arial"/>
                <w:sz w:val="21"/>
              </w:rPr>
            </w:pPr>
          </w:p>
        </w:tc>
        <w:tc>
          <w:tcPr>
            <w:tcW w:w="138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pacing w:val="-3"/>
                <w:kern w:val="2"/>
                <w:sz w:val="24"/>
                <w:szCs w:val="24"/>
                <w:lang w:val="en-US" w:eastAsia="zh-CN" w:bidi="ar-SA"/>
              </w:rPr>
            </w:pPr>
          </w:p>
          <w:p>
            <w:pPr>
              <w:rPr>
                <w:rFonts w:hint="eastAsia" w:ascii="宋体" w:hAnsi="宋体" w:eastAsia="宋体" w:cs="宋体"/>
                <w:spacing w:val="-3"/>
                <w:kern w:val="2"/>
                <w:sz w:val="24"/>
                <w:szCs w:val="24"/>
                <w:lang w:val="en-US" w:eastAsia="zh-CN" w:bidi="ar-SA"/>
              </w:rPr>
            </w:pPr>
          </w:p>
          <w:p>
            <w:pPr>
              <w:rPr>
                <w:rFonts w:hint="eastAsia" w:ascii="宋体" w:hAnsi="宋体" w:eastAsia="宋体" w:cs="宋体"/>
                <w:spacing w:val="-3"/>
                <w:kern w:val="2"/>
                <w:sz w:val="24"/>
                <w:szCs w:val="24"/>
                <w:lang w:val="en-US" w:eastAsia="zh-CN" w:bidi="ar-SA"/>
              </w:rPr>
            </w:pPr>
          </w:p>
          <w:p>
            <w:pPr>
              <w:rPr>
                <w:rFonts w:hint="eastAsia" w:ascii="宋体" w:hAnsi="宋体" w:eastAsia="宋体" w:cs="宋体"/>
                <w:spacing w:val="-3"/>
                <w:kern w:val="2"/>
                <w:sz w:val="24"/>
                <w:szCs w:val="24"/>
                <w:lang w:val="en-US" w:eastAsia="zh-CN" w:bidi="ar-SA"/>
              </w:rPr>
            </w:pPr>
          </w:p>
          <w:p>
            <w:pPr>
              <w:rPr>
                <w:rFonts w:hint="eastAsia" w:ascii="宋体" w:hAnsi="宋体" w:eastAsia="宋体" w:cs="宋体"/>
                <w:spacing w:val="-3"/>
                <w:kern w:val="2"/>
                <w:sz w:val="24"/>
                <w:szCs w:val="24"/>
                <w:lang w:val="en-US" w:eastAsia="zh-CN" w:bidi="ar-SA"/>
              </w:rPr>
            </w:pPr>
          </w:p>
          <w:p>
            <w:pPr>
              <w:rPr>
                <w:rFonts w:hint="eastAsia" w:ascii="宋体" w:hAnsi="宋体" w:eastAsia="宋体" w:cs="宋体"/>
                <w:spacing w:val="-3"/>
                <w:kern w:val="2"/>
                <w:sz w:val="24"/>
                <w:szCs w:val="24"/>
                <w:lang w:val="en-US" w:eastAsia="zh-CN" w:bidi="ar-SA"/>
              </w:rPr>
            </w:pPr>
          </w:p>
          <w:p>
            <w:pPr>
              <w:rPr>
                <w:rFonts w:hint="eastAsia" w:ascii="Arial" w:eastAsia="宋体"/>
                <w:sz w:val="21"/>
                <w:lang w:eastAsia="zh-CN"/>
              </w:rPr>
            </w:pPr>
            <w:r>
              <w:rPr>
                <w:rFonts w:hint="eastAsia" w:ascii="宋体" w:hAnsi="宋体" w:eastAsia="宋体" w:cs="宋体"/>
                <w:spacing w:val="-3"/>
                <w:kern w:val="2"/>
                <w:sz w:val="24"/>
                <w:szCs w:val="24"/>
                <w:lang w:val="en-US" w:eastAsia="zh-CN" w:bidi="ar-SA"/>
              </w:rPr>
              <w:t>质量控制管理措施方案（5分）</w:t>
            </w:r>
          </w:p>
        </w:tc>
        <w:tc>
          <w:tcPr>
            <w:tcW w:w="6362" w:type="dxa"/>
            <w:tcBorders>
              <w:left w:val="single" w:color="auto" w:sz="4" w:space="0"/>
            </w:tcBorders>
            <w:vAlign w:val="top"/>
          </w:tcPr>
          <w:p>
            <w:pPr>
              <w:pStyle w:val="23"/>
              <w:spacing w:before="119" w:line="468" w:lineRule="exact"/>
              <w:ind w:left="114"/>
            </w:pPr>
            <w:r>
              <w:rPr>
                <w:spacing w:val="-4"/>
                <w:position w:val="17"/>
              </w:rPr>
              <w:t>根据供应商提供针对本项目的质量控制管理措施方案</w:t>
            </w:r>
            <w:r>
              <w:rPr>
                <w:spacing w:val="-5"/>
                <w:position w:val="17"/>
              </w:rPr>
              <w:t>，进行</w:t>
            </w:r>
          </w:p>
          <w:p>
            <w:pPr>
              <w:pStyle w:val="23"/>
              <w:spacing w:before="1" w:line="220" w:lineRule="auto"/>
              <w:ind w:left="117"/>
            </w:pPr>
            <w:r>
              <w:rPr>
                <w:spacing w:val="-3"/>
              </w:rPr>
              <w:t>综合评审：</w:t>
            </w:r>
          </w:p>
          <w:p>
            <w:pPr>
              <w:pStyle w:val="23"/>
              <w:spacing w:before="180" w:line="468" w:lineRule="exact"/>
              <w:ind w:left="115"/>
            </w:pPr>
            <w:r>
              <w:rPr>
                <w:spacing w:val="-4"/>
                <w:position w:val="17"/>
              </w:rPr>
              <w:t>质量控制管理措施方案详细完整、科学合理，完全</w:t>
            </w:r>
            <w:r>
              <w:rPr>
                <w:spacing w:val="-5"/>
                <w:position w:val="17"/>
              </w:rPr>
              <w:t>适用于本</w:t>
            </w:r>
          </w:p>
          <w:p>
            <w:pPr>
              <w:pStyle w:val="23"/>
              <w:spacing w:line="220" w:lineRule="auto"/>
              <w:ind w:left="117"/>
            </w:pPr>
            <w:r>
              <w:rPr>
                <w:spacing w:val="-4"/>
              </w:rPr>
              <w:t>项目，得</w:t>
            </w:r>
            <w:r>
              <w:rPr>
                <w:spacing w:val="-43"/>
              </w:rPr>
              <w:t xml:space="preserve"> </w:t>
            </w:r>
            <w:r>
              <w:rPr>
                <w:spacing w:val="-4"/>
              </w:rPr>
              <w:t>3.1-5</w:t>
            </w:r>
            <w:r>
              <w:rPr>
                <w:spacing w:val="-48"/>
              </w:rPr>
              <w:t xml:space="preserve"> </w:t>
            </w:r>
            <w:r>
              <w:rPr>
                <w:spacing w:val="-4"/>
              </w:rPr>
              <w:t>分；</w:t>
            </w:r>
          </w:p>
          <w:p>
            <w:pPr>
              <w:pStyle w:val="23"/>
              <w:spacing w:before="181" w:line="360" w:lineRule="auto"/>
              <w:ind w:left="115" w:right="72"/>
              <w:jc w:val="both"/>
            </w:pPr>
            <w:r>
              <w:rPr>
                <w:spacing w:val="-4"/>
              </w:rPr>
              <w:t>质量控制管理措施方案</w:t>
            </w:r>
            <w:r>
              <w:rPr>
                <w:rFonts w:hint="eastAsia"/>
                <w:spacing w:val="-4"/>
                <w:lang w:eastAsia="zh-CN"/>
              </w:rPr>
              <w:t>较</w:t>
            </w:r>
            <w:r>
              <w:rPr>
                <w:spacing w:val="-4"/>
              </w:rPr>
              <w:t>完整、</w:t>
            </w:r>
            <w:r>
              <w:rPr>
                <w:rFonts w:hint="eastAsia"/>
                <w:spacing w:val="-4"/>
                <w:lang w:eastAsia="zh-CN"/>
              </w:rPr>
              <w:t>基本</w:t>
            </w:r>
            <w:r>
              <w:rPr>
                <w:spacing w:val="-4"/>
              </w:rPr>
              <w:t>适用于本项目，得</w:t>
            </w:r>
            <w:r>
              <w:rPr>
                <w:spacing w:val="-32"/>
              </w:rPr>
              <w:t xml:space="preserve"> </w:t>
            </w:r>
            <w:r>
              <w:rPr>
                <w:spacing w:val="-4"/>
              </w:rPr>
              <w:t>2.1-3</w:t>
            </w:r>
            <w:r>
              <w:rPr>
                <w:spacing w:val="-48"/>
              </w:rPr>
              <w:t xml:space="preserve"> </w:t>
            </w:r>
            <w:r>
              <w:rPr>
                <w:spacing w:val="-4"/>
              </w:rPr>
              <w:t>分；</w:t>
            </w:r>
            <w:r>
              <w:t xml:space="preserve"> </w:t>
            </w:r>
          </w:p>
          <w:p>
            <w:pPr>
              <w:pStyle w:val="23"/>
              <w:spacing w:before="181" w:line="360" w:lineRule="auto"/>
              <w:ind w:left="115" w:right="72"/>
              <w:jc w:val="both"/>
            </w:pPr>
            <w:r>
              <w:rPr>
                <w:spacing w:val="5"/>
              </w:rPr>
              <w:t>质量控制管理措施方案有欠缺、</w:t>
            </w:r>
            <w:r>
              <w:rPr>
                <w:rFonts w:hint="eastAsia"/>
                <w:spacing w:val="5"/>
                <w:lang w:eastAsia="zh-CN"/>
              </w:rPr>
              <w:t>与</w:t>
            </w:r>
            <w:r>
              <w:rPr>
                <w:spacing w:val="5"/>
              </w:rPr>
              <w:t>本项目</w:t>
            </w:r>
            <w:r>
              <w:rPr>
                <w:rFonts w:hint="eastAsia"/>
                <w:spacing w:val="5"/>
                <w:lang w:eastAsia="zh-CN"/>
              </w:rPr>
              <w:t>适配度较低</w:t>
            </w:r>
            <w:r>
              <w:rPr>
                <w:spacing w:val="5"/>
              </w:rPr>
              <w:t>，得</w:t>
            </w:r>
          </w:p>
          <w:p>
            <w:pPr>
              <w:pStyle w:val="23"/>
              <w:spacing w:before="1" w:line="220" w:lineRule="auto"/>
              <w:ind w:left="131"/>
            </w:pPr>
            <w:r>
              <w:rPr>
                <w:rFonts w:hint="eastAsia"/>
                <w:spacing w:val="-8"/>
                <w:lang w:val="en-US" w:eastAsia="zh-CN"/>
              </w:rPr>
              <w:t>0</w:t>
            </w:r>
            <w:r>
              <w:rPr>
                <w:spacing w:val="-8"/>
              </w:rPr>
              <w:t>-2</w:t>
            </w:r>
            <w:r>
              <w:rPr>
                <w:spacing w:val="-48"/>
              </w:rPr>
              <w:t xml:space="preserve"> </w:t>
            </w:r>
            <w:r>
              <w:rPr>
                <w:spacing w:val="-8"/>
              </w:rPr>
              <w:t>分；</w:t>
            </w:r>
          </w:p>
          <w:p>
            <w:pPr>
              <w:pStyle w:val="23"/>
              <w:spacing w:before="181" w:line="219" w:lineRule="auto"/>
              <w:ind w:left="117"/>
            </w:pPr>
            <w:r>
              <w:rPr>
                <w:spacing w:val="-2"/>
              </w:rPr>
              <w:t>未提供不得分。</w:t>
            </w:r>
          </w:p>
        </w:tc>
      </w:tr>
    </w:tbl>
    <w:p>
      <w:pPr>
        <w:rPr>
          <w:rFonts w:ascii="Arial"/>
          <w:sz w:val="21"/>
        </w:rPr>
      </w:pPr>
    </w:p>
    <w:p>
      <w:pPr>
        <w:rPr>
          <w:rFonts w:ascii="Arial" w:hAnsi="Arial" w:eastAsia="Arial" w:cs="Arial"/>
          <w:sz w:val="21"/>
          <w:szCs w:val="21"/>
        </w:rPr>
        <w:sectPr>
          <w:footerReference r:id="rId10" w:type="default"/>
          <w:pgSz w:w="11906" w:h="16839"/>
          <w:pgMar w:top="1020" w:right="1244" w:bottom="1000" w:left="1243" w:header="624" w:footer="785" w:gutter="0"/>
          <w:pgNumType w:fmt="decimal"/>
          <w:cols w:space="720" w:num="1"/>
        </w:sectPr>
      </w:pPr>
    </w:p>
    <w:tbl>
      <w:tblPr>
        <w:tblStyle w:val="22"/>
        <w:tblW w:w="9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1386"/>
        <w:gridCol w:w="6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6" w:hRule="atLeast"/>
        </w:trPr>
        <w:tc>
          <w:tcPr>
            <w:tcW w:w="1665" w:type="dxa"/>
            <w:vMerge w:val="restart"/>
            <w:tcBorders>
              <w:bottom w:val="nil"/>
            </w:tcBorders>
            <w:vAlign w:val="top"/>
          </w:tcPr>
          <w:p>
            <w:pPr>
              <w:rPr>
                <w:rFonts w:ascii="Arial"/>
                <w:sz w:val="21"/>
              </w:rPr>
            </w:pPr>
          </w:p>
        </w:tc>
        <w:tc>
          <w:tcPr>
            <w:tcW w:w="1386" w:type="dxa"/>
            <w:tcBorders>
              <w:bottom w:val="single" w:color="auto" w:sz="4" w:space="0"/>
            </w:tcBorders>
            <w:vAlign w:val="top"/>
          </w:tcPr>
          <w:p>
            <w:pPr>
              <w:jc w:val="center"/>
              <w:rPr>
                <w:spacing w:val="5"/>
              </w:rPr>
            </w:pPr>
          </w:p>
          <w:p>
            <w:pPr>
              <w:jc w:val="center"/>
              <w:rPr>
                <w:spacing w:val="5"/>
              </w:rPr>
            </w:pPr>
          </w:p>
          <w:p>
            <w:pPr>
              <w:jc w:val="center"/>
              <w:rPr>
                <w:spacing w:val="5"/>
              </w:rPr>
            </w:pPr>
          </w:p>
          <w:p>
            <w:pPr>
              <w:jc w:val="center"/>
              <w:rPr>
                <w:spacing w:val="5"/>
              </w:rPr>
            </w:pPr>
          </w:p>
          <w:p>
            <w:pPr>
              <w:jc w:val="center"/>
              <w:rPr>
                <w:spacing w:val="5"/>
              </w:rPr>
            </w:pPr>
          </w:p>
          <w:p>
            <w:pPr>
              <w:jc w:val="center"/>
              <w:rPr>
                <w:spacing w:val="5"/>
              </w:rPr>
            </w:pPr>
          </w:p>
          <w:p>
            <w:pPr>
              <w:jc w:val="center"/>
              <w:rPr>
                <w:spacing w:val="5"/>
              </w:rPr>
            </w:pPr>
          </w:p>
          <w:p>
            <w:pPr>
              <w:jc w:val="center"/>
              <w:rPr>
                <w:spacing w:val="5"/>
              </w:rPr>
            </w:pPr>
          </w:p>
          <w:p>
            <w:pPr>
              <w:rPr>
                <w:rFonts w:hint="eastAsia" w:ascii="宋体" w:hAnsi="宋体" w:eastAsia="宋体" w:cs="宋体"/>
                <w:spacing w:val="-3"/>
                <w:kern w:val="2"/>
                <w:sz w:val="24"/>
                <w:szCs w:val="24"/>
                <w:lang w:val="en-US" w:eastAsia="zh-CN" w:bidi="ar-SA"/>
              </w:rPr>
            </w:pPr>
          </w:p>
          <w:p>
            <w:pPr>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进度计划</w:t>
            </w:r>
          </w:p>
          <w:p>
            <w:pPr>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方案</w:t>
            </w:r>
          </w:p>
          <w:p>
            <w:pPr>
              <w:jc w:val="center"/>
              <w:rPr>
                <w:rFonts w:hint="default" w:ascii="Arial" w:eastAsia="宋体"/>
                <w:sz w:val="21"/>
                <w:lang w:val="en-US" w:eastAsia="zh-CN"/>
              </w:rPr>
            </w:pPr>
            <w:r>
              <w:rPr>
                <w:rFonts w:hint="eastAsia" w:ascii="宋体" w:hAnsi="宋体" w:eastAsia="宋体" w:cs="宋体"/>
                <w:spacing w:val="-3"/>
                <w:kern w:val="2"/>
                <w:sz w:val="24"/>
                <w:szCs w:val="24"/>
                <w:lang w:val="en-US" w:eastAsia="zh-CN" w:bidi="ar-SA"/>
              </w:rPr>
              <w:t>（5分）</w:t>
            </w:r>
          </w:p>
        </w:tc>
        <w:tc>
          <w:tcPr>
            <w:tcW w:w="6362" w:type="dxa"/>
            <w:vAlign w:val="top"/>
          </w:tcPr>
          <w:p>
            <w:pPr>
              <w:pStyle w:val="23"/>
              <w:spacing w:before="118" w:line="360" w:lineRule="auto"/>
              <w:ind w:left="113" w:right="108"/>
              <w:jc w:val="both"/>
            </w:pPr>
            <w:r>
              <w:rPr>
                <w:spacing w:val="5"/>
              </w:rPr>
              <w:t>根据供应商针对本项目制定的进度计划方案和各阶段的实</w:t>
            </w:r>
            <w:r>
              <w:rPr>
                <w:spacing w:val="-4"/>
              </w:rPr>
              <w:t>施计划表（包括但不限于项目服务期间的各阶段时间需</w:t>
            </w:r>
            <w:r>
              <w:rPr>
                <w:spacing w:val="-5"/>
              </w:rPr>
              <w:t>求确</w:t>
            </w:r>
            <w:r>
              <w:rPr>
                <w:spacing w:val="-4"/>
              </w:rPr>
              <w:t>认、方案制定、拍摄周期、制作周期、控制管理、协调</w:t>
            </w:r>
            <w:r>
              <w:rPr>
                <w:spacing w:val="-5"/>
              </w:rPr>
              <w:t>管理</w:t>
            </w:r>
            <w:r>
              <w:rPr>
                <w:spacing w:val="-2"/>
              </w:rPr>
              <w:t>等内容）进行综合评审：</w:t>
            </w:r>
          </w:p>
          <w:p>
            <w:pPr>
              <w:pStyle w:val="23"/>
              <w:spacing w:before="181" w:line="468" w:lineRule="exact"/>
              <w:ind w:left="117"/>
            </w:pPr>
            <w:r>
              <w:rPr>
                <w:spacing w:val="-4"/>
                <w:position w:val="17"/>
              </w:rPr>
              <w:t>项目进度计划、时间节点及工作内容等安排</w:t>
            </w:r>
            <w:r>
              <w:rPr>
                <w:spacing w:val="-5"/>
                <w:position w:val="17"/>
              </w:rPr>
              <w:t>详细合理，有实</w:t>
            </w:r>
          </w:p>
          <w:p>
            <w:pPr>
              <w:pStyle w:val="23"/>
              <w:spacing w:line="220" w:lineRule="auto"/>
              <w:ind w:left="115"/>
            </w:pPr>
            <w:r>
              <w:rPr>
                <w:spacing w:val="-3"/>
              </w:rPr>
              <w:t>质性的细化措施等内容得</w:t>
            </w:r>
            <w:r>
              <w:rPr>
                <w:spacing w:val="-30"/>
              </w:rPr>
              <w:t xml:space="preserve"> </w:t>
            </w:r>
            <w:r>
              <w:rPr>
                <w:spacing w:val="-3"/>
              </w:rPr>
              <w:t>3.1-5</w:t>
            </w:r>
            <w:r>
              <w:rPr>
                <w:spacing w:val="-48"/>
              </w:rPr>
              <w:t xml:space="preserve"> </w:t>
            </w:r>
            <w:r>
              <w:rPr>
                <w:spacing w:val="-3"/>
              </w:rPr>
              <w:t>分；</w:t>
            </w:r>
          </w:p>
          <w:p>
            <w:pPr>
              <w:pStyle w:val="23"/>
              <w:spacing w:before="181" w:line="468" w:lineRule="exact"/>
              <w:ind w:left="117"/>
            </w:pPr>
            <w:r>
              <w:rPr>
                <w:spacing w:val="-4"/>
                <w:position w:val="17"/>
              </w:rPr>
              <w:t>项目进度计划、时间节点及工作内容安排</w:t>
            </w:r>
            <w:r>
              <w:rPr>
                <w:rFonts w:hint="eastAsia"/>
                <w:spacing w:val="-4"/>
                <w:position w:val="17"/>
                <w:lang w:eastAsia="zh-CN"/>
              </w:rPr>
              <w:t>较</w:t>
            </w:r>
            <w:r>
              <w:rPr>
                <w:spacing w:val="-4"/>
                <w:position w:val="17"/>
              </w:rPr>
              <w:t>合</w:t>
            </w:r>
            <w:r>
              <w:rPr>
                <w:spacing w:val="-5"/>
                <w:position w:val="17"/>
              </w:rPr>
              <w:t>理，有一定的实</w:t>
            </w:r>
          </w:p>
          <w:p>
            <w:pPr>
              <w:pStyle w:val="23"/>
              <w:spacing w:line="220" w:lineRule="auto"/>
              <w:ind w:left="115"/>
            </w:pPr>
            <w:r>
              <w:rPr>
                <w:spacing w:val="-3"/>
              </w:rPr>
              <w:t>质性措施内容得</w:t>
            </w:r>
            <w:r>
              <w:rPr>
                <w:spacing w:val="-42"/>
              </w:rPr>
              <w:t xml:space="preserve"> </w:t>
            </w:r>
            <w:r>
              <w:rPr>
                <w:spacing w:val="-3"/>
              </w:rPr>
              <w:t>2.1-3</w:t>
            </w:r>
            <w:r>
              <w:rPr>
                <w:spacing w:val="-48"/>
              </w:rPr>
              <w:t xml:space="preserve"> </w:t>
            </w:r>
            <w:r>
              <w:rPr>
                <w:spacing w:val="-3"/>
              </w:rPr>
              <w:t>分；</w:t>
            </w:r>
          </w:p>
          <w:p>
            <w:pPr>
              <w:pStyle w:val="23"/>
              <w:spacing w:before="182" w:line="468" w:lineRule="exact"/>
              <w:ind w:left="117"/>
            </w:pPr>
            <w:r>
              <w:rPr>
                <w:spacing w:val="-4"/>
                <w:position w:val="17"/>
              </w:rPr>
              <w:t>项目进度计划、时间节点及工作内容安排</w:t>
            </w:r>
            <w:r>
              <w:rPr>
                <w:rFonts w:hint="eastAsia"/>
                <w:spacing w:val="-4"/>
                <w:position w:val="17"/>
                <w:lang w:eastAsia="zh-CN"/>
              </w:rPr>
              <w:t>不</w:t>
            </w:r>
            <w:r>
              <w:rPr>
                <w:spacing w:val="-4"/>
                <w:position w:val="17"/>
              </w:rPr>
              <w:t>合</w:t>
            </w:r>
            <w:r>
              <w:rPr>
                <w:spacing w:val="-5"/>
                <w:position w:val="17"/>
              </w:rPr>
              <w:t>理，缺少实质性</w:t>
            </w:r>
          </w:p>
          <w:p>
            <w:pPr>
              <w:pStyle w:val="23"/>
              <w:spacing w:line="220" w:lineRule="auto"/>
              <w:ind w:left="114"/>
            </w:pPr>
            <w:r>
              <w:rPr>
                <w:spacing w:val="-5"/>
              </w:rPr>
              <w:t>措施内容得</w:t>
            </w:r>
            <w:r>
              <w:rPr>
                <w:spacing w:val="-33"/>
              </w:rPr>
              <w:t xml:space="preserve"> </w:t>
            </w:r>
            <w:r>
              <w:rPr>
                <w:rFonts w:hint="eastAsia"/>
                <w:spacing w:val="-33"/>
                <w:lang w:val="en-US" w:eastAsia="zh-CN"/>
              </w:rPr>
              <w:t>0</w:t>
            </w:r>
            <w:r>
              <w:rPr>
                <w:spacing w:val="-5"/>
              </w:rPr>
              <w:t>-2</w:t>
            </w:r>
            <w:r>
              <w:rPr>
                <w:spacing w:val="-48"/>
              </w:rPr>
              <w:t xml:space="preserve"> </w:t>
            </w:r>
            <w:r>
              <w:rPr>
                <w:spacing w:val="-5"/>
              </w:rPr>
              <w:t>分；</w:t>
            </w:r>
          </w:p>
          <w:p>
            <w:pPr>
              <w:pStyle w:val="23"/>
              <w:spacing w:before="183" w:line="219" w:lineRule="auto"/>
              <w:ind w:left="117"/>
            </w:pPr>
            <w:r>
              <w:rPr>
                <w:spacing w:val="-2"/>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trPr>
        <w:tc>
          <w:tcPr>
            <w:tcW w:w="1665" w:type="dxa"/>
            <w:vMerge w:val="continue"/>
            <w:tcBorders>
              <w:top w:val="nil"/>
              <w:bottom w:val="nil"/>
              <w:right w:val="single" w:color="auto" w:sz="4" w:space="0"/>
            </w:tcBorders>
            <w:vAlign w:val="top"/>
          </w:tcPr>
          <w:p>
            <w:pPr>
              <w:rPr>
                <w:rFonts w:ascii="Arial"/>
                <w:sz w:val="21"/>
              </w:rPr>
            </w:pPr>
          </w:p>
        </w:tc>
        <w:tc>
          <w:tcPr>
            <w:tcW w:w="1386" w:type="dxa"/>
            <w:tcBorders>
              <w:top w:val="single" w:color="auto" w:sz="4" w:space="0"/>
              <w:left w:val="single" w:color="auto" w:sz="4" w:space="0"/>
              <w:bottom w:val="single" w:color="auto" w:sz="4" w:space="0"/>
              <w:right w:val="single" w:color="auto" w:sz="4"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3"/>
              <w:spacing w:before="78" w:line="231" w:lineRule="auto"/>
              <w:ind w:left="479" w:right="211" w:hanging="261"/>
            </w:pPr>
            <w:r>
              <w:rPr>
                <w:spacing w:val="-3"/>
              </w:rPr>
              <w:t>服务人员</w:t>
            </w:r>
            <w:r>
              <w:rPr>
                <w:spacing w:val="1"/>
              </w:rPr>
              <w:t xml:space="preserve"> </w:t>
            </w:r>
            <w:r>
              <w:rPr>
                <w:spacing w:val="-16"/>
              </w:rPr>
              <w:t>团队</w:t>
            </w:r>
          </w:p>
          <w:p>
            <w:pPr>
              <w:pStyle w:val="23"/>
              <w:spacing w:before="23" w:line="221" w:lineRule="auto"/>
              <w:ind w:left="198"/>
            </w:pPr>
            <w:r>
              <w:rPr>
                <w:spacing w:val="-7"/>
              </w:rPr>
              <w:t>（</w:t>
            </w:r>
            <w:r>
              <w:rPr>
                <w:rFonts w:hint="eastAsia"/>
                <w:spacing w:val="-7"/>
                <w:lang w:val="en-US" w:eastAsia="zh-CN"/>
              </w:rPr>
              <w:t>5</w:t>
            </w:r>
            <w:r>
              <w:rPr>
                <w:spacing w:val="-7"/>
              </w:rPr>
              <w:t>分）</w:t>
            </w:r>
          </w:p>
        </w:tc>
        <w:tc>
          <w:tcPr>
            <w:tcW w:w="6362" w:type="dxa"/>
            <w:tcBorders>
              <w:left w:val="single" w:color="auto" w:sz="4" w:space="0"/>
            </w:tcBorders>
            <w:vAlign w:val="top"/>
          </w:tcPr>
          <w:p>
            <w:pPr>
              <w:pStyle w:val="23"/>
              <w:spacing w:before="117" w:line="360" w:lineRule="auto"/>
              <w:ind w:left="115" w:right="48" w:hanging="1"/>
              <w:jc w:val="both"/>
              <w:rPr>
                <w:spacing w:val="8"/>
              </w:rPr>
            </w:pPr>
            <w:r>
              <w:rPr>
                <w:spacing w:val="-4"/>
              </w:rPr>
              <w:t>根据供应商针对本项目成立服务人员团队小组（包括</w:t>
            </w:r>
            <w:r>
              <w:rPr>
                <w:spacing w:val="-5"/>
              </w:rPr>
              <w:t>但不限</w:t>
            </w:r>
            <w:r>
              <w:t xml:space="preserve"> </w:t>
            </w:r>
            <w:r>
              <w:rPr>
                <w:spacing w:val="-4"/>
              </w:rPr>
              <w:t>于项目负责人、创意策划、设计制作、后期制作</w:t>
            </w:r>
            <w:r>
              <w:rPr>
                <w:spacing w:val="-5"/>
              </w:rPr>
              <w:t>、投放宣传</w:t>
            </w:r>
            <w:r>
              <w:t xml:space="preserve"> </w:t>
            </w:r>
            <w:r>
              <w:rPr>
                <w:spacing w:val="-3"/>
              </w:rPr>
              <w:t>等人员，提供姓名、工作职务及职能等</w:t>
            </w:r>
            <w:r>
              <w:rPr>
                <w:spacing w:val="11"/>
              </w:rPr>
              <w:t>）；</w:t>
            </w:r>
            <w:r>
              <w:rPr>
                <w:spacing w:val="-3"/>
              </w:rPr>
              <w:t>要求分工合理、</w:t>
            </w:r>
            <w:r>
              <w:rPr>
                <w:spacing w:val="1"/>
              </w:rPr>
              <w:t xml:space="preserve"> </w:t>
            </w:r>
            <w:r>
              <w:rPr>
                <w:spacing w:val="-11"/>
              </w:rPr>
              <w:t>责任明确，确保工作有序开展，根据响应程度进行综合评审：</w:t>
            </w:r>
            <w:r>
              <w:rPr>
                <w:spacing w:val="8"/>
              </w:rPr>
              <w:t xml:space="preserve"> </w:t>
            </w:r>
          </w:p>
          <w:p>
            <w:pPr>
              <w:pStyle w:val="23"/>
              <w:spacing w:before="180" w:line="468" w:lineRule="exact"/>
              <w:ind w:left="117"/>
            </w:pPr>
            <w:r>
              <w:rPr>
                <w:spacing w:val="-4"/>
                <w:position w:val="17"/>
              </w:rPr>
              <w:t>项目组人员配备齐全，组织架构及成员职责</w:t>
            </w:r>
            <w:r>
              <w:rPr>
                <w:spacing w:val="-5"/>
                <w:position w:val="17"/>
              </w:rPr>
              <w:t>分工明确，完全</w:t>
            </w:r>
          </w:p>
          <w:p>
            <w:pPr>
              <w:pStyle w:val="23"/>
              <w:spacing w:line="219" w:lineRule="auto"/>
              <w:ind w:left="114"/>
            </w:pPr>
            <w:r>
              <w:rPr>
                <w:spacing w:val="-2"/>
              </w:rPr>
              <w:t>满足本项目的实际需求得</w:t>
            </w:r>
            <w:r>
              <w:rPr>
                <w:spacing w:val="-46"/>
              </w:rPr>
              <w:t xml:space="preserve"> </w:t>
            </w:r>
            <w:r>
              <w:rPr>
                <w:spacing w:val="-2"/>
              </w:rPr>
              <w:t>3.1-5</w:t>
            </w:r>
            <w:r>
              <w:rPr>
                <w:spacing w:val="-48"/>
              </w:rPr>
              <w:t xml:space="preserve"> </w:t>
            </w:r>
            <w:r>
              <w:rPr>
                <w:spacing w:val="-2"/>
              </w:rPr>
              <w:t>分；</w:t>
            </w:r>
          </w:p>
          <w:p>
            <w:pPr>
              <w:pStyle w:val="23"/>
              <w:spacing w:before="182" w:line="468" w:lineRule="exact"/>
              <w:ind w:left="117"/>
            </w:pPr>
            <w:r>
              <w:rPr>
                <w:spacing w:val="-1"/>
                <w:position w:val="17"/>
              </w:rPr>
              <w:t>项目组人员配备</w:t>
            </w:r>
            <w:r>
              <w:rPr>
                <w:rFonts w:hint="eastAsia"/>
                <w:spacing w:val="-1"/>
                <w:position w:val="17"/>
                <w:lang w:eastAsia="zh-CN"/>
              </w:rPr>
              <w:t>较齐全</w:t>
            </w:r>
            <w:r>
              <w:rPr>
                <w:spacing w:val="-1"/>
                <w:position w:val="17"/>
              </w:rPr>
              <w:t>，有相关组织架构及成员职责分</w:t>
            </w:r>
          </w:p>
          <w:p>
            <w:pPr>
              <w:pStyle w:val="23"/>
              <w:spacing w:before="1" w:line="219" w:lineRule="auto"/>
              <w:ind w:left="117"/>
            </w:pPr>
            <w:r>
              <w:rPr>
                <w:spacing w:val="-2"/>
              </w:rPr>
              <w:t>工，</w:t>
            </w:r>
            <w:r>
              <w:rPr>
                <w:rFonts w:hint="eastAsia"/>
                <w:spacing w:val="-2"/>
                <w:lang w:eastAsia="zh-CN"/>
              </w:rPr>
              <w:t>基本</w:t>
            </w:r>
            <w:r>
              <w:rPr>
                <w:spacing w:val="-2"/>
              </w:rPr>
              <w:t>满足本项目的实际需求得</w:t>
            </w:r>
            <w:r>
              <w:rPr>
                <w:spacing w:val="-42"/>
              </w:rPr>
              <w:t xml:space="preserve"> </w:t>
            </w:r>
            <w:r>
              <w:rPr>
                <w:spacing w:val="-2"/>
              </w:rPr>
              <w:t>2.1-3</w:t>
            </w:r>
            <w:r>
              <w:rPr>
                <w:spacing w:val="-48"/>
              </w:rPr>
              <w:t xml:space="preserve"> </w:t>
            </w:r>
            <w:r>
              <w:rPr>
                <w:spacing w:val="-2"/>
              </w:rPr>
              <w:t>分；</w:t>
            </w:r>
          </w:p>
          <w:p>
            <w:pPr>
              <w:pStyle w:val="23"/>
              <w:spacing w:before="183" w:line="468" w:lineRule="exact"/>
              <w:ind w:left="115"/>
              <w:rPr>
                <w:rFonts w:hint="eastAsia"/>
                <w:spacing w:val="-5"/>
                <w:position w:val="17"/>
                <w:lang w:val="en-US" w:eastAsia="zh-CN"/>
              </w:rPr>
            </w:pPr>
            <w:r>
              <w:rPr>
                <w:spacing w:val="-4"/>
                <w:position w:val="17"/>
              </w:rPr>
              <w:t>相关项目组人员配备</w:t>
            </w:r>
            <w:r>
              <w:rPr>
                <w:rFonts w:hint="eastAsia"/>
                <w:spacing w:val="-4"/>
                <w:position w:val="17"/>
                <w:lang w:eastAsia="zh-CN"/>
              </w:rPr>
              <w:t>不完善</w:t>
            </w:r>
            <w:r>
              <w:rPr>
                <w:spacing w:val="-4"/>
                <w:position w:val="17"/>
              </w:rPr>
              <w:t>，组织架构及成员职责分工</w:t>
            </w:r>
            <w:r>
              <w:rPr>
                <w:rFonts w:hint="eastAsia"/>
                <w:spacing w:val="-5"/>
                <w:position w:val="17"/>
                <w:lang w:eastAsia="zh-CN"/>
              </w:rPr>
              <w:t>不合理得</w:t>
            </w:r>
            <w:r>
              <w:rPr>
                <w:rFonts w:hint="eastAsia"/>
                <w:spacing w:val="-5"/>
                <w:position w:val="17"/>
                <w:lang w:val="en-US" w:eastAsia="zh-CN"/>
              </w:rPr>
              <w:t>0-2分</w:t>
            </w:r>
          </w:p>
          <w:p>
            <w:pPr>
              <w:pStyle w:val="23"/>
              <w:spacing w:before="182" w:line="219" w:lineRule="auto"/>
              <w:ind w:left="117"/>
            </w:pPr>
            <w:r>
              <w:rPr>
                <w:rFonts w:hint="eastAsia"/>
                <w:spacing w:val="-5"/>
                <w:position w:val="17"/>
                <w:lang w:val="en-US" w:eastAsia="zh-CN"/>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8" w:hRule="atLeast"/>
        </w:trPr>
        <w:tc>
          <w:tcPr>
            <w:tcW w:w="1665" w:type="dxa"/>
            <w:vMerge w:val="continue"/>
            <w:tcBorders>
              <w:top w:val="nil"/>
              <w:right w:val="single" w:color="auto" w:sz="4" w:space="0"/>
            </w:tcBorders>
            <w:vAlign w:val="top"/>
          </w:tcPr>
          <w:p>
            <w:pPr>
              <w:rPr>
                <w:rFonts w:ascii="Arial"/>
                <w:sz w:val="21"/>
              </w:rPr>
            </w:pPr>
          </w:p>
        </w:tc>
        <w:tc>
          <w:tcPr>
            <w:tcW w:w="1386" w:type="dxa"/>
            <w:tcBorders>
              <w:top w:val="single" w:color="auto" w:sz="4" w:space="0"/>
              <w:left w:val="single" w:color="auto" w:sz="4" w:space="0"/>
              <w:bottom w:val="single" w:color="auto" w:sz="4" w:space="0"/>
              <w:right w:val="single" w:color="auto" w:sz="4" w:space="0"/>
            </w:tcBorders>
            <w:vAlign w:val="top"/>
          </w:tcPr>
          <w:p>
            <w:pPr>
              <w:rPr>
                <w:rFonts w:hint="eastAsia" w:ascii="Arial" w:eastAsia="宋体" w:cs="Times New Roman"/>
                <w:sz w:val="21"/>
                <w:lang w:eastAsia="zh-CN"/>
              </w:rPr>
            </w:pPr>
          </w:p>
          <w:p>
            <w:pPr>
              <w:rPr>
                <w:rFonts w:hint="eastAsia" w:ascii="Arial" w:eastAsia="宋体" w:cs="Times New Roman"/>
                <w:sz w:val="21"/>
                <w:lang w:eastAsia="zh-CN"/>
              </w:rPr>
            </w:pPr>
          </w:p>
          <w:p>
            <w:pPr>
              <w:rPr>
                <w:rFonts w:hint="eastAsia" w:ascii="Arial" w:eastAsia="宋体" w:cs="Times New Roman"/>
                <w:sz w:val="21"/>
                <w:lang w:eastAsia="zh-CN"/>
              </w:rPr>
            </w:pPr>
          </w:p>
          <w:p>
            <w:pPr>
              <w:rPr>
                <w:rFonts w:hint="eastAsia" w:ascii="Arial" w:eastAsia="宋体" w:cs="Times New Roman"/>
                <w:sz w:val="21"/>
                <w:lang w:eastAsia="zh-CN"/>
              </w:rPr>
            </w:pPr>
          </w:p>
          <w:p>
            <w:pPr>
              <w:rPr>
                <w:rFonts w:hint="eastAsia" w:ascii="Arial" w:eastAsia="宋体" w:cs="Times New Roman"/>
                <w:sz w:val="21"/>
                <w:lang w:eastAsia="zh-CN"/>
              </w:rPr>
            </w:pPr>
          </w:p>
          <w:p>
            <w:pPr>
              <w:rPr>
                <w:rFonts w:hint="eastAsia" w:ascii="Arial" w:eastAsia="宋体" w:cs="Times New Roman"/>
                <w:sz w:val="21"/>
                <w:lang w:eastAsia="zh-CN"/>
              </w:rPr>
            </w:pPr>
          </w:p>
          <w:p>
            <w:pPr>
              <w:jc w:val="center"/>
              <w:rPr>
                <w:rFonts w:hint="eastAsia" w:ascii="Arial" w:eastAsia="宋体"/>
                <w:sz w:val="21"/>
                <w:lang w:eastAsia="zh-CN"/>
              </w:rPr>
            </w:pPr>
            <w:r>
              <w:rPr>
                <w:rFonts w:hint="eastAsia" w:ascii="宋体" w:hAnsi="宋体" w:eastAsia="宋体" w:cs="宋体"/>
                <w:spacing w:val="-3"/>
                <w:kern w:val="2"/>
                <w:sz w:val="24"/>
                <w:szCs w:val="24"/>
                <w:lang w:val="en-US" w:eastAsia="zh-CN" w:bidi="ar-SA"/>
              </w:rPr>
              <w:t>项目负责人（5分）</w:t>
            </w:r>
          </w:p>
        </w:tc>
        <w:tc>
          <w:tcPr>
            <w:tcW w:w="6362" w:type="dxa"/>
            <w:tcBorders>
              <w:left w:val="single" w:color="auto" w:sz="4" w:space="0"/>
            </w:tcBorders>
            <w:vAlign w:val="top"/>
          </w:tcPr>
          <w:p>
            <w:pPr>
              <w:pStyle w:val="23"/>
              <w:spacing w:before="117" w:line="240" w:lineRule="auto"/>
              <w:ind w:left="115" w:right="48" w:hanging="1"/>
              <w:jc w:val="both"/>
              <w:rPr>
                <w:rFonts w:ascii="宋体" w:hAnsi="宋体" w:eastAsia="宋体" w:cs="宋体"/>
                <w:spacing w:val="-3"/>
              </w:rPr>
            </w:pPr>
            <w:r>
              <w:rPr>
                <w:rFonts w:ascii="宋体" w:hAnsi="宋体" w:eastAsia="宋体" w:cs="宋体"/>
                <w:spacing w:val="-3"/>
              </w:rPr>
              <w:t>根据供应商针对本项目所提供的项目负责人（包括但不限于</w:t>
            </w:r>
          </w:p>
          <w:p>
            <w:pPr>
              <w:pStyle w:val="23"/>
              <w:spacing w:before="117" w:line="240" w:lineRule="auto"/>
              <w:ind w:left="115" w:right="48" w:hanging="1"/>
              <w:jc w:val="both"/>
              <w:rPr>
                <w:rFonts w:ascii="宋体" w:hAnsi="宋体" w:eastAsia="宋体" w:cs="宋体"/>
                <w:spacing w:val="-3"/>
              </w:rPr>
            </w:pPr>
            <w:r>
              <w:rPr>
                <w:rFonts w:ascii="宋体" w:hAnsi="宋体" w:eastAsia="宋体" w:cs="宋体"/>
                <w:spacing w:val="-3"/>
              </w:rPr>
              <w:t>人员从业年限及经验等）进行综合评审：</w:t>
            </w:r>
          </w:p>
          <w:p>
            <w:pPr>
              <w:pStyle w:val="23"/>
              <w:spacing w:before="182" w:line="240" w:lineRule="auto"/>
              <w:ind w:left="117"/>
            </w:pPr>
            <w:r>
              <w:rPr>
                <w:spacing w:val="-2"/>
              </w:rPr>
              <w:t>项目负责人有相关工作经历且经验丰富得</w:t>
            </w:r>
            <w:r>
              <w:rPr>
                <w:spacing w:val="-33"/>
              </w:rPr>
              <w:t xml:space="preserve"> </w:t>
            </w:r>
            <w:r>
              <w:rPr>
                <w:spacing w:val="-2"/>
              </w:rPr>
              <w:t>3.1-5</w:t>
            </w:r>
            <w:r>
              <w:rPr>
                <w:spacing w:val="-48"/>
              </w:rPr>
              <w:t xml:space="preserve"> </w:t>
            </w:r>
            <w:r>
              <w:rPr>
                <w:spacing w:val="-2"/>
              </w:rPr>
              <w:t>分；</w:t>
            </w:r>
          </w:p>
          <w:p>
            <w:pPr>
              <w:pStyle w:val="23"/>
              <w:spacing w:before="181" w:line="240" w:lineRule="auto"/>
              <w:ind w:left="117"/>
              <w:rPr>
                <w:rFonts w:hint="eastAsia"/>
                <w:spacing w:val="15"/>
                <w:position w:val="17"/>
                <w:lang w:val="en-US" w:eastAsia="zh-CN"/>
              </w:rPr>
            </w:pPr>
            <w:r>
              <w:rPr>
                <w:spacing w:val="15"/>
                <w:position w:val="17"/>
              </w:rPr>
              <w:t>项目负责人相关工作经历</w:t>
            </w:r>
            <w:r>
              <w:rPr>
                <w:rFonts w:hint="eastAsia"/>
                <w:spacing w:val="15"/>
                <w:position w:val="17"/>
                <w:lang w:eastAsia="zh-CN"/>
              </w:rPr>
              <w:t>及</w:t>
            </w:r>
            <w:r>
              <w:rPr>
                <w:spacing w:val="15"/>
                <w:position w:val="17"/>
              </w:rPr>
              <w:t>相关经验</w:t>
            </w:r>
            <w:r>
              <w:rPr>
                <w:rFonts w:hint="eastAsia"/>
                <w:spacing w:val="15"/>
                <w:position w:val="17"/>
                <w:lang w:eastAsia="zh-CN"/>
              </w:rPr>
              <w:t>较丰富</w:t>
            </w:r>
            <w:r>
              <w:rPr>
                <w:spacing w:val="15"/>
                <w:position w:val="17"/>
              </w:rPr>
              <w:t>得</w:t>
            </w:r>
            <w:r>
              <w:rPr>
                <w:rFonts w:hint="eastAsia"/>
                <w:spacing w:val="15"/>
                <w:position w:val="17"/>
                <w:lang w:val="en-US" w:eastAsia="zh-CN"/>
              </w:rPr>
              <w:t>2.1-3分；</w:t>
            </w:r>
          </w:p>
          <w:p>
            <w:pPr>
              <w:pStyle w:val="23"/>
              <w:spacing w:before="181" w:line="240" w:lineRule="auto"/>
              <w:ind w:left="117"/>
            </w:pPr>
            <w:r>
              <w:rPr>
                <w:spacing w:val="-2"/>
                <w:position w:val="17"/>
              </w:rPr>
              <w:t>项目负责人相关工作经历</w:t>
            </w:r>
            <w:r>
              <w:rPr>
                <w:rFonts w:hint="eastAsia"/>
                <w:spacing w:val="-2"/>
                <w:position w:val="17"/>
                <w:lang w:eastAsia="zh-CN"/>
              </w:rPr>
              <w:t>及</w:t>
            </w:r>
            <w:r>
              <w:rPr>
                <w:spacing w:val="-2"/>
                <w:position w:val="17"/>
              </w:rPr>
              <w:t>经验</w:t>
            </w:r>
            <w:r>
              <w:rPr>
                <w:rFonts w:hint="eastAsia"/>
                <w:spacing w:val="-2"/>
                <w:position w:val="17"/>
                <w:lang w:eastAsia="zh-CN"/>
              </w:rPr>
              <w:t>不足</w:t>
            </w:r>
            <w:r>
              <w:rPr>
                <w:spacing w:val="-2"/>
                <w:position w:val="17"/>
              </w:rPr>
              <w:t>得</w:t>
            </w:r>
            <w:r>
              <w:rPr>
                <w:spacing w:val="-33"/>
                <w:position w:val="17"/>
              </w:rPr>
              <w:t xml:space="preserve"> </w:t>
            </w:r>
            <w:r>
              <w:rPr>
                <w:rFonts w:hint="eastAsia"/>
                <w:spacing w:val="-33"/>
                <w:position w:val="17"/>
                <w:lang w:val="en-US" w:eastAsia="zh-CN"/>
              </w:rPr>
              <w:t>0</w:t>
            </w:r>
            <w:r>
              <w:rPr>
                <w:spacing w:val="-2"/>
                <w:position w:val="17"/>
              </w:rPr>
              <w:t>-2</w:t>
            </w:r>
            <w:r>
              <w:rPr>
                <w:spacing w:val="-48"/>
                <w:position w:val="17"/>
              </w:rPr>
              <w:t xml:space="preserve"> </w:t>
            </w:r>
            <w:r>
              <w:rPr>
                <w:spacing w:val="-3"/>
                <w:position w:val="17"/>
              </w:rPr>
              <w:t>分；</w:t>
            </w:r>
          </w:p>
          <w:p>
            <w:pPr>
              <w:pStyle w:val="23"/>
              <w:spacing w:before="117" w:line="240" w:lineRule="auto"/>
              <w:ind w:left="115" w:right="48" w:hanging="1"/>
              <w:jc w:val="both"/>
            </w:pPr>
            <w:r>
              <w:rPr>
                <w:spacing w:val="-2"/>
              </w:rPr>
              <w:t>未提供不得分。</w:t>
            </w:r>
          </w:p>
        </w:tc>
      </w:tr>
    </w:tbl>
    <w:p>
      <w:pPr>
        <w:rPr>
          <w:rFonts w:ascii="Arial"/>
          <w:sz w:val="21"/>
        </w:rPr>
      </w:pPr>
    </w:p>
    <w:p>
      <w:pPr>
        <w:rPr>
          <w:rFonts w:ascii="Arial" w:hAnsi="Arial" w:eastAsia="Arial" w:cs="Arial"/>
          <w:sz w:val="21"/>
          <w:szCs w:val="21"/>
        </w:rPr>
        <w:sectPr>
          <w:footerReference r:id="rId11" w:type="default"/>
          <w:pgSz w:w="11906" w:h="16839"/>
          <w:pgMar w:top="1020" w:right="1244" w:bottom="1000" w:left="1243" w:header="624" w:footer="785" w:gutter="0"/>
          <w:pgNumType w:fmt="decimal"/>
          <w:cols w:space="720" w:num="1"/>
        </w:sectPr>
      </w:pPr>
    </w:p>
    <w:tbl>
      <w:tblPr>
        <w:tblStyle w:val="22"/>
        <w:tblW w:w="9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1386"/>
        <w:gridCol w:w="6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2" w:hRule="atLeast"/>
        </w:trPr>
        <w:tc>
          <w:tcPr>
            <w:tcW w:w="1665" w:type="dxa"/>
            <w:vMerge w:val="restart"/>
            <w:vAlign w:val="top"/>
          </w:tcPr>
          <w:p>
            <w:pPr>
              <w:rPr>
                <w:rFonts w:ascii="Arial"/>
                <w:sz w:val="21"/>
              </w:rPr>
            </w:pPr>
          </w:p>
        </w:tc>
        <w:tc>
          <w:tcPr>
            <w:tcW w:w="138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3"/>
              <w:spacing w:before="78" w:line="230" w:lineRule="auto"/>
              <w:ind w:left="456" w:right="211" w:hanging="234"/>
            </w:pPr>
            <w:r>
              <w:rPr>
                <w:spacing w:val="-4"/>
              </w:rPr>
              <w:t>设备配置</w:t>
            </w:r>
            <w:r>
              <w:rPr>
                <w:spacing w:val="1"/>
              </w:rPr>
              <w:t xml:space="preserve"> </w:t>
            </w:r>
            <w:r>
              <w:rPr>
                <w:spacing w:val="-4"/>
              </w:rPr>
              <w:t>情况</w:t>
            </w:r>
          </w:p>
          <w:p>
            <w:pPr>
              <w:pStyle w:val="23"/>
              <w:spacing w:before="24" w:line="221" w:lineRule="auto"/>
              <w:ind w:left="258"/>
            </w:pPr>
            <w:r>
              <w:rPr>
                <w:spacing w:val="-9"/>
              </w:rPr>
              <w:t>（5</w:t>
            </w:r>
            <w:r>
              <w:rPr>
                <w:spacing w:val="-46"/>
              </w:rPr>
              <w:t xml:space="preserve"> </w:t>
            </w:r>
            <w:r>
              <w:rPr>
                <w:spacing w:val="-9"/>
              </w:rPr>
              <w:t>分）</w:t>
            </w:r>
          </w:p>
        </w:tc>
        <w:tc>
          <w:tcPr>
            <w:tcW w:w="6362" w:type="dxa"/>
            <w:vAlign w:val="top"/>
          </w:tcPr>
          <w:p>
            <w:pPr>
              <w:pStyle w:val="23"/>
              <w:spacing w:before="118" w:line="360" w:lineRule="auto"/>
              <w:ind w:left="112" w:right="108" w:firstLine="1"/>
              <w:jc w:val="both"/>
            </w:pPr>
            <w:r>
              <w:rPr>
                <w:spacing w:val="-4"/>
              </w:rPr>
              <w:t>根据供应商提供拟投入本项目相关仪器设备配置情况</w:t>
            </w:r>
            <w:r>
              <w:rPr>
                <w:spacing w:val="-5"/>
              </w:rPr>
              <w:t>（包括</w:t>
            </w:r>
            <w:r>
              <w:t xml:space="preserve"> </w:t>
            </w:r>
            <w:r>
              <w:rPr>
                <w:spacing w:val="-4"/>
              </w:rPr>
              <w:t>但不限于拍摄器材及组件、辅助工具及后期制作设备、车辆</w:t>
            </w:r>
          </w:p>
          <w:p>
            <w:pPr>
              <w:pStyle w:val="23"/>
              <w:spacing w:line="220" w:lineRule="auto"/>
              <w:ind w:left="116"/>
            </w:pPr>
            <w:r>
              <w:rPr>
                <w:spacing w:val="-1"/>
              </w:rPr>
              <w:t>等）内容）进行综合评审：</w:t>
            </w:r>
          </w:p>
          <w:p>
            <w:pPr>
              <w:pStyle w:val="23"/>
              <w:spacing w:before="181" w:line="468" w:lineRule="exact"/>
              <w:ind w:left="117"/>
            </w:pPr>
            <w:r>
              <w:rPr>
                <w:spacing w:val="-4"/>
                <w:position w:val="17"/>
              </w:rPr>
              <w:t>设备配置详细</w:t>
            </w:r>
            <w:r>
              <w:rPr>
                <w:rFonts w:hint="eastAsia"/>
                <w:spacing w:val="-4"/>
                <w:position w:val="17"/>
                <w:lang w:eastAsia="zh-CN"/>
              </w:rPr>
              <w:t>完善</w:t>
            </w:r>
            <w:r>
              <w:rPr>
                <w:spacing w:val="-4"/>
                <w:position w:val="17"/>
              </w:rPr>
              <w:t>、使用广泛，完全满足本</w:t>
            </w:r>
            <w:r>
              <w:rPr>
                <w:spacing w:val="-5"/>
                <w:position w:val="17"/>
              </w:rPr>
              <w:t>项目所需服务要</w:t>
            </w:r>
          </w:p>
          <w:p>
            <w:pPr>
              <w:pStyle w:val="23"/>
              <w:spacing w:line="220" w:lineRule="auto"/>
              <w:ind w:left="116"/>
            </w:pPr>
            <w:r>
              <w:rPr>
                <w:spacing w:val="-5"/>
              </w:rPr>
              <w:t>求得</w:t>
            </w:r>
            <w:r>
              <w:rPr>
                <w:spacing w:val="-40"/>
              </w:rPr>
              <w:t xml:space="preserve"> </w:t>
            </w:r>
            <w:r>
              <w:rPr>
                <w:spacing w:val="-5"/>
              </w:rPr>
              <w:t>3.1-5</w:t>
            </w:r>
            <w:r>
              <w:rPr>
                <w:spacing w:val="-48"/>
              </w:rPr>
              <w:t xml:space="preserve"> </w:t>
            </w:r>
            <w:r>
              <w:rPr>
                <w:spacing w:val="-5"/>
              </w:rPr>
              <w:t>分；</w:t>
            </w:r>
          </w:p>
          <w:p>
            <w:pPr>
              <w:pStyle w:val="23"/>
              <w:spacing w:before="181" w:line="360" w:lineRule="auto"/>
              <w:ind w:left="117" w:right="72"/>
              <w:jc w:val="both"/>
            </w:pPr>
            <w:r>
              <w:rPr>
                <w:spacing w:val="-4"/>
              </w:rPr>
              <w:t>设备配置</w:t>
            </w:r>
            <w:r>
              <w:rPr>
                <w:rFonts w:hint="eastAsia"/>
                <w:spacing w:val="-4"/>
                <w:lang w:eastAsia="zh-CN"/>
              </w:rPr>
              <w:t>基本</w:t>
            </w:r>
            <w:r>
              <w:rPr>
                <w:spacing w:val="-4"/>
              </w:rPr>
              <w:t>完整，</w:t>
            </w:r>
            <w:r>
              <w:rPr>
                <w:rFonts w:hint="eastAsia"/>
                <w:spacing w:val="-4"/>
                <w:lang w:eastAsia="zh-CN"/>
              </w:rPr>
              <w:t>基本</w:t>
            </w:r>
            <w:r>
              <w:rPr>
                <w:spacing w:val="-4"/>
              </w:rPr>
              <w:t>满足本项目所需服务要求得</w:t>
            </w:r>
            <w:r>
              <w:rPr>
                <w:spacing w:val="-35"/>
              </w:rPr>
              <w:t xml:space="preserve"> </w:t>
            </w:r>
            <w:r>
              <w:rPr>
                <w:spacing w:val="-4"/>
              </w:rPr>
              <w:t>2.1-3</w:t>
            </w:r>
            <w:r>
              <w:rPr>
                <w:spacing w:val="-48"/>
              </w:rPr>
              <w:t xml:space="preserve"> </w:t>
            </w:r>
            <w:r>
              <w:rPr>
                <w:spacing w:val="-4"/>
              </w:rPr>
              <w:t>分；</w:t>
            </w:r>
            <w:r>
              <w:t xml:space="preserve"> </w:t>
            </w:r>
          </w:p>
          <w:p>
            <w:pPr>
              <w:pStyle w:val="23"/>
              <w:spacing w:before="181" w:line="360" w:lineRule="auto"/>
              <w:ind w:left="117" w:right="72"/>
              <w:jc w:val="both"/>
            </w:pPr>
            <w:r>
              <w:rPr>
                <w:spacing w:val="6"/>
              </w:rPr>
              <w:t>设备配置有欠缺，</w:t>
            </w:r>
            <w:r>
              <w:rPr>
                <w:rFonts w:hint="eastAsia"/>
                <w:spacing w:val="6"/>
                <w:lang w:eastAsia="zh-CN"/>
              </w:rPr>
              <w:t>不</w:t>
            </w:r>
            <w:r>
              <w:rPr>
                <w:spacing w:val="6"/>
              </w:rPr>
              <w:t>满足本项目所需服务要求得</w:t>
            </w:r>
            <w:r>
              <w:rPr>
                <w:spacing w:val="-26"/>
              </w:rPr>
              <w:t xml:space="preserve"> </w:t>
            </w:r>
            <w:r>
              <w:rPr>
                <w:rFonts w:hint="eastAsia"/>
                <w:spacing w:val="-26"/>
                <w:lang w:val="en-US" w:eastAsia="zh-CN"/>
              </w:rPr>
              <w:t>0</w:t>
            </w:r>
            <w:r>
              <w:rPr>
                <w:spacing w:val="6"/>
              </w:rPr>
              <w:t>-2</w:t>
            </w:r>
          </w:p>
          <w:p>
            <w:pPr>
              <w:pStyle w:val="23"/>
              <w:spacing w:before="1" w:line="220" w:lineRule="auto"/>
              <w:ind w:left="117"/>
            </w:pPr>
            <w:r>
              <w:rPr>
                <w:spacing w:val="-7"/>
              </w:rPr>
              <w:t>分；</w:t>
            </w:r>
          </w:p>
          <w:p>
            <w:pPr>
              <w:pStyle w:val="23"/>
              <w:spacing w:before="181" w:line="401" w:lineRule="exact"/>
              <w:ind w:left="114"/>
            </w:pPr>
            <w:r>
              <w:rPr>
                <w:spacing w:val="-4"/>
                <w:position w:val="11"/>
                <w14:textOutline w14:w="4358" w14:cap="sq" w14:cmpd="sng">
                  <w14:solidFill>
                    <w14:srgbClr w14:val="000000"/>
                  </w14:solidFill>
                  <w14:prstDash w14:val="solid"/>
                  <w14:bevel/>
                </w14:textOutline>
              </w:rPr>
              <w:t>注：供应商应提供相关设备的证明资料，包括但不限</w:t>
            </w:r>
            <w:r>
              <w:rPr>
                <w:spacing w:val="-5"/>
                <w:position w:val="11"/>
                <w14:textOutline w14:w="4358" w14:cap="sq" w14:cmpd="sng">
                  <w14:solidFill>
                    <w14:srgbClr w14:val="000000"/>
                  </w14:solidFill>
                  <w14:prstDash w14:val="solid"/>
                  <w14:bevel/>
                </w14:textOutline>
              </w:rPr>
              <w:t>于设备</w:t>
            </w:r>
          </w:p>
          <w:p>
            <w:pPr>
              <w:pStyle w:val="23"/>
              <w:spacing w:line="214" w:lineRule="auto"/>
              <w:ind w:left="119"/>
            </w:pPr>
            <w:r>
              <w:rPr>
                <w:spacing w:val="-1"/>
                <w14:textOutline w14:w="4358" w14:cap="sq" w14:cmpd="sng">
                  <w14:solidFill>
                    <w14:srgbClr w14:val="000000"/>
                  </w14:solidFill>
                  <w14:prstDash w14:val="solid"/>
                  <w14:bevel/>
                </w14:textOutline>
              </w:rPr>
              <w:t>实景照片、购买或租赁证明材料等</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2" w:hRule="atLeast"/>
        </w:trPr>
        <w:tc>
          <w:tcPr>
            <w:tcW w:w="1665" w:type="dxa"/>
            <w:vMerge w:val="continue"/>
            <w:tcBorders>
              <w:bottom w:val="single" w:color="auto" w:sz="4" w:space="0"/>
            </w:tcBorders>
            <w:vAlign w:val="top"/>
          </w:tcPr>
          <w:p>
            <w:pPr>
              <w:rPr>
                <w:rFonts w:ascii="Arial"/>
                <w:sz w:val="21"/>
              </w:rPr>
            </w:pPr>
          </w:p>
        </w:tc>
        <w:tc>
          <w:tcPr>
            <w:tcW w:w="1386"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23"/>
              <w:spacing w:before="78" w:line="220" w:lineRule="auto"/>
              <w:ind w:left="218"/>
            </w:pPr>
            <w:r>
              <w:rPr>
                <w:spacing w:val="-3"/>
              </w:rPr>
              <w:t>补救措施</w:t>
            </w:r>
          </w:p>
          <w:p>
            <w:pPr>
              <w:pStyle w:val="23"/>
              <w:spacing w:before="25" w:line="221" w:lineRule="auto"/>
              <w:ind w:left="217"/>
            </w:pPr>
            <w:r>
              <w:rPr>
                <w:spacing w:val="-3"/>
              </w:rPr>
              <w:t>及应急预</w:t>
            </w:r>
          </w:p>
          <w:p>
            <w:pPr>
              <w:pStyle w:val="23"/>
              <w:spacing w:before="24" w:line="221" w:lineRule="auto"/>
              <w:ind w:left="580"/>
            </w:pPr>
            <w:r>
              <w:t>案</w:t>
            </w:r>
          </w:p>
          <w:p>
            <w:pPr>
              <w:pStyle w:val="23"/>
              <w:spacing w:before="24" w:line="221" w:lineRule="auto"/>
              <w:ind w:left="258"/>
            </w:pPr>
            <w:r>
              <w:rPr>
                <w:spacing w:val="-9"/>
              </w:rPr>
              <w:t>（5</w:t>
            </w:r>
            <w:r>
              <w:rPr>
                <w:spacing w:val="-46"/>
              </w:rPr>
              <w:t xml:space="preserve"> </w:t>
            </w:r>
            <w:r>
              <w:rPr>
                <w:spacing w:val="-9"/>
              </w:rPr>
              <w:t>分）</w:t>
            </w:r>
          </w:p>
        </w:tc>
        <w:tc>
          <w:tcPr>
            <w:tcW w:w="6362" w:type="dxa"/>
            <w:vAlign w:val="top"/>
          </w:tcPr>
          <w:p>
            <w:pPr>
              <w:pStyle w:val="23"/>
              <w:spacing w:before="116" w:line="360" w:lineRule="auto"/>
              <w:ind w:left="113" w:right="108"/>
              <w:jc w:val="both"/>
            </w:pPr>
            <w:r>
              <w:rPr>
                <w:spacing w:val="5"/>
              </w:rPr>
              <w:t>根据供应商提供针对本项目的未达到预期效果的补救措施</w:t>
            </w:r>
            <w:r>
              <w:rPr>
                <w:spacing w:val="8"/>
              </w:rPr>
              <w:t xml:space="preserve"> </w:t>
            </w:r>
            <w:r>
              <w:rPr>
                <w:spacing w:val="-4"/>
              </w:rPr>
              <w:t>及应急预案（包括但不限于存储损坏、网络设备损坏、</w:t>
            </w:r>
            <w:r>
              <w:rPr>
                <w:spacing w:val="-5"/>
              </w:rPr>
              <w:t>数据</w:t>
            </w:r>
            <w:r>
              <w:rPr>
                <w:spacing w:val="-1"/>
              </w:rPr>
              <w:t>丢失等各种突发事件）进行综合评审：</w:t>
            </w:r>
          </w:p>
          <w:p>
            <w:pPr>
              <w:pStyle w:val="23"/>
              <w:spacing w:before="181" w:line="468" w:lineRule="exact"/>
              <w:ind w:left="114"/>
            </w:pPr>
            <w:r>
              <w:rPr>
                <w:spacing w:val="-2"/>
                <w:position w:val="17"/>
              </w:rPr>
              <w:t>应急预案完整全面、考虑周到，可实施性强得</w:t>
            </w:r>
            <w:r>
              <w:rPr>
                <w:spacing w:val="-29"/>
                <w:position w:val="17"/>
              </w:rPr>
              <w:t xml:space="preserve"> </w:t>
            </w:r>
            <w:r>
              <w:rPr>
                <w:spacing w:val="-2"/>
                <w:position w:val="17"/>
              </w:rPr>
              <w:t>3.1-5</w:t>
            </w:r>
            <w:r>
              <w:rPr>
                <w:spacing w:val="-48"/>
                <w:position w:val="17"/>
              </w:rPr>
              <w:t xml:space="preserve"> </w:t>
            </w:r>
            <w:r>
              <w:rPr>
                <w:spacing w:val="-2"/>
                <w:position w:val="17"/>
              </w:rPr>
              <w:t>分；</w:t>
            </w:r>
          </w:p>
          <w:p>
            <w:pPr>
              <w:pStyle w:val="23"/>
              <w:spacing w:line="220" w:lineRule="auto"/>
              <w:ind w:left="114"/>
            </w:pPr>
            <w:r>
              <w:rPr>
                <w:spacing w:val="-2"/>
              </w:rPr>
              <w:t>应急预案</w:t>
            </w:r>
            <w:r>
              <w:rPr>
                <w:rFonts w:hint="eastAsia"/>
                <w:spacing w:val="-2"/>
                <w:lang w:eastAsia="zh-CN"/>
              </w:rPr>
              <w:t>较</w:t>
            </w:r>
            <w:r>
              <w:rPr>
                <w:spacing w:val="-2"/>
              </w:rPr>
              <w:t>全面、有一定的实施性得</w:t>
            </w:r>
            <w:r>
              <w:rPr>
                <w:spacing w:val="-39"/>
              </w:rPr>
              <w:t xml:space="preserve"> </w:t>
            </w:r>
            <w:r>
              <w:rPr>
                <w:spacing w:val="-2"/>
              </w:rPr>
              <w:t>2.1-3</w:t>
            </w:r>
            <w:r>
              <w:rPr>
                <w:spacing w:val="-48"/>
              </w:rPr>
              <w:t xml:space="preserve"> </w:t>
            </w:r>
            <w:r>
              <w:rPr>
                <w:spacing w:val="-2"/>
              </w:rPr>
              <w:t>分；</w:t>
            </w:r>
          </w:p>
          <w:p>
            <w:pPr>
              <w:pStyle w:val="23"/>
              <w:spacing w:before="181" w:line="468" w:lineRule="exact"/>
              <w:ind w:left="114"/>
            </w:pPr>
            <w:r>
              <w:rPr>
                <w:spacing w:val="-3"/>
                <w:position w:val="17"/>
              </w:rPr>
              <w:t>应急预案有欠缺、实施性</w:t>
            </w:r>
            <w:r>
              <w:rPr>
                <w:rFonts w:hint="eastAsia"/>
                <w:spacing w:val="-3"/>
                <w:position w:val="17"/>
                <w:lang w:eastAsia="zh-CN"/>
              </w:rPr>
              <w:t>较差</w:t>
            </w:r>
            <w:r>
              <w:rPr>
                <w:spacing w:val="-3"/>
                <w:position w:val="17"/>
              </w:rPr>
              <w:t>得</w:t>
            </w:r>
            <w:r>
              <w:rPr>
                <w:spacing w:val="-17"/>
                <w:position w:val="17"/>
              </w:rPr>
              <w:t xml:space="preserve"> </w:t>
            </w:r>
            <w:r>
              <w:rPr>
                <w:rFonts w:hint="eastAsia"/>
                <w:spacing w:val="-17"/>
                <w:position w:val="17"/>
                <w:lang w:val="en-US" w:eastAsia="zh-CN"/>
              </w:rPr>
              <w:t>0</w:t>
            </w:r>
            <w:r>
              <w:rPr>
                <w:spacing w:val="-3"/>
                <w:position w:val="17"/>
              </w:rPr>
              <w:t>-2</w:t>
            </w:r>
            <w:r>
              <w:rPr>
                <w:spacing w:val="-48"/>
                <w:position w:val="17"/>
              </w:rPr>
              <w:t xml:space="preserve"> </w:t>
            </w:r>
            <w:r>
              <w:rPr>
                <w:spacing w:val="-3"/>
                <w:position w:val="17"/>
              </w:rPr>
              <w:t>分；</w:t>
            </w:r>
          </w:p>
          <w:p>
            <w:pPr>
              <w:pStyle w:val="23"/>
              <w:spacing w:before="1" w:line="213" w:lineRule="auto"/>
              <w:ind w:left="117"/>
            </w:pPr>
            <w:r>
              <w:rPr>
                <w:spacing w:val="-2"/>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6" w:hRule="atLeast"/>
        </w:trPr>
        <w:tc>
          <w:tcPr>
            <w:tcW w:w="1665" w:type="dxa"/>
            <w:vMerge w:val="restart"/>
            <w:tcBorders>
              <w:top w:val="single" w:color="auto" w:sz="4" w:space="0"/>
              <w:left w:val="single" w:color="auto" w:sz="4" w:space="0"/>
              <w:bottom w:val="single" w:color="auto" w:sz="4" w:space="0"/>
              <w:right w:val="single" w:color="auto" w:sz="4" w:space="0"/>
            </w:tcBorders>
            <w:vAlign w:val="top"/>
          </w:tcPr>
          <w:p>
            <w:pPr>
              <w:rPr>
                <w:rFonts w:ascii="Arial"/>
                <w:sz w:val="21"/>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商务部分</w:t>
            </w:r>
          </w:p>
          <w:p>
            <w:pPr>
              <w:bidi w:val="0"/>
              <w:jc w:val="center"/>
              <w:rPr>
                <w:lang w:val="en-US" w:eastAsia="zh-CN"/>
              </w:rPr>
            </w:pPr>
            <w:r>
              <w:rPr>
                <w:rFonts w:hint="eastAsia" w:ascii="宋体" w:hAnsi="宋体" w:eastAsia="宋体" w:cs="宋体"/>
                <w:spacing w:val="-3"/>
                <w:kern w:val="2"/>
                <w:sz w:val="24"/>
                <w:szCs w:val="24"/>
                <w:lang w:val="en-US" w:eastAsia="zh-CN" w:bidi="ar-SA"/>
              </w:rPr>
              <w:t>（满分15分）</w:t>
            </w:r>
          </w:p>
        </w:tc>
        <w:tc>
          <w:tcPr>
            <w:tcW w:w="1386" w:type="dxa"/>
            <w:tcBorders>
              <w:left w:val="single" w:color="auto" w:sz="4" w:space="0"/>
            </w:tcBorders>
            <w:vAlign w:val="top"/>
          </w:tcPr>
          <w:p>
            <w:pPr>
              <w:spacing w:line="353" w:lineRule="auto"/>
              <w:rPr>
                <w:rFonts w:ascii="Arial"/>
                <w:sz w:val="21"/>
              </w:rPr>
            </w:pPr>
          </w:p>
          <w:p>
            <w:pPr>
              <w:spacing w:line="353" w:lineRule="auto"/>
              <w:rPr>
                <w:rFonts w:ascii="Arial"/>
                <w:sz w:val="21"/>
              </w:rPr>
            </w:pPr>
          </w:p>
          <w:p>
            <w:pPr>
              <w:pStyle w:val="23"/>
              <w:spacing w:before="78" w:line="230" w:lineRule="auto"/>
              <w:ind w:left="258" w:right="211" w:hanging="40"/>
            </w:pPr>
            <w:r>
              <w:rPr>
                <w:spacing w:val="-3"/>
              </w:rPr>
              <w:t>服务承诺</w:t>
            </w:r>
            <w:r>
              <w:rPr>
                <w:spacing w:val="1"/>
              </w:rPr>
              <w:t xml:space="preserve"> </w:t>
            </w:r>
            <w:r>
              <w:rPr>
                <w:spacing w:val="-9"/>
              </w:rPr>
              <w:t>（5</w:t>
            </w:r>
            <w:r>
              <w:rPr>
                <w:spacing w:val="-46"/>
              </w:rPr>
              <w:t xml:space="preserve"> </w:t>
            </w:r>
            <w:r>
              <w:rPr>
                <w:spacing w:val="-9"/>
              </w:rPr>
              <w:t>分）</w:t>
            </w:r>
          </w:p>
        </w:tc>
        <w:tc>
          <w:tcPr>
            <w:tcW w:w="6362" w:type="dxa"/>
            <w:vAlign w:val="top"/>
          </w:tcPr>
          <w:p>
            <w:pPr>
              <w:pStyle w:val="23"/>
              <w:spacing w:before="118" w:line="219" w:lineRule="auto"/>
              <w:ind w:left="115"/>
            </w:pPr>
            <w:r>
              <w:rPr>
                <w:spacing w:val="-1"/>
              </w:rPr>
              <w:t>提根据供应商提供针对本项目的服务承诺：</w:t>
            </w:r>
          </w:p>
          <w:p>
            <w:pPr>
              <w:pStyle w:val="23"/>
              <w:spacing w:before="114" w:line="308" w:lineRule="auto"/>
              <w:ind w:left="115" w:right="108" w:hanging="1"/>
              <w:jc w:val="both"/>
            </w:pPr>
            <w:r>
              <w:rPr>
                <w:spacing w:val="5"/>
              </w:rPr>
              <w:t>根据采购内容对整个项目服务期限内的质量、人员到位情</w:t>
            </w:r>
            <w:r>
              <w:rPr>
                <w:spacing w:val="8"/>
              </w:rPr>
              <w:t xml:space="preserve"> </w:t>
            </w:r>
            <w:r>
              <w:rPr>
                <w:spacing w:val="-3"/>
              </w:rPr>
              <w:t>况、服务响应时间、配合程度及售后等做出实质性承诺得</w:t>
            </w:r>
            <w:r>
              <w:rPr>
                <w:spacing w:val="-31"/>
              </w:rPr>
              <w:t xml:space="preserve"> </w:t>
            </w:r>
            <w:r>
              <w:rPr>
                <w:rFonts w:hint="eastAsia"/>
                <w:spacing w:val="-31"/>
                <w:lang w:val="en-US" w:eastAsia="zh-CN"/>
              </w:rPr>
              <w:t xml:space="preserve">0- </w:t>
            </w:r>
            <w:r>
              <w:rPr>
                <w:spacing w:val="-3"/>
              </w:rPr>
              <w:t>5</w:t>
            </w:r>
            <w:r>
              <w:rPr>
                <w:spacing w:val="-7"/>
              </w:rPr>
              <w:t>分；</w:t>
            </w:r>
          </w:p>
          <w:p>
            <w:pPr>
              <w:pStyle w:val="23"/>
              <w:spacing w:before="111" w:line="219" w:lineRule="auto"/>
              <w:ind w:left="117"/>
            </w:pPr>
            <w:r>
              <w:rPr>
                <w:spacing w:val="-2"/>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66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1386" w:type="dxa"/>
            <w:tcBorders>
              <w:left w:val="single" w:color="auto" w:sz="4" w:space="0"/>
            </w:tcBorders>
            <w:vAlign w:val="top"/>
          </w:tcPr>
          <w:p>
            <w:pPr>
              <w:pStyle w:val="23"/>
              <w:spacing w:before="276" w:line="230" w:lineRule="auto"/>
              <w:ind w:left="456" w:right="211" w:hanging="238"/>
            </w:pPr>
            <w:r>
              <w:rPr>
                <w:spacing w:val="-3"/>
              </w:rPr>
              <w:t>类似业绩</w:t>
            </w:r>
            <w:r>
              <w:rPr>
                <w:spacing w:val="1"/>
              </w:rPr>
              <w:t xml:space="preserve"> </w:t>
            </w:r>
            <w:r>
              <w:rPr>
                <w:spacing w:val="-4"/>
              </w:rPr>
              <w:t>情况</w:t>
            </w:r>
          </w:p>
          <w:p>
            <w:pPr>
              <w:pStyle w:val="23"/>
              <w:spacing w:before="24" w:line="221" w:lineRule="auto"/>
              <w:ind w:left="198"/>
            </w:pPr>
            <w:r>
              <w:rPr>
                <w:spacing w:val="-7"/>
              </w:rPr>
              <w:t>（</w:t>
            </w:r>
            <w:r>
              <w:rPr>
                <w:rFonts w:hint="eastAsia"/>
                <w:spacing w:val="-7"/>
                <w:lang w:val="en-US" w:eastAsia="zh-CN"/>
              </w:rPr>
              <w:t>10</w:t>
            </w:r>
            <w:r>
              <w:rPr>
                <w:spacing w:val="-7"/>
              </w:rPr>
              <w:t>分）</w:t>
            </w:r>
          </w:p>
        </w:tc>
        <w:tc>
          <w:tcPr>
            <w:tcW w:w="6362" w:type="dxa"/>
            <w:vAlign w:val="top"/>
          </w:tcPr>
          <w:p>
            <w:pPr>
              <w:pStyle w:val="23"/>
              <w:spacing w:before="119" w:line="468" w:lineRule="exact"/>
              <w:ind w:left="114"/>
            </w:pPr>
            <w:r>
              <w:rPr>
                <w:spacing w:val="-5"/>
                <w:position w:val="17"/>
              </w:rPr>
              <w:t>供应商提供本单位自</w:t>
            </w:r>
            <w:r>
              <w:rPr>
                <w:spacing w:val="-47"/>
                <w:position w:val="17"/>
              </w:rPr>
              <w:t xml:space="preserve"> </w:t>
            </w:r>
            <w:r>
              <w:rPr>
                <w:spacing w:val="-5"/>
                <w:position w:val="17"/>
              </w:rPr>
              <w:t>202</w:t>
            </w:r>
            <w:r>
              <w:rPr>
                <w:rFonts w:hint="eastAsia"/>
                <w:spacing w:val="-5"/>
                <w:position w:val="17"/>
                <w:lang w:val="en-US" w:eastAsia="zh-CN"/>
              </w:rPr>
              <w:t>1</w:t>
            </w:r>
            <w:r>
              <w:rPr>
                <w:spacing w:val="-5"/>
                <w:position w:val="17"/>
              </w:rPr>
              <w:t>年</w:t>
            </w:r>
            <w:r>
              <w:rPr>
                <w:spacing w:val="-31"/>
                <w:position w:val="17"/>
              </w:rPr>
              <w:t xml:space="preserve"> </w:t>
            </w:r>
            <w:r>
              <w:rPr>
                <w:spacing w:val="-5"/>
                <w:position w:val="17"/>
              </w:rPr>
              <w:t>1</w:t>
            </w:r>
            <w:r>
              <w:rPr>
                <w:spacing w:val="-44"/>
                <w:position w:val="17"/>
              </w:rPr>
              <w:t xml:space="preserve"> </w:t>
            </w:r>
            <w:r>
              <w:rPr>
                <w:spacing w:val="-5"/>
                <w:position w:val="17"/>
              </w:rPr>
              <w:t>月</w:t>
            </w:r>
            <w:r>
              <w:rPr>
                <w:spacing w:val="-31"/>
                <w:position w:val="17"/>
              </w:rPr>
              <w:t xml:space="preserve"> </w:t>
            </w:r>
            <w:r>
              <w:rPr>
                <w:spacing w:val="-5"/>
                <w:position w:val="17"/>
              </w:rPr>
              <w:t>1 日至今承接的</w:t>
            </w:r>
            <w:r>
              <w:rPr>
                <w:spacing w:val="-6"/>
                <w:position w:val="17"/>
              </w:rPr>
              <w:t>类似项目</w:t>
            </w:r>
          </w:p>
          <w:p>
            <w:pPr>
              <w:pStyle w:val="23"/>
              <w:spacing w:line="219" w:lineRule="auto"/>
              <w:ind w:left="133"/>
            </w:pPr>
            <w:r>
              <w:rPr>
                <w:spacing w:val="-5"/>
              </w:rPr>
              <w:t>的业绩证明材料，每提供</w:t>
            </w:r>
            <w:r>
              <w:rPr>
                <w:spacing w:val="-31"/>
              </w:rPr>
              <w:t xml:space="preserve"> </w:t>
            </w:r>
            <w:r>
              <w:rPr>
                <w:spacing w:val="-5"/>
              </w:rPr>
              <w:t>1</w:t>
            </w:r>
            <w:r>
              <w:rPr>
                <w:spacing w:val="-50"/>
              </w:rPr>
              <w:t xml:space="preserve"> </w:t>
            </w:r>
            <w:r>
              <w:rPr>
                <w:spacing w:val="-5"/>
              </w:rPr>
              <w:t>份得</w:t>
            </w:r>
            <w:r>
              <w:rPr>
                <w:rFonts w:hint="eastAsia"/>
                <w:spacing w:val="-46"/>
                <w:lang w:val="en-US" w:eastAsia="zh-CN"/>
              </w:rPr>
              <w:t>2</w:t>
            </w:r>
            <w:r>
              <w:rPr>
                <w:spacing w:val="-48"/>
              </w:rPr>
              <w:t xml:space="preserve"> </w:t>
            </w:r>
            <w:r>
              <w:rPr>
                <w:spacing w:val="-5"/>
              </w:rPr>
              <w:t>分，最高得</w:t>
            </w:r>
            <w:r>
              <w:rPr>
                <w:spacing w:val="-48"/>
              </w:rPr>
              <w:t xml:space="preserve"> </w:t>
            </w:r>
            <w:r>
              <w:rPr>
                <w:rFonts w:hint="eastAsia"/>
                <w:spacing w:val="-5"/>
                <w:lang w:val="en-US" w:eastAsia="zh-CN"/>
              </w:rPr>
              <w:t>10</w:t>
            </w:r>
            <w:r>
              <w:rPr>
                <w:spacing w:val="-5"/>
              </w:rPr>
              <w:t>分；</w:t>
            </w:r>
          </w:p>
          <w:p>
            <w:pPr>
              <w:pStyle w:val="23"/>
              <w:spacing w:before="119" w:line="468" w:lineRule="exact"/>
              <w:ind w:left="114"/>
              <w:rPr>
                <w:rFonts w:hint="eastAsia" w:eastAsia="宋体"/>
                <w:lang w:eastAsia="zh-CN"/>
              </w:rPr>
            </w:pPr>
            <w:r>
              <w:rPr>
                <w:rFonts w:ascii="宋体" w:hAnsi="宋体" w:eastAsia="宋体" w:cs="宋体"/>
                <w:spacing w:val="-5"/>
                <w:position w:val="17"/>
              </w:rPr>
              <w:t>注：业绩以合同为准，提供合同复印件或扫描件加盖公章，合同至少应包含合同签字盖章页及服务内容等关键内容，</w:t>
            </w:r>
            <w:r>
              <w:rPr>
                <w:rFonts w:hint="eastAsia" w:ascii="宋体" w:hAnsi="宋体" w:eastAsia="宋体" w:cs="宋体"/>
                <w:spacing w:val="-5"/>
                <w:position w:val="17"/>
                <w:lang w:eastAsia="zh-CN"/>
              </w:rPr>
              <w:t>未提供或提供的业绩合同不合格的，均不得分。</w:t>
            </w:r>
          </w:p>
        </w:tc>
      </w:tr>
    </w:tbl>
    <w:p>
      <w:pPr>
        <w:spacing w:line="51" w:lineRule="exact"/>
        <w:rPr>
          <w:rFonts w:ascii="Arial" w:hAnsi="Arial" w:eastAsia="Arial" w:cs="Arial"/>
          <w:sz w:val="4"/>
          <w:szCs w:val="4"/>
        </w:rPr>
      </w:pPr>
    </w:p>
    <w:p>
      <w:pPr>
        <w:rPr>
          <w:rFonts w:ascii="宋体" w:cs="宋体"/>
          <w:b/>
          <w:bCs/>
          <w:sz w:val="24"/>
          <w:szCs w:val="24"/>
        </w:rPr>
      </w:pPr>
      <w:r>
        <w:rPr>
          <w:rFonts w:hint="eastAsia" w:ascii="宋体" w:hAnsi="宋体" w:cs="宋体"/>
          <w:b/>
          <w:bCs/>
          <w:sz w:val="24"/>
        </w:rPr>
        <w:t>备注：</w:t>
      </w: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cs="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46号）的规定，对于非专门面向中小企业的项目，对小型和微型企业产品的价格给予10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outlineLvl w:val="9"/>
        <w:rPr>
          <w:rFonts w:ascii="宋体" w:cs="宋体"/>
          <w:b/>
          <w:bCs/>
          <w:sz w:val="24"/>
          <w:szCs w:val="24"/>
        </w:rPr>
      </w:pPr>
      <w:r>
        <w:rPr>
          <w:rFonts w:hint="eastAsia" w:ascii="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outlineLvl w:val="9"/>
        <w:rPr>
          <w:rFonts w:ascii="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spacing w:line="360" w:lineRule="auto"/>
        <w:rPr>
          <w:rFonts w:ascii="宋体" w:hAnsi="宋体" w:cs="宋体"/>
          <w:sz w:val="24"/>
        </w:rPr>
        <w:sectPr>
          <w:headerReference r:id="rId12" w:type="default"/>
          <w:footerReference r:id="rId13" w:type="default"/>
          <w:pgSz w:w="11906" w:h="16838"/>
          <w:pgMar w:top="1440" w:right="1349" w:bottom="1440" w:left="1349" w:header="850" w:footer="794" w:gutter="0"/>
          <w:pgNumType w:fmt="decimal"/>
          <w:cols w:space="0" w:num="1"/>
          <w:rtlGutter w:val="0"/>
          <w:docGrid w:type="lines" w:linePitch="319" w:charSpace="0"/>
        </w:sectPr>
      </w:pPr>
    </w:p>
    <w:p>
      <w:pPr>
        <w:pStyle w:val="2"/>
        <w:pageBreakBefore/>
        <w:numPr>
          <w:ilvl w:val="0"/>
          <w:numId w:val="17"/>
        </w:numPr>
        <w:rPr>
          <w:rFonts w:ascii="宋体" w:hAnsi="宋体" w:cs="宋体"/>
        </w:rPr>
      </w:pPr>
      <w:bookmarkStart w:id="107" w:name="_Toc262"/>
      <w:bookmarkStart w:id="108" w:name="_Toc26757"/>
      <w:bookmarkStart w:id="109" w:name="_Toc5345"/>
      <w:bookmarkStart w:id="110" w:name="_Toc3021"/>
      <w:bookmarkStart w:id="111" w:name="_Toc175"/>
      <w:r>
        <w:rPr>
          <w:rFonts w:hint="eastAsia" w:ascii="宋体" w:hAnsi="宋体" w:cs="宋体"/>
        </w:rPr>
        <w:t>分</w:t>
      </w:r>
      <w:bookmarkEnd w:id="107"/>
      <w:r>
        <w:rPr>
          <w:rFonts w:hint="eastAsia" w:ascii="宋体" w:hAnsi="宋体" w:cs="宋体"/>
        </w:rPr>
        <w:t xml:space="preserve"> 采购要求</w:t>
      </w:r>
      <w:bookmarkEnd w:id="108"/>
      <w:bookmarkEnd w:id="109"/>
      <w:bookmarkEnd w:id="110"/>
      <w:bookmarkEnd w:id="111"/>
    </w:p>
    <w:p>
      <w:pPr>
        <w:pStyle w:val="21"/>
        <w:spacing w:line="360" w:lineRule="auto"/>
        <w:ind w:firstLine="0" w:firstLineChars="0"/>
        <w:outlineLvl w:val="1"/>
        <w:rPr>
          <w:rFonts w:ascii="宋体" w:hAnsi="宋体" w:cs="宋体"/>
          <w:b/>
          <w:bCs/>
          <w:sz w:val="24"/>
          <w:szCs w:val="24"/>
        </w:rPr>
      </w:pPr>
      <w:bookmarkStart w:id="112" w:name="OLE_LINK285"/>
      <w:bookmarkStart w:id="113" w:name="OLE_LINK286"/>
      <w:bookmarkStart w:id="114" w:name="_Toc23867"/>
      <w:bookmarkStart w:id="115" w:name="_Toc15828"/>
      <w:bookmarkStart w:id="116" w:name="_Toc26312"/>
      <w:bookmarkStart w:id="117" w:name="_Toc23741"/>
      <w:bookmarkStart w:id="118" w:name="_Toc2234"/>
      <w:r>
        <w:rPr>
          <w:rFonts w:hint="eastAsia" w:ascii="宋体" w:hAnsi="宋体" w:cs="宋体"/>
          <w:b/>
          <w:bCs/>
          <w:sz w:val="24"/>
          <w:szCs w:val="24"/>
        </w:rPr>
        <w:t>一、项目</w:t>
      </w:r>
      <w:r>
        <w:rPr>
          <w:rFonts w:hint="eastAsia" w:ascii="宋体" w:hAnsi="宋体" w:cs="宋体"/>
          <w:b/>
          <w:bCs/>
          <w:sz w:val="24"/>
          <w:szCs w:val="24"/>
          <w:lang w:eastAsia="zh-CN"/>
        </w:rPr>
        <w:t>说明</w:t>
      </w:r>
    </w:p>
    <w:p>
      <w:pPr>
        <w:pStyle w:val="21"/>
        <w:spacing w:line="360" w:lineRule="auto"/>
        <w:ind w:left="0" w:leftChars="0" w:firstLine="480" w:firstLineChars="200"/>
        <w:outlineLvl w:val="9"/>
        <w:rPr>
          <w:rFonts w:hint="eastAsia" w:ascii="宋体" w:hAnsi="宋体" w:cs="宋体"/>
          <w:sz w:val="24"/>
          <w:szCs w:val="24"/>
        </w:rPr>
      </w:pPr>
      <w:bookmarkStart w:id="119" w:name="_Toc78906797"/>
      <w:bookmarkStart w:id="120" w:name="_Toc50020938"/>
      <w:r>
        <w:rPr>
          <w:rFonts w:hint="eastAsia" w:ascii="宋体" w:hAnsi="宋体" w:cs="宋体"/>
          <w:sz w:val="24"/>
          <w:szCs w:val="24"/>
        </w:rPr>
        <w:t>无偿献血宣传工作是无偿献血工作的基础。按照《中华人民共和国献血法》、《全国无偿献血表彰奖励办法》、《陕西省实施&lt;中华人民共和国献血法&gt;办法》、《西安市实施&lt;中华人民共和国献血法&gt;办法》等法律法规关于“积极开展多种宣传弘扬无偿献血先进事迹”的规定，同时结合无偿献血人群年龄分布，西安市中心血站需要通过</w:t>
      </w:r>
      <w:r>
        <w:rPr>
          <w:rFonts w:hint="eastAsia" w:ascii="宋体" w:hAnsi="宋体" w:cs="宋体"/>
          <w:sz w:val="24"/>
          <w:szCs w:val="24"/>
          <w:lang w:eastAsia="zh-CN"/>
        </w:rPr>
        <w:t>拍摄制作无偿献血宣传短视频开展无偿献血宣传</w:t>
      </w:r>
      <w:r>
        <w:rPr>
          <w:rFonts w:hint="eastAsia" w:ascii="宋体" w:hAnsi="宋体" w:cs="宋体"/>
          <w:sz w:val="24"/>
          <w:szCs w:val="24"/>
        </w:rPr>
        <w:t>，不断提高适龄公民的无偿献血认知率，动员更多健康适龄公民参加无偿献血，保证我市继续保持全国无偿献血先进城市的光荣称号，保障我市人民群众医疗临床用血安全。</w:t>
      </w:r>
      <w:bookmarkEnd w:id="119"/>
      <w:bookmarkEnd w:id="120"/>
    </w:p>
    <w:p>
      <w:pPr>
        <w:pStyle w:val="21"/>
        <w:spacing w:line="360" w:lineRule="auto"/>
        <w:ind w:left="0" w:leftChars="0" w:firstLine="0" w:firstLineChars="0"/>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二、商务要求</w:t>
      </w:r>
    </w:p>
    <w:p>
      <w:pPr>
        <w:pStyle w:val="21"/>
        <w:spacing w:line="360" w:lineRule="auto"/>
        <w:ind w:left="0" w:leftChars="0" w:firstLine="0" w:firstLineChars="0"/>
        <w:outlineLvl w:val="9"/>
        <w:rPr>
          <w:rFonts w:hint="eastAsia" w:ascii="宋体" w:hAnsi="宋体" w:eastAsia="宋体" w:cs="宋体"/>
          <w:sz w:val="24"/>
          <w:szCs w:val="24"/>
        </w:rPr>
      </w:pPr>
      <w:r>
        <w:rPr>
          <w:rFonts w:hint="eastAsia" w:ascii="宋体" w:hAnsi="宋体" w:eastAsia="宋体" w:cs="宋体"/>
          <w:sz w:val="24"/>
          <w:szCs w:val="24"/>
        </w:rPr>
        <w:t>（一）服务地点及验收方式：</w:t>
      </w:r>
    </w:p>
    <w:p>
      <w:pPr>
        <w:pStyle w:val="21"/>
        <w:spacing w:line="360" w:lineRule="auto"/>
        <w:ind w:left="0" w:lef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服务地点：采购人指定地点。</w:t>
      </w:r>
    </w:p>
    <w:p>
      <w:pPr>
        <w:pStyle w:val="21"/>
        <w:spacing w:line="360" w:lineRule="auto"/>
        <w:ind w:left="0" w:lef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验收方式：由采购人组织验收，依据国家、省、市现行法规、规范及标准的标准执行。</w:t>
      </w:r>
    </w:p>
    <w:p>
      <w:pPr>
        <w:pStyle w:val="21"/>
        <w:spacing w:line="360" w:lineRule="auto"/>
        <w:ind w:left="0" w:leftChars="0" w:firstLine="0" w:firstLineChars="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（二）质量要求：合格（达到国家强制性合格标准）。</w:t>
      </w:r>
    </w:p>
    <w:p>
      <w:pPr>
        <w:pStyle w:val="21"/>
        <w:spacing w:line="360" w:lineRule="auto"/>
        <w:ind w:left="0" w:leftChars="0" w:firstLine="0" w:firstLine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（三）付款方式：合同签订之日起 1 月内甲方向乙方支付合同价款 100%。乙方 应于甲方付款前【5】 日内提供等额合规发票给甲方。乙方延期提供发票或不符合甲方要求的，甲方有权拒付合同款项且不承担任何法律责任。</w:t>
      </w:r>
    </w:p>
    <w:p>
      <w:pPr>
        <w:pStyle w:val="21"/>
        <w:numPr>
          <w:ilvl w:val="0"/>
          <w:numId w:val="18"/>
        </w:numPr>
        <w:spacing w:line="240" w:lineRule="auto"/>
        <w:ind w:left="0" w:leftChars="0" w:firstLine="0" w:firstLineChars="0"/>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服务要求</w:t>
      </w:r>
    </w:p>
    <w:p>
      <w:pPr>
        <w:pStyle w:val="21"/>
        <w:numPr>
          <w:ilvl w:val="0"/>
          <w:numId w:val="0"/>
        </w:numPr>
        <w:spacing w:line="360" w:lineRule="auto"/>
        <w:ind w:leftChars="0"/>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献血宣传短视频制作项目：</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1、主要功能或目标:根据宣传工作需拍摄微短剧或TVC宣传片制作等服务。</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2、影片数量为2部，每部时长约10分钟左右</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应标条件：供应商需具备影视制作服务等相关资质；有专业的拍摄团队和拍摄设备。拍摄文案及拍摄手法具有创新、创意、融合的特点，具有广泛传播性。具有视频拍摄、剪辑，文案策划、剧本创作的丰富工作经验；有与政府卫生健康部门或与省市医疗卫生机构合作经验的优先（提供2019年至今优秀项目工作案例，如有获奖，提供相关资料）；必须提供24小时随叫随到的售后服务。</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4、不接受联合体参加。有意向参加投标单位应对自身资质条件负责，若不满足要求或投标单位提交资料存在虚假记载、误导性陈述或者重大遗漏则取消投标资格。</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质量标准要求根据拍摄主题科学策划，合理布局；画面丰富，取景多元化；视频高清、构图完整，色彩搭配协调；镜头平稳、段落、镜头过度自然，有较强的视觉冲击和传播效果。视频采用4K分辨率，拍摄完毕乙方须交付所拍全部素材，格式为MXF， 成片格式为MP4常用格式，横屏拍摄，电平小于等于-6db，瞬间不超过0db 。</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6、设备要求不低于以下标准：</w:t>
      </w:r>
    </w:p>
    <w:p>
      <w:pPr>
        <w:pStyle w:val="21"/>
        <w:numPr>
          <w:ilvl w:val="0"/>
          <w:numId w:val="0"/>
        </w:numPr>
        <w:spacing w:line="360" w:lineRule="auto"/>
        <w:ind w:leftChars="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摄像机支持4K 120p/HD240P，全画幅模式10-bit 4:2:2色深；镜头定焦组（16+24+32+50+85）；组件包括监视器+无线跟焦+轨道+小摇臂+三脚架中高低+三轴稳定器等辅助器材；灯光影视滴灯4k+1.8k+1.2k+S260+Led平板灯+色纸若干辅助器材；视频格式：</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编码：H.264 码流：&gt;10M 声音：8bit,成品视频格式H.264，分辨率≥4K；后期制作</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final cut(或PR）后期剪辑+AE后期包装+达芬奇调色+字幕</w:t>
      </w:r>
    </w:p>
    <w:p>
      <w:pPr>
        <w:pStyle w:val="21"/>
        <w:numPr>
          <w:ilvl w:val="0"/>
          <w:numId w:val="0"/>
        </w:numPr>
        <w:spacing w:line="360" w:lineRule="auto"/>
        <w:ind w:leftChars="0"/>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7、项目时间：自合同签订之日起1年</w:t>
      </w:r>
    </w:p>
    <w:p>
      <w:pPr>
        <w:pStyle w:val="2"/>
        <w:keepNext w:val="0"/>
        <w:pageBreakBefore/>
        <w:rPr>
          <w:rFonts w:ascii="宋体" w:hAnsi="宋体" w:cs="宋体"/>
        </w:rPr>
      </w:pPr>
      <w:r>
        <w:rPr>
          <w:rFonts w:hint="eastAsia"/>
        </w:rPr>
        <w:t xml:space="preserve">第六部分 </w:t>
      </w:r>
      <w:r>
        <w:t>合同</w:t>
      </w:r>
      <w:r>
        <w:rPr>
          <w:rFonts w:hint="eastAsia"/>
        </w:rPr>
        <w:t>主要</w:t>
      </w:r>
      <w:r>
        <w:t>条款</w:t>
      </w:r>
      <w:bookmarkEnd w:id="112"/>
      <w:bookmarkEnd w:id="113"/>
      <w:bookmarkEnd w:id="114"/>
      <w:r>
        <w:rPr>
          <w:rFonts w:hint="eastAsia"/>
        </w:rPr>
        <w:t>（参考合同）</w:t>
      </w:r>
      <w:bookmarkEnd w:id="115"/>
    </w:p>
    <w:p>
      <w:pPr>
        <w:jc w:val="center"/>
        <w:rPr>
          <w:rFonts w:hint="eastAsia"/>
          <w:b/>
          <w:bCs/>
          <w:color w:val="auto"/>
          <w:sz w:val="48"/>
          <w:szCs w:val="44"/>
        </w:rPr>
      </w:pPr>
      <w:bookmarkStart w:id="121" w:name="_Toc18319"/>
      <w:bookmarkStart w:id="122" w:name="_Toc3243"/>
      <w:r>
        <w:rPr>
          <w:rFonts w:hint="eastAsia"/>
          <w:b/>
          <w:bCs/>
          <w:color w:val="auto"/>
          <w:sz w:val="48"/>
          <w:szCs w:val="44"/>
        </w:rPr>
        <w:t xml:space="preserve">  </w:t>
      </w:r>
    </w:p>
    <w:p>
      <w:pPr>
        <w:jc w:val="center"/>
        <w:rPr>
          <w:rFonts w:hint="eastAsia"/>
          <w:b/>
          <w:bCs/>
          <w:color w:val="auto"/>
          <w:sz w:val="48"/>
          <w:szCs w:val="44"/>
        </w:rPr>
      </w:pPr>
    </w:p>
    <w:p>
      <w:pPr>
        <w:ind w:left="883" w:hanging="883" w:hangingChars="200"/>
        <w:rPr>
          <w:rFonts w:ascii="宋体" w:hAnsi="宋体" w:cs="宋体"/>
          <w:b/>
          <w:sz w:val="44"/>
          <w:szCs w:val="44"/>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____________</w:t>
      </w:r>
      <w:r>
        <w:rPr>
          <w:rFonts w:hint="eastAsia" w:ascii="宋体"/>
          <w:color w:val="000000" w:themeColor="text1"/>
          <w:sz w:val="24"/>
          <w:szCs w:val="24"/>
          <w14:textFill>
            <w14:solidFill>
              <w14:schemeClr w14:val="tx1"/>
            </w14:solidFill>
          </w14:textFill>
        </w:rPr>
        <w:t>项目</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合同编号：</w:t>
      </w:r>
      <w:r>
        <w:rPr>
          <w:rFonts w:ascii="宋体"/>
          <w:color w:val="000000" w:themeColor="text1"/>
          <w:sz w:val="24"/>
          <w:szCs w:val="24"/>
          <w14:textFill>
            <w14:solidFill>
              <w14:schemeClr w14:val="tx1"/>
            </w14:solidFill>
          </w14:textFill>
        </w:rPr>
        <w:t>____________________</w:t>
      </w: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23" w:name="_Toc11122_WPSOffice_Level2"/>
      <w:r>
        <w:rPr>
          <w:rFonts w:hint="eastAsia" w:ascii="宋体"/>
          <w:color w:val="000000" w:themeColor="text1"/>
          <w:sz w:val="24"/>
          <w:szCs w:val="24"/>
          <w14:textFill>
            <w14:solidFill>
              <w14:schemeClr w14:val="tx1"/>
            </w14:solidFill>
          </w14:textFill>
        </w:rPr>
        <w:t>甲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采购人名称</w:t>
      </w:r>
      <w:r>
        <w:rPr>
          <w:rFonts w:ascii="宋体"/>
          <w:color w:val="000000" w:themeColor="text1"/>
          <w:sz w:val="24"/>
          <w:szCs w:val="24"/>
          <w14:textFill>
            <w14:solidFill>
              <w14:schemeClr w14:val="tx1"/>
            </w14:solidFill>
          </w14:textFill>
        </w:rPr>
        <w:t>)</w:t>
      </w:r>
      <w:bookmarkEnd w:id="123"/>
    </w:p>
    <w:p>
      <w:pPr>
        <w:snapToGrid w:val="0"/>
        <w:spacing w:line="360" w:lineRule="auto"/>
        <w:ind w:firstLine="480"/>
        <w:jc w:val="center"/>
        <w:rPr>
          <w:rFonts w:ascii="宋体"/>
          <w:color w:val="000000" w:themeColor="text1"/>
          <w:sz w:val="24"/>
          <w:szCs w:val="24"/>
          <w14:textFill>
            <w14:solidFill>
              <w14:schemeClr w14:val="tx1"/>
            </w14:solidFill>
          </w14:textFill>
        </w:rPr>
      </w:pPr>
    </w:p>
    <w:p>
      <w:pPr>
        <w:snapToGrid w:val="0"/>
        <w:spacing w:line="360" w:lineRule="auto"/>
        <w:ind w:firstLine="480"/>
        <w:jc w:val="center"/>
        <w:rPr>
          <w:rFonts w:ascii="宋体"/>
          <w:color w:val="000000" w:themeColor="text1"/>
          <w:sz w:val="24"/>
          <w:szCs w:val="24"/>
          <w14:textFill>
            <w14:solidFill>
              <w14:schemeClr w14:val="tx1"/>
            </w14:solidFill>
          </w14:textFill>
        </w:rPr>
      </w:pPr>
      <w:bookmarkStart w:id="124" w:name="_Toc8919_WPSOffice_Level2"/>
      <w:r>
        <w:rPr>
          <w:rFonts w:hint="eastAsia" w:ascii="宋体"/>
          <w:color w:val="000000" w:themeColor="text1"/>
          <w:sz w:val="24"/>
          <w:szCs w:val="24"/>
          <w14:textFill>
            <w14:solidFill>
              <w14:schemeClr w14:val="tx1"/>
            </w14:solidFill>
          </w14:textFill>
        </w:rPr>
        <w:t>乙　　方：</w:t>
      </w:r>
      <w:r>
        <w:rPr>
          <w:rFonts w:ascii="宋体"/>
          <w:color w:val="000000" w:themeColor="text1"/>
          <w:sz w:val="24"/>
          <w:szCs w:val="24"/>
          <w14:textFill>
            <w14:solidFill>
              <w14:schemeClr w14:val="tx1"/>
            </w14:solidFill>
          </w14:textFill>
        </w:rPr>
        <w:t>____________________(</w:t>
      </w:r>
      <w:r>
        <w:rPr>
          <w:rFonts w:hint="eastAsia" w:ascii="宋体"/>
          <w:color w:val="000000" w:themeColor="text1"/>
          <w:sz w:val="24"/>
          <w:szCs w:val="24"/>
          <w14:textFill>
            <w14:solidFill>
              <w14:schemeClr w14:val="tx1"/>
            </w14:solidFill>
          </w14:textFill>
        </w:rPr>
        <w:t>供应商名称</w:t>
      </w:r>
      <w:r>
        <w:rPr>
          <w:rFonts w:ascii="宋体"/>
          <w:color w:val="000000" w:themeColor="text1"/>
          <w:sz w:val="24"/>
          <w:szCs w:val="24"/>
          <w14:textFill>
            <w14:solidFill>
              <w14:schemeClr w14:val="tx1"/>
            </w14:solidFill>
          </w14:textFill>
        </w:rPr>
        <w:t>)</w:t>
      </w:r>
      <w:bookmarkEnd w:id="124"/>
    </w:p>
    <w:p>
      <w:pPr>
        <w:pStyle w:val="3"/>
        <w:adjustRightInd w:val="0"/>
        <w:snapToGrid w:val="0"/>
        <w:spacing w:line="240" w:lineRule="auto"/>
        <w:jc w:val="left"/>
        <w:rPr>
          <w:rFonts w:ascii="仿宋_GB2312" w:hAnsi="仿宋_GB2312" w:eastAsia="仿宋_GB2312" w:cs="仿宋_GB2312"/>
          <w:szCs w:val="28"/>
        </w:rPr>
      </w:pPr>
      <w:r>
        <w:rPr>
          <w:rFonts w:ascii="宋体"/>
          <w:color w:val="000000" w:themeColor="text1"/>
          <w:sz w:val="24"/>
          <w:szCs w:val="24"/>
          <w14:textFill>
            <w14:solidFill>
              <w14:schemeClr w14:val="tx1"/>
            </w14:solidFill>
          </w14:textFill>
        </w:rPr>
        <w:br w:type="page"/>
      </w:r>
      <w:bookmarkStart w:id="125" w:name="_Toc30465"/>
      <w:bookmarkStart w:id="126" w:name="_Toc7078"/>
      <w:bookmarkStart w:id="127" w:name="_Toc20010"/>
      <w:bookmarkStart w:id="128" w:name="_Toc4616"/>
      <w:bookmarkStart w:id="129" w:name="_Toc23704_WPSOffice_Level1"/>
      <w:r>
        <w:rPr>
          <w:rFonts w:hint="eastAsia" w:ascii="宋体" w:hAnsi="宋体" w:cs="宋体"/>
          <w:szCs w:val="28"/>
        </w:rPr>
        <w:t>合同条款</w:t>
      </w:r>
      <w:bookmarkEnd w:id="125"/>
      <w:bookmarkEnd w:id="126"/>
      <w:bookmarkEnd w:id="127"/>
      <w:bookmarkEnd w:id="128"/>
      <w:bookmarkEnd w:id="129"/>
      <w:r>
        <w:rPr>
          <w:rFonts w:hint="eastAsia" w:ascii="仿宋_GB2312" w:hAnsi="仿宋_GB2312" w:eastAsia="仿宋_GB2312" w:cs="仿宋_GB2312"/>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bookmarkStart w:id="130" w:name="_Toc30224_WPSOffice_Level1"/>
      <w:r>
        <w:rPr>
          <w:rFonts w:hint="eastAsia" w:ascii="仿宋_GB2312" w:hAnsi="仿宋_GB2312" w:eastAsia="仿宋_GB2312" w:cs="仿宋_GB2312"/>
          <w:b/>
          <w:sz w:val="44"/>
          <w:szCs w:val="44"/>
        </w:rPr>
        <w:t>政府采购合同条款</w:t>
      </w:r>
      <w:bookmarkEnd w:id="130"/>
    </w:p>
    <w:p>
      <w:pPr>
        <w:rPr>
          <w:rFonts w:asciiTheme="majorEastAsia" w:hAnsiTheme="majorEastAsia" w:eastAsiaTheme="majorEastAsia" w:cstheme="majorEastAsia"/>
          <w:sz w:val="24"/>
          <w:szCs w:val="24"/>
        </w:rPr>
      </w:pPr>
    </w:p>
    <w:p>
      <w:pPr>
        <w:numPr>
          <w:ilvl w:val="0"/>
          <w:numId w:val="19"/>
        </w:numPr>
        <w:adjustRightInd w:val="0"/>
        <w:snapToGrid w:val="0"/>
        <w:spacing w:line="360" w:lineRule="auto"/>
        <w:rPr>
          <w:rFonts w:asciiTheme="majorEastAsia" w:hAnsiTheme="majorEastAsia" w:eastAsiaTheme="majorEastAsia" w:cstheme="majorEastAsia"/>
          <w:b/>
          <w:sz w:val="24"/>
          <w:szCs w:val="24"/>
        </w:rPr>
      </w:pPr>
      <w:bookmarkStart w:id="131" w:name="_Toc10297_WPSOffice_Level2"/>
      <w:r>
        <w:rPr>
          <w:rFonts w:hint="eastAsia" w:asciiTheme="majorEastAsia" w:hAnsiTheme="majorEastAsia" w:eastAsiaTheme="majorEastAsia" w:cstheme="majorEastAsia"/>
          <w:b/>
          <w:sz w:val="24"/>
          <w:szCs w:val="24"/>
        </w:rPr>
        <w:t>术语定义</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本政府采购合同下列术语应解释为：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2 “政府采购合同价”指根据合同约定供方在正确地完全履行政府采购合同义务后需方应支付给供方的价格。</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3 “服务”指政府采购合同服务清单（同投标文件中开标一览表及其附表，下同）所约定的服务内容。</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5 “需方”指项目基本内容及要求中所述取得产品和服务的采购单位。</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6 “供方”指项目基本内容及要求中所述提供产品和服务的中标投标人。</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7 “检验”指需方按照政府采购合同约定的标准对供方所提供服务进行的检测和查验。</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8 “验收书”指采购单位或采购代理机构根据合同履约验收意见书形成反映采购单位和组织验收机构意见的文件。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1.9“天”指日历天数（如无特别说明）。</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10“第三人”是指本政府采购合同双方以外的任何中国境内外的自然人、法人或其它经济组织。</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11“法律、法规”是指由中国各级政府及有关部门制定的法律、行政法规、地方性法规、规章及其它规范性文件的有关规定。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12“招标文件”指采购人或采购代理机构发布的招标文件。</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13“投标文件”指供方按照采购代理机构招标文件的要求编制和递交，并最终被评标委员会接受的投标文件。</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2.技术规范与服务内容</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2.1投标服务的技术规范应与招标文件规定的技术规范（如果有的话）相一致。若无相应说明，则以国家有关部门最新颁布的相应标识及规范为准。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投标服务的服务内容应与招标文件规定服务内容及投标文件中的项目要求及投标响应表一致。</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3.知识产权</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70" w:firstLineChars="196"/>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3.2供方应保证所供服务符合国家的有关规定。</w:t>
      </w:r>
    </w:p>
    <w:p>
      <w:pPr>
        <w:tabs>
          <w:tab w:val="left" w:pos="360"/>
        </w:tabs>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4.完成方式</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供方按照合同约定的时间、地点完成服务。</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5.1政府采购合同以人民币付款。</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5.2在供方按照政府采购合同的规定履行服务后，需方按照合同约定的方式和条件付款。</w:t>
      </w:r>
    </w:p>
    <w:p>
      <w:pPr>
        <w:adjustRightInd w:val="0"/>
        <w:snapToGrid w:val="0"/>
        <w:spacing w:line="360" w:lineRule="auto"/>
        <w:ind w:firstLine="482" w:firstLineChars="20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6.服务质量</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6.2供方提供的服务质量应满足行业一般标准，符合合同约定。</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7.技术服务和保修责任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7.1本条适用于委托开发等最终以产品形式交付需方使用的服务。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7.2供方对交付的产品的保修期，以招标文件中的规定为准，如果投标文件中的承诺优于招标文件规定，则以投标文件为准。</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7.3投标人应按如下内容提供售后服务承诺书：</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7.2.4保修期内，供方提供电话、电子邮件、Web、现场服务等方式的技术支持，对用户的现场服务要求，供方必须按投标文件做出的承诺进行响应。</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7.2.5保修期内，供方应对出现故障无法修复的产品或无法正常运行的系统，提供替代产品以保证系统的正常工作。</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7.2.6保修期内，供方应投标时的承诺提供相关服务。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9"/>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8.检验和验收</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77" w:firstLineChars="19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8.2对于委托开发等最终以产品形式交付需方使用的服务，保修期自验收书签署之日起计算。</w:t>
      </w:r>
    </w:p>
    <w:p>
      <w:pPr>
        <w:tabs>
          <w:tab w:val="left" w:pos="360"/>
        </w:tabs>
        <w:adjustRightInd w:val="0"/>
        <w:snapToGrid w:val="0"/>
        <w:spacing w:line="360" w:lineRule="auto"/>
        <w:ind w:firstLine="525" w:firstLineChars="218"/>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9.违约责任</w:t>
      </w:r>
    </w:p>
    <w:p>
      <w:pPr>
        <w:adjustRightInd w:val="0"/>
        <w:snapToGrid w:val="0"/>
        <w:spacing w:line="360" w:lineRule="auto"/>
        <w:ind w:firstLine="523" w:firstLineChars="218"/>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9.1.1在需方同意延长的期限内提供服务并承担由此给需方造成的一切损失；</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9.1.3需方有权部分或全部解除政府采购合同并要求供方赔偿由此造成的损失。此时需方可采取必要的补救措施，相关费用由供方承担。</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9.3延期服务的违约责任</w:t>
      </w:r>
    </w:p>
    <w:p>
      <w:pPr>
        <w:adjustRightInd w:val="0"/>
        <w:snapToGrid w:val="0"/>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9.4以上各项交付的违约金并不影响违约方履行政府采购合同的各项义务。</w:t>
      </w:r>
    </w:p>
    <w:p>
      <w:pPr>
        <w:adjustRightInd w:val="0"/>
        <w:snapToGrid w:val="0"/>
        <w:spacing w:line="360" w:lineRule="auto"/>
        <w:ind w:left="42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10.不可抗力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11.争端的解决</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11.1需方和供方应通过友好协商，解决在执行本政府采购合同过程中所发生的或与本政府采购合同有关的一切争端。</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11.2如果协商不成，双方中的任何一方可向需方所在地的人民法院提起诉讼。</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11.3因政府采购合同部分履行引发诉讼的，在诉讼期间，除正在进行诉讼的部分外，本政府采购合同的其它部分应继续执行。</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12.违约终止政府采购合同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12.1.1如果供方未能在政府采购合同规定的限期或需方同意延长的限期内提供部分或全部服务；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12.1.2如果供方未能履行政府采购合同规定的其它任何义务。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12.1.3未经需方事先书面同意，供方部分转让和分包或全部转让和分包其应履行的政府采购合同义务。</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13.政府采购法对政府采购合同变更终止的规定</w:t>
      </w:r>
    </w:p>
    <w:p>
      <w:pPr>
        <w:adjustRightInd w:val="0"/>
        <w:snapToGrid w:val="0"/>
        <w:spacing w:line="360" w:lineRule="auto"/>
        <w:ind w:firstLine="470"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14.政府采购合同转让和分包</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2"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15.适用法律：</w:t>
      </w:r>
      <w:r>
        <w:rPr>
          <w:rFonts w:hint="eastAsia" w:asciiTheme="majorEastAsia" w:hAnsiTheme="majorEastAsia" w:eastAsiaTheme="majorEastAsia" w:cstheme="majorEastAsia"/>
          <w:sz w:val="24"/>
          <w:szCs w:val="24"/>
        </w:rPr>
        <w:t>本政府采购合同按照中华人民共和国的现行法律进行解释。</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16.政府采购合同生效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16.1本政府采购合同在工序双方法定代表人或其授权代理人签字和加盖公章后生效。</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16.2本政府采购合同一式五份，需方执二份，供方、采购代理机构、财政部门各执一份。 </w:t>
      </w:r>
    </w:p>
    <w:p>
      <w:pPr>
        <w:adjustRightInd w:val="0"/>
        <w:snapToGrid w:val="0"/>
        <w:spacing w:line="360" w:lineRule="auto"/>
        <w:ind w:firstLine="472" w:firstLineChars="196"/>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17.政府采购合同附件</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下列文件构成本政府采购合同不可分割的组成部分，与本政府采购合同具有同等法律效力：</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17.1招标文件；</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17.2招标文件的更正公告、变更公告；</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17.3中标投标人提交的投标文件；        </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17.4政府采购合同条款；</w:t>
      </w:r>
    </w:p>
    <w:p>
      <w:pPr>
        <w:adjustRightInd w:val="0"/>
        <w:snapToGrid w:val="0"/>
        <w:spacing w:line="360" w:lineRule="auto"/>
        <w:ind w:firstLine="470" w:firstLineChars="196"/>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17.5中标通知书；</w:t>
      </w:r>
    </w:p>
    <w:p>
      <w:pPr>
        <w:adjustRightInd w:val="0"/>
        <w:snapToGrid w:val="0"/>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17.6政府采购合同的其它附件。</w:t>
      </w:r>
      <w:bookmarkEnd w:id="131"/>
    </w:p>
    <w:p>
      <w:pPr>
        <w:ind w:firstLine="470" w:firstLineChars="196"/>
        <w:rPr>
          <w:rFonts w:asciiTheme="majorEastAsia" w:hAnsiTheme="majorEastAsia" w:eastAsiaTheme="majorEastAsia" w:cstheme="majorEastAsia"/>
          <w:sz w:val="24"/>
          <w:szCs w:val="24"/>
        </w:rPr>
      </w:pPr>
    </w:p>
    <w:p>
      <w:pPr>
        <w:ind w:firstLine="470" w:firstLineChars="196"/>
        <w:rPr>
          <w:rFonts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adjustRightInd w:val="0"/>
        <w:snapToGrid w:val="0"/>
        <w:spacing w:line="360" w:lineRule="auto"/>
        <w:jc w:val="center"/>
        <w:rPr>
          <w:rFonts w:ascii="宋体" w:hAnsi="宋体" w:cs="宋体"/>
          <w:b/>
          <w:bCs/>
          <w:sz w:val="24"/>
          <w:szCs w:val="24"/>
        </w:rPr>
      </w:pPr>
      <w:bookmarkStart w:id="132" w:name="_Toc7832_WPSOffice_Level1"/>
      <w:bookmarkStart w:id="133" w:name="_Toc11644_WPSOffice_Level1"/>
      <w:r>
        <w:rPr>
          <w:rFonts w:hint="eastAsia" w:ascii="宋体" w:hAnsi="宋体" w:cs="宋体"/>
          <w:b/>
          <w:bCs/>
          <w:sz w:val="24"/>
          <w:szCs w:val="24"/>
        </w:rPr>
        <w:t>政府采购合同格式</w:t>
      </w:r>
      <w:bookmarkEnd w:id="132"/>
      <w:bookmarkEnd w:id="133"/>
      <w:r>
        <w:rPr>
          <w:rFonts w:hint="eastAsia" w:ascii="宋体" w:hAnsi="宋体" w:cs="宋体"/>
          <w:b/>
          <w:bCs/>
          <w:sz w:val="24"/>
          <w:szCs w:val="24"/>
        </w:rPr>
        <w:t>（参考合同）</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政府采购合同编号：</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签订地点：</w:t>
      </w:r>
    </w:p>
    <w:p>
      <w:pPr>
        <w:adjustRightInd w:val="0"/>
        <w:snapToGrid w:val="0"/>
        <w:spacing w:line="360" w:lineRule="auto"/>
        <w:ind w:firstLine="640"/>
        <w:jc w:val="left"/>
        <w:rPr>
          <w:rFonts w:ascii="宋体" w:hAnsi="宋体" w:cs="宋体"/>
          <w:sz w:val="24"/>
          <w:szCs w:val="24"/>
        </w:rPr>
      </w:pPr>
      <w:r>
        <w:rPr>
          <w:rFonts w:hint="eastAsia" w:ascii="宋体" w:hAnsi="宋体" w:cs="宋体"/>
          <w:sz w:val="24"/>
          <w:szCs w:val="24"/>
          <w:u w:val="single"/>
        </w:rPr>
        <w:t xml:space="preserve">    (需方名称</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（以下简称需方）和</w:t>
      </w:r>
      <w:r>
        <w:rPr>
          <w:rFonts w:hint="eastAsia" w:ascii="宋体" w:hAnsi="宋体" w:cs="宋体"/>
          <w:sz w:val="24"/>
          <w:szCs w:val="24"/>
          <w:u w:val="single"/>
        </w:rPr>
        <w:t xml:space="preserve">   (供方名称)    </w:t>
      </w:r>
      <w:r>
        <w:rPr>
          <w:rFonts w:hint="eastAsia" w:ascii="宋体" w:hAnsi="宋体" w:cs="宋体"/>
          <w:sz w:val="24"/>
          <w:szCs w:val="24"/>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一、政府采购合同文件</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本政府采购合同所附下列文件是构成本政府采购合同不可分割的部分：</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1.招标文件（招标文件编号</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2.招标文件的更正公告、变更公告；</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3.中标供应商提交的投标文件；</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4.政府采购合同条款；</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5.中标通知书；</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6.政府采购合同的其它附件。</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二、政府采购合同范围和条件</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本政府采购合同的范围和条件与上述政府采购合同文件的规定相一致。</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三、政府采购合同标的</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本政府采购合同的标的为政府采购合同服务清单(同投标文件中投标服务价格明细表)中所列相关服务。</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四、政府采购合同金额</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根据上述政府采购合同文件要求，政府采购合同的总金额为人民币</w:t>
      </w:r>
      <w:r>
        <w:rPr>
          <w:rFonts w:hint="eastAsia" w:ascii="宋体" w:hAnsi="宋体" w:cs="宋体"/>
          <w:sz w:val="24"/>
          <w:szCs w:val="24"/>
          <w:u w:val="single"/>
        </w:rPr>
        <w:t xml:space="preserve">  （大写）                </w:t>
      </w:r>
      <w:r>
        <w:rPr>
          <w:rFonts w:hint="eastAsia" w:ascii="宋体" w:hAnsi="宋体" w:cs="宋体"/>
          <w:sz w:val="24"/>
          <w:szCs w:val="24"/>
        </w:rPr>
        <w:t xml:space="preserve"> 元。</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五、付款方式及条件</w:t>
      </w: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 xml:space="preserve">    1.付款时间：</w:t>
      </w:r>
      <w:r>
        <w:rPr>
          <w:rFonts w:hint="eastAsia" w:ascii="宋体" w:hAnsi="宋体" w:cs="宋体"/>
          <w:sz w:val="24"/>
          <w:szCs w:val="24"/>
          <w:u w:val="single"/>
        </w:rPr>
        <w:t xml:space="preserve">        </w:t>
      </w:r>
    </w:p>
    <w:p>
      <w:pPr>
        <w:adjustRightInd w:val="0"/>
        <w:snapToGrid w:val="0"/>
        <w:spacing w:line="360" w:lineRule="auto"/>
        <w:ind w:firstLine="480"/>
        <w:jc w:val="left"/>
        <w:rPr>
          <w:rFonts w:ascii="宋体" w:hAnsi="宋体" w:cs="宋体"/>
          <w:sz w:val="24"/>
          <w:szCs w:val="24"/>
          <w:u w:val="single"/>
        </w:rPr>
      </w:pPr>
      <w:r>
        <w:rPr>
          <w:rFonts w:hint="eastAsia" w:ascii="宋体" w:hAnsi="宋体" w:cs="宋体"/>
          <w:sz w:val="24"/>
          <w:szCs w:val="24"/>
        </w:rPr>
        <w:t>2.付款方式：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合同签订之日起 1 月内甲方向乙方支付合同价款 100%。乙方应于甲方付款 前【5】日内提供等额合规发票给甲方。乙方延期提供发票或不符合甲方要求的，甲方有权拒付合同款项且不承担任何法律责任。  </w:t>
      </w:r>
    </w:p>
    <w:p>
      <w:pPr>
        <w:adjustRightInd w:val="0"/>
        <w:snapToGrid w:val="0"/>
        <w:spacing w:line="360" w:lineRule="auto"/>
        <w:ind w:firstLine="480"/>
        <w:jc w:val="left"/>
        <w:rPr>
          <w:rFonts w:ascii="宋体" w:hAnsi="宋体" w:cs="宋体"/>
          <w:sz w:val="24"/>
          <w:szCs w:val="24"/>
          <w:u w:val="single"/>
        </w:rPr>
      </w:pPr>
      <w:r>
        <w:rPr>
          <w:rFonts w:hint="eastAsia" w:ascii="宋体" w:hAnsi="宋体" w:cs="宋体"/>
          <w:sz w:val="24"/>
          <w:szCs w:val="24"/>
        </w:rPr>
        <w:t>3.付款条件：</w:t>
      </w:r>
      <w:r>
        <w:rPr>
          <w:rFonts w:hint="eastAsia" w:ascii="宋体" w:hAnsi="宋体" w:cs="宋体"/>
          <w:sz w:val="24"/>
          <w:szCs w:val="24"/>
          <w:u w:val="single"/>
        </w:rPr>
        <w:t xml:space="preserve">        </w:t>
      </w:r>
    </w:p>
    <w:p>
      <w:pPr>
        <w:adjustRightInd w:val="0"/>
        <w:snapToGrid w:val="0"/>
        <w:spacing w:line="360" w:lineRule="auto"/>
        <w:jc w:val="left"/>
        <w:rPr>
          <w:rFonts w:ascii="宋体" w:hAnsi="宋体" w:cs="宋体"/>
          <w:sz w:val="24"/>
          <w:szCs w:val="24"/>
        </w:rPr>
      </w:pPr>
      <w:r>
        <w:rPr>
          <w:rFonts w:hint="eastAsia" w:ascii="宋体" w:hAnsi="宋体" w:cs="宋体"/>
          <w:b/>
          <w:sz w:val="24"/>
          <w:szCs w:val="24"/>
        </w:rPr>
        <w:t>　　六、服务时间和服务地点</w:t>
      </w:r>
      <w:r>
        <w:rPr>
          <w:rFonts w:hint="eastAsia" w:ascii="宋体" w:hAnsi="宋体" w:cs="宋体"/>
          <w:sz w:val="24"/>
          <w:szCs w:val="24"/>
        </w:rPr>
        <w:t xml:space="preserve">   </w:t>
      </w: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 xml:space="preserve">    1.服务时间：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自合同签订之日起1年。</w:t>
      </w:r>
      <w:r>
        <w:rPr>
          <w:rFonts w:hint="eastAsia" w:ascii="宋体" w:hAnsi="宋体" w:cs="宋体"/>
          <w:sz w:val="24"/>
          <w:szCs w:val="24"/>
          <w:u w:val="single"/>
        </w:rPr>
        <w:t xml:space="preserve">    </w:t>
      </w:r>
    </w:p>
    <w:p>
      <w:pPr>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 xml:space="preserve">    2.服务地点：</w:t>
      </w:r>
      <w:r>
        <w:rPr>
          <w:rFonts w:hint="eastAsia" w:ascii="宋体" w:hAnsi="宋体" w:cs="宋体"/>
          <w:sz w:val="24"/>
          <w:szCs w:val="24"/>
          <w:u w:val="single"/>
        </w:rPr>
        <w:t xml:space="preserve"> 西安市</w:t>
      </w:r>
      <w:r>
        <w:rPr>
          <w:rFonts w:hint="eastAsia" w:ascii="宋体" w:hAnsi="宋体" w:cs="宋体"/>
          <w:sz w:val="24"/>
          <w:szCs w:val="24"/>
          <w:u w:val="single"/>
          <w:lang w:val="en-US" w:eastAsia="zh-CN"/>
        </w:rPr>
        <w:t>中心血站</w:t>
      </w:r>
      <w:r>
        <w:rPr>
          <w:rFonts w:hint="eastAsia" w:ascii="宋体" w:hAnsi="宋体" w:cs="宋体"/>
          <w:sz w:val="24"/>
          <w:szCs w:val="24"/>
          <w:u w:val="single"/>
        </w:rPr>
        <w:t xml:space="preserve">指定地点  </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七、验收要求</w:t>
      </w:r>
    </w:p>
    <w:p>
      <w:pPr>
        <w:adjustRightInd w:val="0"/>
        <w:snapToGrid w:val="0"/>
        <w:spacing w:line="360" w:lineRule="auto"/>
        <w:jc w:val="left"/>
        <w:rPr>
          <w:rFonts w:ascii="宋体" w:hAnsi="宋体" w:cs="宋体"/>
          <w:sz w:val="24"/>
          <w:szCs w:val="24"/>
          <w:u w:val="single"/>
        </w:rPr>
      </w:pPr>
      <w:r>
        <w:rPr>
          <w:rFonts w:hint="eastAsia" w:ascii="宋体" w:hAnsi="宋体" w:cs="宋体"/>
          <w:b/>
          <w:sz w:val="24"/>
          <w:szCs w:val="24"/>
        </w:rPr>
        <w:t xml:space="preserve">    </w:t>
      </w:r>
      <w:r>
        <w:rPr>
          <w:rFonts w:hint="eastAsia" w:ascii="宋体" w:hAnsi="宋体" w:cs="宋体"/>
          <w:sz w:val="24"/>
          <w:szCs w:val="24"/>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xml:space="preserve">    八、违约责任</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1.供方逾期提供服务的，每逾期一天向需方支付合同金额</w:t>
      </w:r>
      <w:r>
        <w:rPr>
          <w:rFonts w:hint="eastAsia" w:ascii="宋体" w:hAnsi="宋体" w:cs="宋体"/>
          <w:sz w:val="24"/>
          <w:szCs w:val="24"/>
          <w:u w:val="single"/>
        </w:rPr>
        <w:t xml:space="preserve">  </w:t>
      </w:r>
      <w:r>
        <w:rPr>
          <w:rFonts w:hint="eastAsia" w:ascii="宋体" w:hAnsi="宋体" w:cs="宋体"/>
          <w:sz w:val="24"/>
          <w:szCs w:val="24"/>
        </w:rPr>
        <w:t>%的违约金，逾期</w:t>
      </w:r>
      <w:r>
        <w:rPr>
          <w:rFonts w:hint="eastAsia" w:ascii="宋体" w:hAnsi="宋体" w:cs="宋体"/>
          <w:sz w:val="24"/>
          <w:szCs w:val="24"/>
          <w:u w:val="single"/>
        </w:rPr>
        <w:t xml:space="preserve">  </w:t>
      </w:r>
      <w:r>
        <w:rPr>
          <w:rFonts w:hint="eastAsia" w:ascii="宋体" w:hAnsi="宋体" w:cs="宋体"/>
          <w:sz w:val="24"/>
          <w:szCs w:val="24"/>
        </w:rPr>
        <w:t>日的，需方有权单方面解除本协议。</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2.供方提供的服务不符合约定的，需方有权向供方书面提出整改意见，供方需无条件整改至符合约定，自需方向供方提出书面意见之日起</w:t>
      </w:r>
      <w:r>
        <w:rPr>
          <w:rFonts w:hint="eastAsia" w:ascii="宋体" w:hAnsi="宋体" w:cs="宋体"/>
          <w:sz w:val="24"/>
          <w:szCs w:val="24"/>
          <w:u w:val="single"/>
        </w:rPr>
        <w:t xml:space="preserve">  </w:t>
      </w:r>
      <w:r>
        <w:rPr>
          <w:rFonts w:hint="eastAsia" w:ascii="宋体" w:hAnsi="宋体" w:cs="宋体"/>
          <w:sz w:val="24"/>
          <w:szCs w:val="24"/>
        </w:rPr>
        <w:t>日内，供方仍未整改或整改后服务仍不符合约定的，需方有权单方面解除本协议。</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3.需方逾期付款的，每逾期一天向供方支付逾期金额</w:t>
      </w:r>
      <w:r>
        <w:rPr>
          <w:rFonts w:hint="eastAsia" w:ascii="宋体" w:hAnsi="宋体" w:cs="宋体"/>
          <w:sz w:val="24"/>
          <w:szCs w:val="24"/>
          <w:u w:val="single"/>
        </w:rPr>
        <w:t xml:space="preserve">  </w:t>
      </w:r>
      <w:r>
        <w:rPr>
          <w:rFonts w:hint="eastAsia" w:ascii="宋体" w:hAnsi="宋体" w:cs="宋体"/>
          <w:sz w:val="24"/>
          <w:szCs w:val="24"/>
        </w:rPr>
        <w:t>%的违约金，逾期</w:t>
      </w:r>
      <w:r>
        <w:rPr>
          <w:rFonts w:hint="eastAsia" w:ascii="宋体" w:hAnsi="宋体" w:cs="宋体"/>
          <w:sz w:val="24"/>
          <w:szCs w:val="24"/>
          <w:u w:val="single"/>
        </w:rPr>
        <w:t xml:space="preserve">  </w:t>
      </w:r>
      <w:r>
        <w:rPr>
          <w:rFonts w:hint="eastAsia" w:ascii="宋体" w:hAnsi="宋体" w:cs="宋体"/>
          <w:sz w:val="24"/>
          <w:szCs w:val="24"/>
        </w:rPr>
        <w:t>日的，供方有权单方面解除本协议。</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xml:space="preserve">    九、争议解决</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宋体" w:hAnsi="宋体" w:cs="宋体"/>
          <w:b/>
          <w:sz w:val="24"/>
          <w:szCs w:val="24"/>
        </w:rPr>
      </w:pPr>
      <w:r>
        <w:rPr>
          <w:rFonts w:hint="eastAsia" w:ascii="宋体" w:hAnsi="宋体" w:cs="宋体"/>
          <w:b/>
          <w:sz w:val="24"/>
          <w:szCs w:val="24"/>
        </w:rPr>
        <w:t xml:space="preserve">    十、合同生效</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    本政府采购合同经双方授权代表签字盖章后生效。</w:t>
      </w:r>
    </w:p>
    <w:p>
      <w:pPr>
        <w:adjustRightInd w:val="0"/>
        <w:snapToGrid w:val="0"/>
        <w:spacing w:line="360" w:lineRule="auto"/>
        <w:jc w:val="left"/>
        <w:rPr>
          <w:rFonts w:ascii="宋体" w:hAnsi="宋体" w:cs="宋体"/>
          <w:sz w:val="24"/>
          <w:szCs w:val="24"/>
        </w:rPr>
      </w:pP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需方（公章）:                       供方(公章):</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法定代表人或授权代表人(签字):       法定代表人或授权代表人(签字):</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 xml:space="preserve">      地址：</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szCs w:val="24"/>
        </w:rPr>
        <w:t xml:space="preserve">      联系人：</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邮编：</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xml:space="preserve">      年      月      日</w:t>
      </w:r>
      <w:r>
        <w:rPr>
          <w:rFonts w:hint="eastAsia" w:ascii="宋体" w:hAnsi="宋体" w:cs="宋体"/>
          <w:sz w:val="24"/>
          <w:szCs w:val="24"/>
        </w:rPr>
        <w:t xml:space="preserve">      日期：</w:t>
      </w:r>
      <w:r>
        <w:rPr>
          <w:rFonts w:hint="eastAsia" w:ascii="宋体" w:hAnsi="宋体" w:cs="宋体"/>
          <w:sz w:val="24"/>
          <w:szCs w:val="24"/>
          <w:u w:val="single"/>
        </w:rPr>
        <w:t xml:space="preserve">       年      月     日</w:t>
      </w:r>
    </w:p>
    <w:p>
      <w:pPr>
        <w:pStyle w:val="2"/>
        <w:keepNext w:val="0"/>
        <w:pageBreakBefore/>
        <w:rPr>
          <w:rFonts w:ascii="宋体" w:hAnsi="宋体" w:cs="宋体"/>
        </w:rPr>
      </w:pPr>
      <w:r>
        <w:rPr>
          <w:rFonts w:hint="eastAsia" w:ascii="宋体" w:hAnsi="宋体" w:cs="宋体"/>
        </w:rPr>
        <w:t>第七部分 磋商响应文件格式</w:t>
      </w:r>
      <w:bookmarkEnd w:id="116"/>
      <w:bookmarkEnd w:id="117"/>
      <w:bookmarkEnd w:id="118"/>
      <w:bookmarkEnd w:id="121"/>
      <w:bookmarkEnd w:id="122"/>
    </w:p>
    <w:p>
      <w:pPr>
        <w:adjustRightInd w:val="0"/>
        <w:snapToGrid w:val="0"/>
        <w:spacing w:line="400" w:lineRule="exact"/>
        <w:jc w:val="left"/>
        <w:rPr>
          <w:rFonts w:ascii="宋体" w:hAnsi="宋体" w:cs="宋体"/>
          <w:b/>
          <w:w w:val="120"/>
          <w:sz w:val="28"/>
          <w:szCs w:val="28"/>
        </w:rPr>
      </w:pPr>
      <w:bookmarkStart w:id="134" w:name="_Toc7459"/>
      <w:bookmarkStart w:id="135" w:name="_Toc24239"/>
      <w:r>
        <w:rPr>
          <w:rFonts w:hint="eastAsia" w:ascii="宋体" w:hAnsi="宋体" w:cs="宋体"/>
          <w:b/>
          <w:w w:val="120"/>
          <w:sz w:val="28"/>
          <w:szCs w:val="28"/>
        </w:rPr>
        <w:t>项目编号：</w:t>
      </w:r>
      <w:r>
        <w:rPr>
          <w:rFonts w:hint="eastAsia" w:ascii="宋体" w:hAnsi="宋体" w:cs="宋体"/>
          <w:b/>
          <w:w w:val="120"/>
          <w:sz w:val="28"/>
          <w:szCs w:val="28"/>
          <w:lang w:eastAsia="zh-CN"/>
        </w:rPr>
        <w:t>SXWZ2024ZB-XAXZ-023A</w:t>
      </w:r>
      <w:r>
        <w:rPr>
          <w:rFonts w:hint="eastAsia" w:ascii="宋体" w:hAnsi="宋体" w:cs="宋体"/>
          <w:b/>
          <w:w w:val="120"/>
          <w:sz w:val="28"/>
          <w:szCs w:val="28"/>
        </w:rPr>
        <w:t xml:space="preserve">    （正本或副本）</w:t>
      </w:r>
    </w:p>
    <w:p>
      <w:pPr>
        <w:adjustRightInd w:val="0"/>
        <w:snapToGrid w:val="0"/>
        <w:spacing w:line="480" w:lineRule="auto"/>
        <w:rPr>
          <w:rFonts w:ascii="宋体" w:hAnsi="宋体" w:cs="宋体"/>
          <w:b/>
          <w:sz w:val="44"/>
          <w:szCs w:val="44"/>
        </w:rPr>
      </w:pPr>
    </w:p>
    <w:p>
      <w:pPr>
        <w:adjustRightInd w:val="0"/>
        <w:snapToGrid w:val="0"/>
        <w:spacing w:line="480" w:lineRule="auto"/>
        <w:jc w:val="center"/>
        <w:rPr>
          <w:rFonts w:ascii="宋体" w:hAnsi="宋体" w:cs="宋体"/>
          <w:b/>
          <w:sz w:val="52"/>
          <w:szCs w:val="52"/>
        </w:rPr>
      </w:pPr>
      <w:r>
        <w:rPr>
          <w:rFonts w:hint="eastAsia" w:ascii="宋体" w:hAnsi="宋体" w:cs="宋体"/>
          <w:b/>
          <w:sz w:val="44"/>
          <w:szCs w:val="44"/>
          <w:lang w:eastAsia="zh-CN"/>
        </w:rPr>
        <w:t>西安市中心血站地铁灯箱、公交车尾窗LED屏、微信朋友圈、短视频献血宣传项目(第3包二次)</w:t>
      </w:r>
      <w:r>
        <w:rPr>
          <w:rFonts w:hint="eastAsia" w:ascii="宋体" w:hAnsi="宋体" w:cs="宋体"/>
          <w:b/>
          <w:sz w:val="52"/>
          <w:szCs w:val="52"/>
        </w:rPr>
        <w:t xml:space="preserve">                                响</w:t>
      </w:r>
    </w:p>
    <w:p>
      <w:pPr>
        <w:adjustRightInd w:val="0"/>
        <w:snapToGrid w:val="0"/>
        <w:spacing w:line="480" w:lineRule="auto"/>
        <w:jc w:val="center"/>
        <w:outlineLvl w:val="9"/>
        <w:rPr>
          <w:rFonts w:ascii="宋体" w:hAnsi="宋体" w:cs="宋体"/>
          <w:b/>
          <w:sz w:val="52"/>
          <w:szCs w:val="52"/>
        </w:rPr>
      </w:pPr>
      <w:r>
        <w:rPr>
          <w:rFonts w:hint="eastAsia" w:ascii="宋体" w:hAnsi="宋体" w:cs="宋体"/>
          <w:b/>
          <w:sz w:val="52"/>
          <w:szCs w:val="52"/>
        </w:rPr>
        <w:t>应</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文</w:t>
      </w:r>
    </w:p>
    <w:p>
      <w:pPr>
        <w:adjustRightInd w:val="0"/>
        <w:snapToGrid w:val="0"/>
        <w:spacing w:line="480" w:lineRule="auto"/>
        <w:jc w:val="center"/>
        <w:rPr>
          <w:rFonts w:hint="eastAsia" w:ascii="宋体" w:hAnsi="宋体" w:cs="宋体"/>
          <w:b/>
          <w:sz w:val="52"/>
          <w:szCs w:val="52"/>
        </w:rPr>
      </w:pPr>
      <w:r>
        <w:rPr>
          <w:rFonts w:hint="eastAsia" w:ascii="宋体" w:hAnsi="宋体" w:cs="宋体"/>
          <w:b/>
          <w:sz w:val="52"/>
          <w:szCs w:val="52"/>
        </w:rPr>
        <w:t>件</w:t>
      </w:r>
    </w:p>
    <w:p>
      <w:pPr>
        <w:adjustRightInd w:val="0"/>
        <w:snapToGrid w:val="0"/>
        <w:spacing w:line="480" w:lineRule="auto"/>
        <w:jc w:val="center"/>
        <w:rPr>
          <w:rFonts w:hint="eastAsia" w:ascii="宋体" w:hAnsi="宋体" w:eastAsia="宋体" w:cs="宋体"/>
          <w:b/>
          <w:sz w:val="52"/>
          <w:szCs w:val="52"/>
          <w:lang w:eastAsia="zh-CN"/>
        </w:rPr>
      </w:pPr>
      <w:r>
        <w:rPr>
          <w:rFonts w:hint="eastAsia" w:ascii="宋体" w:hAnsi="宋体" w:cs="宋体"/>
          <w:b/>
          <w:sz w:val="52"/>
          <w:szCs w:val="52"/>
          <w:lang w:eastAsia="zh-CN"/>
        </w:rPr>
        <w:t>（第</w:t>
      </w:r>
      <w:r>
        <w:rPr>
          <w:rFonts w:hint="eastAsia" w:ascii="宋体" w:hAnsi="宋体" w:cs="宋体"/>
          <w:b/>
          <w:sz w:val="52"/>
          <w:szCs w:val="52"/>
          <w:lang w:val="en-US" w:eastAsia="zh-CN"/>
        </w:rPr>
        <w:t>X包</w:t>
      </w:r>
      <w:r>
        <w:rPr>
          <w:rFonts w:hint="eastAsia" w:ascii="宋体" w:hAnsi="宋体" w:cs="宋体"/>
          <w:b/>
          <w:sz w:val="52"/>
          <w:szCs w:val="52"/>
          <w:lang w:eastAsia="zh-CN"/>
        </w:rPr>
        <w:t>）</w:t>
      </w:r>
    </w:p>
    <w:p>
      <w:pPr>
        <w:snapToGrid w:val="0"/>
        <w:spacing w:line="480" w:lineRule="auto"/>
        <w:ind w:firstLine="640" w:firstLineChars="200"/>
        <w:jc w:val="left"/>
        <w:rPr>
          <w:rFonts w:ascii="宋体" w:hAnsi="宋体" w:cs="宋体"/>
          <w:sz w:val="32"/>
          <w:szCs w:val="32"/>
        </w:rPr>
      </w:pPr>
    </w:p>
    <w:p>
      <w:pPr>
        <w:snapToGrid w:val="0"/>
        <w:spacing w:line="480" w:lineRule="auto"/>
        <w:ind w:firstLine="640" w:firstLineChars="200"/>
        <w:jc w:val="left"/>
        <w:rPr>
          <w:rFonts w:ascii="宋体" w:hAnsi="宋体" w:cs="宋体"/>
          <w:sz w:val="32"/>
          <w:szCs w:val="32"/>
          <w:u w:val="single"/>
        </w:rPr>
      </w:pPr>
      <w:r>
        <w:rPr>
          <w:rFonts w:hint="eastAsia" w:ascii="宋体" w:hAnsi="宋体" w:cs="宋体"/>
          <w:sz w:val="32"/>
          <w:szCs w:val="32"/>
          <w:lang w:val="zh-CN"/>
        </w:rPr>
        <w:t>供应商（单位名称及公章）：</w:t>
      </w:r>
    </w:p>
    <w:p>
      <w:pPr>
        <w:snapToGrid w:val="0"/>
        <w:spacing w:line="480" w:lineRule="auto"/>
        <w:ind w:left="638" w:leftChars="304"/>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pageBreakBefore/>
        <w:ind w:firstLine="1004" w:firstLineChars="200"/>
        <w:jc w:val="center"/>
        <w:rPr>
          <w:rFonts w:ascii="宋体" w:cs="宋体"/>
          <w:b/>
          <w:color w:val="000000" w:themeColor="text1"/>
          <w:sz w:val="50"/>
          <w14:textFill>
            <w14:solidFill>
              <w14:schemeClr w14:val="tx1"/>
            </w14:solidFill>
          </w14:textFill>
        </w:rPr>
      </w:pPr>
      <w:bookmarkStart w:id="136" w:name="_Toc17527_WPSOffice_Level1"/>
      <w:bookmarkStart w:id="137" w:name="_Toc2536"/>
      <w:bookmarkStart w:id="138" w:name="_Toc31486"/>
      <w:bookmarkStart w:id="139" w:name="_Toc4950"/>
      <w:bookmarkStart w:id="140" w:name="_Toc2272"/>
      <w:bookmarkStart w:id="141" w:name="_Toc32244"/>
      <w:bookmarkStart w:id="142" w:name="_Toc25438"/>
      <w:bookmarkStart w:id="143" w:name="_Toc27653"/>
      <w:bookmarkStart w:id="144" w:name="_Toc27215"/>
      <w:r>
        <w:rPr>
          <w:rFonts w:hint="eastAsia" w:ascii="宋体" w:hAnsi="宋体" w:cs="宋体"/>
          <w:b/>
          <w:color w:val="000000" w:themeColor="text1"/>
          <w:sz w:val="50"/>
          <w14:textFill>
            <w14:solidFill>
              <w14:schemeClr w14:val="tx1"/>
            </w14:solidFill>
          </w14:textFill>
        </w:rPr>
        <w:t>目录</w:t>
      </w:r>
      <w:bookmarkEnd w:id="136"/>
    </w:p>
    <w:p>
      <w:pPr>
        <w:ind w:firstLine="1004" w:firstLineChars="200"/>
        <w:jc w:val="left"/>
        <w:rPr>
          <w:rFonts w:ascii="宋体" w:cs="宋体"/>
          <w:b/>
          <w:color w:val="000000" w:themeColor="text1"/>
          <w:sz w:val="50"/>
          <w14:textFill>
            <w14:solidFill>
              <w14:schemeClr w14:val="tx1"/>
            </w14:solidFill>
          </w14:textFill>
        </w:rPr>
      </w:pPr>
    </w:p>
    <w:p>
      <w:pPr>
        <w:pStyle w:val="11"/>
        <w:snapToGrid w:val="0"/>
        <w:spacing w:line="480" w:lineRule="auto"/>
        <w:ind w:firstLine="562" w:firstLineChars="200"/>
        <w:jc w:val="left"/>
        <w:rPr>
          <w:rFonts w:hAnsi="宋体" w:cs="宋体"/>
          <w:b/>
          <w:bCs/>
          <w:color w:val="000000" w:themeColor="text1"/>
          <w:sz w:val="28"/>
          <w:szCs w:val="28"/>
          <w14:textFill>
            <w14:solidFill>
              <w14:schemeClr w14:val="tx1"/>
            </w14:solidFill>
          </w14:textFill>
        </w:rPr>
      </w:pPr>
      <w:bookmarkStart w:id="145" w:name="_Toc3727_WPSOffice_Level1"/>
      <w:r>
        <w:rPr>
          <w:rFonts w:hint="eastAsia" w:hAnsi="宋体" w:cs="宋体"/>
          <w:b/>
          <w:bCs/>
          <w:color w:val="000000" w:themeColor="text1"/>
          <w:sz w:val="28"/>
          <w:szCs w:val="28"/>
          <w14:textFill>
            <w14:solidFill>
              <w14:schemeClr w14:val="tx1"/>
            </w14:solidFill>
          </w14:textFill>
        </w:rPr>
        <w:t>第一章  响应函</w:t>
      </w:r>
      <w:bookmarkEnd w:id="145"/>
    </w:p>
    <w:p>
      <w:pPr>
        <w:snapToGrid w:val="0"/>
        <w:spacing w:line="480" w:lineRule="auto"/>
        <w:ind w:firstLine="562" w:firstLineChars="200"/>
        <w:jc w:val="left"/>
        <w:rPr>
          <w:rFonts w:hAnsi="宋体" w:cs="宋体"/>
          <w:b/>
          <w:color w:val="000000" w:themeColor="text1"/>
          <w:sz w:val="28"/>
          <w:szCs w:val="28"/>
          <w14:textFill>
            <w14:solidFill>
              <w14:schemeClr w14:val="tx1"/>
            </w14:solidFill>
          </w14:textFill>
        </w:rPr>
      </w:pPr>
      <w:bookmarkStart w:id="146" w:name="_Toc23436_WPSOffice_Level1"/>
      <w:r>
        <w:rPr>
          <w:rFonts w:hint="eastAsia" w:ascii="宋体" w:hAnsi="宋体" w:cs="宋体"/>
          <w:b/>
          <w:color w:val="000000" w:themeColor="text1"/>
          <w:sz w:val="28"/>
          <w:szCs w:val="28"/>
          <w14:textFill>
            <w14:solidFill>
              <w14:schemeClr w14:val="tx1"/>
            </w14:solidFill>
          </w14:textFill>
        </w:rPr>
        <w:t>第二</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color w:val="000000" w:themeColor="text1"/>
          <w:sz w:val="28"/>
          <w:szCs w:val="28"/>
          <w14:textFill>
            <w14:solidFill>
              <w14:schemeClr w14:val="tx1"/>
            </w14:solidFill>
          </w14:textFill>
        </w:rPr>
        <w:t>磋商一览表</w:t>
      </w:r>
      <w:bookmarkEnd w:id="146"/>
    </w:p>
    <w:p>
      <w:pPr>
        <w:pStyle w:val="11"/>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bookmarkStart w:id="147" w:name="_Toc11444_WPSOffice_Level1"/>
      <w:r>
        <w:rPr>
          <w:rFonts w:hint="eastAsia" w:hAnsi="宋体" w:cs="宋体"/>
          <w:b/>
          <w:color w:val="000000" w:themeColor="text1"/>
          <w:sz w:val="28"/>
          <w:szCs w:val="28"/>
          <w14:textFill>
            <w14:solidFill>
              <w14:schemeClr w14:val="tx1"/>
            </w14:solidFill>
          </w14:textFill>
        </w:rPr>
        <w:t>第三</w:t>
      </w:r>
      <w:r>
        <w:rPr>
          <w:rFonts w:hint="eastAsia" w:hAnsi="宋体" w:cs="宋体"/>
          <w:b/>
          <w:bCs/>
          <w:color w:val="000000" w:themeColor="text1"/>
          <w:sz w:val="28"/>
          <w:szCs w:val="28"/>
          <w14:textFill>
            <w14:solidFill>
              <w14:schemeClr w14:val="tx1"/>
            </w14:solidFill>
          </w14:textFill>
        </w:rPr>
        <w:t>章  分项报价表</w:t>
      </w:r>
      <w:bookmarkEnd w:id="147"/>
    </w:p>
    <w:p>
      <w:pPr>
        <w:pStyle w:val="11"/>
        <w:snapToGrid w:val="0"/>
        <w:spacing w:line="480" w:lineRule="auto"/>
        <w:ind w:firstLine="562" w:firstLineChars="200"/>
        <w:jc w:val="left"/>
        <w:rPr>
          <w:rFonts w:hAnsi="宋体" w:cs="宋体"/>
          <w:b/>
          <w:color w:val="000000" w:themeColor="text1"/>
          <w:kern w:val="0"/>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第四</w:t>
      </w:r>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kern w:val="0"/>
          <w:sz w:val="28"/>
          <w:szCs w:val="28"/>
          <w14:textFill>
            <w14:solidFill>
              <w14:schemeClr w14:val="tx1"/>
            </w14:solidFill>
          </w14:textFill>
        </w:rPr>
        <w:t>供应商资质证明资料</w:t>
      </w:r>
    </w:p>
    <w:p>
      <w:pPr>
        <w:pStyle w:val="11"/>
        <w:snapToGrid w:val="0"/>
        <w:spacing w:line="480" w:lineRule="auto"/>
        <w:ind w:firstLine="562" w:firstLineChars="200"/>
        <w:jc w:val="left"/>
        <w:rPr>
          <w:rFonts w:hAnsi="宋体" w:cs="宋体"/>
          <w:b/>
          <w:bCs/>
          <w:color w:val="000000" w:themeColor="text1"/>
          <w:sz w:val="28"/>
          <w:szCs w:val="28"/>
          <w14:textFill>
            <w14:solidFill>
              <w14:schemeClr w14:val="tx1"/>
            </w14:solidFill>
          </w14:textFill>
        </w:rPr>
      </w:pPr>
      <w:bookmarkStart w:id="148" w:name="_Toc5905_WPSOffice_Level1"/>
      <w:r>
        <w:rPr>
          <w:rFonts w:hint="eastAsia" w:hAnsi="宋体" w:cs="宋体"/>
          <w:b/>
          <w:color w:val="000000" w:themeColor="text1"/>
          <w:sz w:val="28"/>
          <w:szCs w:val="28"/>
          <w14:textFill>
            <w14:solidFill>
              <w14:schemeClr w14:val="tx1"/>
            </w14:solidFill>
          </w14:textFill>
        </w:rPr>
        <w:t>第五</w:t>
      </w:r>
      <w:r>
        <w:rPr>
          <w:rFonts w:hint="eastAsia" w:hAnsi="宋体" w:cs="宋体"/>
          <w:b/>
          <w:bCs/>
          <w:color w:val="000000" w:themeColor="text1"/>
          <w:sz w:val="28"/>
          <w:szCs w:val="28"/>
          <w14:textFill>
            <w14:solidFill>
              <w14:schemeClr w14:val="tx1"/>
            </w14:solidFill>
          </w14:textFill>
        </w:rPr>
        <w:t>章  商务和技术响应偏离表</w:t>
      </w:r>
    </w:p>
    <w:p>
      <w:pPr>
        <w:pStyle w:val="11"/>
        <w:snapToGrid w:val="0"/>
        <w:spacing w:line="480" w:lineRule="auto"/>
        <w:ind w:firstLine="562" w:firstLineChars="200"/>
        <w:jc w:val="left"/>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w:t>
      </w:r>
      <w:bookmarkEnd w:id="148"/>
      <w:r>
        <w:rPr>
          <w:rFonts w:hint="eastAsia" w:hAnsi="宋体" w:cs="宋体"/>
          <w:b/>
          <w:color w:val="000000" w:themeColor="text1"/>
          <w:sz w:val="28"/>
          <w:szCs w:val="28"/>
          <w14:textFill>
            <w14:solidFill>
              <w14:schemeClr w14:val="tx1"/>
            </w14:solidFill>
          </w14:textFill>
        </w:rPr>
        <w:t>六</w:t>
      </w:r>
      <w:r>
        <w:rPr>
          <w:rFonts w:hint="eastAsia" w:hAnsi="宋体" w:cs="宋体"/>
          <w:b/>
          <w:bCs/>
          <w:color w:val="000000" w:themeColor="text1"/>
          <w:sz w:val="28"/>
          <w:szCs w:val="28"/>
          <w14:textFill>
            <w14:solidFill>
              <w14:schemeClr w14:val="tx1"/>
            </w14:solidFill>
          </w14:textFill>
        </w:rPr>
        <w:t xml:space="preserve">章  </w:t>
      </w:r>
      <w:r>
        <w:rPr>
          <w:rFonts w:hint="eastAsia" w:hAnsi="宋体" w:cs="宋体"/>
          <w:b/>
          <w:color w:val="000000" w:themeColor="text1"/>
          <w:sz w:val="28"/>
          <w:szCs w:val="28"/>
          <w14:textFill>
            <w14:solidFill>
              <w14:schemeClr w14:val="tx1"/>
            </w14:solidFill>
          </w14:textFill>
        </w:rPr>
        <w:t>技术支持资料</w:t>
      </w:r>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149" w:name="_Toc1523_WPSOffice_Level1"/>
      <w:r>
        <w:rPr>
          <w:rFonts w:hint="eastAsia" w:ascii="宋体" w:hAnsi="宋体" w:cs="宋体"/>
          <w:b/>
          <w:bCs/>
          <w:color w:val="000000" w:themeColor="text1"/>
          <w:sz w:val="28"/>
          <w:szCs w:val="28"/>
          <w14:textFill>
            <w14:solidFill>
              <w14:schemeClr w14:val="tx1"/>
            </w14:solidFill>
          </w14:textFill>
        </w:rPr>
        <w:t>第七</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供应商业绩一览表</w:t>
      </w:r>
      <w:bookmarkEnd w:id="149"/>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150" w:name="_Toc13214_WPSOffice_Level1"/>
      <w:r>
        <w:rPr>
          <w:rFonts w:hint="eastAsia" w:ascii="宋体" w:hAnsi="宋体" w:cs="宋体"/>
          <w:b/>
          <w:bCs/>
          <w:color w:val="000000" w:themeColor="text1"/>
          <w:sz w:val="28"/>
          <w:szCs w:val="28"/>
          <w14:textFill>
            <w14:solidFill>
              <w14:schemeClr w14:val="tx1"/>
            </w14:solidFill>
          </w14:textFill>
        </w:rPr>
        <w:t>第八</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供应商认为有必要说明的其他问题</w:t>
      </w:r>
      <w:bookmarkEnd w:id="150"/>
    </w:p>
    <w:p>
      <w:pPr>
        <w:snapToGrid w:val="0"/>
        <w:spacing w:line="480" w:lineRule="auto"/>
        <w:ind w:firstLine="562" w:firstLineChars="200"/>
        <w:jc w:val="left"/>
        <w:rPr>
          <w:rFonts w:ascii="宋体" w:cs="宋体"/>
          <w:b/>
          <w:bCs/>
          <w:color w:val="000000" w:themeColor="text1"/>
          <w:sz w:val="28"/>
          <w:szCs w:val="28"/>
          <w14:textFill>
            <w14:solidFill>
              <w14:schemeClr w14:val="tx1"/>
            </w14:solidFill>
          </w14:textFill>
        </w:rPr>
      </w:pPr>
      <w:bookmarkStart w:id="151" w:name="_Toc1621_WPSOffice_Level1"/>
      <w:r>
        <w:rPr>
          <w:rFonts w:hint="eastAsia" w:ascii="宋体" w:hAnsi="宋体" w:cs="宋体"/>
          <w:b/>
          <w:bCs/>
          <w:color w:val="000000" w:themeColor="text1"/>
          <w:sz w:val="28"/>
          <w:szCs w:val="28"/>
          <w14:textFill>
            <w14:solidFill>
              <w14:schemeClr w14:val="tx1"/>
            </w14:solidFill>
          </w14:textFill>
        </w:rPr>
        <w:t>第九</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bCs/>
          <w:color w:val="000000" w:themeColor="text1"/>
          <w:sz w:val="28"/>
          <w:szCs w:val="28"/>
          <w14:textFill>
            <w14:solidFill>
              <w14:schemeClr w14:val="tx1"/>
            </w14:solidFill>
          </w14:textFill>
        </w:rPr>
        <w:t>供应商承诺书</w:t>
      </w:r>
      <w:bookmarkEnd w:id="151"/>
    </w:p>
    <w:p>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52" w:name="_Toc12195"/>
      <w:bookmarkStart w:id="153" w:name="_Toc14707"/>
      <w:bookmarkStart w:id="154" w:name="_Toc19835"/>
      <w:r>
        <w:rPr>
          <w:rFonts w:hint="eastAsia"/>
          <w:color w:val="000000" w:themeColor="text1"/>
          <w14:textFill>
            <w14:solidFill>
              <w14:schemeClr w14:val="tx1"/>
            </w14:solidFill>
          </w14:textFill>
        </w:rPr>
        <w:t>第一</w:t>
      </w:r>
      <w:bookmarkEnd w:id="137"/>
      <w:r>
        <w:rPr>
          <w:rFonts w:hint="eastAsia"/>
          <w:color w:val="000000" w:themeColor="text1"/>
          <w14:textFill>
            <w14:solidFill>
              <w14:schemeClr w14:val="tx1"/>
            </w14:solidFill>
          </w14:textFill>
        </w:rPr>
        <w:t>章  响应函</w:t>
      </w:r>
      <w:bookmarkEnd w:id="138"/>
      <w:bookmarkEnd w:id="139"/>
      <w:bookmarkEnd w:id="140"/>
      <w:bookmarkEnd w:id="141"/>
      <w:bookmarkEnd w:id="142"/>
      <w:bookmarkEnd w:id="143"/>
      <w:bookmarkEnd w:id="144"/>
      <w:bookmarkEnd w:id="152"/>
      <w:bookmarkEnd w:id="153"/>
      <w:bookmarkEnd w:id="154"/>
    </w:p>
    <w:p>
      <w:pPr>
        <w:adjustRightInd w:val="0"/>
        <w:snapToGrid w:val="0"/>
        <w:spacing w:line="276" w:lineRule="auto"/>
        <w:jc w:val="left"/>
        <w:rPr>
          <w:rFonts w:ascii="宋体" w:cs="宋体"/>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陕西万泽招标有限公司</w:t>
      </w:r>
      <w:r>
        <w:rPr>
          <w:rFonts w:hint="eastAsia" w:ascii="宋体" w:hAnsi="宋体" w:cs="宋体"/>
          <w:bCs/>
          <w:color w:val="000000" w:themeColor="text1"/>
          <w:sz w:val="32"/>
          <w:szCs w:val="32"/>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我单位收到项目名称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的竞争性磋商文件，经详细研究，我公司决定参加本次磋商活动。为此，我方郑重承诺以下诸点，并负法律责任。</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、愿意按照竞争性磋商文件中的全部要求，提供合格的产品及完善的技术服务，履行合同的责任和义务。</w:t>
      </w:r>
    </w:p>
    <w:p>
      <w:pPr>
        <w:adjustRightInd w:val="0"/>
        <w:snapToGrid w:val="0"/>
        <w:spacing w:line="360" w:lineRule="auto"/>
        <w:ind w:firstLine="480" w:firstLineChars="200"/>
        <w:jc w:val="left"/>
        <w:outlineLvl w:val="9"/>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、按照竞争性磋商文件的规定，我公司的响应总报价为：</w:t>
      </w:r>
    </w:p>
    <w:p>
      <w:pPr>
        <w:adjustRightInd w:val="0"/>
        <w:snapToGrid w:val="0"/>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w:t>
      </w:r>
      <w:r>
        <w:rPr>
          <w:rFonts w:hint="eastAsia" w:ascii="宋体" w:hAnsi="宋体" w:cs="宋体"/>
          <w:color w:val="000000" w:themeColor="text1"/>
          <w:sz w:val="24"/>
          <w:szCs w:val="24"/>
          <w14:textFill>
            <w14:solidFill>
              <w14:schemeClr w14:val="tx1"/>
            </w14:solidFill>
          </w14:textFill>
        </w:rPr>
        <w:t>写）</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；（小写）</w:t>
      </w:r>
      <w:r>
        <w:rPr>
          <w:rFonts w:hint="eastAsia"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、我方提交的磋商响应文件正本壹份、副本叁份，电子文档壹份、</w:t>
      </w:r>
      <w:r>
        <w:rPr>
          <w:rFonts w:hint="eastAsia" w:ascii="宋体" w:hAnsi="宋体" w:cs="宋体"/>
          <w:color w:val="000000" w:themeColor="text1"/>
          <w:sz w:val="24"/>
          <w:szCs w:val="24"/>
          <w14:textFill>
            <w14:solidFill>
              <w14:schemeClr w14:val="tx1"/>
            </w14:solidFill>
          </w14:textFill>
        </w:rPr>
        <w:t>磋商一览表壹份</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、我们已详细阅读了竞争性磋商文件，完全理解并同意放弃提出含糊不清和误解问题的权力。</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、如果我方在磋商后到规定的磋商有效期内撤回磋商响应文件及承诺，我们的保证金将被对方没收。</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、同意向贵方提供贵方可能要求的、与本次磋商有关的任何证据资料。</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、我方承诺磋商有效期为磋商后</w:t>
      </w:r>
      <w:r>
        <w:rPr>
          <w:rFonts w:hint="eastAsia" w:ascii="宋体" w:hAnsi="宋体" w:cs="宋体"/>
          <w:color w:val="000000" w:themeColor="text1"/>
          <w:sz w:val="24"/>
          <w:u w:val="single"/>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日历日内有效。</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、所有关于本次磋商的函电，请按下列地址联系：</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pStyle w:val="3"/>
        <w:rPr>
          <w:rFonts w:ascii="宋体" w:cs="宋体"/>
          <w:color w:val="000000" w:themeColor="text1"/>
          <w14:textFill>
            <w14:solidFill>
              <w14:schemeClr w14:val="tx1"/>
            </w14:solidFill>
          </w14:textFill>
        </w:rPr>
        <w:sectPr>
          <w:headerReference r:id="rId14" w:type="default"/>
          <w:footerReference r:id="rId15" w:type="default"/>
          <w:pgSz w:w="11906" w:h="16838"/>
          <w:pgMar w:top="1440" w:right="1349" w:bottom="1440" w:left="1349" w:header="851" w:footer="992" w:gutter="0"/>
          <w:pgNumType w:fmt="decimal"/>
          <w:cols w:space="0" w:num="1"/>
          <w:rtlGutter w:val="0"/>
          <w:docGrid w:type="lines" w:linePitch="319" w:charSpace="0"/>
        </w:sectPr>
      </w:pPr>
      <w:bookmarkStart w:id="155" w:name="_Toc28494"/>
    </w:p>
    <w:p>
      <w:pPr>
        <w:pStyle w:val="3"/>
        <w:jc w:val="center"/>
        <w:rPr>
          <w:rFonts w:ascii="宋体" w:cs="宋体"/>
          <w:color w:val="000000" w:themeColor="text1"/>
          <w14:textFill>
            <w14:solidFill>
              <w14:schemeClr w14:val="tx1"/>
            </w14:solidFill>
          </w14:textFill>
        </w:rPr>
      </w:pPr>
      <w:bookmarkStart w:id="156" w:name="_Toc26486"/>
      <w:bookmarkStart w:id="157" w:name="_Toc23678"/>
      <w:bookmarkStart w:id="158" w:name="_Toc25695"/>
      <w:bookmarkStart w:id="159" w:name="_Toc12249"/>
      <w:bookmarkStart w:id="160" w:name="_Toc26259"/>
      <w:bookmarkStart w:id="161" w:name="_Toc6333"/>
      <w:bookmarkStart w:id="162" w:name="_Toc23295"/>
      <w:bookmarkStart w:id="163" w:name="_Toc19624"/>
      <w:bookmarkStart w:id="164" w:name="_Toc31150"/>
      <w:bookmarkStart w:id="165" w:name="_Toc30085"/>
      <w:r>
        <w:rPr>
          <w:rFonts w:hint="eastAsia" w:ascii="宋体" w:hAnsi="宋体" w:cs="宋体"/>
          <w:color w:val="000000" w:themeColor="text1"/>
          <w14:textFill>
            <w14:solidFill>
              <w14:schemeClr w14:val="tx1"/>
            </w14:solidFill>
          </w14:textFill>
        </w:rPr>
        <w:t>第二</w:t>
      </w:r>
      <w:bookmarkEnd w:id="155"/>
      <w:r>
        <w:rPr>
          <w:rFonts w:hint="eastAsia"/>
          <w:color w:val="000000" w:themeColor="text1"/>
          <w14:textFill>
            <w14:solidFill>
              <w14:schemeClr w14:val="tx1"/>
            </w14:solidFill>
          </w14:textFill>
        </w:rPr>
        <w:t xml:space="preserve">章  </w:t>
      </w:r>
      <w:r>
        <w:rPr>
          <w:rFonts w:hint="eastAsia" w:ascii="宋体" w:hAnsi="宋体" w:cs="宋体"/>
          <w:color w:val="000000" w:themeColor="text1"/>
          <w14:textFill>
            <w14:solidFill>
              <w14:schemeClr w14:val="tx1"/>
            </w14:solidFill>
          </w14:textFill>
        </w:rPr>
        <w:t>磋商一览表</w:t>
      </w:r>
      <w:bookmarkEnd w:id="156"/>
      <w:bookmarkEnd w:id="157"/>
      <w:bookmarkEnd w:id="158"/>
      <w:bookmarkEnd w:id="159"/>
      <w:bookmarkEnd w:id="160"/>
      <w:bookmarkEnd w:id="161"/>
      <w:bookmarkEnd w:id="162"/>
      <w:bookmarkEnd w:id="163"/>
      <w:bookmarkEnd w:id="164"/>
      <w:bookmarkEnd w:id="165"/>
    </w:p>
    <w:p>
      <w:pPr>
        <w:widowControl/>
        <w:wordWrap w:val="0"/>
        <w:spacing w:line="360" w:lineRule="auto"/>
        <w:jc w:val="lef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西安市中心血站地铁灯箱、公交车尾窗LED屏、微信朋友圈、短视频献血宣传项目(第3包二次)</w:t>
      </w:r>
    </w:p>
    <w:p>
      <w:pPr>
        <w:kinsoku w:val="0"/>
        <w:spacing w:line="360" w:lineRule="auto"/>
        <w:jc w:val="left"/>
        <w:rPr>
          <w:rFonts w:hint="eastAsia" w:ascii="宋体" w:hAnsi="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lang w:eastAsia="zh-CN"/>
          <w14:textFill>
            <w14:solidFill>
              <w14:schemeClr w14:val="tx1"/>
            </w14:solidFill>
          </w14:textFill>
        </w:rPr>
        <w:t>SXWZ2024ZB-XAXZ-023A</w:t>
      </w:r>
    </w:p>
    <w:p>
      <w:pPr>
        <w:kinsoku w:val="0"/>
        <w:spacing w:line="360" w:lineRule="auto"/>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z w:val="24"/>
          <w:szCs w:val="24"/>
          <w14:textFill>
            <w14:solidFill>
              <w14:schemeClr w14:val="tx1"/>
            </w14:solidFill>
          </w14:textFill>
        </w:rPr>
        <w:t>元</w:t>
      </w:r>
    </w:p>
    <w:tbl>
      <w:tblPr>
        <w:tblStyle w:val="18"/>
        <w:tblpPr w:leftFromText="180" w:rightFromText="180" w:vertAnchor="text" w:horzAnchor="page" w:tblpXSpec="center" w:tblpY="36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569"/>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2142"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响应</w:t>
            </w:r>
            <w:r>
              <w:rPr>
                <w:rFonts w:ascii="宋体" w:hAnsi="宋体" w:cs="宋体"/>
                <w:szCs w:val="21"/>
              </w:rPr>
              <w:t>内</w:t>
            </w:r>
            <w:r>
              <w:rPr>
                <w:rFonts w:hint="eastAsia" w:ascii="宋体" w:hAnsi="宋体" w:cs="宋体"/>
                <w:szCs w:val="21"/>
              </w:rPr>
              <w:t>容</w:t>
            </w:r>
          </w:p>
        </w:tc>
        <w:tc>
          <w:tcPr>
            <w:tcW w:w="2569" w:type="dxa"/>
            <w:vAlign w:val="center"/>
          </w:tcPr>
          <w:p>
            <w:pPr>
              <w:kinsoku w:val="0"/>
              <w:spacing w:line="480" w:lineRule="auto"/>
              <w:jc w:val="center"/>
              <w:rPr>
                <w:rFonts w:ascii="宋体" w:hAnsi="宋体" w:cs="宋体"/>
                <w:szCs w:val="21"/>
              </w:rPr>
            </w:pPr>
            <w:r>
              <w:rPr>
                <w:rFonts w:hint="eastAsia" w:ascii="宋体" w:hAnsi="宋体" w:cs="宋体"/>
                <w:szCs w:val="21"/>
              </w:rPr>
              <w:t>磋商总报价（元）</w:t>
            </w:r>
          </w:p>
        </w:tc>
        <w:tc>
          <w:tcPr>
            <w:tcW w:w="4554" w:type="dxa"/>
            <w:vAlign w:val="center"/>
          </w:tcPr>
          <w:p>
            <w:pPr>
              <w:kinsoku w:val="0"/>
              <w:spacing w:line="480" w:lineRule="auto"/>
              <w:jc w:val="center"/>
              <w:rPr>
                <w:rFonts w:ascii="宋体" w:hAnsi="宋体" w:cs="宋体" w:eastAsiaTheme="minorEastAsia"/>
                <w:szCs w:val="21"/>
              </w:rPr>
            </w:pPr>
            <w:r>
              <w:rPr>
                <w:rFonts w:hint="eastAsia" w:ascii="宋体" w:hAnsi="宋体" w:cs="宋体" w:eastAsiaTheme="minorEastAsia"/>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2142" w:type="dxa"/>
            <w:vAlign w:val="center"/>
          </w:tcPr>
          <w:p>
            <w:pPr>
              <w:widowControl/>
              <w:wordWrap w:val="0"/>
              <w:spacing w:line="360" w:lineRule="auto"/>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西安市中心血站地铁灯箱、公交车尾窗LED屏、微信朋友圈、短视频献血宣传项目(第3包二次)</w:t>
            </w:r>
          </w:p>
          <w:p>
            <w:pPr>
              <w:kinsoku w:val="0"/>
              <w:spacing w:line="480" w:lineRule="auto"/>
              <w:jc w:val="left"/>
              <w:rPr>
                <w:rFonts w:ascii="宋体" w:hAnsi="宋体" w:cs="宋体" w:eastAsiaTheme="minorEastAsia"/>
                <w:szCs w:val="21"/>
              </w:rPr>
            </w:pPr>
          </w:p>
        </w:tc>
        <w:tc>
          <w:tcPr>
            <w:tcW w:w="2569" w:type="dxa"/>
            <w:vAlign w:val="center"/>
          </w:tcPr>
          <w:p>
            <w:pPr>
              <w:kinsoku w:val="0"/>
              <w:spacing w:line="480" w:lineRule="auto"/>
              <w:jc w:val="left"/>
              <w:rPr>
                <w:rFonts w:ascii="宋体" w:hAnsi="宋体" w:cs="宋体"/>
                <w:szCs w:val="21"/>
              </w:rPr>
            </w:pPr>
          </w:p>
        </w:tc>
        <w:tc>
          <w:tcPr>
            <w:tcW w:w="4554" w:type="dxa"/>
            <w:vAlign w:val="center"/>
          </w:tcPr>
          <w:p>
            <w:pPr>
              <w:tabs>
                <w:tab w:val="left" w:pos="420"/>
              </w:tabs>
              <w:spacing w:line="360" w:lineRule="auto"/>
              <w:rPr>
                <w:rFonts w:ascii="宋体" w:hAnsi="宋体" w:cs="宋体"/>
                <w:sz w:val="24"/>
                <w:szCs w:val="24"/>
              </w:rPr>
            </w:pPr>
          </w:p>
          <w:p>
            <w:pPr>
              <w:tabs>
                <w:tab w:val="left" w:pos="420"/>
              </w:tabs>
              <w:spacing w:line="360" w:lineRule="auto"/>
              <w:rPr>
                <w:rFonts w:ascii="宋体" w:hAnsi="宋体" w:cs="宋体"/>
                <w:sz w:val="24"/>
                <w:szCs w:val="24"/>
              </w:rPr>
            </w:pPr>
          </w:p>
          <w:p>
            <w:pPr>
              <w:kinsoku w:val="0"/>
              <w:spacing w:line="480" w:lineRule="auto"/>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265" w:type="dxa"/>
            <w:gridSpan w:val="3"/>
            <w:vAlign w:val="center"/>
          </w:tcPr>
          <w:p>
            <w:pPr>
              <w:pStyle w:val="9"/>
              <w:ind w:firstLine="420" w:firstLineChars="200"/>
            </w:pPr>
            <w:r>
              <w:t>备</w:t>
            </w:r>
            <w:r>
              <w:rPr>
                <w:rFonts w:hint="eastAsia"/>
              </w:rPr>
              <w:t>注：1、表内报价内容以元为单位，精确到小数点后两位。</w:t>
            </w:r>
          </w:p>
          <w:p>
            <w:pPr>
              <w:kinsoku w:val="0"/>
              <w:spacing w:line="480" w:lineRule="auto"/>
              <w:ind w:firstLine="420" w:firstLineChars="200"/>
            </w:pPr>
            <w:r>
              <w:rPr>
                <w:rFonts w:hint="eastAsia"/>
              </w:rPr>
              <w:t>2、</w:t>
            </w:r>
            <w:r>
              <w:rPr>
                <w:rFonts w:hint="eastAsia" w:ascii="宋体" w:hAnsi="宋体" w:cs="宋体"/>
                <w:szCs w:val="21"/>
              </w:rPr>
              <w:t>服务期详</w:t>
            </w:r>
            <w:r>
              <w:rPr>
                <w:rFonts w:hint="eastAsia"/>
              </w:rPr>
              <w:t>见第五部分采购要求。</w:t>
            </w:r>
          </w:p>
        </w:tc>
      </w:tr>
    </w:tbl>
    <w:p>
      <w:pPr>
        <w:kinsoku w:val="0"/>
        <w:spacing w:line="360" w:lineRule="auto"/>
        <w:jc w:val="left"/>
        <w:rPr>
          <w:rFonts w:ascii="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此表应再制作一份，单独密封递交。</w:t>
      </w:r>
    </w:p>
    <w:p>
      <w:pPr>
        <w:adjustRightInd w:val="0"/>
        <w:snapToGrid w:val="0"/>
        <w:spacing w:line="480" w:lineRule="auto"/>
        <w:jc w:val="left"/>
        <w:rPr>
          <w:rFonts w:ascii="宋体" w:cs="宋体"/>
          <w:color w:val="000000" w:themeColor="text1"/>
          <w:sz w:val="24"/>
          <w14:textFill>
            <w14:solidFill>
              <w14:schemeClr w14:val="tx1"/>
            </w14:solidFill>
          </w14:textFill>
        </w:rPr>
      </w:pPr>
    </w:p>
    <w:p>
      <w:pPr>
        <w:adjustRightInd w:val="0"/>
        <w:snapToGrid w:val="0"/>
        <w:spacing w:line="480" w:lineRule="auto"/>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kinsoku w:val="0"/>
        <w:spacing w:line="480" w:lineRule="auto"/>
        <w:jc w:val="left"/>
        <w:rPr>
          <w:rFonts w:ascii="宋体" w:cs="宋体"/>
          <w:color w:val="000000" w:themeColor="text1"/>
          <w:sz w:val="24"/>
          <w14:textFill>
            <w14:solidFill>
              <w14:schemeClr w14:val="tx1"/>
            </w14:solidFill>
          </w14:textFill>
        </w:rPr>
      </w:pPr>
    </w:p>
    <w:p>
      <w:pPr>
        <w:pStyle w:val="3"/>
        <w:rPr>
          <w:rFonts w:hAnsi="宋体" w:cs="宋体"/>
          <w:color w:val="000000" w:themeColor="text1"/>
          <w:sz w:val="32"/>
          <w14:textFill>
            <w14:solidFill>
              <w14:schemeClr w14:val="tx1"/>
            </w14:solidFill>
          </w14:textFill>
        </w:rPr>
        <w:sectPr>
          <w:pgSz w:w="11906" w:h="16838"/>
          <w:pgMar w:top="1440" w:right="1803" w:bottom="1440" w:left="1803" w:header="851" w:footer="992" w:gutter="0"/>
          <w:pgNumType w:fmt="decimal"/>
          <w:cols w:space="0" w:num="1"/>
          <w:rtlGutter w:val="0"/>
          <w:docGrid w:type="lines" w:linePitch="319" w:charSpace="0"/>
        </w:sectPr>
      </w:pPr>
      <w:r>
        <w:rPr>
          <w:rFonts w:hAnsi="宋体" w:cs="宋体"/>
          <w:color w:val="000000" w:themeColor="text1"/>
          <w:sz w:val="32"/>
          <w14:textFill>
            <w14:solidFill>
              <w14:schemeClr w14:val="tx1"/>
            </w14:solidFill>
          </w14:textFill>
        </w:rPr>
        <w:br w:type="page"/>
      </w:r>
      <w:bookmarkStart w:id="166" w:name="_Toc10234"/>
      <w:bookmarkStart w:id="167" w:name="_Toc20625"/>
      <w:bookmarkStart w:id="168" w:name="_Toc9868"/>
      <w:bookmarkStart w:id="169" w:name="_Toc1789"/>
      <w:bookmarkStart w:id="170" w:name="_Toc25886"/>
      <w:bookmarkStart w:id="171" w:name="_Toc27277"/>
      <w:bookmarkStart w:id="172" w:name="_Toc6753"/>
      <w:bookmarkStart w:id="173" w:name="_Toc17641"/>
      <w:bookmarkStart w:id="174" w:name="_Toc10126"/>
      <w:bookmarkStart w:id="175" w:name="_Toc9034"/>
      <w:bookmarkStart w:id="176" w:name="_Toc9863"/>
    </w:p>
    <w:p>
      <w:pPr>
        <w:pStyle w:val="3"/>
        <w:jc w:val="center"/>
        <w:rPr>
          <w:color w:val="000000" w:themeColor="text1"/>
          <w:sz w:val="36"/>
          <w:szCs w:val="36"/>
          <w14:textFill>
            <w14:solidFill>
              <w14:schemeClr w14:val="tx1"/>
            </w14:solidFill>
          </w14:textFill>
        </w:rPr>
      </w:pPr>
      <w:bookmarkStart w:id="177" w:name="_Toc25941"/>
      <w:bookmarkStart w:id="178" w:name="_Toc17065"/>
      <w:r>
        <w:rPr>
          <w:rFonts w:hint="eastAsia" w:hAnsi="宋体" w:cs="宋体"/>
          <w:color w:val="000000" w:themeColor="text1"/>
          <w:sz w:val="32"/>
          <w14:textFill>
            <w14:solidFill>
              <w14:schemeClr w14:val="tx1"/>
            </w14:solidFill>
          </w14:textFill>
        </w:rPr>
        <w:t xml:space="preserve">第三章  </w:t>
      </w:r>
      <w:r>
        <w:rPr>
          <w:rFonts w:hint="eastAsia"/>
          <w:color w:val="000000" w:themeColor="text1"/>
          <w:sz w:val="36"/>
          <w:szCs w:val="36"/>
          <w14:textFill>
            <w14:solidFill>
              <w14:schemeClr w14:val="tx1"/>
            </w14:solidFill>
          </w14:textFill>
        </w:rPr>
        <w:t>分项报价表</w:t>
      </w:r>
      <w:bookmarkEnd w:id="166"/>
      <w:bookmarkEnd w:id="167"/>
      <w:bookmarkEnd w:id="168"/>
      <w:bookmarkEnd w:id="169"/>
      <w:bookmarkEnd w:id="170"/>
      <w:bookmarkEnd w:id="171"/>
      <w:bookmarkEnd w:id="177"/>
      <w:bookmarkEnd w:id="178"/>
    </w:p>
    <w:p>
      <w:pPr>
        <w:pStyle w:val="6"/>
        <w:ind w:firstLine="0"/>
        <w:rPr>
          <w:color w:val="000000" w:themeColor="text1"/>
          <w14:textFill>
            <w14:solidFill>
              <w14:schemeClr w14:val="tx1"/>
            </w14:solidFill>
          </w14:textFill>
        </w:rPr>
      </w:pPr>
    </w:p>
    <w:p>
      <w:pPr>
        <w:widowControl/>
        <w:wordWrap w:val="0"/>
        <w:spacing w:line="360" w:lineRule="auto"/>
        <w:jc w:val="left"/>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lang w:eastAsia="zh-CN"/>
          <w14:textFill>
            <w14:solidFill>
              <w14:schemeClr w14:val="tx1"/>
            </w14:solidFill>
          </w14:textFill>
        </w:rPr>
        <w:t>西安市中心血站地铁灯箱、公交车尾窗LED屏、微信朋友圈、短视频献血宣传项目(第3包二次)</w:t>
      </w:r>
    </w:p>
    <w:p>
      <w:pPr>
        <w:widowControl/>
        <w:wordWrap w:val="0"/>
        <w:spacing w:line="360" w:lineRule="auto"/>
        <w:jc w:val="left"/>
        <w:rPr>
          <w:rFonts w:hint="eastAsia" w:ascii="宋体" w:hAnsi="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lang w:eastAsia="zh-CN"/>
          <w14:textFill>
            <w14:solidFill>
              <w14:schemeClr w14:val="tx1"/>
            </w14:solidFill>
          </w14:textFill>
        </w:rPr>
        <w:t>SXWZ2024ZB-XAXZ-023A</w:t>
      </w:r>
    </w:p>
    <w:p>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tbl>
      <w:tblPr>
        <w:tblStyle w:val="18"/>
        <w:tblpPr w:leftFromText="180" w:rightFromText="180" w:vertAnchor="text" w:horzAnchor="page" w:tblpX="1251" w:tblpY="373"/>
        <w:tblOverlap w:val="never"/>
        <w:tblW w:w="9223" w:type="dxa"/>
        <w:tblInd w:w="0" w:type="dxa"/>
        <w:tblLayout w:type="fixed"/>
        <w:tblCellMar>
          <w:top w:w="0" w:type="dxa"/>
          <w:left w:w="28" w:type="dxa"/>
          <w:bottom w:w="0" w:type="dxa"/>
          <w:right w:w="28" w:type="dxa"/>
        </w:tblCellMar>
      </w:tblPr>
      <w:tblGrid>
        <w:gridCol w:w="1416"/>
        <w:gridCol w:w="523"/>
        <w:gridCol w:w="1097"/>
        <w:gridCol w:w="1212"/>
        <w:gridCol w:w="1549"/>
        <w:gridCol w:w="1115"/>
        <w:gridCol w:w="1173"/>
        <w:gridCol w:w="1138"/>
      </w:tblGrid>
      <w:tr>
        <w:tblPrEx>
          <w:tblCellMar>
            <w:top w:w="0" w:type="dxa"/>
            <w:left w:w="28" w:type="dxa"/>
            <w:bottom w:w="0" w:type="dxa"/>
            <w:right w:w="28" w:type="dxa"/>
          </w:tblCellMar>
        </w:tblPrEx>
        <w:trPr>
          <w:trHeight w:val="832" w:hRule="atLeast"/>
        </w:trPr>
        <w:tc>
          <w:tcPr>
            <w:tcW w:w="1416" w:type="dxa"/>
            <w:vMerge w:val="restart"/>
            <w:tcBorders>
              <w:top w:val="single" w:color="auto" w:sz="6" w:space="0"/>
              <w:left w:val="single" w:color="auto" w:sz="6" w:space="0"/>
              <w:right w:val="single" w:color="auto" w:sz="4" w:space="0"/>
            </w:tcBorders>
            <w:vAlign w:val="center"/>
          </w:tcPr>
          <w:p>
            <w:pPr>
              <w:jc w:val="left"/>
              <w:rPr>
                <w:rFonts w:ascii="宋体" w:hAnsi="宋体" w:cs="宋体"/>
                <w:sz w:val="22"/>
              </w:rPr>
            </w:pPr>
            <w:r>
              <w:rPr>
                <w:rFonts w:hint="eastAsia" w:ascii="宋体" w:hAnsi="宋体" w:cs="宋体"/>
                <w:sz w:val="22"/>
              </w:rPr>
              <w:t>服务费用</w:t>
            </w:r>
          </w:p>
        </w:tc>
        <w:tc>
          <w:tcPr>
            <w:tcW w:w="523" w:type="dxa"/>
            <w:tcBorders>
              <w:top w:val="single" w:color="auto" w:sz="6" w:space="0"/>
              <w:left w:val="single" w:color="auto" w:sz="4" w:space="0"/>
              <w:bottom w:val="single" w:color="auto" w:sz="6" w:space="0"/>
            </w:tcBorders>
            <w:vAlign w:val="center"/>
          </w:tcPr>
          <w:p>
            <w:pPr>
              <w:spacing w:after="120"/>
              <w:jc w:val="center"/>
              <w:rPr>
                <w:rFonts w:ascii="宋体" w:hAnsi="宋体" w:cs="宋体"/>
                <w:sz w:val="22"/>
              </w:rPr>
            </w:pPr>
            <w:r>
              <w:rPr>
                <w:rFonts w:hint="eastAsia" w:ascii="宋体" w:hAnsi="宋体" w:cs="宋体"/>
                <w:sz w:val="22"/>
              </w:rPr>
              <w:t>序号</w:t>
            </w:r>
          </w:p>
        </w:tc>
        <w:tc>
          <w:tcPr>
            <w:tcW w:w="109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cs="宋体"/>
                <w:sz w:val="22"/>
              </w:rPr>
            </w:pPr>
            <w:r>
              <w:rPr>
                <w:rFonts w:hint="eastAsia" w:ascii="宋体" w:hAnsi="宋体" w:cs="宋体"/>
                <w:sz w:val="22"/>
              </w:rPr>
              <w:t>名称</w:t>
            </w:r>
          </w:p>
        </w:tc>
        <w:tc>
          <w:tcPr>
            <w:tcW w:w="12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cs="宋体"/>
                <w:sz w:val="22"/>
              </w:rPr>
            </w:pPr>
            <w:r>
              <w:rPr>
                <w:rFonts w:hint="eastAsia" w:ascii="宋体" w:hAnsi="宋体" w:cs="宋体"/>
                <w:sz w:val="22"/>
              </w:rPr>
              <w:t>服务/费用类型</w:t>
            </w:r>
          </w:p>
        </w:tc>
        <w:tc>
          <w:tcPr>
            <w:tcW w:w="1549" w:type="dxa"/>
            <w:tcBorders>
              <w:top w:val="single" w:color="auto" w:sz="6" w:space="0"/>
              <w:left w:val="single" w:color="auto" w:sz="6" w:space="0"/>
              <w:bottom w:val="single" w:color="auto" w:sz="6" w:space="0"/>
              <w:right w:val="single" w:color="auto" w:sz="6" w:space="0"/>
            </w:tcBorders>
            <w:vAlign w:val="center"/>
          </w:tcPr>
          <w:p>
            <w:pPr>
              <w:spacing w:before="159" w:beforeLines="50" w:after="120"/>
              <w:ind w:firstLine="440" w:firstLineChars="200"/>
              <w:rPr>
                <w:rFonts w:ascii="宋体" w:hAnsi="宋体" w:cs="宋体"/>
                <w:sz w:val="22"/>
              </w:rPr>
            </w:pPr>
            <w:r>
              <w:rPr>
                <w:rFonts w:hint="eastAsia" w:ascii="宋体" w:hAnsi="宋体" w:cs="宋体"/>
                <w:sz w:val="22"/>
              </w:rPr>
              <w:t>服务商</w:t>
            </w:r>
          </w:p>
        </w:tc>
        <w:tc>
          <w:tcPr>
            <w:tcW w:w="111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cs="宋体"/>
                <w:sz w:val="22"/>
              </w:rPr>
            </w:pPr>
            <w:r>
              <w:rPr>
                <w:rFonts w:hint="eastAsia" w:ascii="宋体" w:hAnsi="宋体" w:cs="宋体"/>
                <w:sz w:val="22"/>
              </w:rPr>
              <w:t>数量/单位</w:t>
            </w:r>
          </w:p>
        </w:tc>
        <w:tc>
          <w:tcPr>
            <w:tcW w:w="117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cs="宋体"/>
                <w:sz w:val="22"/>
              </w:rPr>
            </w:pPr>
            <w:r>
              <w:rPr>
                <w:rFonts w:hint="eastAsia" w:ascii="宋体" w:hAnsi="宋体" w:cs="宋体"/>
                <w:sz w:val="22"/>
              </w:rPr>
              <w:t>单价</w:t>
            </w:r>
          </w:p>
          <w:p>
            <w:pPr>
              <w:spacing w:after="120"/>
              <w:jc w:val="center"/>
              <w:rPr>
                <w:rFonts w:ascii="宋体" w:hAnsi="宋体" w:cs="宋体"/>
                <w:bCs/>
                <w:sz w:val="22"/>
              </w:rPr>
            </w:pPr>
            <w:r>
              <w:rPr>
                <w:rFonts w:hint="eastAsia" w:ascii="宋体" w:hAnsi="宋体" w:cs="宋体"/>
                <w:sz w:val="22"/>
              </w:rPr>
              <w:t>（元）</w:t>
            </w:r>
          </w:p>
        </w:tc>
        <w:tc>
          <w:tcPr>
            <w:tcW w:w="113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hAnsi="宋体" w:cs="宋体"/>
                <w:bCs/>
                <w:sz w:val="22"/>
              </w:rPr>
            </w:pPr>
            <w:r>
              <w:rPr>
                <w:rFonts w:hint="eastAsia" w:ascii="宋体" w:hAnsi="宋体" w:cs="宋体"/>
                <w:bCs/>
                <w:sz w:val="22"/>
              </w:rPr>
              <w:t>总价</w:t>
            </w:r>
          </w:p>
          <w:p>
            <w:pPr>
              <w:spacing w:after="120"/>
              <w:jc w:val="center"/>
              <w:rPr>
                <w:rFonts w:ascii="宋体" w:hAnsi="宋体" w:cs="宋体"/>
                <w:bCs/>
                <w:sz w:val="22"/>
              </w:rPr>
            </w:pPr>
            <w:r>
              <w:rPr>
                <w:rFonts w:hint="eastAsia" w:ascii="宋体" w:hAnsi="宋体" w:cs="宋体"/>
                <w:bCs/>
                <w:sz w:val="22"/>
              </w:rPr>
              <w:t>（元）</w:t>
            </w:r>
          </w:p>
        </w:tc>
      </w:tr>
      <w:tr>
        <w:tblPrEx>
          <w:tblCellMar>
            <w:top w:w="0" w:type="dxa"/>
            <w:left w:w="28" w:type="dxa"/>
            <w:bottom w:w="0" w:type="dxa"/>
            <w:right w:w="28" w:type="dxa"/>
          </w:tblCellMar>
        </w:tblPrEx>
        <w:trPr>
          <w:trHeight w:val="696" w:hRule="atLeast"/>
        </w:trPr>
        <w:tc>
          <w:tcPr>
            <w:tcW w:w="1416" w:type="dxa"/>
            <w:vMerge w:val="continue"/>
            <w:tcBorders>
              <w:left w:val="single" w:color="auto" w:sz="6" w:space="0"/>
              <w:right w:val="single" w:color="auto" w:sz="4" w:space="0"/>
            </w:tcBorders>
            <w:vAlign w:val="center"/>
          </w:tcPr>
          <w:p>
            <w:pPr>
              <w:spacing w:before="319" w:beforeLines="100"/>
              <w:jc w:val="center"/>
              <w:rPr>
                <w:rFonts w:ascii="宋体" w:hAnsi="宋体" w:cs="宋体"/>
                <w:sz w:val="22"/>
              </w:rPr>
            </w:pPr>
          </w:p>
        </w:tc>
        <w:tc>
          <w:tcPr>
            <w:tcW w:w="523" w:type="dxa"/>
            <w:tcBorders>
              <w:top w:val="single" w:color="auto" w:sz="6" w:space="0"/>
              <w:left w:val="single" w:color="auto" w:sz="4" w:space="0"/>
              <w:bottom w:val="single" w:color="auto" w:sz="4" w:space="0"/>
            </w:tcBorders>
            <w:vAlign w:val="center"/>
          </w:tcPr>
          <w:p>
            <w:pPr>
              <w:spacing w:before="319" w:beforeLines="100"/>
              <w:jc w:val="center"/>
              <w:rPr>
                <w:rFonts w:ascii="宋体" w:hAnsi="宋体" w:cs="宋体"/>
                <w:sz w:val="22"/>
              </w:rPr>
            </w:pPr>
            <w:r>
              <w:rPr>
                <w:rFonts w:hint="eastAsia" w:ascii="宋体" w:hAnsi="宋体" w:cs="宋体"/>
                <w:sz w:val="22"/>
              </w:rPr>
              <w:t>1</w:t>
            </w:r>
          </w:p>
        </w:tc>
        <w:tc>
          <w:tcPr>
            <w:tcW w:w="1097"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hAnsi="宋体" w:cs="宋体"/>
                <w:sz w:val="22"/>
              </w:rPr>
            </w:pPr>
          </w:p>
        </w:tc>
        <w:tc>
          <w:tcPr>
            <w:tcW w:w="1212"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sz w:val="22"/>
              </w:rPr>
            </w:pPr>
          </w:p>
        </w:tc>
        <w:tc>
          <w:tcPr>
            <w:tcW w:w="1549"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hAnsi="宋体" w:cs="宋体"/>
                <w:sz w:val="22"/>
              </w:rPr>
            </w:pPr>
          </w:p>
        </w:tc>
        <w:tc>
          <w:tcPr>
            <w:tcW w:w="1115"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hAnsi="宋体" w:cs="宋体"/>
                <w:sz w:val="22"/>
              </w:rPr>
            </w:pPr>
          </w:p>
        </w:tc>
        <w:tc>
          <w:tcPr>
            <w:tcW w:w="117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hAnsi="宋体" w:cs="宋体"/>
                <w:sz w:val="22"/>
              </w:rPr>
            </w:pPr>
          </w:p>
        </w:tc>
        <w:tc>
          <w:tcPr>
            <w:tcW w:w="113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hAnsi="宋体" w:cs="宋体"/>
                <w:sz w:val="22"/>
              </w:rPr>
            </w:pPr>
          </w:p>
        </w:tc>
      </w:tr>
      <w:tr>
        <w:tblPrEx>
          <w:tblCellMar>
            <w:top w:w="0" w:type="dxa"/>
            <w:left w:w="28" w:type="dxa"/>
            <w:bottom w:w="0" w:type="dxa"/>
            <w:right w:w="28" w:type="dxa"/>
          </w:tblCellMar>
        </w:tblPrEx>
        <w:trPr>
          <w:trHeight w:val="691" w:hRule="atLeast"/>
        </w:trPr>
        <w:tc>
          <w:tcPr>
            <w:tcW w:w="1416" w:type="dxa"/>
            <w:vMerge w:val="continue"/>
            <w:tcBorders>
              <w:left w:val="single" w:color="auto" w:sz="6" w:space="0"/>
              <w:right w:val="single" w:color="auto" w:sz="4" w:space="0"/>
            </w:tcBorders>
            <w:vAlign w:val="center"/>
          </w:tcPr>
          <w:p>
            <w:pPr>
              <w:spacing w:before="319" w:beforeLines="100"/>
              <w:jc w:val="center"/>
              <w:rPr>
                <w:rFonts w:ascii="宋体" w:hAnsi="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hAnsi="宋体" w:cs="宋体"/>
                <w:sz w:val="22"/>
              </w:rPr>
            </w:pPr>
            <w:r>
              <w:rPr>
                <w:rFonts w:hint="eastAsia" w:ascii="宋体" w:hAnsi="宋体" w:cs="宋体"/>
                <w:sz w:val="22"/>
              </w:rPr>
              <w:t>2</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hAnsi="宋体" w:cs="宋体"/>
                <w:sz w:val="22"/>
              </w:rPr>
            </w:pP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r>
      <w:tr>
        <w:tblPrEx>
          <w:tblCellMar>
            <w:top w:w="0" w:type="dxa"/>
            <w:left w:w="28" w:type="dxa"/>
            <w:bottom w:w="0" w:type="dxa"/>
            <w:right w:w="28" w:type="dxa"/>
          </w:tblCellMar>
        </w:tblPrEx>
        <w:trPr>
          <w:trHeight w:val="696" w:hRule="atLeast"/>
        </w:trPr>
        <w:tc>
          <w:tcPr>
            <w:tcW w:w="1416" w:type="dxa"/>
            <w:vMerge w:val="continue"/>
            <w:tcBorders>
              <w:left w:val="single" w:color="auto" w:sz="6" w:space="0"/>
              <w:right w:val="single" w:color="auto" w:sz="4" w:space="0"/>
            </w:tcBorders>
            <w:vAlign w:val="center"/>
          </w:tcPr>
          <w:p>
            <w:pPr>
              <w:spacing w:before="319" w:beforeLines="100"/>
              <w:jc w:val="center"/>
              <w:rPr>
                <w:rFonts w:ascii="宋体" w:hAnsi="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hAnsi="宋体" w:cs="宋体"/>
                <w:sz w:val="22"/>
              </w:rPr>
            </w:pPr>
            <w:r>
              <w:rPr>
                <w:rFonts w:hint="eastAsia" w:ascii="宋体" w:hAnsi="宋体" w:cs="宋体"/>
                <w:sz w:val="22"/>
              </w:rPr>
              <w:t>3</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hAnsi="宋体" w:cs="宋体"/>
                <w:sz w:val="22"/>
              </w:rPr>
            </w:pP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r>
      <w:tr>
        <w:tblPrEx>
          <w:tblCellMar>
            <w:top w:w="0" w:type="dxa"/>
            <w:left w:w="28" w:type="dxa"/>
            <w:bottom w:w="0" w:type="dxa"/>
            <w:right w:w="28" w:type="dxa"/>
          </w:tblCellMar>
        </w:tblPrEx>
        <w:trPr>
          <w:trHeight w:val="894" w:hRule="atLeast"/>
        </w:trPr>
        <w:tc>
          <w:tcPr>
            <w:tcW w:w="1416" w:type="dxa"/>
            <w:vMerge w:val="continue"/>
            <w:tcBorders>
              <w:left w:val="single" w:color="auto" w:sz="6" w:space="0"/>
              <w:right w:val="single" w:color="auto" w:sz="4" w:space="0"/>
            </w:tcBorders>
            <w:vAlign w:val="center"/>
          </w:tcPr>
          <w:p>
            <w:pPr>
              <w:spacing w:before="319" w:beforeLines="100"/>
              <w:jc w:val="center"/>
              <w:rPr>
                <w:rFonts w:ascii="宋体" w:hAnsi="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hAnsi="宋体" w:cs="宋体"/>
                <w:sz w:val="22"/>
              </w:rPr>
            </w:pPr>
            <w:r>
              <w:rPr>
                <w:rFonts w:hint="eastAsia" w:ascii="宋体" w:hAnsi="宋体" w:cs="宋体"/>
                <w:sz w:val="22"/>
              </w:rPr>
              <w:t>4</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r>
      <w:tr>
        <w:tblPrEx>
          <w:tblCellMar>
            <w:top w:w="0" w:type="dxa"/>
            <w:left w:w="28" w:type="dxa"/>
            <w:bottom w:w="0" w:type="dxa"/>
            <w:right w:w="28" w:type="dxa"/>
          </w:tblCellMar>
        </w:tblPrEx>
        <w:trPr>
          <w:trHeight w:val="894" w:hRule="atLeast"/>
        </w:trPr>
        <w:tc>
          <w:tcPr>
            <w:tcW w:w="1416" w:type="dxa"/>
            <w:vMerge w:val="continue"/>
            <w:tcBorders>
              <w:left w:val="single" w:color="auto" w:sz="6" w:space="0"/>
              <w:bottom w:val="single" w:color="auto" w:sz="6" w:space="0"/>
              <w:right w:val="single" w:color="auto" w:sz="4" w:space="0"/>
            </w:tcBorders>
            <w:vAlign w:val="center"/>
          </w:tcPr>
          <w:p>
            <w:pPr>
              <w:spacing w:before="319" w:beforeLines="100"/>
              <w:jc w:val="center"/>
              <w:rPr>
                <w:rFonts w:ascii="宋体" w:hAnsi="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ascii="宋体" w:hAnsi="宋体" w:cs="宋体"/>
                <w:sz w:val="22"/>
              </w:rPr>
            </w:pPr>
            <w:r>
              <w:rPr>
                <w:rFonts w:hint="eastAsia" w:ascii="宋体" w:hAnsi="宋体" w:cs="宋体"/>
                <w:sz w:val="22"/>
              </w:rPr>
              <w:t>……</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r>
              <w:rPr>
                <w:rFonts w:hint="eastAsia" w:ascii="宋体" w:hAnsi="宋体" w:cs="宋体"/>
                <w:sz w:val="22"/>
              </w:rPr>
              <w:t xml:space="preserve"> </w:t>
            </w: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4"/>
                <w:szCs w:val="24"/>
              </w:rPr>
            </w:pPr>
            <w:r>
              <w:rPr>
                <w:rFonts w:hint="eastAsia" w:ascii="宋体" w:hAnsi="宋体" w:cs="宋体"/>
                <w:sz w:val="22"/>
              </w:rPr>
              <w:t>……</w:t>
            </w: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p>
        </w:tc>
      </w:tr>
      <w:tr>
        <w:tblPrEx>
          <w:tblCellMar>
            <w:top w:w="0" w:type="dxa"/>
            <w:left w:w="28" w:type="dxa"/>
            <w:bottom w:w="0" w:type="dxa"/>
            <w:right w:w="28" w:type="dxa"/>
          </w:tblCellMar>
        </w:tblPrEx>
        <w:trPr>
          <w:trHeight w:val="565" w:hRule="atLeast"/>
        </w:trPr>
        <w:tc>
          <w:tcPr>
            <w:tcW w:w="3036"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rPr>
            </w:pPr>
            <w:r>
              <w:rPr>
                <w:rFonts w:hint="eastAsia" w:ascii="宋体" w:hAnsi="宋体" w:cs="宋体"/>
                <w:sz w:val="22"/>
              </w:rPr>
              <w:t>其他费用</w:t>
            </w:r>
          </w:p>
        </w:tc>
        <w:tc>
          <w:tcPr>
            <w:tcW w:w="6187" w:type="dxa"/>
            <w:gridSpan w:val="5"/>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rPr>
            </w:pPr>
          </w:p>
        </w:tc>
      </w:tr>
      <w:tr>
        <w:tblPrEx>
          <w:tblCellMar>
            <w:top w:w="0" w:type="dxa"/>
            <w:left w:w="28" w:type="dxa"/>
            <w:bottom w:w="0" w:type="dxa"/>
            <w:right w:w="28" w:type="dxa"/>
          </w:tblCellMar>
        </w:tblPrEx>
        <w:trPr>
          <w:trHeight w:val="565" w:hRule="atLeast"/>
        </w:trPr>
        <w:tc>
          <w:tcPr>
            <w:tcW w:w="1939" w:type="dxa"/>
            <w:gridSpan w:val="2"/>
            <w:tcBorders>
              <w:top w:val="single" w:color="auto" w:sz="4" w:space="0"/>
              <w:left w:val="single" w:color="auto" w:sz="6" w:space="0"/>
              <w:bottom w:val="single" w:color="auto" w:sz="6" w:space="0"/>
            </w:tcBorders>
            <w:vAlign w:val="center"/>
          </w:tcPr>
          <w:p>
            <w:pPr>
              <w:ind w:firstLine="440" w:firstLineChars="200"/>
              <w:rPr>
                <w:rFonts w:ascii="宋体" w:hAnsi="宋体" w:cs="宋体"/>
                <w:sz w:val="22"/>
              </w:rPr>
            </w:pPr>
            <w:r>
              <w:rPr>
                <w:rFonts w:hint="eastAsia" w:ascii="宋体" w:hAnsi="宋体" w:cs="宋体"/>
                <w:sz w:val="22"/>
              </w:rPr>
              <w:t>总报价</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ascii="宋体" w:hAnsi="宋体" w:cs="宋体"/>
              </w:rPr>
            </w:pPr>
            <w:r>
              <w:rPr>
                <w:rFonts w:hint="eastAsia" w:ascii="宋体" w:hAnsi="宋体" w:cs="宋体"/>
                <w:sz w:val="22"/>
              </w:rPr>
              <w:t>大写：                       小写：元</w:t>
            </w:r>
          </w:p>
        </w:tc>
      </w:tr>
      <w:tr>
        <w:tblPrEx>
          <w:tblCellMar>
            <w:top w:w="0" w:type="dxa"/>
            <w:left w:w="28" w:type="dxa"/>
            <w:bottom w:w="0" w:type="dxa"/>
            <w:right w:w="28" w:type="dxa"/>
          </w:tblCellMar>
        </w:tblPrEx>
        <w:trPr>
          <w:trHeight w:val="647" w:hRule="atLeast"/>
        </w:trPr>
        <w:tc>
          <w:tcPr>
            <w:tcW w:w="1939" w:type="dxa"/>
            <w:gridSpan w:val="2"/>
            <w:tcBorders>
              <w:top w:val="single" w:color="auto" w:sz="4" w:space="0"/>
              <w:left w:val="single" w:color="auto" w:sz="6" w:space="0"/>
              <w:bottom w:val="single" w:color="auto" w:sz="6" w:space="0"/>
            </w:tcBorders>
            <w:vAlign w:val="center"/>
          </w:tcPr>
          <w:p>
            <w:pPr>
              <w:jc w:val="center"/>
              <w:rPr>
                <w:rFonts w:ascii="宋体" w:hAnsi="宋体" w:cs="宋体"/>
                <w:sz w:val="22"/>
              </w:rPr>
            </w:pPr>
            <w:r>
              <w:rPr>
                <w:rFonts w:hint="eastAsia" w:ascii="宋体" w:hAnsi="宋体" w:cs="宋体"/>
                <w:sz w:val="22"/>
              </w:rPr>
              <w:t>备注</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hAnsi="宋体" w:cs="宋体"/>
                <w:sz w:val="22"/>
              </w:rPr>
            </w:pPr>
            <w:r>
              <w:rPr>
                <w:rFonts w:hint="eastAsia" w:ascii="宋体" w:hAnsi="宋体" w:cs="宋体"/>
                <w:spacing w:val="-6"/>
                <w:sz w:val="22"/>
              </w:rPr>
              <w:t>保留小数点后两位。</w:t>
            </w:r>
          </w:p>
        </w:tc>
      </w:tr>
    </w:tbl>
    <w:p>
      <w:pPr>
        <w:widowControl/>
        <w:wordWrap w:val="0"/>
        <w:spacing w:line="360" w:lineRule="auto"/>
        <w:jc w:val="left"/>
        <w:rPr>
          <w:rFonts w:ascii="宋体" w:cs="宋体"/>
          <w:b/>
          <w:color w:val="000000" w:themeColor="text1"/>
          <w:sz w:val="36"/>
          <w:szCs w:val="36"/>
          <w14:textFill>
            <w14:solidFill>
              <w14:schemeClr w14:val="tx1"/>
            </w14:solidFill>
          </w14:textFill>
        </w:rPr>
      </w:pP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被授权人（签字或盖章）：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  年  月  日</w:t>
      </w:r>
    </w:p>
    <w:p>
      <w:pPr>
        <w:pStyle w:val="3"/>
        <w:rPr>
          <w:color w:val="000000" w:themeColor="text1"/>
          <w:sz w:val="36"/>
          <w:szCs w:val="36"/>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bookmarkEnd w:id="172"/>
    <w:bookmarkEnd w:id="173"/>
    <w:bookmarkEnd w:id="174"/>
    <w:bookmarkEnd w:id="175"/>
    <w:bookmarkEnd w:id="176"/>
    <w:p>
      <w:pPr>
        <w:pStyle w:val="3"/>
        <w:jc w:val="center"/>
        <w:rPr>
          <w:color w:val="000000" w:themeColor="text1"/>
          <w14:textFill>
            <w14:solidFill>
              <w14:schemeClr w14:val="tx1"/>
            </w14:solidFill>
          </w14:textFill>
        </w:rPr>
      </w:pPr>
      <w:bookmarkStart w:id="179" w:name="_Toc3301"/>
      <w:bookmarkStart w:id="180" w:name="_Toc15714"/>
      <w:bookmarkStart w:id="181" w:name="_Toc25889"/>
      <w:bookmarkStart w:id="182" w:name="_Toc1129"/>
      <w:bookmarkStart w:id="183" w:name="_Toc32440"/>
      <w:bookmarkStart w:id="184" w:name="_Toc23078"/>
      <w:r>
        <w:rPr>
          <w:rFonts w:hint="eastAsia"/>
          <w:color w:val="000000" w:themeColor="text1"/>
          <w14:textFill>
            <w14:solidFill>
              <w14:schemeClr w14:val="tx1"/>
            </w14:solidFill>
          </w14:textFill>
        </w:rPr>
        <w:t>第四章  供应商资质证明资料</w:t>
      </w:r>
      <w:bookmarkEnd w:id="179"/>
      <w:bookmarkEnd w:id="180"/>
      <w:bookmarkEnd w:id="181"/>
      <w:bookmarkEnd w:id="182"/>
    </w:p>
    <w:p>
      <w:pPr>
        <w:pStyle w:val="6"/>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供应商需在此页附磋商公告或磋商文件中要求的资质证明文件，响应文件附资质复印件或扫描件加盖供应商公章。格式参考见下页。</w:t>
      </w:r>
    </w:p>
    <w:p>
      <w:pPr>
        <w:rPr>
          <w:color w:val="000000" w:themeColor="text1"/>
          <w14:textFill>
            <w14:solidFill>
              <w14:schemeClr w14:val="tx1"/>
            </w14:solidFill>
          </w14:textFill>
        </w:rPr>
      </w:pPr>
    </w:p>
    <w:p>
      <w:pPr>
        <w:pStyle w:val="6"/>
        <w:rPr>
          <w:color w:val="000000" w:themeColor="text1"/>
          <w:sz w:val="24"/>
          <w:szCs w:val="24"/>
          <w14:textFill>
            <w14:solidFill>
              <w14:schemeClr w14:val="tx1"/>
            </w14:solidFill>
          </w14:textFill>
        </w:rPr>
      </w:pPr>
    </w:p>
    <w:p>
      <w:pPr>
        <w:pStyle w:val="6"/>
        <w:ind w:firstLine="0"/>
        <w:rPr>
          <w:b/>
          <w:bCs/>
          <w:color w:val="000000" w:themeColor="text1"/>
          <w:sz w:val="28"/>
          <w:szCs w:val="28"/>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pPr>
        <w:pStyle w:val="6"/>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outlineLvl w:val="9"/>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10"/>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参加的投标活动，现承诺：</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10"/>
        <w:spacing w:line="360" w:lineRule="auto"/>
        <w:ind w:left="0" w:leftChars="0" w:firstLine="540" w:firstLineChars="225"/>
        <w:outlineLvl w:val="9"/>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10"/>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10"/>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  年   月   日</w:t>
      </w:r>
    </w:p>
    <w:p>
      <w:pPr>
        <w:rPr>
          <w:color w:val="000000" w:themeColor="text1"/>
          <w14:textFill>
            <w14:solidFill>
              <w14:schemeClr w14:val="tx1"/>
            </w14:solidFill>
          </w14:textFill>
        </w:rPr>
      </w:pPr>
      <w:bookmarkStart w:id="185" w:name="_Toc1408"/>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pPr>
        <w:ind w:firstLine="2240" w:firstLineChars="700"/>
        <w:outlineLvl w:val="9"/>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18"/>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bookmarkStart w:id="186" w:name="_Toc15823"/>
            <w:bookmarkStart w:id="187" w:name="_Toc5452"/>
            <w:bookmarkStart w:id="188" w:name="_Toc18556"/>
            <w:bookmarkStart w:id="189" w:name="_Toc29518"/>
            <w:r>
              <w:rPr>
                <w:rFonts w:hint="eastAsia"/>
                <w:color w:val="000000" w:themeColor="text1"/>
                <w14:textFill>
                  <w14:solidFill>
                    <w14:schemeClr w14:val="tx1"/>
                  </w14:solidFill>
                </w14:textFill>
              </w:rPr>
              <w:t>投标人名称</w:t>
            </w:r>
            <w:bookmarkEnd w:id="186"/>
            <w:bookmarkEnd w:id="187"/>
            <w:bookmarkEnd w:id="188"/>
            <w:bookmarkEnd w:id="189"/>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bookmarkStart w:id="190" w:name="_Toc26127"/>
            <w:bookmarkStart w:id="191" w:name="_Toc15986"/>
            <w:bookmarkStart w:id="192" w:name="_Toc32432"/>
            <w:r>
              <w:rPr>
                <w:rFonts w:hint="eastAsia"/>
                <w:color w:val="000000" w:themeColor="text1"/>
                <w14:textFill>
                  <w14:solidFill>
                    <w14:schemeClr w14:val="tx1"/>
                  </w14:solidFill>
                </w14:textFill>
              </w:rPr>
              <w:t>注册地址</w:t>
            </w:r>
            <w:bookmarkEnd w:id="190"/>
            <w:bookmarkEnd w:id="191"/>
            <w:bookmarkEnd w:id="192"/>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93" w:name="_Toc2965"/>
            <w:bookmarkStart w:id="194" w:name="_Toc13370"/>
            <w:bookmarkStart w:id="195" w:name="_Toc20217"/>
            <w:bookmarkStart w:id="196" w:name="_Toc5829"/>
            <w:r>
              <w:rPr>
                <w:rFonts w:hint="eastAsia"/>
                <w:color w:val="000000" w:themeColor="text1"/>
                <w14:textFill>
                  <w14:solidFill>
                    <w14:schemeClr w14:val="tx1"/>
                  </w14:solidFill>
                </w14:textFill>
              </w:rPr>
              <w:t>邮政编码</w:t>
            </w:r>
            <w:bookmarkEnd w:id="193"/>
            <w:bookmarkEnd w:id="194"/>
            <w:bookmarkEnd w:id="195"/>
            <w:bookmarkEnd w:id="196"/>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97" w:name="_Toc5933"/>
            <w:bookmarkStart w:id="198" w:name="_Toc24152"/>
            <w:bookmarkStart w:id="199" w:name="_Toc29861"/>
            <w:bookmarkStart w:id="200" w:name="_Toc14242"/>
            <w:r>
              <w:rPr>
                <w:rFonts w:hint="eastAsia"/>
                <w:color w:val="000000" w:themeColor="text1"/>
                <w14:textFill>
                  <w14:solidFill>
                    <w14:schemeClr w14:val="tx1"/>
                  </w14:solidFill>
                </w14:textFill>
              </w:rPr>
              <w:t>联系方式</w:t>
            </w:r>
            <w:bookmarkEnd w:id="197"/>
            <w:bookmarkEnd w:id="198"/>
            <w:bookmarkEnd w:id="199"/>
            <w:bookmarkEnd w:id="200"/>
          </w:p>
        </w:tc>
        <w:tc>
          <w:tcPr>
            <w:tcW w:w="1016" w:type="dxa"/>
            <w:vAlign w:val="center"/>
          </w:tcPr>
          <w:p>
            <w:pPr>
              <w:rPr>
                <w:color w:val="000000" w:themeColor="text1"/>
                <w14:textFill>
                  <w14:solidFill>
                    <w14:schemeClr w14:val="tx1"/>
                  </w14:solidFill>
                </w14:textFill>
              </w:rPr>
            </w:pPr>
            <w:bookmarkStart w:id="201" w:name="_Toc11708"/>
            <w:bookmarkStart w:id="202" w:name="_Toc32228"/>
            <w:bookmarkStart w:id="203" w:name="_Toc22630"/>
            <w:bookmarkStart w:id="204" w:name="_Toc23469"/>
            <w:r>
              <w:rPr>
                <w:rFonts w:hint="eastAsia"/>
                <w:color w:val="000000" w:themeColor="text1"/>
                <w14:textFill>
                  <w14:solidFill>
                    <w14:schemeClr w14:val="tx1"/>
                  </w14:solidFill>
                </w14:textFill>
              </w:rPr>
              <w:t>联系人</w:t>
            </w:r>
            <w:bookmarkEnd w:id="201"/>
            <w:bookmarkEnd w:id="202"/>
            <w:bookmarkEnd w:id="203"/>
            <w:bookmarkEnd w:id="204"/>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205" w:name="_Toc29495"/>
            <w:bookmarkStart w:id="206" w:name="_Toc31524"/>
            <w:bookmarkStart w:id="207" w:name="_Toc28825"/>
            <w:bookmarkStart w:id="208" w:name="_Toc22121"/>
            <w:r>
              <w:rPr>
                <w:rFonts w:hint="eastAsia"/>
                <w:color w:val="000000" w:themeColor="text1"/>
                <w14:textFill>
                  <w14:solidFill>
                    <w14:schemeClr w14:val="tx1"/>
                  </w14:solidFill>
                </w14:textFill>
              </w:rPr>
              <w:t>电话</w:t>
            </w:r>
            <w:bookmarkEnd w:id="205"/>
            <w:bookmarkEnd w:id="206"/>
            <w:bookmarkEnd w:id="207"/>
            <w:bookmarkEnd w:id="208"/>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09" w:name="_Toc21326"/>
            <w:bookmarkStart w:id="210" w:name="_Toc27355"/>
            <w:bookmarkStart w:id="211" w:name="_Toc8331"/>
            <w:bookmarkStart w:id="212" w:name="_Toc12754"/>
            <w:r>
              <w:rPr>
                <w:rFonts w:hint="eastAsia"/>
                <w:color w:val="000000" w:themeColor="text1"/>
                <w14:textFill>
                  <w14:solidFill>
                    <w14:schemeClr w14:val="tx1"/>
                  </w14:solidFill>
                </w14:textFill>
              </w:rPr>
              <w:t>组织结构</w:t>
            </w:r>
            <w:bookmarkEnd w:id="209"/>
            <w:bookmarkEnd w:id="210"/>
            <w:bookmarkEnd w:id="211"/>
            <w:bookmarkEnd w:id="212"/>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bookmarkStart w:id="213" w:name="_Toc5018"/>
            <w:bookmarkStart w:id="214" w:name="_Toc22082"/>
            <w:bookmarkStart w:id="215" w:name="_Toc29110"/>
            <w:bookmarkStart w:id="216" w:name="_Toc28736"/>
            <w:r>
              <w:rPr>
                <w:rFonts w:hint="eastAsia"/>
                <w:color w:val="000000" w:themeColor="text1"/>
                <w14:textFill>
                  <w14:solidFill>
                    <w14:schemeClr w14:val="tx1"/>
                  </w14:solidFill>
                </w14:textFill>
              </w:rPr>
              <w:t>法定代表人</w:t>
            </w:r>
            <w:bookmarkEnd w:id="213"/>
            <w:bookmarkEnd w:id="214"/>
            <w:bookmarkEnd w:id="215"/>
            <w:bookmarkEnd w:id="216"/>
          </w:p>
        </w:tc>
        <w:tc>
          <w:tcPr>
            <w:tcW w:w="1016" w:type="dxa"/>
            <w:vAlign w:val="center"/>
          </w:tcPr>
          <w:p>
            <w:pPr>
              <w:rPr>
                <w:color w:val="000000" w:themeColor="text1"/>
                <w14:textFill>
                  <w14:solidFill>
                    <w14:schemeClr w14:val="tx1"/>
                  </w14:solidFill>
                </w14:textFill>
              </w:rPr>
            </w:pPr>
            <w:bookmarkStart w:id="217" w:name="_Toc24566"/>
            <w:bookmarkStart w:id="218" w:name="_Toc429"/>
            <w:bookmarkStart w:id="219" w:name="_Toc3509"/>
            <w:bookmarkStart w:id="220" w:name="_Toc8313"/>
            <w:r>
              <w:rPr>
                <w:rFonts w:hint="eastAsia"/>
                <w:color w:val="000000" w:themeColor="text1"/>
                <w14:textFill>
                  <w14:solidFill>
                    <w14:schemeClr w14:val="tx1"/>
                  </w14:solidFill>
                </w14:textFill>
              </w:rPr>
              <w:t>姓名</w:t>
            </w:r>
            <w:bookmarkEnd w:id="217"/>
            <w:bookmarkEnd w:id="218"/>
            <w:bookmarkEnd w:id="219"/>
            <w:bookmarkEnd w:id="220"/>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221" w:name="_Toc552"/>
            <w:bookmarkStart w:id="222" w:name="_Toc11392"/>
            <w:bookmarkStart w:id="223" w:name="_Toc5089"/>
            <w:bookmarkStart w:id="224" w:name="_Toc2791"/>
            <w:r>
              <w:rPr>
                <w:rFonts w:hint="eastAsia"/>
                <w:color w:val="000000" w:themeColor="text1"/>
                <w14:textFill>
                  <w14:solidFill>
                    <w14:schemeClr w14:val="tx1"/>
                  </w14:solidFill>
                </w14:textFill>
              </w:rPr>
              <w:t>技术职称</w:t>
            </w:r>
            <w:bookmarkEnd w:id="221"/>
            <w:bookmarkEnd w:id="222"/>
            <w:bookmarkEnd w:id="223"/>
            <w:bookmarkEnd w:id="224"/>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25" w:name="_Toc24036"/>
            <w:bookmarkStart w:id="226" w:name="_Toc18413"/>
            <w:bookmarkStart w:id="227" w:name="_Toc21732"/>
            <w:bookmarkStart w:id="228" w:name="_Toc15179"/>
            <w:r>
              <w:rPr>
                <w:rFonts w:hint="eastAsia"/>
                <w:color w:val="000000" w:themeColor="text1"/>
                <w14:textFill>
                  <w14:solidFill>
                    <w14:schemeClr w14:val="tx1"/>
                  </w14:solidFill>
                </w14:textFill>
              </w:rPr>
              <w:t>电话</w:t>
            </w:r>
            <w:bookmarkEnd w:id="225"/>
            <w:bookmarkEnd w:id="226"/>
            <w:bookmarkEnd w:id="227"/>
            <w:bookmarkEnd w:id="228"/>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bookmarkStart w:id="229" w:name="_Toc832"/>
            <w:bookmarkStart w:id="230" w:name="_Toc6397"/>
            <w:bookmarkStart w:id="231" w:name="_Toc30758"/>
            <w:bookmarkStart w:id="232" w:name="_Toc18654"/>
            <w:r>
              <w:rPr>
                <w:rFonts w:hint="eastAsia"/>
                <w:color w:val="000000" w:themeColor="text1"/>
                <w14:textFill>
                  <w14:solidFill>
                    <w14:schemeClr w14:val="tx1"/>
                  </w14:solidFill>
                </w14:textFill>
              </w:rPr>
              <w:t>技术负责人</w:t>
            </w:r>
            <w:bookmarkEnd w:id="229"/>
            <w:bookmarkEnd w:id="230"/>
            <w:bookmarkEnd w:id="231"/>
            <w:bookmarkEnd w:id="232"/>
          </w:p>
        </w:tc>
        <w:tc>
          <w:tcPr>
            <w:tcW w:w="1016" w:type="dxa"/>
            <w:vAlign w:val="center"/>
          </w:tcPr>
          <w:p>
            <w:pPr>
              <w:rPr>
                <w:color w:val="000000" w:themeColor="text1"/>
                <w14:textFill>
                  <w14:solidFill>
                    <w14:schemeClr w14:val="tx1"/>
                  </w14:solidFill>
                </w14:textFill>
              </w:rPr>
            </w:pPr>
            <w:bookmarkStart w:id="233" w:name="_Toc6829"/>
            <w:bookmarkStart w:id="234" w:name="_Toc17841"/>
            <w:bookmarkStart w:id="235" w:name="_Toc32237"/>
            <w:bookmarkStart w:id="236" w:name="_Toc5794"/>
            <w:r>
              <w:rPr>
                <w:rFonts w:hint="eastAsia"/>
                <w:color w:val="000000" w:themeColor="text1"/>
                <w14:textFill>
                  <w14:solidFill>
                    <w14:schemeClr w14:val="tx1"/>
                  </w14:solidFill>
                </w14:textFill>
              </w:rPr>
              <w:t>姓名</w:t>
            </w:r>
            <w:bookmarkEnd w:id="233"/>
            <w:bookmarkEnd w:id="234"/>
            <w:bookmarkEnd w:id="235"/>
            <w:bookmarkEnd w:id="236"/>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237" w:name="_Toc17957"/>
            <w:bookmarkStart w:id="238" w:name="_Toc25207"/>
            <w:bookmarkStart w:id="239" w:name="_Toc27222"/>
            <w:bookmarkStart w:id="240" w:name="_Toc25059"/>
            <w:r>
              <w:rPr>
                <w:rFonts w:hint="eastAsia"/>
                <w:color w:val="000000" w:themeColor="text1"/>
                <w14:textFill>
                  <w14:solidFill>
                    <w14:schemeClr w14:val="tx1"/>
                  </w14:solidFill>
                </w14:textFill>
              </w:rPr>
              <w:t>技术职称</w:t>
            </w:r>
            <w:bookmarkEnd w:id="237"/>
            <w:bookmarkEnd w:id="238"/>
            <w:bookmarkEnd w:id="239"/>
            <w:bookmarkEnd w:id="240"/>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41" w:name="_Toc14501"/>
            <w:bookmarkStart w:id="242" w:name="_Toc26943"/>
            <w:bookmarkStart w:id="243" w:name="_Toc321"/>
            <w:bookmarkStart w:id="244" w:name="_Toc12165"/>
            <w:r>
              <w:rPr>
                <w:rFonts w:hint="eastAsia"/>
                <w:color w:val="000000" w:themeColor="text1"/>
                <w14:textFill>
                  <w14:solidFill>
                    <w14:schemeClr w14:val="tx1"/>
                  </w14:solidFill>
                </w14:textFill>
              </w:rPr>
              <w:t>电话</w:t>
            </w:r>
            <w:bookmarkEnd w:id="241"/>
            <w:bookmarkEnd w:id="242"/>
            <w:bookmarkEnd w:id="243"/>
            <w:bookmarkEnd w:id="244"/>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45" w:name="_Toc5056"/>
            <w:bookmarkStart w:id="246" w:name="_Toc13190"/>
            <w:bookmarkStart w:id="247" w:name="_Toc15849"/>
            <w:bookmarkStart w:id="248" w:name="_Toc1183"/>
            <w:r>
              <w:rPr>
                <w:rFonts w:hint="eastAsia"/>
                <w:color w:val="000000" w:themeColor="text1"/>
                <w14:textFill>
                  <w14:solidFill>
                    <w14:schemeClr w14:val="tx1"/>
                  </w14:solidFill>
                </w14:textFill>
              </w:rPr>
              <w:t>成立时间</w:t>
            </w:r>
            <w:bookmarkEnd w:id="245"/>
            <w:bookmarkEnd w:id="246"/>
            <w:bookmarkEnd w:id="247"/>
            <w:bookmarkEnd w:id="248"/>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bookmarkStart w:id="249" w:name="_Toc5918"/>
            <w:bookmarkStart w:id="250" w:name="_Toc7458"/>
            <w:bookmarkStart w:id="251" w:name="_Toc9920"/>
            <w:bookmarkStart w:id="252" w:name="_Toc23476"/>
            <w:r>
              <w:rPr>
                <w:rFonts w:hint="eastAsia"/>
                <w:color w:val="000000" w:themeColor="text1"/>
                <w14:textFill>
                  <w14:solidFill>
                    <w14:schemeClr w14:val="tx1"/>
                  </w14:solidFill>
                </w14:textFill>
              </w:rPr>
              <w:t>员工总人数：</w:t>
            </w:r>
            <w:bookmarkEnd w:id="249"/>
            <w:bookmarkEnd w:id="250"/>
            <w:bookmarkEnd w:id="251"/>
            <w:bookmarkEnd w:id="252"/>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53" w:name="_Toc24347"/>
            <w:bookmarkStart w:id="254" w:name="_Toc13811"/>
            <w:bookmarkStart w:id="255" w:name="_Toc19832"/>
            <w:bookmarkStart w:id="256" w:name="_Toc2495"/>
            <w:r>
              <w:rPr>
                <w:rFonts w:hint="eastAsia"/>
                <w:color w:val="000000" w:themeColor="text1"/>
                <w14:textFill>
                  <w14:solidFill>
                    <w14:schemeClr w14:val="tx1"/>
                  </w14:solidFill>
                </w14:textFill>
              </w:rPr>
              <w:t>营业执照号</w:t>
            </w:r>
            <w:bookmarkEnd w:id="253"/>
            <w:bookmarkEnd w:id="254"/>
            <w:bookmarkEnd w:id="255"/>
            <w:bookmarkEnd w:id="256"/>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bookmarkStart w:id="257" w:name="_Toc15246"/>
            <w:bookmarkStart w:id="258" w:name="_Toc16273"/>
            <w:bookmarkStart w:id="259" w:name="_Toc13361"/>
            <w:bookmarkStart w:id="260" w:name="_Toc19894"/>
            <w:r>
              <w:rPr>
                <w:rFonts w:hint="eastAsia"/>
                <w:color w:val="000000" w:themeColor="text1"/>
                <w14:textFill>
                  <w14:solidFill>
                    <w14:schemeClr w14:val="tx1"/>
                  </w14:solidFill>
                </w14:textFill>
              </w:rPr>
              <w:t>高级职称人员</w:t>
            </w:r>
            <w:bookmarkEnd w:id="257"/>
            <w:bookmarkEnd w:id="258"/>
            <w:bookmarkEnd w:id="259"/>
            <w:bookmarkEnd w:id="260"/>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61" w:name="_Toc30242"/>
            <w:bookmarkStart w:id="262" w:name="_Toc12522"/>
            <w:bookmarkStart w:id="263" w:name="_Toc3476"/>
            <w:bookmarkStart w:id="264" w:name="_Toc20237"/>
            <w:r>
              <w:rPr>
                <w:rFonts w:hint="eastAsia"/>
                <w:color w:val="000000" w:themeColor="text1"/>
                <w14:textFill>
                  <w14:solidFill>
                    <w14:schemeClr w14:val="tx1"/>
                  </w14:solidFill>
                </w14:textFill>
              </w:rPr>
              <w:t>注册资金</w:t>
            </w:r>
            <w:bookmarkEnd w:id="261"/>
            <w:bookmarkEnd w:id="262"/>
            <w:bookmarkEnd w:id="263"/>
            <w:bookmarkEnd w:id="264"/>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65" w:name="_Toc1834"/>
            <w:bookmarkStart w:id="266" w:name="_Toc30244"/>
            <w:bookmarkStart w:id="267" w:name="_Toc7916"/>
            <w:bookmarkStart w:id="268" w:name="_Toc16642"/>
            <w:r>
              <w:rPr>
                <w:rFonts w:hint="eastAsia"/>
                <w:color w:val="000000" w:themeColor="text1"/>
                <w14:textFill>
                  <w14:solidFill>
                    <w14:schemeClr w14:val="tx1"/>
                  </w14:solidFill>
                </w14:textFill>
              </w:rPr>
              <w:t>中级职称人员</w:t>
            </w:r>
            <w:bookmarkEnd w:id="265"/>
            <w:bookmarkEnd w:id="266"/>
            <w:bookmarkEnd w:id="267"/>
            <w:bookmarkEnd w:id="268"/>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69" w:name="_Toc24406"/>
            <w:bookmarkStart w:id="270" w:name="_Toc18512"/>
            <w:bookmarkStart w:id="271" w:name="_Toc21663"/>
            <w:bookmarkStart w:id="272" w:name="_Toc17149"/>
            <w:r>
              <w:rPr>
                <w:rFonts w:hint="eastAsia"/>
                <w:color w:val="000000" w:themeColor="text1"/>
                <w14:textFill>
                  <w14:solidFill>
                    <w14:schemeClr w14:val="tx1"/>
                  </w14:solidFill>
                </w14:textFill>
              </w:rPr>
              <w:t>开户银行</w:t>
            </w:r>
            <w:bookmarkEnd w:id="269"/>
            <w:bookmarkEnd w:id="270"/>
            <w:bookmarkEnd w:id="271"/>
            <w:bookmarkEnd w:id="272"/>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73" w:name="_Toc12330"/>
            <w:bookmarkStart w:id="274" w:name="_Toc24761"/>
            <w:bookmarkStart w:id="275" w:name="_Toc15110"/>
            <w:bookmarkStart w:id="276" w:name="_Toc23409"/>
            <w:r>
              <w:rPr>
                <w:rFonts w:hint="eastAsia"/>
                <w:color w:val="000000" w:themeColor="text1"/>
                <w14:textFill>
                  <w14:solidFill>
                    <w14:schemeClr w14:val="tx1"/>
                  </w14:solidFill>
                </w14:textFill>
              </w:rPr>
              <w:t>初级职称人员</w:t>
            </w:r>
            <w:bookmarkEnd w:id="273"/>
            <w:bookmarkEnd w:id="274"/>
            <w:bookmarkEnd w:id="275"/>
            <w:bookmarkEnd w:id="276"/>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bookmarkStart w:id="277" w:name="_Toc11996"/>
            <w:bookmarkStart w:id="278" w:name="_Toc7482"/>
            <w:bookmarkStart w:id="279" w:name="_Toc7855"/>
            <w:bookmarkStart w:id="280" w:name="_Toc19211"/>
            <w:r>
              <w:rPr>
                <w:rFonts w:hint="eastAsia"/>
                <w:color w:val="000000" w:themeColor="text1"/>
                <w14:textFill>
                  <w14:solidFill>
                    <w14:schemeClr w14:val="tx1"/>
                  </w14:solidFill>
                </w14:textFill>
              </w:rPr>
              <w:t>账号</w:t>
            </w:r>
            <w:bookmarkEnd w:id="277"/>
            <w:bookmarkEnd w:id="278"/>
            <w:bookmarkEnd w:id="279"/>
            <w:bookmarkEnd w:id="280"/>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81" w:name="_Toc23890"/>
            <w:bookmarkStart w:id="282" w:name="_Toc7296"/>
            <w:bookmarkStart w:id="283" w:name="_Toc10662"/>
            <w:bookmarkStart w:id="284" w:name="_Toc16123"/>
            <w:r>
              <w:rPr>
                <w:rFonts w:hint="eastAsia"/>
                <w:color w:val="000000" w:themeColor="text1"/>
                <w14:textFill>
                  <w14:solidFill>
                    <w14:schemeClr w14:val="tx1"/>
                  </w14:solidFill>
                </w14:textFill>
              </w:rPr>
              <w:t>技工</w:t>
            </w:r>
            <w:bookmarkEnd w:id="281"/>
            <w:bookmarkEnd w:id="282"/>
            <w:bookmarkEnd w:id="283"/>
            <w:bookmarkEnd w:id="284"/>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bookmarkStart w:id="285" w:name="_Toc30075"/>
            <w:bookmarkStart w:id="286" w:name="_Toc19840"/>
            <w:bookmarkStart w:id="287" w:name="_Toc516"/>
            <w:bookmarkStart w:id="288" w:name="_Toc2745"/>
            <w:r>
              <w:rPr>
                <w:rFonts w:hint="eastAsia"/>
                <w:color w:val="000000" w:themeColor="text1"/>
                <w14:textFill>
                  <w14:solidFill>
                    <w14:schemeClr w14:val="tx1"/>
                  </w14:solidFill>
                </w14:textFill>
              </w:rPr>
              <w:t>经营范围</w:t>
            </w:r>
            <w:bookmarkEnd w:id="285"/>
            <w:bookmarkEnd w:id="286"/>
            <w:bookmarkEnd w:id="287"/>
            <w:bookmarkEnd w:id="288"/>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bookmarkStart w:id="289" w:name="_Toc22690"/>
            <w:bookmarkStart w:id="290" w:name="_Toc19290"/>
            <w:bookmarkStart w:id="291" w:name="_Toc26754"/>
            <w:bookmarkStart w:id="292" w:name="_Toc12320"/>
            <w:r>
              <w:rPr>
                <w:rFonts w:hint="eastAsia"/>
                <w:color w:val="000000" w:themeColor="text1"/>
                <w14:textFill>
                  <w14:solidFill>
                    <w14:schemeClr w14:val="tx1"/>
                  </w14:solidFill>
                </w14:textFill>
              </w:rPr>
              <w:t>备注</w:t>
            </w:r>
            <w:bookmarkEnd w:id="289"/>
            <w:bookmarkEnd w:id="290"/>
            <w:bookmarkEnd w:id="291"/>
            <w:bookmarkEnd w:id="292"/>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outlineLvl w:val="9"/>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1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5"/>
        <w:rPr>
          <w:rFonts w:hint="default"/>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pPr>
        <w:pageBreakBefore/>
        <w:tabs>
          <w:tab w:val="left" w:pos="210"/>
        </w:tabs>
        <w:spacing w:line="320" w:lineRule="exact"/>
        <w:outlineLvl w:val="9"/>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1"/>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1"/>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本授权书有效期自响应文件递交截止之日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1"/>
        <w:spacing w:line="500" w:lineRule="exact"/>
        <w:ind w:firstLine="480" w:firstLineChars="200"/>
        <w:jc w:val="left"/>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r>
        <w:rPr>
          <w:rFonts w:hint="eastAsia" w:hAnsi="宋体" w:cs="宋体"/>
          <w:color w:val="000000" w:themeColor="text1"/>
          <w:sz w:val="24"/>
          <w:szCs w:val="24"/>
          <w:u w:val="single"/>
          <w:lang w:val="en-US" w:eastAsia="zh-CN"/>
          <w14:textFill>
            <w14:solidFill>
              <w14:schemeClr w14:val="tx1"/>
            </w14:solidFill>
          </w14:textFill>
        </w:rPr>
        <w:t xml:space="preserve">       </w:t>
      </w:r>
    </w:p>
    <w:p>
      <w:pPr>
        <w:pStyle w:val="11"/>
        <w:spacing w:line="500" w:lineRule="exact"/>
        <w:ind w:firstLine="480" w:firstLineChars="200"/>
        <w:jc w:val="left"/>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r>
        <w:rPr>
          <w:rFonts w:hint="eastAsia" w:hAnsi="宋体" w:cs="宋体"/>
          <w:color w:val="000000" w:themeColor="text1"/>
          <w:sz w:val="24"/>
          <w:szCs w:val="24"/>
          <w:u w:val="single"/>
          <w:lang w:val="en-US" w:eastAsia="zh-CN"/>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18"/>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1"/>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1"/>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11"/>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竞争性磋商，我单位郑重声明：我方参加本项目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1"/>
        <w:spacing w:line="480" w:lineRule="auto"/>
        <w:jc w:val="left"/>
        <w:rPr>
          <w:rFonts w:hAnsi="宋体" w:cs="宋体"/>
          <w:color w:val="000000" w:themeColor="text1"/>
          <w:kern w:val="0"/>
          <w:sz w:val="24"/>
          <w14:textFill>
            <w14:solidFill>
              <w14:schemeClr w14:val="tx1"/>
            </w14:solidFill>
          </w14:textFill>
        </w:rPr>
      </w:pPr>
    </w:p>
    <w:p>
      <w:pPr>
        <w:pStyle w:val="11"/>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供应商（单位名称及公章）：</w:t>
      </w:r>
    </w:p>
    <w:p>
      <w:pPr>
        <w:pStyle w:val="11"/>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pPr>
      <w:r>
        <w:rPr>
          <w:rFonts w:hint="eastAsia" w:hAnsi="宋体" w:cs="宋体"/>
          <w:color w:val="000000" w:themeColor="text1"/>
          <w:kern w:val="0"/>
          <w:sz w:val="24"/>
          <w14:textFill>
            <w14:solidFill>
              <w14:schemeClr w14:val="tx1"/>
            </w14:solidFill>
          </w14:textFill>
        </w:rPr>
        <w:t xml:space="preserve">日    期：  年   月   日             </w:t>
      </w:r>
    </w:p>
    <w:p>
      <w:pPr>
        <w:pStyle w:val="5"/>
        <w:rPr>
          <w:rFonts w:hint="default"/>
        </w:rPr>
        <w:sectPr>
          <w:pgSz w:w="11906" w:h="16838"/>
          <w:pgMar w:top="1440" w:right="1304" w:bottom="1440" w:left="1304" w:header="851" w:footer="992" w:gutter="0"/>
          <w:pgNumType w:fmt="decimal"/>
          <w:cols w:space="0" w:num="1"/>
          <w:rtlGutter w:val="0"/>
          <w:docGrid w:type="lines" w:linePitch="319" w:charSpace="0"/>
        </w:sectPr>
      </w:pPr>
    </w:p>
    <w:p>
      <w:pPr>
        <w:spacing w:line="360" w:lineRule="auto"/>
        <w:rPr>
          <w:sz w:val="24"/>
          <w:szCs w:val="28"/>
        </w:rPr>
      </w:pPr>
      <w:r>
        <w:rPr>
          <w:rFonts w:hint="eastAsia"/>
          <w:sz w:val="24"/>
          <w:szCs w:val="28"/>
        </w:rPr>
        <w:t>5、社保资金缴纳证明材料；</w:t>
      </w:r>
    </w:p>
    <w:p>
      <w:pPr>
        <w:spacing w:line="360" w:lineRule="auto"/>
        <w:rPr>
          <w:sz w:val="24"/>
          <w:szCs w:val="28"/>
        </w:rPr>
      </w:pPr>
      <w:r>
        <w:rPr>
          <w:rFonts w:hint="eastAsia"/>
          <w:sz w:val="24"/>
          <w:szCs w:val="28"/>
        </w:rPr>
        <w:t xml:space="preserve">6、税收缴纳证明材料： </w:t>
      </w:r>
    </w:p>
    <w:p>
      <w:pPr>
        <w:spacing w:line="360" w:lineRule="auto"/>
        <w:rPr>
          <w:sz w:val="24"/>
          <w:szCs w:val="28"/>
        </w:rPr>
      </w:pPr>
      <w:r>
        <w:rPr>
          <w:rFonts w:hint="eastAsia"/>
          <w:sz w:val="24"/>
          <w:szCs w:val="28"/>
        </w:rPr>
        <w:t xml:space="preserve">7、财务状况证明材料： </w:t>
      </w:r>
    </w:p>
    <w:p>
      <w:pPr>
        <w:spacing w:line="360" w:lineRule="auto"/>
        <w:rPr>
          <w:color w:val="000000" w:themeColor="text1"/>
          <w:sz w:val="24"/>
          <w:szCs w:val="28"/>
          <w14:textFill>
            <w14:solidFill>
              <w14:schemeClr w14:val="tx1"/>
            </w14:solidFill>
          </w14:textFill>
        </w:rPr>
        <w:sectPr>
          <w:pgSz w:w="11906" w:h="16838"/>
          <w:pgMar w:top="1440" w:right="1304" w:bottom="1440" w:left="1304" w:header="851" w:footer="992" w:gutter="0"/>
          <w:pgNumType w:fmt="decimal"/>
          <w:cols w:space="0" w:num="1"/>
          <w:rtlGutter w:val="0"/>
          <w:docGrid w:type="lines" w:linePitch="319" w:charSpace="0"/>
        </w:sectPr>
      </w:pPr>
      <w:r>
        <w:rPr>
          <w:rFonts w:hint="eastAsia"/>
          <w:sz w:val="24"/>
          <w:szCs w:val="28"/>
        </w:rPr>
        <w:t>8、供应商认为应该提交的其他证明材料。</w:t>
      </w:r>
    </w:p>
    <w:bookmarkEnd w:id="185"/>
    <w:p>
      <w:pPr>
        <w:pStyle w:val="3"/>
        <w:jc w:val="center"/>
        <w:rPr>
          <w:color w:val="000000" w:themeColor="text1"/>
          <w14:textFill>
            <w14:solidFill>
              <w14:schemeClr w14:val="tx1"/>
            </w14:solidFill>
          </w14:textFill>
        </w:rPr>
      </w:pPr>
      <w:bookmarkStart w:id="293" w:name="_Toc30568"/>
      <w:bookmarkStart w:id="294" w:name="_Toc20728"/>
      <w:bookmarkStart w:id="295" w:name="_Toc23658"/>
      <w:bookmarkStart w:id="296" w:name="_Toc28294"/>
      <w:r>
        <w:rPr>
          <w:rFonts w:hint="eastAsia"/>
          <w:color w:val="000000" w:themeColor="text1"/>
          <w14:textFill>
            <w14:solidFill>
              <w14:schemeClr w14:val="tx1"/>
            </w14:solidFill>
          </w14:textFill>
        </w:rPr>
        <w:t>第五章  商务和技术响应偏离表</w:t>
      </w:r>
      <w:bookmarkEnd w:id="293"/>
      <w:bookmarkEnd w:id="294"/>
      <w:bookmarkEnd w:id="295"/>
      <w:bookmarkEnd w:id="296"/>
    </w:p>
    <w:p>
      <w:pPr>
        <w:kinsoku w:val="0"/>
        <w:spacing w:line="480" w:lineRule="auto"/>
        <w:ind w:left="1232" w:hanging="1232" w:hangingChars="44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1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06"/>
        <w:gridCol w:w="2924"/>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70" w:type="dxa"/>
            <w:vAlign w:val="center"/>
          </w:tcPr>
          <w:p>
            <w:pPr>
              <w:pStyle w:val="11"/>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 xml:space="preserve"> 序号</w:t>
            </w:r>
          </w:p>
        </w:tc>
        <w:tc>
          <w:tcPr>
            <w:tcW w:w="2006" w:type="dxa"/>
            <w:vAlign w:val="center"/>
          </w:tcPr>
          <w:p>
            <w:pPr>
              <w:pStyle w:val="11"/>
              <w:spacing w:line="480" w:lineRule="auto"/>
              <w:jc w:val="left"/>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商务要求内容</w:t>
            </w:r>
          </w:p>
        </w:tc>
        <w:tc>
          <w:tcPr>
            <w:tcW w:w="2924" w:type="dxa"/>
            <w:vAlign w:val="center"/>
          </w:tcPr>
          <w:p>
            <w:pPr>
              <w:pStyle w:val="11"/>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响应文件响应商务内容</w:t>
            </w:r>
          </w:p>
        </w:tc>
        <w:tc>
          <w:tcPr>
            <w:tcW w:w="2439" w:type="dxa"/>
            <w:vAlign w:val="center"/>
          </w:tcPr>
          <w:p>
            <w:pPr>
              <w:pStyle w:val="11"/>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hAnsi="宋体" w:cs="宋体"/>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70"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006"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92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39"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6"/>
        <w:ind w:firstLine="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填写说明：供应商对本项目付款、服务期、合同条款等商务方面进行响应说明，并保证响应的真实性。</w:t>
      </w:r>
    </w:p>
    <w:p>
      <w:pPr>
        <w:pStyle w:val="6"/>
        <w:ind w:firstLine="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偏差说明填写：正偏离（标明正偏离内容）、符合。</w:t>
      </w:r>
    </w:p>
    <w:p>
      <w:pPr>
        <w:pStyle w:val="6"/>
        <w:ind w:firstLine="0"/>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商务条款不允许负偏离；</w:t>
      </w:r>
    </w:p>
    <w:p>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宋体" w:hAnsi="宋体"/>
          <w:color w:val="000000" w:themeColor="text1"/>
          <w:sz w:val="28"/>
          <w:szCs w:val="28"/>
          <w14:textFill>
            <w14:solidFill>
              <w14:schemeClr w14:val="tx1"/>
            </w14:solidFill>
          </w14:textFill>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000000" w:themeColor="text1"/>
          <w:sz w:val="28"/>
          <w:szCs w:val="28"/>
          <w14:textFill>
            <w14:solidFill>
              <w14:schemeClr w14:val="tx1"/>
            </w14:solidFill>
          </w14:textFill>
        </w:rPr>
        <w:t>日    期：  年   月   日</w:t>
      </w:r>
    </w:p>
    <w:p>
      <w:pPr>
        <w:pStyle w:val="16"/>
        <w:ind w:firstLine="28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表2、技术响应偏差表</w:t>
      </w:r>
    </w:p>
    <w:tbl>
      <w:tblPr>
        <w:tblStyle w:val="18"/>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1"/>
              <w:spacing w:line="48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286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磋商文件要求</w:t>
            </w:r>
          </w:p>
          <w:p>
            <w:pPr>
              <w:pStyle w:val="11"/>
              <w:spacing w:line="480" w:lineRule="auto"/>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技术要求</w:t>
            </w:r>
          </w:p>
        </w:tc>
        <w:tc>
          <w:tcPr>
            <w:tcW w:w="2443" w:type="dxa"/>
            <w:vAlign w:val="center"/>
          </w:tcPr>
          <w:p>
            <w:pPr>
              <w:pStyle w:val="11"/>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响应文件</w:t>
            </w:r>
          </w:p>
          <w:p>
            <w:pPr>
              <w:pStyle w:val="11"/>
              <w:spacing w:line="48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技术内容</w:t>
            </w:r>
          </w:p>
        </w:tc>
        <w:tc>
          <w:tcPr>
            <w:tcW w:w="1621" w:type="dxa"/>
            <w:vAlign w:val="center"/>
          </w:tcPr>
          <w:p>
            <w:pPr>
              <w:pStyle w:val="11"/>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偏差说明</w:t>
            </w:r>
          </w:p>
        </w:tc>
        <w:tc>
          <w:tcPr>
            <w:tcW w:w="1614" w:type="dxa"/>
            <w:vAlign w:val="center"/>
          </w:tcPr>
          <w:p>
            <w:pPr>
              <w:pStyle w:val="11"/>
              <w:spacing w:line="480" w:lineRule="auto"/>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vAlign w:val="center"/>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86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2443"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21"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c>
          <w:tcPr>
            <w:tcW w:w="1614" w:type="dxa"/>
          </w:tcPr>
          <w:p>
            <w:pPr>
              <w:pStyle w:val="11"/>
              <w:spacing w:line="480" w:lineRule="auto"/>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p>
        </w:tc>
      </w:tr>
    </w:tbl>
    <w:p>
      <w:pPr>
        <w:pStyle w:val="11"/>
        <w:ind w:firstLine="562"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28"/>
          <w:szCs w:val="28"/>
          <w14:textFill>
            <w14:solidFill>
              <w14:schemeClr w14:val="tx1"/>
            </w14:solidFill>
          </w14:textFill>
        </w:rPr>
        <w:t>填写说明：</w:t>
      </w:r>
      <w:r>
        <w:rPr>
          <w:rFonts w:hint="eastAsia" w:asciiTheme="minorEastAsia" w:hAnsiTheme="minorEastAsia" w:cstheme="minorEastAsia"/>
          <w:color w:val="000000" w:themeColor="text1"/>
          <w:sz w:val="28"/>
          <w:szCs w:val="28"/>
          <w14:textFill>
            <w14:solidFill>
              <w14:schemeClr w14:val="tx1"/>
            </w14:solidFill>
          </w14:textFill>
        </w:rPr>
        <w:t>请按磋商文件</w:t>
      </w:r>
      <w:r>
        <w:rPr>
          <w:rFonts w:hint="eastAsia" w:asciiTheme="minorEastAsia" w:hAnsiTheme="minorEastAsia" w:cstheme="minorEastAsia"/>
          <w:sz w:val="28"/>
          <w:szCs w:val="28"/>
        </w:rPr>
        <w:t>技术要求的内容</w:t>
      </w:r>
      <w:r>
        <w:rPr>
          <w:rFonts w:hint="eastAsia" w:asciiTheme="minorEastAsia" w:hAnsiTheme="minorEastAsia" w:cstheme="minorEastAsia"/>
          <w:color w:val="000000" w:themeColor="text1"/>
          <w:sz w:val="28"/>
          <w:szCs w:val="28"/>
          <w14:textFill>
            <w14:solidFill>
              <w14:schemeClr w14:val="tx1"/>
            </w14:solidFill>
          </w14:textFill>
        </w:rPr>
        <w:t>，逐条对应响应文件的“采购要求”</w:t>
      </w:r>
      <w:r>
        <w:rPr>
          <w:rFonts w:hint="eastAsia" w:asciiTheme="minorEastAsia" w:hAnsiTheme="minorEastAsia" w:cstheme="minorEastAsia"/>
          <w:sz w:val="28"/>
          <w:szCs w:val="28"/>
        </w:rPr>
        <w:t>中的技术要求认真填写本表</w:t>
      </w:r>
      <w:r>
        <w:rPr>
          <w:rFonts w:hint="eastAsia" w:asciiTheme="minorEastAsia" w:hAnsiTheme="minorEastAsia" w:cstheme="minorEastAsia"/>
          <w:color w:val="000000" w:themeColor="text1"/>
          <w:sz w:val="28"/>
          <w:szCs w:val="28"/>
          <w14:textFill>
            <w14:solidFill>
              <w14:schemeClr w14:val="tx1"/>
            </w14:solidFill>
          </w14:textFill>
        </w:rPr>
        <w:t>。偏差说明填写：正偏离（标明正偏离内容及正偏离的证明材料的页码）、符合（标明主要技术参数证明材料页码）或负偏离。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color w:val="000000" w:themeColor="text1"/>
          <w:sz w:val="28"/>
          <w:szCs w:val="28"/>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8"/>
          <w:szCs w:val="28"/>
          <w:u w:val="single"/>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Theme="minorEastAsia" w:hAnsiTheme="minorEastAsia" w:cstheme="minorEastAsia"/>
          <w:color w:val="000000" w:themeColor="text1"/>
          <w:sz w:val="28"/>
          <w:szCs w:val="28"/>
          <w14:textFill>
            <w14:solidFill>
              <w14:schemeClr w14:val="tx1"/>
            </w14:solidFill>
          </w14:textFill>
        </w:rPr>
        <w:sectPr>
          <w:pgSz w:w="11906" w:h="16838"/>
          <w:pgMar w:top="1440" w:right="1304" w:bottom="1440" w:left="1304" w:header="851" w:footer="992" w:gutter="0"/>
          <w:pgNumType w:fmt="decimal"/>
          <w:cols w:space="0" w:num="1"/>
          <w:docGrid w:type="lines" w:linePitch="325" w:charSpace="0"/>
        </w:sectPr>
      </w:pPr>
      <w:r>
        <w:rPr>
          <w:rFonts w:hint="eastAsia" w:asciiTheme="minorEastAsia" w:hAnsiTheme="minorEastAsia" w:cstheme="minorEastAsia"/>
          <w:color w:val="000000" w:themeColor="text1"/>
          <w:sz w:val="28"/>
          <w:szCs w:val="28"/>
          <w14:textFill>
            <w14:solidFill>
              <w14:schemeClr w14:val="tx1"/>
            </w14:solidFill>
          </w14:textFill>
        </w:rPr>
        <w:t>日    期：  年   月  日</w:t>
      </w:r>
    </w:p>
    <w:p>
      <w:pPr>
        <w:pStyle w:val="3"/>
        <w:spacing w:before="325" w:beforeLines="100" w:after="487" w:afterLines="150" w:line="500" w:lineRule="exact"/>
        <w:jc w:val="center"/>
        <w:rPr>
          <w:rFonts w:asciiTheme="minorEastAsia" w:hAnsiTheme="minorEastAsia" w:eastAsiaTheme="minorEastAsia" w:cstheme="minorEastAsia"/>
          <w:color w:val="000000" w:themeColor="text1"/>
          <w:sz w:val="36"/>
          <w:szCs w:val="36"/>
          <w14:textFill>
            <w14:solidFill>
              <w14:schemeClr w14:val="tx1"/>
            </w14:solidFill>
          </w14:textFill>
        </w:rPr>
      </w:pPr>
      <w:bookmarkStart w:id="297" w:name="_Toc18357"/>
      <w:bookmarkStart w:id="298" w:name="_Toc19555"/>
      <w:bookmarkStart w:id="299" w:name="_Toc15673"/>
      <w:bookmarkStart w:id="300" w:name="_Toc31024"/>
      <w:bookmarkStart w:id="301" w:name="_Toc8786"/>
      <w:r>
        <w:rPr>
          <w:rFonts w:hint="eastAsia" w:asciiTheme="minorEastAsia" w:hAnsiTheme="minorEastAsia" w:eastAsiaTheme="minorEastAsia" w:cstheme="minorEastAsia"/>
          <w:color w:val="000000" w:themeColor="text1"/>
          <w:sz w:val="36"/>
          <w:szCs w:val="36"/>
          <w14:textFill>
            <w14:solidFill>
              <w14:schemeClr w14:val="tx1"/>
            </w14:solidFill>
          </w14:textFill>
        </w:rPr>
        <w:t>第六章</w:t>
      </w:r>
      <w:bookmarkEnd w:id="297"/>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技术支持资料</w:t>
      </w:r>
      <w:bookmarkEnd w:id="298"/>
      <w:bookmarkEnd w:id="299"/>
      <w:bookmarkEnd w:id="300"/>
      <w:bookmarkEnd w:id="301"/>
    </w:p>
    <w:p>
      <w:pPr>
        <w:spacing w:line="480" w:lineRule="auto"/>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供应商可根据评审办法自行编写，不限于以下内容：</w:t>
      </w: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sectPr>
          <w:pgSz w:w="11906" w:h="16838"/>
          <w:pgMar w:top="1440" w:right="1304" w:bottom="1440" w:left="1304" w:header="851" w:footer="992" w:gutter="0"/>
          <w:pgNumType w:fmt="decimal"/>
          <w:cols w:space="0" w:num="1"/>
          <w:docGrid w:type="lines" w:linePitch="325" w:charSpace="0"/>
        </w:sectPr>
      </w:pPr>
    </w:p>
    <w:p>
      <w:pPr>
        <w:pStyle w:val="3"/>
        <w:jc w:val="center"/>
        <w:rPr>
          <w:color w:val="000000" w:themeColor="text1"/>
          <w14:textFill>
            <w14:solidFill>
              <w14:schemeClr w14:val="tx1"/>
            </w14:solidFill>
          </w14:textFill>
        </w:rPr>
      </w:pPr>
      <w:bookmarkStart w:id="302" w:name="_Toc13136"/>
      <w:bookmarkStart w:id="303" w:name="_Toc24882"/>
      <w:bookmarkStart w:id="304" w:name="_Toc2310"/>
      <w:bookmarkStart w:id="305" w:name="_Toc11540"/>
      <w:r>
        <w:rPr>
          <w:rFonts w:hint="eastAsia"/>
          <w:color w:val="000000" w:themeColor="text1"/>
          <w14:textFill>
            <w14:solidFill>
              <w14:schemeClr w14:val="tx1"/>
            </w14:solidFill>
          </w14:textFill>
        </w:rPr>
        <w:t>第七章  供应商业绩一览表</w:t>
      </w:r>
      <w:bookmarkEnd w:id="302"/>
      <w:bookmarkEnd w:id="303"/>
      <w:bookmarkEnd w:id="304"/>
      <w:bookmarkEnd w:id="305"/>
    </w:p>
    <w:p>
      <w:pPr>
        <w:rPr>
          <w:rFonts w:asciiTheme="minorEastAsia" w:hAnsiTheme="minorEastAsia" w:cstheme="minorEastAsia"/>
          <w:color w:val="000000" w:themeColor="text1"/>
          <w14:textFill>
            <w14:solidFill>
              <w14:schemeClr w14:val="tx1"/>
            </w14:solidFill>
          </w14:textFill>
        </w:rPr>
      </w:pPr>
    </w:p>
    <w:tbl>
      <w:tblPr>
        <w:tblStyle w:val="18"/>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完成时间</w:t>
            </w:r>
          </w:p>
        </w:tc>
        <w:tc>
          <w:tcPr>
            <w:tcW w:w="1485" w:type="dxa"/>
            <w:vAlign w:val="center"/>
          </w:tcPr>
          <w:p>
            <w:pPr>
              <w:spacing w:line="400" w:lineRule="exact"/>
              <w:ind w:firstLine="105" w:firstLineChars="5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注：供应商（仅限于供应商自己实施的）以上业绩需提供采购合同复印件加盖公章。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color w:val="000000" w:themeColor="text1"/>
          <w:sz w:val="24"/>
          <w:szCs w:val="24"/>
          <w14:textFill>
            <w14:solidFill>
              <w14:schemeClr w14:val="tx1"/>
            </w14:solidFill>
          </w14:textFill>
        </w:rPr>
      </w:pPr>
    </w:p>
    <w:p>
      <w:pPr>
        <w:spacing w:line="360" w:lineRule="auto"/>
        <w:ind w:left="360"/>
        <w:jc w:val="center"/>
        <w:rPr>
          <w:rFonts w:asciiTheme="minorEastAsia" w:hAnsiTheme="minorEastAsia" w:cstheme="minorEastAsia"/>
          <w:color w:val="000000" w:themeColor="text1"/>
          <w:sz w:val="24"/>
          <w:szCs w:val="24"/>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法定代表人或委托代理人（签字或盖章）：</w:t>
      </w:r>
    </w:p>
    <w:p>
      <w:pPr>
        <w:adjustRightInd w:val="0"/>
        <w:spacing w:line="360" w:lineRule="auto"/>
        <w:ind w:firstLine="420" w:firstLineChars="175"/>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年    月   日                    </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pStyle w:val="3"/>
        <w:jc w:val="center"/>
        <w:rPr>
          <w:color w:val="000000" w:themeColor="text1"/>
          <w14:textFill>
            <w14:solidFill>
              <w14:schemeClr w14:val="tx1"/>
            </w14:solidFill>
          </w14:textFill>
        </w:rPr>
      </w:pPr>
      <w:bookmarkStart w:id="306" w:name="_Toc18894"/>
      <w:bookmarkStart w:id="307" w:name="_Toc23432"/>
      <w:bookmarkStart w:id="308" w:name="_Toc29034"/>
      <w:bookmarkStart w:id="309" w:name="_Toc16365"/>
      <w:bookmarkStart w:id="310" w:name="_Toc8419"/>
      <w:r>
        <w:rPr>
          <w:rFonts w:hint="eastAsia"/>
          <w:color w:val="000000" w:themeColor="text1"/>
          <w14:textFill>
            <w14:solidFill>
              <w14:schemeClr w14:val="tx1"/>
            </w14:solidFill>
          </w14:textFill>
        </w:rPr>
        <w:t>第八章  供应商认为有必要说明的其他问题</w:t>
      </w:r>
      <w:bookmarkEnd w:id="306"/>
      <w:bookmarkEnd w:id="307"/>
      <w:bookmarkEnd w:id="308"/>
      <w:bookmarkEnd w:id="309"/>
      <w:bookmarkEnd w:id="310"/>
    </w:p>
    <w:p>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供应商认为有必要提供的其他证明文件</w:t>
      </w:r>
    </w:p>
    <w:p>
      <w:pPr>
        <w:pStyle w:val="6"/>
        <w:rPr>
          <w:color w:val="000000" w:themeColor="text1"/>
          <w14:textFill>
            <w14:solidFill>
              <w14:schemeClr w14:val="tx1"/>
            </w14:solidFill>
          </w14:textFill>
        </w:rPr>
      </w:pPr>
    </w:p>
    <w:p>
      <w:pPr>
        <w:rPr>
          <w:b/>
          <w:bCs/>
          <w:color w:val="000000" w:themeColor="text1"/>
          <w:sz w:val="44"/>
          <w:szCs w:val="48"/>
          <w14:textFill>
            <w14:solidFill>
              <w14:schemeClr w14:val="tx1"/>
            </w14:solidFill>
          </w14:textFill>
        </w:rPr>
      </w:pPr>
      <w:r>
        <w:rPr>
          <w:rFonts w:hint="eastAsia"/>
          <w:b/>
          <w:bCs/>
          <w:color w:val="000000" w:themeColor="text1"/>
          <w:sz w:val="44"/>
          <w:szCs w:val="48"/>
          <w14:textFill>
            <w14:solidFill>
              <w14:schemeClr w14:val="tx1"/>
            </w14:solidFill>
          </w14:textFill>
        </w:rPr>
        <w:t>供应商可在此处附附件二至附件五的证明材料，如没有提供，视为无。</w:t>
      </w:r>
    </w:p>
    <w:p>
      <w:pPr>
        <w:pStyle w:val="3"/>
        <w:jc w:val="center"/>
        <w:rPr>
          <w:rFonts w:ascii="宋体" w:hAnsi="宋体" w:cs="宋体"/>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311" w:name="_Toc21931"/>
      <w:bookmarkStart w:id="312" w:name="_Toc9761"/>
      <w:bookmarkStart w:id="313" w:name="_Toc12056"/>
      <w:r>
        <w:rPr>
          <w:rFonts w:hint="eastAsia" w:asciiTheme="minorEastAsia" w:hAnsiTheme="minorEastAsia" w:eastAsiaTheme="minorEastAsia" w:cstheme="minorEastAsia"/>
          <w:color w:val="000000" w:themeColor="text1"/>
          <w14:textFill>
            <w14:solidFill>
              <w14:schemeClr w14:val="tx1"/>
            </w14:solidFill>
          </w14:textFill>
        </w:rPr>
        <w:t xml:space="preserve">第九章  </w:t>
      </w:r>
      <w:r>
        <w:rPr>
          <w:rFonts w:hint="eastAsia"/>
          <w:color w:val="000000" w:themeColor="text1"/>
          <w:sz w:val="30"/>
          <w:szCs w:val="30"/>
          <w14:textFill>
            <w14:solidFill>
              <w14:schemeClr w14:val="tx1"/>
            </w14:solidFill>
          </w14:textFill>
        </w:rPr>
        <w:t>供应商承诺书</w:t>
      </w:r>
      <w:bookmarkEnd w:id="183"/>
      <w:bookmarkEnd w:id="184"/>
      <w:bookmarkEnd w:id="311"/>
      <w:bookmarkEnd w:id="312"/>
      <w:bookmarkEnd w:id="313"/>
    </w:p>
    <w:p>
      <w:pPr>
        <w:pStyle w:val="11"/>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outlineLvl w:val="9"/>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1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u w:val="single"/>
                <w:lang w:eastAsia="zh-CN"/>
              </w:rPr>
              <w:t>西安市中心血站地铁灯箱、公交车尾窗LED屏、微信朋友圈、短视频献血宣传项目(第3包二次)</w:t>
            </w:r>
            <w:r>
              <w:rPr>
                <w:rFonts w:hint="eastAsia" w:ascii="宋体" w:hAnsi="宋体" w:cs="宋体"/>
                <w:szCs w:val="21"/>
              </w:rPr>
              <w:t xml:space="preserve">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u w:val="single"/>
                <w:lang w:eastAsia="zh-CN"/>
              </w:rPr>
              <w:t>西安市中心血站地铁灯箱、公交车尾窗LED屏、微信朋友圈、短视频献血宣传项目(第3包二次)</w:t>
            </w:r>
            <w:r>
              <w:rPr>
                <w:rFonts w:hint="eastAsia" w:ascii="宋体" w:hAnsi="宋体" w:cs="宋体"/>
                <w:szCs w:val="21"/>
              </w:rPr>
              <w:t>的供应商，本公司郑重申告并承诺：近三年受到有关行政主管部门的行政处理、不良行为记录为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1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u w:val="single"/>
                <w:lang w:eastAsia="zh-CN"/>
              </w:rPr>
              <w:t>西安市中心血站地铁灯箱、公交车尾窗LED屏、微信朋友圈、短视频献血宣传项目(第3包二次)</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outlineLvl w:val="9"/>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1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u w:val="single"/>
                <w:lang w:eastAsia="zh-CN"/>
              </w:rPr>
              <w:t>西安市中心血站地铁灯箱、公交车尾窗LED屏、微信朋友圈、短视频献血宣传项目(第3包二次)</w:t>
            </w:r>
            <w:r>
              <w:rPr>
                <w:rFonts w:hint="eastAsia" w:ascii="宋体" w:hAnsi="宋体" w:cs="宋体"/>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adjustRightInd w:val="0"/>
        <w:snapToGrid w:val="0"/>
        <w:ind w:firstLine="720" w:firstLineChars="200"/>
        <w:jc w:val="left"/>
        <w:rPr>
          <w:rFonts w:ascii="宋体" w:hAnsi="宋体" w:cs="宋体"/>
          <w:bCs/>
          <w:sz w:val="36"/>
          <w:szCs w:val="36"/>
        </w:rPr>
      </w:pPr>
    </w:p>
    <w:p>
      <w:pPr>
        <w:widowControl/>
        <w:spacing w:line="460" w:lineRule="exact"/>
        <w:ind w:firstLine="480" w:firstLineChars="200"/>
        <w:jc w:val="left"/>
        <w:rPr>
          <w:rFonts w:ascii="宋体" w:hAnsi="宋体" w:cs="宋体"/>
          <w:sz w:val="24"/>
          <w:szCs w:val="28"/>
        </w:rPr>
        <w:sectPr>
          <w:pgSz w:w="11906" w:h="16838"/>
          <w:pgMar w:top="1440" w:right="1803" w:bottom="1440" w:left="1803" w:header="851" w:footer="992" w:gutter="0"/>
          <w:pgNumType w:fmt="decimal"/>
          <w:cols w:space="720" w:num="1"/>
          <w:docGrid w:type="lines" w:linePitch="319" w:charSpace="0"/>
        </w:sectPr>
      </w:pPr>
    </w:p>
    <w:p>
      <w:pPr>
        <w:pStyle w:val="3"/>
        <w:spacing w:line="416" w:lineRule="atLeast"/>
        <w:jc w:val="center"/>
        <w:textAlignment w:val="baseline"/>
        <w:rPr>
          <w:rFonts w:ascii="宋体" w:hAnsi="宋体" w:cs="宋体"/>
        </w:rPr>
      </w:pPr>
      <w:bookmarkStart w:id="314" w:name="_Toc14248"/>
      <w:bookmarkStart w:id="315" w:name="_Toc22273"/>
      <w:r>
        <w:rPr>
          <w:rFonts w:hint="eastAsia" w:ascii="宋体" w:hAnsi="宋体" w:cs="宋体"/>
        </w:rPr>
        <w:t>附件一：封袋正面标识式样</w:t>
      </w:r>
      <w:bookmarkEnd w:id="134"/>
      <w:bookmarkEnd w:id="135"/>
      <w:bookmarkEnd w:id="314"/>
      <w:bookmarkEnd w:id="315"/>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-349885</wp:posOffset>
                </wp:positionH>
                <wp:positionV relativeFrom="paragraph">
                  <wp:posOffset>113030</wp:posOffset>
                </wp:positionV>
                <wp:extent cx="5781040" cy="3277870"/>
                <wp:effectExtent l="4445" t="4445" r="5715" b="13335"/>
                <wp:wrapNone/>
                <wp:docPr id="13" name="Text Box 3"/>
                <wp:cNvGraphicFramePr/>
                <a:graphic xmlns:a="http://schemas.openxmlformats.org/drawingml/2006/main">
                  <a:graphicData uri="http://schemas.microsoft.com/office/word/2010/wordprocessingShape">
                    <wps:wsp>
                      <wps:cNvSpPr txBox="1"/>
                      <wps:spPr>
                        <a:xfrm>
                          <a:off x="0" y="0"/>
                          <a:ext cx="5781040" cy="3008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7.55pt;margin-top:8.9pt;height:258.1pt;width:455.2pt;z-index:251665408;mso-width-relative:page;mso-height-relative:page;" fillcolor="#FFFFFF" filled="t" stroked="t" coordsize="21600,21600" o:gfxdata="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Vj487ZAAAACgEAAA8AAAAAAAAAAQAgAAAAIgAAAGRy&#10;cy9kb3ducmV2LnhtbFBLAQIUABQAAAAIAIdO4kD6Rt5MBAIAAEUEAAAOAAAAAAAAAAEAIAAAACgB&#10;AABkcnMvZTJvRG9jLnhtbFBLBQYAAAAABgAGAFkBAACeBQ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6"/>
      </w:pPr>
    </w:p>
    <w:p>
      <w:pPr>
        <w:spacing w:line="460" w:lineRule="exact"/>
        <w:ind w:firstLine="482" w:firstLineChars="200"/>
        <w:jc w:val="center"/>
        <w:rPr>
          <w:rFonts w:ascii="宋体" w:hAnsi="宋体" w:cs="宋体"/>
          <w:b/>
          <w:sz w:val="24"/>
        </w:rPr>
      </w:pPr>
      <w:r>
        <w:rPr>
          <w:rFonts w:hint="eastAsia" w:ascii="宋体" w:hAnsi="宋体" w:cs="宋体"/>
          <w:b/>
          <w:sz w:val="24"/>
        </w:rPr>
        <w:t>磋商响应文件副本封袋正面标识式样</w:t>
      </w:r>
    </w:p>
    <w:p>
      <w:pPr>
        <w:ind w:firstLine="420" w:firstLineChars="200"/>
        <w:jc w:val="center"/>
        <w:rPr>
          <w:rFonts w:ascii="宋体" w:hAnsi="宋体" w:cs="宋体"/>
        </w:rPr>
      </w:pPr>
    </w:p>
    <w:p>
      <w:pPr>
        <w:ind w:firstLine="420" w:firstLineChars="200"/>
        <w:jc w:val="center"/>
        <w:rPr>
          <w:rFonts w:ascii="宋体" w:hAnsi="宋体" w:cs="宋体"/>
        </w:rPr>
      </w:pP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100330</wp:posOffset>
                </wp:positionV>
                <wp:extent cx="5825490" cy="3637280"/>
                <wp:effectExtent l="4445" t="4445" r="18415" b="15875"/>
                <wp:wrapNone/>
                <wp:docPr id="6" name="Text Box 4"/>
                <wp:cNvGraphicFramePr/>
                <a:graphic xmlns:a="http://schemas.openxmlformats.org/drawingml/2006/main">
                  <a:graphicData uri="http://schemas.microsoft.com/office/word/2010/wordprocessingShape">
                    <wps:wsp>
                      <wps:cNvSpPr txBox="1"/>
                      <wps:spPr>
                        <a:xfrm>
                          <a:off x="0" y="0"/>
                          <a:ext cx="5825490" cy="3180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6"/>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4" o:spid="_x0000_s1026" o:spt="202" type="#_x0000_t202" style="position:absolute;left:0pt;margin-left:-24.75pt;margin-top:7.9pt;height:286.4pt;width:458.7pt;z-index:251666432;mso-width-relative:page;mso-height-relative:page;" fillcolor="#FFFFFF" filled="t" stroked="t" coordsize="21600,21600" o:gfxdata="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vqR02QAAAAoBAAAPAAAAAAAAAAEAIAAAACIAAABkcnMv&#10;ZG93bnJldi54bWxQSwECFAAUAAAACACHTuJAjRWJWgICAABEBAAADgAAAAAAAAABACAAAAAoAQAA&#10;ZHJzL2Uyb0RvYy54bWxQSwUGAAAAAAYABgBZAQAAnAU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6"/>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16" w:type="default"/>
          <w:pgSz w:w="11906" w:h="16838"/>
          <w:pgMar w:top="1440" w:right="1800" w:bottom="1440" w:left="1800" w:header="851" w:footer="992" w:gutter="0"/>
          <w:pgNumType w:fmt="decimal"/>
          <w:cols w:space="720" w:num="1"/>
          <w:docGrid w:type="lines" w:linePitch="312"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磋商一览表封袋正面标识式样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-325755</wp:posOffset>
                </wp:positionH>
                <wp:positionV relativeFrom="paragraph">
                  <wp:posOffset>191135</wp:posOffset>
                </wp:positionV>
                <wp:extent cx="5849620" cy="2955925"/>
                <wp:effectExtent l="4445" t="4445" r="13335" b="11430"/>
                <wp:wrapNone/>
                <wp:docPr id="11" name="Text Box 3"/>
                <wp:cNvGraphicFramePr/>
                <a:graphic xmlns:a="http://schemas.openxmlformats.org/drawingml/2006/main">
                  <a:graphicData uri="http://schemas.microsoft.com/office/word/2010/wordprocessingShape">
                    <wps:wsp>
                      <wps:cNvSpPr txBox="1"/>
                      <wps:spPr>
                        <a:xfrm>
                          <a:off x="0" y="0"/>
                          <a:ext cx="5706745" cy="295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32.75pt;width:460.6pt;z-index:251667456;mso-width-relative:page;mso-height-relative:page;" fillcolor="#FFFFFF" filled="t" stroked="t" coordsize="21600,21600" o:gfxdata="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GHPNoAAAAKAQAADwAAAAAAAAABACAAAAAiAAAAZHJz&#10;L2Rvd25yZXYueG1sUEsBAhQAFAAAAAgAh07iQB0wlQYCAgAARQQAAA4AAAAAAAAAAQAgAAAAKQEA&#10;AGRycy9lMm9Eb2MueG1sUEsFBgAAAAAGAAYAWQEAAJ0FA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p>
                    <w:p>
                      <w:pPr>
                        <w:jc w:val="center"/>
                        <w:rPr>
                          <w:rFonts w:hint="eastAsia" w:eastAsia="宋体"/>
                          <w:sz w:val="28"/>
                          <w:szCs w:val="28"/>
                          <w:lang w:eastAsia="zh-CN"/>
                        </w:rPr>
                      </w:pP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-331470</wp:posOffset>
                </wp:positionH>
                <wp:positionV relativeFrom="paragraph">
                  <wp:posOffset>142240</wp:posOffset>
                </wp:positionV>
                <wp:extent cx="5750560" cy="3418840"/>
                <wp:effectExtent l="4445" t="4445" r="17145" b="5715"/>
                <wp:wrapNone/>
                <wp:docPr id="10" name="Text Box 3"/>
                <wp:cNvGraphicFramePr/>
                <a:graphic xmlns:a="http://schemas.openxmlformats.org/drawingml/2006/main">
                  <a:graphicData uri="http://schemas.microsoft.com/office/word/2010/wordprocessingShape">
                    <wps:wsp>
                      <wps:cNvSpPr txBox="1"/>
                      <wps:spPr>
                        <a:xfrm>
                          <a:off x="0" y="0"/>
                          <a:ext cx="5750560" cy="289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upright="1"/>
                    </wps:wsp>
                  </a:graphicData>
                </a:graphic>
              </wp:anchor>
            </w:drawing>
          </mc:Choice>
          <mc:Fallback>
            <w:pict>
              <v:shape id="Text Box 3" o:spid="_x0000_s1026" o:spt="202" type="#_x0000_t202" style="position:absolute;left:0pt;margin-left:-26.1pt;margin-top:11.2pt;height:269.2pt;width:452.8pt;z-index:251668480;mso-width-relative:page;mso-height-relative:page;" fillcolor="#FFFFFF" filled="t" stroked="t" coordsize="21600,21600" o:gfxdata="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bHS92gAAAAoBAAAPAAAAAAAAAAEAIAAAACIAAABkcnMv&#10;ZG93bnJldi54bWxQSwECFAAUAAAACACHTuJAqkKM/AECAABFBAAADgAAAAAAAAABACAAAAApAQAA&#10;ZHJzL2Uyb0RvYy54bWxQSwUGAAAAAAYABgBZAQAAnAU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SXWZ2024ZB-XAXZ-023A</w:t>
                      </w:r>
                      <w:r>
                        <w:rPr>
                          <w:rFonts w:hint="eastAsia"/>
                          <w:sz w:val="28"/>
                          <w:szCs w:val="28"/>
                        </w:rPr>
                        <w:t>项目名称：</w:t>
                      </w:r>
                      <w:r>
                        <w:rPr>
                          <w:rFonts w:hint="eastAsia"/>
                          <w:sz w:val="28"/>
                          <w:szCs w:val="28"/>
                          <w:lang w:eastAsia="zh-CN"/>
                        </w:rPr>
                        <w:t>西安市中心血站地铁灯箱、公交车尾窗LED屏、微信朋友圈、短视频献血宣传项目(第3包二次)</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pgNumType w:fmt="decimal"/>
          <w:cols w:space="720" w:num="1"/>
          <w:docGrid w:type="lines" w:linePitch="319" w:charSpace="0"/>
        </w:sectPr>
      </w:pPr>
    </w:p>
    <w:p>
      <w:pPr>
        <w:pStyle w:val="3"/>
        <w:jc w:val="center"/>
      </w:pPr>
      <w:bookmarkStart w:id="316" w:name="_Toc30485"/>
      <w:bookmarkStart w:id="317" w:name="_Toc25846"/>
      <w:bookmarkStart w:id="318" w:name="_Toc8635"/>
      <w:bookmarkStart w:id="319" w:name="_Toc8177"/>
      <w:bookmarkStart w:id="320" w:name="_Toc4153"/>
      <w:bookmarkStart w:id="321" w:name="_Toc18633"/>
      <w:bookmarkStart w:id="322" w:name="_Toc20374"/>
      <w:bookmarkStart w:id="323" w:name="_Toc11632"/>
      <w:bookmarkStart w:id="324" w:name="_Toc14306"/>
      <w:bookmarkStart w:id="325" w:name="_Toc1641"/>
      <w:bookmarkStart w:id="326" w:name="_Toc3008"/>
      <w:bookmarkStart w:id="327" w:name="_Toc2630"/>
      <w:bookmarkStart w:id="328" w:name="_Toc11896"/>
      <w:bookmarkStart w:id="329" w:name="_Toc32438"/>
      <w:bookmarkStart w:id="330" w:name="_Toc12531"/>
      <w:bookmarkStart w:id="331" w:name="_Toc10807"/>
      <w:bookmarkStart w:id="332" w:name="_Toc6022"/>
      <w:bookmarkStart w:id="333" w:name="_Toc5814"/>
      <w:bookmarkStart w:id="334" w:name="_Toc19203"/>
      <w:bookmarkStart w:id="335" w:name="_Toc30870"/>
      <w:bookmarkStart w:id="336" w:name="_Toc30536"/>
      <w:bookmarkStart w:id="337" w:name="_Toc15467"/>
      <w:r>
        <w:rPr>
          <w:rFonts w:hint="eastAsia"/>
        </w:rPr>
        <w:t>附件二、中小企业申明</w:t>
      </w:r>
      <w:bookmarkEnd w:id="316"/>
      <w:bookmarkEnd w:id="317"/>
      <w:bookmarkEnd w:id="318"/>
      <w:bookmarkEnd w:id="319"/>
      <w:bookmarkEnd w:id="320"/>
      <w:bookmarkEnd w:id="321"/>
      <w:bookmarkEnd w:id="322"/>
      <w:bookmarkEnd w:id="323"/>
      <w:bookmarkEnd w:id="324"/>
      <w:bookmarkEnd w:id="325"/>
      <w:bookmarkEnd w:id="326"/>
      <w:bookmarkEnd w:id="327"/>
    </w:p>
    <w:p>
      <w:pPr>
        <w:spacing w:line="588" w:lineRule="exact"/>
        <w:ind w:firstLine="504" w:firstLineChars="200"/>
        <w:rPr>
          <w:rFonts w:ascii="宋体" w:hAnsi="宋体"/>
          <w:spacing w:val="6"/>
          <w:sz w:val="24"/>
        </w:rPr>
      </w:pPr>
      <w:r>
        <w:rPr>
          <w:rFonts w:hint="eastAsia" w:ascii="宋体" w:hAnsi="宋体"/>
          <w:spacing w:val="6"/>
          <w:sz w:val="24"/>
        </w:rPr>
        <w:t>根据《政府采购促进中小企业发展管理办法》（财库[2020]46号）的规定，由投标人自行声明并对真实性负责。如有虚假，将依法承担相应责任。</w:t>
      </w:r>
    </w:p>
    <w:p>
      <w:pPr>
        <w:jc w:val="center"/>
        <w:rPr>
          <w:sz w:val="28"/>
          <w:szCs w:val="28"/>
        </w:rPr>
      </w:pPr>
      <w:r>
        <w:rPr>
          <w:rFonts w:hint="eastAsia"/>
          <w:sz w:val="28"/>
          <w:szCs w:val="28"/>
        </w:rPr>
        <w:t>中小企业声明函</w:t>
      </w:r>
    </w:p>
    <w:p>
      <w:pPr>
        <w:pStyle w:val="9"/>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采购活动，服务全部由符合政策要求的中小企业承接。相关企业（含联合体中的中小企业、签订分包意向协议的中小企业）的具体情况如下：</w:t>
      </w:r>
    </w:p>
    <w:p>
      <w:pPr>
        <w:pStyle w:val="21"/>
        <w:numPr>
          <w:ilvl w:val="0"/>
          <w:numId w:val="20"/>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21"/>
        <w:numPr>
          <w:ilvl w:val="0"/>
          <w:numId w:val="20"/>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9"/>
        <w:spacing w:line="360" w:lineRule="auto"/>
        <w:ind w:left="860"/>
        <w:rPr>
          <w:rFonts w:ascii="宋体" w:hAnsi="宋体"/>
          <w:spacing w:val="6"/>
          <w:sz w:val="24"/>
        </w:rPr>
      </w:pPr>
      <w:r>
        <w:rPr>
          <w:rFonts w:hint="eastAsia" w:ascii="宋体" w:hAnsi="宋体"/>
          <w:spacing w:val="6"/>
          <w:sz w:val="24"/>
        </w:rPr>
        <w:t>……</w:t>
      </w:r>
    </w:p>
    <w:p>
      <w:pPr>
        <w:pStyle w:val="9"/>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9"/>
        <w:spacing w:line="360" w:lineRule="auto"/>
        <w:ind w:right="372" w:firstLine="645"/>
        <w:rPr>
          <w:rFonts w:ascii="宋体" w:hAnsi="宋体"/>
          <w:spacing w:val="6"/>
          <w:sz w:val="24"/>
        </w:rPr>
      </w:pPr>
      <w:r>
        <w:rPr>
          <w:rFonts w:hint="eastAsia" w:ascii="宋体" w:hAnsi="宋体"/>
          <w:spacing w:val="6"/>
          <w:sz w:val="24"/>
        </w:rPr>
        <w:t>本企业对上述声明内容的真实性负责。如有虚假，将依法承担相应责任。</w:t>
      </w:r>
    </w:p>
    <w:p>
      <w:pPr>
        <w:pStyle w:val="9"/>
        <w:spacing w:line="304" w:lineRule="auto"/>
        <w:ind w:right="375" w:firstLine="640"/>
      </w:pPr>
      <w:r>
        <w:rPr>
          <w:rFonts w:hint="eastAsia" w:ascii="宋体" w:hAnsi="宋体"/>
          <w:b/>
          <w:bCs/>
          <w:color w:val="auto"/>
          <w:spacing w:val="6"/>
          <w:sz w:val="24"/>
        </w:rPr>
        <w:t>备注：本项目所属行业为：租赁和商务服务业</w:t>
      </w:r>
      <w:r>
        <w:rPr>
          <w:rFonts w:hint="eastAsia" w:ascii="宋体" w:hAnsi="宋体"/>
          <w:b/>
          <w:bCs/>
          <w:color w:val="auto"/>
          <w:spacing w:val="6"/>
          <w:sz w:val="24"/>
          <w:lang w:val="en-US" w:eastAsia="zh-CN"/>
        </w:rPr>
        <w:t>。</w:t>
      </w:r>
    </w:p>
    <w:p>
      <w:pPr>
        <w:spacing w:line="360" w:lineRule="auto"/>
        <w:jc w:val="left"/>
        <w:rPr>
          <w:rFonts w:ascii="宋体" w:hAnsi="宋体"/>
          <w:spacing w:val="6"/>
          <w:sz w:val="24"/>
        </w:rPr>
      </w:pPr>
      <w:r>
        <w:rPr>
          <w:rFonts w:hint="eastAsia" w:ascii="宋体" w:hAnsi="宋体"/>
          <w:spacing w:val="6"/>
          <w:sz w:val="24"/>
        </w:rPr>
        <w:t>企业名称（盖章）：</w:t>
      </w:r>
    </w:p>
    <w:p>
      <w:pPr>
        <w:spacing w:line="588" w:lineRule="exact"/>
        <w:rPr>
          <w:rFonts w:ascii="宋体" w:hAnsi="宋体"/>
          <w:spacing w:val="6"/>
          <w:sz w:val="24"/>
          <w:szCs w:val="24"/>
        </w:rPr>
        <w:sectPr>
          <w:footerReference r:id="rId17" w:type="default"/>
          <w:pgSz w:w="11906" w:h="16838"/>
          <w:pgMar w:top="1440" w:right="1803" w:bottom="1440" w:left="1803" w:header="851" w:footer="992" w:gutter="0"/>
          <w:pgNumType w:fmt="decimal"/>
          <w:cols w:space="720" w:num="1"/>
          <w:docGrid w:type="lines" w:linePitch="319" w:charSpace="0"/>
        </w:sectPr>
      </w:pPr>
      <w:r>
        <w:rPr>
          <w:rFonts w:hint="eastAsia" w:ascii="宋体" w:hAnsi="宋体"/>
          <w:spacing w:val="6"/>
          <w:sz w:val="24"/>
        </w:rPr>
        <w:t>日期</w:t>
      </w:r>
      <w:r>
        <w:rPr>
          <w:rFonts w:hint="eastAsia" w:ascii="宋体" w:hAnsi="宋体"/>
          <w:color w:val="000000"/>
          <w:spacing w:val="6"/>
          <w:sz w:val="24"/>
        </w:rPr>
        <w:t>：</w:t>
      </w:r>
    </w:p>
    <w:p>
      <w:pPr>
        <w:spacing w:line="360" w:lineRule="auto"/>
        <w:rPr>
          <w:rFonts w:ascii="宋体" w:hAnsi="宋体"/>
          <w:b/>
          <w:sz w:val="24"/>
        </w:rPr>
      </w:pPr>
      <w:r>
        <w:rPr>
          <w:rFonts w:hint="eastAsia" w:ascii="宋体" w:hAnsi="宋体"/>
          <w:b/>
          <w:sz w:val="24"/>
        </w:rPr>
        <w:t>附：《</w:t>
      </w:r>
      <w:r>
        <w:rPr>
          <w:rFonts w:ascii="宋体" w:hAnsi="宋体"/>
          <w:b/>
          <w:sz w:val="24"/>
        </w:rPr>
        <w:t>中小企业划型标准规定</w:t>
      </w:r>
      <w:r>
        <w:rPr>
          <w:rFonts w:hint="eastAsia" w:ascii="宋体" w:hAnsi="宋体"/>
          <w:b/>
          <w:sz w:val="24"/>
        </w:rPr>
        <w:t>》</w:t>
      </w:r>
      <w:r>
        <w:rPr>
          <w:rFonts w:ascii="宋体" w:hAnsi="宋体"/>
          <w:b/>
          <w:sz w:val="24"/>
        </w:rPr>
        <w:t>各行业划型标准</w:t>
      </w:r>
    </w:p>
    <w:p>
      <w:pPr>
        <w:spacing w:line="360" w:lineRule="auto"/>
        <w:ind w:firstLine="420"/>
        <w:rPr>
          <w:rFonts w:ascii="宋体" w:hAnsi="宋体"/>
          <w:sz w:val="24"/>
        </w:rPr>
      </w:pPr>
      <w:r>
        <w:rPr>
          <w:rFonts w:ascii="宋体" w:hAnsi="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20"/>
        <w:rPr>
          <w:rFonts w:ascii="宋体" w:hAnsi="宋体"/>
          <w:sz w:val="24"/>
        </w:rPr>
      </w:pPr>
      <w:r>
        <w:rPr>
          <w:rFonts w:ascii="宋体" w:hAnsi="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20"/>
        <w:rPr>
          <w:rFonts w:ascii="宋体" w:hAnsi="宋体"/>
          <w:sz w:val="24"/>
        </w:rPr>
      </w:pPr>
      <w:r>
        <w:rPr>
          <w:rFonts w:ascii="宋体" w:hAnsi="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20"/>
        <w:rPr>
          <w:rFonts w:ascii="宋体" w:hAnsi="宋体"/>
          <w:sz w:val="24"/>
        </w:rPr>
      </w:pPr>
      <w:r>
        <w:rPr>
          <w:rFonts w:ascii="宋体" w:hAnsi="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20"/>
        <w:rPr>
          <w:rFonts w:ascii="宋体" w:hAnsi="宋体"/>
          <w:sz w:val="24"/>
        </w:rPr>
      </w:pPr>
      <w:r>
        <w:rPr>
          <w:rFonts w:ascii="宋体" w:hAnsi="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20"/>
        <w:rPr>
          <w:rFonts w:ascii="宋体" w:hAnsi="宋体"/>
          <w:sz w:val="24"/>
        </w:rPr>
      </w:pPr>
      <w:r>
        <w:rPr>
          <w:rFonts w:ascii="宋体" w:hAnsi="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20"/>
        <w:rPr>
          <w:rFonts w:ascii="宋体" w:hAnsi="宋体"/>
          <w:sz w:val="24"/>
        </w:rPr>
      </w:pPr>
      <w:r>
        <w:rPr>
          <w:rFonts w:ascii="宋体" w:hAnsi="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20"/>
        <w:rPr>
          <w:rFonts w:ascii="宋体" w:hAnsi="宋体"/>
          <w:sz w:val="24"/>
        </w:rPr>
      </w:pPr>
      <w:r>
        <w:rPr>
          <w:rFonts w:ascii="宋体" w:hAnsi="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20"/>
        <w:rPr>
          <w:rFonts w:ascii="宋体" w:hAnsi="宋体"/>
          <w:sz w:val="24"/>
        </w:rPr>
      </w:pPr>
      <w:r>
        <w:rPr>
          <w:rFonts w:ascii="宋体" w:hAnsi="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20"/>
        <w:rPr>
          <w:rFonts w:ascii="宋体" w:hAnsi="宋体"/>
          <w:sz w:val="24"/>
        </w:rPr>
      </w:pPr>
      <w:r>
        <w:rPr>
          <w:rFonts w:ascii="宋体" w:hAnsi="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20"/>
        <w:rPr>
          <w:rFonts w:ascii="宋体" w:hAnsi="宋体"/>
          <w:sz w:val="24"/>
        </w:rPr>
      </w:pPr>
      <w:r>
        <w:rPr>
          <w:rFonts w:ascii="宋体" w:hAnsi="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20"/>
        <w:rPr>
          <w:rFonts w:ascii="宋体" w:hAnsi="宋体"/>
          <w:sz w:val="24"/>
        </w:rPr>
      </w:pPr>
      <w:r>
        <w:rPr>
          <w:rFonts w:ascii="宋体" w:hAnsi="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20"/>
        <w:rPr>
          <w:rFonts w:ascii="宋体" w:hAnsi="宋体"/>
          <w:sz w:val="24"/>
        </w:rPr>
      </w:pPr>
      <w:r>
        <w:rPr>
          <w:rFonts w:ascii="宋体" w:hAnsi="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20"/>
        <w:rPr>
          <w:rFonts w:ascii="宋体" w:hAnsi="宋体"/>
          <w:sz w:val="24"/>
        </w:rPr>
      </w:pPr>
      <w:r>
        <w:rPr>
          <w:rFonts w:ascii="宋体" w:hAnsi="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20"/>
        <w:rPr>
          <w:rFonts w:ascii="宋体" w:hAnsi="宋体"/>
          <w:sz w:val="24"/>
        </w:rPr>
      </w:pPr>
      <w:r>
        <w:rPr>
          <w:rFonts w:ascii="宋体" w:hAnsi="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olor w:val="FF0000"/>
          <w:sz w:val="24"/>
        </w:rPr>
      </w:pPr>
      <w:r>
        <w:rPr>
          <w:rFonts w:ascii="宋体" w:hAnsi="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320" w:firstLineChars="1800"/>
        <w:rPr>
          <w:rFonts w:ascii="宋体" w:hAnsi="宋体"/>
          <w:color w:val="FF0000"/>
          <w:sz w:val="24"/>
        </w:rPr>
      </w:pPr>
    </w:p>
    <w:p>
      <w:r>
        <w:rPr>
          <w:rFonts w:hint="eastAsia"/>
        </w:rPr>
        <w:br w:type="page"/>
      </w:r>
    </w:p>
    <w:p>
      <w:pPr>
        <w:pStyle w:val="3"/>
        <w:jc w:val="center"/>
      </w:pPr>
      <w:bookmarkStart w:id="338" w:name="_Toc21023"/>
      <w:r>
        <w:rPr>
          <w:rFonts w:hint="eastAsia"/>
        </w:rPr>
        <w:t>附件三、残疾人福利性单位声明</w:t>
      </w:r>
      <w:bookmarkEnd w:id="328"/>
      <w:bookmarkEnd w:id="329"/>
      <w:bookmarkEnd w:id="330"/>
      <w:bookmarkEnd w:id="331"/>
      <w:bookmarkEnd w:id="332"/>
      <w:bookmarkEnd w:id="333"/>
      <w:bookmarkEnd w:id="334"/>
      <w:bookmarkEnd w:id="338"/>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339" w:name="OLE_LINK14"/>
      <w:r>
        <w:rPr>
          <w:rFonts w:hint="eastAsia" w:asciiTheme="minorEastAsia" w:hAnsiTheme="minorEastAsia" w:cstheme="minorEastAsia"/>
          <w:b/>
          <w:spacing w:val="6"/>
          <w:sz w:val="24"/>
          <w:szCs w:val="24"/>
        </w:rPr>
        <w:t>残疾人福利性单位声明函</w:t>
      </w:r>
      <w:bookmarkEnd w:id="339"/>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1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供应商名称（盖章）：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3"/>
        <w:jc w:val="center"/>
        <w:rPr>
          <w:rFonts w:ascii="宋体" w:hAnsi="宋体" w:cs="宋体"/>
        </w:rPr>
      </w:pPr>
      <w:bookmarkStart w:id="340" w:name="_Toc3053"/>
      <w:bookmarkStart w:id="341" w:name="_Toc18290"/>
      <w:bookmarkStart w:id="342" w:name="_Toc2521"/>
      <w:r>
        <w:rPr>
          <w:rFonts w:hint="eastAsia"/>
        </w:rPr>
        <w:t>附件四、监狱企业证明文件</w:t>
      </w:r>
      <w:bookmarkEnd w:id="335"/>
      <w:bookmarkEnd w:id="336"/>
      <w:bookmarkEnd w:id="337"/>
      <w:bookmarkEnd w:id="340"/>
      <w:bookmarkEnd w:id="341"/>
      <w:bookmarkEnd w:id="342"/>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3"/>
        <w:spacing w:line="416" w:lineRule="atLeast"/>
        <w:jc w:val="center"/>
        <w:textAlignment w:val="baseline"/>
        <w:rPr>
          <w:rFonts w:ascii="宋体" w:hAnsi="宋体" w:cs="宋体"/>
        </w:rPr>
      </w:pPr>
      <w:bookmarkStart w:id="343" w:name="_Toc2126"/>
      <w:bookmarkStart w:id="344" w:name="_Toc2489"/>
      <w:bookmarkStart w:id="345" w:name="_Toc13303"/>
      <w:bookmarkStart w:id="346" w:name="_Toc11969"/>
      <w:bookmarkStart w:id="347" w:name="_Toc563"/>
      <w:bookmarkStart w:id="348" w:name="_Toc13122"/>
      <w:bookmarkStart w:id="349" w:name="_Toc27499"/>
      <w:r>
        <w:rPr>
          <w:rFonts w:hint="eastAsia" w:ascii="宋体" w:hAnsi="宋体" w:cs="宋体"/>
        </w:rPr>
        <w:t>附件五、“节能产品”，“环境标志产品”证明材料</w:t>
      </w:r>
      <w:bookmarkEnd w:id="343"/>
      <w:bookmarkEnd w:id="344"/>
      <w:bookmarkEnd w:id="345"/>
      <w:bookmarkEnd w:id="346"/>
      <w:bookmarkEnd w:id="347"/>
      <w:bookmarkEnd w:id="348"/>
      <w:bookmarkEnd w:id="349"/>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1"/>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1"/>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3"/>
        <w:spacing w:line="416" w:lineRule="atLeast"/>
        <w:textAlignment w:val="baseline"/>
        <w:rPr>
          <w:rFonts w:ascii="宋体" w:hAnsi="宋体" w:cs="宋体"/>
        </w:rPr>
        <w:sectPr>
          <w:footerReference r:id="rId18" w:type="default"/>
          <w:pgSz w:w="11906" w:h="16838"/>
          <w:pgMar w:top="1440" w:right="1803" w:bottom="1440" w:left="1803" w:header="851" w:footer="992" w:gutter="0"/>
          <w:pgNumType w:fmt="decimal"/>
          <w:cols w:space="720" w:num="1"/>
          <w:docGrid w:type="lines" w:linePitch="319" w:charSpace="0"/>
        </w:sectPr>
      </w:pPr>
    </w:p>
    <w:p>
      <w:pPr>
        <w:pStyle w:val="3"/>
      </w:pPr>
      <w:bookmarkStart w:id="350" w:name="_Toc4414"/>
      <w:bookmarkStart w:id="351" w:name="_Toc27991"/>
      <w:bookmarkStart w:id="352" w:name="_Toc26351"/>
      <w:bookmarkStart w:id="353" w:name="_Toc7075"/>
      <w:bookmarkStart w:id="354" w:name="_Toc23799"/>
      <w:bookmarkStart w:id="355" w:name="_Toc5338"/>
      <w:bookmarkStart w:id="356" w:name="_Toc10027"/>
      <w:bookmarkStart w:id="357" w:name="_Toc11924"/>
      <w:r>
        <w:rPr>
          <w:rFonts w:hint="eastAsia"/>
        </w:rPr>
        <w:t>附件六、质疑函范本</w:t>
      </w:r>
      <w:bookmarkEnd w:id="350"/>
      <w:bookmarkEnd w:id="351"/>
      <w:bookmarkEnd w:id="352"/>
      <w:bookmarkEnd w:id="353"/>
      <w:bookmarkEnd w:id="354"/>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标段号：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3.质疑供应商若对项目的某一分包进行质疑，质疑函中应列明具体分标段号。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outlineLvl w:val="9"/>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3"/>
        <w:spacing w:line="416" w:lineRule="atLeast"/>
        <w:jc w:val="both"/>
        <w:textAlignment w:val="baseline"/>
        <w:rPr>
          <w:rFonts w:ascii="宋体" w:hAnsi="宋体" w:cs="宋体"/>
        </w:rPr>
        <w:sectPr>
          <w:pgSz w:w="11906" w:h="16838"/>
          <w:pgMar w:top="1440" w:right="1803" w:bottom="1440" w:left="1803" w:header="851" w:footer="992" w:gutter="0"/>
          <w:pgNumType w:fmt="decimal"/>
          <w:cols w:space="720" w:num="1"/>
          <w:docGrid w:type="lines" w:linePitch="319" w:charSpace="0"/>
        </w:sectPr>
      </w:pPr>
    </w:p>
    <w:bookmarkEnd w:id="355"/>
    <w:bookmarkEnd w:id="356"/>
    <w:bookmarkEnd w:id="357"/>
    <w:p>
      <w:pPr>
        <w:jc w:val="left"/>
        <w:rPr>
          <w:rFonts w:ascii="宋体" w:hAnsi="宋体" w:cs="宋体"/>
          <w:sz w:val="72"/>
          <w:szCs w:val="72"/>
        </w:rPr>
      </w:pPr>
      <w:r>
        <w:rPr>
          <w:rFonts w:hint="eastAsia" w:ascii="宋体" w:hAnsi="宋体" w:cs="宋体"/>
          <w:b/>
          <w:spacing w:val="48"/>
          <w:sz w:val="72"/>
          <w:szCs w:val="72"/>
        </w:rPr>
        <w:t>公平</w:t>
      </w:r>
    </w:p>
    <w:p>
      <w:pPr>
        <w:tabs>
          <w:tab w:val="left" w:pos="3810"/>
        </w:tabs>
        <w:jc w:val="left"/>
        <w:rPr>
          <w:rFonts w:ascii="宋体" w:hAnsi="宋体" w:cs="宋体"/>
          <w:sz w:val="72"/>
          <w:szCs w:val="72"/>
        </w:rPr>
      </w:pPr>
    </w:p>
    <w:p>
      <w:pPr>
        <w:jc w:val="left"/>
        <w:rPr>
          <w:rFonts w:ascii="宋体" w:hAnsi="宋体" w:cs="宋体"/>
          <w:sz w:val="72"/>
          <w:szCs w:val="72"/>
        </w:rPr>
      </w:pPr>
    </w:p>
    <w:p>
      <w:pPr>
        <w:jc w:val="left"/>
        <w:rPr>
          <w:rFonts w:ascii="宋体" w:hAnsi="宋体" w:cs="宋体"/>
          <w:sz w:val="72"/>
          <w:szCs w:val="72"/>
        </w:rPr>
      </w:pPr>
    </w:p>
    <w:p>
      <w:pPr>
        <w:jc w:val="center"/>
        <w:rPr>
          <w:rFonts w:ascii="宋体" w:hAnsi="宋体" w:cs="宋体"/>
          <w:b/>
          <w:spacing w:val="48"/>
          <w:sz w:val="72"/>
          <w:szCs w:val="72"/>
        </w:rPr>
      </w:pPr>
    </w:p>
    <w:p>
      <w:pPr>
        <w:jc w:val="center"/>
        <w:rPr>
          <w:rFonts w:ascii="宋体" w:hAnsi="宋体" w:cs="宋体"/>
          <w:b/>
          <w:spacing w:val="48"/>
          <w:sz w:val="72"/>
          <w:szCs w:val="72"/>
        </w:rPr>
      </w:pPr>
      <w:r>
        <w:rPr>
          <w:rFonts w:hint="eastAsia" w:ascii="宋体" w:hAnsi="宋体" w:cs="宋体"/>
          <w:b/>
          <w:spacing w:val="48"/>
          <w:sz w:val="72"/>
          <w:szCs w:val="72"/>
        </w:rPr>
        <w:t>公正</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pPr>
    </w:p>
    <w:p>
      <w:pPr>
        <w:jc w:val="right"/>
        <w:rPr>
          <w:rFonts w:ascii="宋体" w:hAnsi="宋体" w:cs="宋体"/>
          <w:b/>
          <w:spacing w:val="48"/>
          <w:sz w:val="72"/>
          <w:szCs w:val="72"/>
        </w:rPr>
      </w:pPr>
    </w:p>
    <w:p>
      <w:pPr>
        <w:jc w:val="right"/>
        <w:rPr>
          <w:rFonts w:ascii="宋体" w:hAnsi="宋体" w:cs="宋体"/>
          <w:b/>
          <w:spacing w:val="48"/>
          <w:sz w:val="72"/>
          <w:szCs w:val="72"/>
        </w:rPr>
      </w:pPr>
      <w:r>
        <w:rPr>
          <w:rFonts w:hint="eastAsia" w:ascii="宋体" w:hAnsi="宋体" w:cs="宋体"/>
          <w:b/>
          <w:spacing w:val="48"/>
          <w:sz w:val="72"/>
          <w:szCs w:val="72"/>
        </w:rPr>
        <w:t>公开</w:t>
      </w:r>
    </w:p>
    <w:bookmarkEnd w:id="0"/>
    <w:p>
      <w:pPr>
        <w:outlineLvl w:val="9"/>
        <w:rPr>
          <w:rFonts w:ascii="宋体" w:hAnsi="宋体" w:cs="宋体"/>
          <w:b/>
          <w:sz w:val="30"/>
          <w:szCs w:val="30"/>
        </w:rPr>
      </w:pPr>
      <w:r>
        <w:rPr>
          <w:rFonts w:hint="eastAsia" w:ascii="宋体" w:hAnsi="宋体" w:cs="宋体"/>
          <w:b/>
          <w:sz w:val="30"/>
          <w:szCs w:val="30"/>
        </w:rPr>
        <w:t>企业名称：陕西万泽招标有限公司</w:t>
      </w:r>
    </w:p>
    <w:p>
      <w:pPr>
        <w:rPr>
          <w:rFonts w:ascii="宋体" w:hAnsi="宋体" w:cs="宋体"/>
          <w:b/>
          <w:sz w:val="30"/>
          <w:szCs w:val="30"/>
        </w:rPr>
      </w:pPr>
      <w:r>
        <w:rPr>
          <w:rFonts w:hint="eastAsia" w:ascii="宋体" w:hAnsi="宋体" w:cs="宋体"/>
          <w:b/>
          <w:sz w:val="30"/>
          <w:szCs w:val="30"/>
        </w:rPr>
        <w:t>地址：西安市西关正街英达大厦150</w:t>
      </w:r>
      <w:r>
        <w:rPr>
          <w:rFonts w:hint="eastAsia" w:ascii="宋体" w:hAnsi="宋体" w:cs="宋体"/>
          <w:b/>
          <w:sz w:val="30"/>
          <w:szCs w:val="30"/>
          <w:lang w:val="en-US" w:eastAsia="zh-CN"/>
        </w:rPr>
        <w:t>6</w:t>
      </w:r>
      <w:r>
        <w:rPr>
          <w:rFonts w:hint="eastAsia" w:ascii="宋体" w:hAnsi="宋体" w:cs="宋体"/>
          <w:b/>
          <w:sz w:val="30"/>
          <w:szCs w:val="30"/>
        </w:rPr>
        <w:t>室</w:t>
      </w:r>
    </w:p>
    <w:p>
      <w:pPr>
        <w:outlineLvl w:val="9"/>
        <w:rPr>
          <w:rFonts w:ascii="宋体" w:hAnsi="宋体" w:cs="宋体"/>
          <w:b/>
          <w:sz w:val="30"/>
          <w:szCs w:val="30"/>
        </w:rPr>
      </w:pPr>
      <w:r>
        <w:rPr>
          <w:rFonts w:hint="eastAsia" w:ascii="宋体" w:hAnsi="宋体" w:cs="宋体"/>
          <w:b/>
          <w:sz w:val="30"/>
          <w:szCs w:val="30"/>
        </w:rPr>
        <w:t>邮政编码：710082</w:t>
      </w:r>
    </w:p>
    <w:p>
      <w:pPr>
        <w:rPr>
          <w:rFonts w:ascii="宋体" w:hAnsi="宋体" w:cs="宋体"/>
          <w:b/>
          <w:sz w:val="30"/>
          <w:szCs w:val="30"/>
        </w:rPr>
      </w:pPr>
      <w:r>
        <w:rPr>
          <w:rFonts w:hint="eastAsia" w:ascii="宋体" w:hAnsi="宋体" w:cs="宋体"/>
          <w:b/>
          <w:sz w:val="30"/>
          <w:szCs w:val="30"/>
        </w:rPr>
        <w:t>电话：029-88319689</w:t>
      </w:r>
    </w:p>
    <w:p>
      <w:r>
        <w:rPr>
          <w:rFonts w:hint="eastAsia" w:ascii="宋体" w:hAnsi="宋体" w:cs="宋体"/>
          <w:b/>
          <w:sz w:val="30"/>
          <w:szCs w:val="30"/>
        </w:rPr>
        <w:t>传真：029-88319689</w:t>
      </w: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cs="宋体"/>
      </w:rPr>
      <w:t>陕西万泽招标有限公司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0"/>
        <w:tab w:val="right" w:pos="8420"/>
        <w:tab w:val="clear" w:pos="4153"/>
      </w:tabs>
      <w:rPr>
        <w:rFonts w:ascii="宋体" w:hAnsi="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70</w:t>
                    </w:r>
                    <w:r>
                      <w:fldChar w:fldCharType="end"/>
                    </w:r>
                  </w:p>
                </w:txbxContent>
              </v:textbox>
            </v:shape>
          </w:pict>
        </mc:Fallback>
      </mc:AlternateContent>
    </w:r>
    <w:r>
      <w:rPr>
        <w:rFonts w:hint="eastAsia" w:ascii="宋体" w:hAnsi="宋体"/>
      </w:rPr>
      <w:tab/>
    </w:r>
    <w:r>
      <w:rPr>
        <w:rFonts w:hint="eastAsia" w:ascii="宋体" w:hAnsi="宋体"/>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0"/>
        <w:tab w:val="right" w:pos="8420"/>
        <w:tab w:val="clear" w:pos="4153"/>
      </w:tabs>
      <w:rPr>
        <w:rFonts w:ascii="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71</w:t>
                    </w:r>
                    <w:r>
                      <w:fldChar w:fldCharType="end"/>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426"/>
      </w:tabs>
      <w:rPr>
        <w:rFonts w:ascii="宋体" w:cs="宋体"/>
      </w:rPr>
    </w:pP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09" w:lineRule="auto"/>
      <w:ind w:left="435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09" w:lineRule="auto"/>
      <w:ind w:left="435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spacing w:val="-4"/>
        <w:sz w:val="18"/>
        <w:szCs w:val="18"/>
      </w:rPr>
      <w:t>第</w:t>
    </w:r>
    <w:r>
      <w:rPr>
        <w:spacing w:val="10"/>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4"/>
        <w:sz w:val="18"/>
        <w:szCs w:val="18"/>
      </w:rPr>
      <w:t xml:space="preserve">  </w:t>
    </w:r>
    <w:r>
      <w:rPr>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09" w:lineRule="auto"/>
      <w:ind w:left="435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r>
      <w:rPr>
        <w:spacing w:val="-4"/>
        <w:sz w:val="18"/>
        <w:szCs w:val="18"/>
      </w:rPr>
      <w:t>第</w:t>
    </w:r>
    <w:r>
      <w:rPr>
        <w:spacing w:val="10"/>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4"/>
        <w:sz w:val="18"/>
        <w:szCs w:val="18"/>
      </w:rPr>
      <w:t xml:space="preserve">  </w:t>
    </w:r>
    <w:r>
      <w:rPr>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宋体" w:hAnsi="宋体" w:cs="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0" w:rightChars="0"/>
      <w:jc w:val="left"/>
      <w:rPr>
        <w:rFonts w:hint="eastAsia" w:ascii="宋体" w:eastAsia="宋体" w:cs="宋体"/>
        <w:sz w:val="15"/>
        <w:szCs w:val="15"/>
        <w:u w:val="single"/>
        <w:lang w:eastAsia="zh-CN"/>
      </w:rPr>
    </w:pPr>
    <w:r>
      <w:rPr>
        <w:rFonts w:hint="eastAsia" w:ascii="宋体" w:hAnsi="宋体" w:cs="宋体"/>
        <w:bCs/>
        <w:sz w:val="15"/>
        <w:szCs w:val="15"/>
        <w:u w:val="single"/>
        <w:lang w:eastAsia="zh-CN"/>
      </w:rPr>
      <w:t>西安市中心血站地铁灯箱、公交车尾窗LED屏、微信朋友圈、短视频献血宣传项目(第3包二次)</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SXWZ2024ZB-XAXZ-023A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jc w:val="left"/>
      <w:rPr>
        <w:rFonts w:hint="eastAsia" w:eastAsia="宋体"/>
        <w:lang w:eastAsia="zh-CN"/>
      </w:rPr>
    </w:pPr>
    <w:r>
      <w:rPr>
        <w:rFonts w:hint="eastAsia" w:ascii="宋体" w:hAnsi="宋体" w:cs="宋体"/>
        <w:bCs/>
        <w:sz w:val="15"/>
        <w:szCs w:val="15"/>
        <w:u w:val="single"/>
      </w:rPr>
      <w:t xml:space="preserve">西安市电子政务网络服务项目委托监理 服务                                                      </w:t>
    </w:r>
    <w:r>
      <w:rPr>
        <w:rFonts w:hint="eastAsia" w:ascii="宋体" w:hAnsi="宋体" w:cs="宋体"/>
        <w:bCs/>
        <w:sz w:val="15"/>
        <w:szCs w:val="15"/>
        <w:u w:val="single"/>
        <w:lang w:eastAsia="zh-CN"/>
      </w:rPr>
      <w:t>SXWZ2024ZB-XAXZ-023A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jc w:val="left"/>
      <w:rPr>
        <w:rFonts w:hint="eastAsia" w:eastAsia="宋体"/>
        <w:lang w:eastAsia="zh-CN"/>
      </w:rPr>
    </w:pPr>
    <w:r>
      <w:rPr>
        <w:rFonts w:hint="eastAsia" w:ascii="宋体" w:hAnsi="宋体" w:cs="宋体"/>
        <w:bCs/>
        <w:sz w:val="15"/>
        <w:szCs w:val="15"/>
        <w:u w:val="single"/>
        <w:lang w:eastAsia="zh-CN"/>
      </w:rPr>
      <w:t>西安市中心血站地铁灯箱、公交车尾窗LED屏、微信朋友圈、短视频献血宣传项目(第3包二次)</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SXWZ2024ZB-XAXZ-023A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jc w:val="left"/>
      <w:rPr>
        <w:rFonts w:hint="eastAsia" w:eastAsia="宋体"/>
        <w:lang w:eastAsia="zh-CN"/>
      </w:rPr>
    </w:pPr>
    <w:r>
      <w:rPr>
        <w:rFonts w:hint="eastAsia" w:ascii="宋体" w:hAnsi="宋体" w:cs="宋体"/>
        <w:bCs/>
        <w:sz w:val="15"/>
        <w:szCs w:val="15"/>
        <w:u w:val="single"/>
        <w:lang w:eastAsia="zh-CN"/>
      </w:rPr>
      <w:t>西安市中心血站地铁灯箱、公交车尾窗LED屏、微信朋友圈、短视频献血宣传项目(第3包二次)</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SXWZ2024ZB-XAXZ-023A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
    <w:nsid w:val="35AE088C"/>
    <w:multiLevelType w:val="singleLevel"/>
    <w:tmpl w:val="35AE088C"/>
    <w:lvl w:ilvl="0" w:tentative="0">
      <w:start w:val="1"/>
      <w:numFmt w:val="decimal"/>
      <w:suff w:val="nothing"/>
      <w:lvlText w:val="%1、"/>
      <w:lvlJc w:val="left"/>
    </w:lvl>
  </w:abstractNum>
  <w:abstractNum w:abstractNumId="2">
    <w:nsid w:val="4670D6E4"/>
    <w:multiLevelType w:val="singleLevel"/>
    <w:tmpl w:val="4670D6E4"/>
    <w:lvl w:ilvl="0" w:tentative="0">
      <w:start w:val="3"/>
      <w:numFmt w:val="chineseCounting"/>
      <w:suff w:val="nothing"/>
      <w:lvlText w:val="%1、"/>
      <w:lvlJc w:val="left"/>
      <w:rPr>
        <w:rFonts w:hint="eastAsia"/>
      </w:rPr>
    </w:lvl>
  </w:abstractNum>
  <w:abstractNum w:abstractNumId="3">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4">
    <w:nsid w:val="5530B97F"/>
    <w:multiLevelType w:val="singleLevel"/>
    <w:tmpl w:val="5530B97F"/>
    <w:lvl w:ilvl="0" w:tentative="0">
      <w:start w:val="1"/>
      <w:numFmt w:val="chineseCounting"/>
      <w:suff w:val="nothing"/>
      <w:lvlText w:val="%1、"/>
      <w:lvlJc w:val="left"/>
      <w:rPr>
        <w:rFonts w:cs="Times New Roman"/>
      </w:rPr>
    </w:lvl>
  </w:abstractNum>
  <w:abstractNum w:abstractNumId="5">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6">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7">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8">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9">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0">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1">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2">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3">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4">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5">
    <w:nsid w:val="58E5EC48"/>
    <w:multiLevelType w:val="singleLevel"/>
    <w:tmpl w:val="58E5EC48"/>
    <w:lvl w:ilvl="0" w:tentative="0">
      <w:start w:val="1"/>
      <w:numFmt w:val="decimal"/>
      <w:suff w:val="nothing"/>
      <w:lvlText w:val="（%1）"/>
      <w:lvlJc w:val="left"/>
    </w:lvl>
  </w:abstractNum>
  <w:abstractNum w:abstractNumId="16">
    <w:nsid w:val="59E578C5"/>
    <w:multiLevelType w:val="singleLevel"/>
    <w:tmpl w:val="59E578C5"/>
    <w:lvl w:ilvl="0" w:tentative="0">
      <w:start w:val="5"/>
      <w:numFmt w:val="chineseCounting"/>
      <w:suff w:val="nothing"/>
      <w:lvlText w:val="第%1部"/>
      <w:lvlJc w:val="left"/>
    </w:lvl>
  </w:abstractNum>
  <w:abstractNum w:abstractNumId="17">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18">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19">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20">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4"/>
  </w:num>
  <w:num w:numId="2">
    <w:abstractNumId w:val="13"/>
  </w:num>
  <w:num w:numId="3">
    <w:abstractNumId w:val="6"/>
  </w:num>
  <w:num w:numId="4">
    <w:abstractNumId w:val="7"/>
  </w:num>
  <w:num w:numId="5">
    <w:abstractNumId w:val="5"/>
  </w:num>
  <w:num w:numId="6">
    <w:abstractNumId w:val="11"/>
  </w:num>
  <w:num w:numId="7">
    <w:abstractNumId w:val="14"/>
  </w:num>
  <w:num w:numId="8">
    <w:abstractNumId w:val="8"/>
  </w:num>
  <w:num w:numId="9">
    <w:abstractNumId w:val="12"/>
  </w:num>
  <w:num w:numId="10">
    <w:abstractNumId w:val="19"/>
  </w:num>
  <w:num w:numId="11">
    <w:abstractNumId w:val="9"/>
  </w:num>
  <w:num w:numId="12">
    <w:abstractNumId w:val="10"/>
  </w:num>
  <w:num w:numId="13">
    <w:abstractNumId w:val="17"/>
  </w:num>
  <w:num w:numId="14">
    <w:abstractNumId w:val="18"/>
  </w:num>
  <w:num w:numId="15">
    <w:abstractNumId w:val="20"/>
  </w:num>
  <w:num w:numId="16">
    <w:abstractNumId w:val="1"/>
  </w:num>
  <w:num w:numId="17">
    <w:abstractNumId w:val="16"/>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DM4Y2ZjYzg2MWM5ZWM0ZjQ4YjhmNjIyODc3Y2QifQ=="/>
  </w:docVars>
  <w:rsids>
    <w:rsidRoot w:val="00000000"/>
    <w:rsid w:val="0B6657C2"/>
    <w:rsid w:val="0D3A2185"/>
    <w:rsid w:val="20E74825"/>
    <w:rsid w:val="22D87491"/>
    <w:rsid w:val="2D2C2C43"/>
    <w:rsid w:val="2F727CE6"/>
    <w:rsid w:val="2FCF4774"/>
    <w:rsid w:val="35072A11"/>
    <w:rsid w:val="3A5C702B"/>
    <w:rsid w:val="3E206B0F"/>
    <w:rsid w:val="4B622556"/>
    <w:rsid w:val="4B9266A8"/>
    <w:rsid w:val="5043007E"/>
    <w:rsid w:val="507C4657"/>
    <w:rsid w:val="51674DC8"/>
    <w:rsid w:val="53455F54"/>
    <w:rsid w:val="55681A17"/>
    <w:rsid w:val="57523DA9"/>
    <w:rsid w:val="57E51572"/>
    <w:rsid w:val="5FA813FC"/>
    <w:rsid w:val="64AC4C69"/>
    <w:rsid w:val="65CC6A5D"/>
    <w:rsid w:val="67D76779"/>
    <w:rsid w:val="688A2F04"/>
    <w:rsid w:val="69696BF9"/>
    <w:rsid w:val="6C2263EB"/>
    <w:rsid w:val="6F1372C6"/>
    <w:rsid w:val="70755BCB"/>
    <w:rsid w:val="70B7280B"/>
    <w:rsid w:val="718F5BA1"/>
    <w:rsid w:val="7903704D"/>
    <w:rsid w:val="7BDA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autoRedefine/>
    <w:unhideWhenUsed/>
    <w:qFormat/>
    <w:uiPriority w:val="0"/>
    <w:pPr>
      <w:keepNext/>
      <w:keepLines/>
      <w:widowControl/>
      <w:adjustRightInd w:val="0"/>
      <w:snapToGrid w:val="0"/>
      <w:spacing w:before="20" w:after="20" w:line="415" w:lineRule="auto"/>
      <w:jc w:val="left"/>
      <w:outlineLvl w:val="1"/>
    </w:pPr>
    <w:rPr>
      <w:rFonts w:ascii="Cambria" w:hAnsi="Cambria"/>
      <w:b/>
      <w:bCs/>
      <w:kern w:val="0"/>
      <w:sz w:val="28"/>
      <w:szCs w:val="32"/>
    </w:rPr>
  </w:style>
  <w:style w:type="paragraph" w:styleId="4">
    <w:name w:val="heading 3"/>
    <w:basedOn w:val="1"/>
    <w:next w:val="1"/>
    <w:autoRedefine/>
    <w:qFormat/>
    <w:uiPriority w:val="99"/>
    <w:pPr>
      <w:keepNext/>
      <w:keepLines/>
      <w:spacing w:line="413" w:lineRule="auto"/>
      <w:outlineLvl w:val="2"/>
    </w:pPr>
    <w:rPr>
      <w:b/>
      <w:sz w:val="28"/>
    </w:rPr>
  </w:style>
  <w:style w:type="paragraph" w:styleId="5">
    <w:name w:val="heading 4"/>
    <w:basedOn w:val="1"/>
    <w:next w:val="1"/>
    <w:autoRedefine/>
    <w:unhideWhenUsed/>
    <w:qFormat/>
    <w:uiPriority w:val="0"/>
    <w:pPr>
      <w:keepNext/>
      <w:keepLines/>
      <w:jc w:val="left"/>
      <w:outlineLvl w:val="3"/>
    </w:pPr>
    <w:rPr>
      <w:rFonts w:hint="eastAsia" w:ascii="Arial" w:hAnsi="Arial"/>
      <w:b/>
      <w:sz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99"/>
    <w:pPr>
      <w:ind w:firstLine="420"/>
    </w:pPr>
    <w:rPr>
      <w:szCs w:val="20"/>
    </w:rPr>
  </w:style>
  <w:style w:type="paragraph" w:styleId="7">
    <w:name w:val="toc 4"/>
    <w:basedOn w:val="1"/>
    <w:next w:val="1"/>
    <w:autoRedefine/>
    <w:qFormat/>
    <w:uiPriority w:val="39"/>
    <w:pPr>
      <w:spacing w:line="440" w:lineRule="exact"/>
      <w:ind w:left="840"/>
      <w:jc w:val="left"/>
    </w:pPr>
    <w:rPr>
      <w:sz w:val="18"/>
      <w:szCs w:val="18"/>
    </w:rPr>
  </w:style>
  <w:style w:type="paragraph" w:styleId="8">
    <w:name w:val="annotation text"/>
    <w:basedOn w:val="1"/>
    <w:autoRedefine/>
    <w:unhideWhenUsed/>
    <w:qFormat/>
    <w:uiPriority w:val="99"/>
    <w:pPr>
      <w:spacing w:line="400" w:lineRule="exact"/>
    </w:pPr>
    <w:rPr>
      <w:rFonts w:ascii="Calibri Light" w:hAnsi="Calibri Light" w:eastAsia="华文仿宋" w:cs="Calibri Light"/>
      <w:kern w:val="2"/>
      <w:sz w:val="28"/>
      <w:szCs w:val="28"/>
    </w:rPr>
  </w:style>
  <w:style w:type="paragraph" w:styleId="9">
    <w:name w:val="Body Text"/>
    <w:basedOn w:val="1"/>
    <w:autoRedefine/>
    <w:qFormat/>
    <w:uiPriority w:val="99"/>
  </w:style>
  <w:style w:type="paragraph" w:styleId="10">
    <w:name w:val="Body Text Indent"/>
    <w:basedOn w:val="1"/>
    <w:autoRedefine/>
    <w:unhideWhenUsed/>
    <w:qFormat/>
    <w:uiPriority w:val="99"/>
    <w:pPr>
      <w:ind w:left="420" w:leftChars="200"/>
    </w:pPr>
  </w:style>
  <w:style w:type="paragraph" w:styleId="11">
    <w:name w:val="Plain Text"/>
    <w:basedOn w:val="1"/>
    <w:next w:val="1"/>
    <w:autoRedefine/>
    <w:qFormat/>
    <w:uiPriority w:val="99"/>
    <w:pPr>
      <w:spacing w:line="324" w:lineRule="auto"/>
    </w:pPr>
    <w:rPr>
      <w:rFonts w:ascii="宋体" w:hAnsi="Courier New" w:cs="Courier New"/>
      <w:szCs w:val="21"/>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toc 1"/>
    <w:basedOn w:val="1"/>
    <w:next w:val="1"/>
    <w:autoRedefine/>
    <w:qFormat/>
    <w:uiPriority w:val="99"/>
  </w:style>
  <w:style w:type="paragraph" w:styleId="14">
    <w:name w:val="toc 2"/>
    <w:basedOn w:val="1"/>
    <w:next w:val="1"/>
    <w:autoRedefine/>
    <w:qFormat/>
    <w:uiPriority w:val="99"/>
    <w:pPr>
      <w:ind w:left="420" w:leftChars="200"/>
    </w:pPr>
  </w:style>
  <w:style w:type="paragraph" w:styleId="1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sz w:val="20"/>
    </w:rPr>
  </w:style>
  <w:style w:type="paragraph" w:styleId="16">
    <w:name w:val="Body Text First Indent"/>
    <w:basedOn w:val="9"/>
    <w:autoRedefine/>
    <w:unhideWhenUsed/>
    <w:qFormat/>
    <w:uiPriority w:val="99"/>
    <w:pPr>
      <w:ind w:firstLine="420" w:firstLineChars="100"/>
    </w:pPr>
    <w:rPr>
      <w:rFonts w:ascii="Times New Roman" w:hAnsi="Times New Roman"/>
      <w:sz w:val="18"/>
      <w:szCs w:val="18"/>
    </w:rPr>
  </w:style>
  <w:style w:type="paragraph" w:styleId="17">
    <w:name w:val="Body Text First Indent 2"/>
    <w:basedOn w:val="10"/>
    <w:next w:val="6"/>
    <w:autoRedefine/>
    <w:qFormat/>
    <w:uiPriority w:val="0"/>
    <w:pPr>
      <w:ind w:firstLine="420"/>
    </w:pPr>
  </w:style>
  <w:style w:type="table" w:styleId="19">
    <w:name w:val="Table Grid"/>
    <w:basedOn w:val="1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autoRedefine/>
    <w:qFormat/>
    <w:uiPriority w:val="99"/>
    <w:pPr>
      <w:ind w:firstLine="420" w:firstLineChars="200"/>
    </w:p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30739</Words>
  <Characters>32609</Characters>
  <Lines>0</Lines>
  <Paragraphs>0</Paragraphs>
  <TotalTime>44</TotalTime>
  <ScaleCrop>false</ScaleCrop>
  <LinksUpToDate>false</LinksUpToDate>
  <CharactersWithSpaces>34785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2024-02-26T02:06:00Z</dcterms:created>
  <dc:creator>Administrator</dc:creator>
  <cp:lastModifiedBy>C</cp:lastModifiedBy>
  <dcterms:modified xsi:type="dcterms:W3CDTF">2024-05-10T08:35:22Z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315B736C2A4E45C093098AFB9FCF0E87_13</vt:lpwstr>
  </property>
</Properties>
</file>