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ind w:firstLine="560" w:firstLineChars="200"/>
        <w:rPr>
          <w:rFonts w:hint="eastAsia" w:ascii="仿宋_GB2312" w:eastAsia="仿宋_GB2312"/>
          <w:bCs/>
          <w:sz w:val="28"/>
          <w:szCs w:val="28"/>
        </w:rPr>
      </w:pPr>
      <w:bookmarkStart w:id="0" w:name="_Hlk107229277"/>
      <w:r>
        <w:rPr>
          <w:rFonts w:hint="eastAsia" w:ascii="仿宋_GB2312" w:eastAsia="仿宋_GB2312"/>
          <w:bCs/>
          <w:sz w:val="28"/>
          <w:szCs w:val="28"/>
        </w:rPr>
        <w:t xml:space="preserve">甲方（采购人）： </w:t>
      </w:r>
    </w:p>
    <w:p>
      <w:pPr>
        <w:autoSpaceDE w:val="0"/>
        <w:autoSpaceDN w:val="0"/>
        <w:adjustRightInd w:val="0"/>
        <w:snapToGrid w:val="0"/>
        <w:spacing w:line="360" w:lineRule="auto"/>
        <w:ind w:firstLine="560" w:firstLineChars="200"/>
        <w:rPr>
          <w:rFonts w:hint="eastAsia" w:ascii="仿宋_GB2312" w:eastAsia="仿宋_GB2312"/>
          <w:bCs/>
          <w:sz w:val="28"/>
          <w:szCs w:val="28"/>
        </w:rPr>
      </w:pPr>
      <w:r>
        <w:rPr>
          <w:rFonts w:hint="eastAsia" w:ascii="仿宋_GB2312" w:eastAsia="仿宋_GB2312"/>
          <w:bCs/>
          <w:sz w:val="28"/>
          <w:szCs w:val="28"/>
        </w:rPr>
        <w:t>乙方（</w:t>
      </w:r>
      <w:r>
        <w:rPr>
          <w:rFonts w:hint="eastAsia" w:ascii="仿宋_GB2312" w:eastAsia="仿宋_GB2312"/>
          <w:bCs/>
          <w:sz w:val="28"/>
          <w:szCs w:val="28"/>
          <w:lang w:val="en-US" w:eastAsia="zh-CN"/>
        </w:rPr>
        <w:t>成交供应商</w:t>
      </w:r>
      <w:r>
        <w:rPr>
          <w:rFonts w:hint="eastAsia" w:ascii="仿宋_GB2312" w:eastAsia="仿宋_GB2312"/>
          <w:bCs/>
          <w:sz w:val="28"/>
          <w:szCs w:val="28"/>
        </w:rPr>
        <w:t xml:space="preserve">）： </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eastAsia="仿宋_GB2312"/>
          <w:bCs/>
          <w:sz w:val="28"/>
          <w:szCs w:val="28"/>
          <w:u w:val="single"/>
          <w:lang w:eastAsia="zh-CN"/>
        </w:rPr>
        <w:t xml:space="preserve">西安教育大数据运行维护项目 </w:t>
      </w:r>
      <w:r>
        <w:rPr>
          <w:rFonts w:hint="eastAsia" w:ascii="仿宋_GB2312" w:eastAsia="仿宋_GB2312"/>
          <w:bCs/>
          <w:sz w:val="28"/>
          <w:szCs w:val="28"/>
          <w:u w:val="single"/>
        </w:rPr>
        <w:t>(项目编号：</w:t>
      </w:r>
      <w:r>
        <w:rPr>
          <w:rFonts w:hint="eastAsia" w:ascii="仿宋_GB2312" w:eastAsia="仿宋_GB2312"/>
          <w:bCs/>
          <w:sz w:val="28"/>
          <w:szCs w:val="28"/>
          <w:u w:val="single"/>
          <w:lang w:eastAsia="zh-CN"/>
        </w:rPr>
        <w:t>SXHC202</w:t>
      </w:r>
      <w:r>
        <w:rPr>
          <w:rFonts w:hint="eastAsia" w:ascii="仿宋_GB2312" w:eastAsia="仿宋_GB2312"/>
          <w:bCs/>
          <w:sz w:val="28"/>
          <w:szCs w:val="28"/>
          <w:u w:val="single"/>
          <w:lang w:val="en-US" w:eastAsia="zh-CN"/>
        </w:rPr>
        <w:t>4</w:t>
      </w:r>
      <w:r>
        <w:rPr>
          <w:rFonts w:hint="eastAsia" w:ascii="仿宋_GB2312" w:eastAsia="仿宋_GB2312"/>
          <w:bCs/>
          <w:sz w:val="28"/>
          <w:szCs w:val="28"/>
          <w:u w:val="single"/>
          <w:lang w:eastAsia="zh-CN"/>
        </w:rPr>
        <w:t>-</w:t>
      </w:r>
      <w:r>
        <w:rPr>
          <w:rFonts w:hint="eastAsia" w:ascii="仿宋_GB2312" w:eastAsia="仿宋_GB2312"/>
          <w:bCs/>
          <w:sz w:val="28"/>
          <w:szCs w:val="28"/>
          <w:u w:val="single"/>
          <w:lang w:val="en-US" w:eastAsia="zh-CN"/>
        </w:rPr>
        <w:t>070</w:t>
      </w:r>
      <w:r>
        <w:rPr>
          <w:rFonts w:hint="eastAsia" w:ascii="仿宋_GB2312" w:eastAsia="仿宋_GB2312"/>
          <w:bCs/>
          <w:sz w:val="28"/>
          <w:szCs w:val="28"/>
          <w:u w:val="single"/>
        </w:rPr>
        <w:t>)</w:t>
      </w:r>
      <w:r>
        <w:rPr>
          <w:rFonts w:hint="eastAsia" w:ascii="仿宋_GB2312" w:eastAsia="仿宋_GB2312"/>
          <w:bCs/>
          <w:sz w:val="28"/>
          <w:szCs w:val="28"/>
        </w:rPr>
        <w:t>，由陕西华采招标有限公司组织</w:t>
      </w:r>
      <w:r>
        <w:rPr>
          <w:rFonts w:hint="eastAsia" w:ascii="仿宋_GB2312" w:eastAsia="仿宋_GB2312"/>
          <w:bCs/>
          <w:sz w:val="28"/>
          <w:szCs w:val="28"/>
          <w:lang w:val="en-US" w:eastAsia="zh-CN"/>
        </w:rPr>
        <w:t>竞争性磋商</w:t>
      </w:r>
      <w:r>
        <w:rPr>
          <w:rFonts w:hint="eastAsia" w:ascii="仿宋_GB2312" w:eastAsia="仿宋_GB2312"/>
          <w:bCs/>
          <w:sz w:val="28"/>
          <w:szCs w:val="28"/>
        </w:rPr>
        <w:t>，</w:t>
      </w:r>
      <w:r>
        <w:rPr>
          <w:rFonts w:hint="eastAsia" w:ascii="仿宋_GB2312" w:eastAsia="仿宋_GB2312"/>
          <w:bCs/>
          <w:sz w:val="28"/>
          <w:szCs w:val="28"/>
          <w:u w:val="single"/>
        </w:rPr>
        <w:t xml:space="preserve">                     </w:t>
      </w:r>
      <w:r>
        <w:rPr>
          <w:rFonts w:hint="eastAsia" w:ascii="仿宋_GB2312" w:hAnsi="仿宋" w:eastAsia="仿宋_GB2312"/>
          <w:bCs/>
          <w:sz w:val="28"/>
          <w:szCs w:val="28"/>
        </w:rPr>
        <w:t>(以下简称“甲方”)确定</w:t>
      </w:r>
      <w:r>
        <w:rPr>
          <w:rFonts w:hint="eastAsia" w:ascii="仿宋_GB2312" w:hAnsi="仿宋" w:eastAsia="仿宋_GB2312"/>
          <w:bCs/>
          <w:sz w:val="28"/>
          <w:szCs w:val="28"/>
          <w:u w:val="single"/>
        </w:rPr>
        <w:t xml:space="preserve">          </w:t>
      </w:r>
      <w:r>
        <w:rPr>
          <w:rFonts w:hint="eastAsia" w:ascii="仿宋_GB2312" w:hAnsi="仿宋" w:eastAsia="仿宋_GB2312"/>
          <w:bCs/>
          <w:sz w:val="28"/>
          <w:szCs w:val="28"/>
          <w:u w:val="single"/>
          <w:lang w:val="en-US" w:eastAsia="zh-CN"/>
        </w:rPr>
        <w:t xml:space="preserve">          </w:t>
      </w:r>
      <w:r>
        <w:rPr>
          <w:rFonts w:hint="eastAsia" w:ascii="仿宋_GB2312" w:hAnsi="仿宋" w:eastAsia="仿宋_GB2312"/>
          <w:bCs/>
          <w:sz w:val="28"/>
          <w:szCs w:val="28"/>
        </w:rPr>
        <w:t>（以下简称“乙方”）为该项目的</w:t>
      </w:r>
      <w:r>
        <w:rPr>
          <w:rFonts w:hint="eastAsia" w:ascii="仿宋_GB2312" w:eastAsia="仿宋_GB2312"/>
          <w:bCs/>
          <w:sz w:val="28"/>
          <w:szCs w:val="28"/>
          <w:lang w:val="en-US" w:eastAsia="zh-CN"/>
        </w:rPr>
        <w:t>成交供应商</w:t>
      </w:r>
      <w:r>
        <w:rPr>
          <w:rFonts w:hint="eastAsia" w:ascii="仿宋_GB2312" w:hAnsi="仿宋" w:eastAsia="仿宋_GB2312"/>
          <w:bCs/>
          <w:sz w:val="28"/>
          <w:szCs w:val="28"/>
        </w:rPr>
        <w:t>。</w:t>
      </w:r>
      <w:bookmarkStart w:id="9" w:name="_GoBack"/>
      <w:bookmarkEnd w:id="9"/>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依据《中华人民共和国民法典》和《中华人民共和国政府采购法》之规定，经双方在平等、自愿、互利的基础上，签订本合同，共同信守。</w:t>
      </w:r>
    </w:p>
    <w:p>
      <w:pPr>
        <w:autoSpaceDE w:val="0"/>
        <w:autoSpaceDN w:val="0"/>
        <w:adjustRightInd w:val="0"/>
        <w:snapToGrid w:val="0"/>
        <w:spacing w:line="360" w:lineRule="auto"/>
        <w:ind w:firstLine="562" w:firstLineChars="200"/>
        <w:outlineLvl w:val="1"/>
        <w:rPr>
          <w:rFonts w:hint="eastAsia" w:ascii="仿宋_GB2312" w:hAnsi="仿宋" w:eastAsia="仿宋_GB2312"/>
          <w:b/>
          <w:bCs/>
          <w:sz w:val="28"/>
          <w:szCs w:val="28"/>
        </w:rPr>
      </w:pPr>
      <w:bookmarkStart w:id="1" w:name="_Toc18716"/>
      <w:r>
        <w:rPr>
          <w:rFonts w:hint="eastAsia" w:ascii="仿宋_GB2312" w:hAnsi="仿宋" w:eastAsia="仿宋_GB2312"/>
          <w:b/>
          <w:bCs/>
          <w:sz w:val="28"/>
          <w:szCs w:val="28"/>
        </w:rPr>
        <w:t>一、合同价款</w:t>
      </w:r>
      <w:bookmarkEnd w:id="1"/>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（一）合同价款为人民币（大写）</w:t>
      </w:r>
      <w:r>
        <w:rPr>
          <w:rFonts w:hint="eastAsia" w:ascii="仿宋_GB2312" w:hAnsi="仿宋" w:eastAsia="仿宋_GB2312"/>
          <w:bCs/>
          <w:sz w:val="28"/>
          <w:szCs w:val="28"/>
          <w:u w:val="single"/>
        </w:rPr>
        <w:t xml:space="preserve">              </w:t>
      </w:r>
      <w:r>
        <w:rPr>
          <w:rFonts w:hint="eastAsia" w:ascii="仿宋_GB2312" w:hAnsi="仿宋" w:eastAsia="仿宋_GB2312"/>
          <w:bCs/>
          <w:sz w:val="28"/>
          <w:szCs w:val="28"/>
        </w:rPr>
        <w:t>（</w:t>
      </w:r>
      <w:r>
        <w:rPr>
          <w:rFonts w:hint="eastAsia" w:ascii="仿宋_GB2312" w:hAnsi="仿宋" w:eastAsia="仿宋_GB2312"/>
          <w:bCs/>
          <w:sz w:val="28"/>
          <w:szCs w:val="28"/>
          <w:lang w:val="en-US" w:eastAsia="zh-CN"/>
        </w:rPr>
        <w:t>¥</w:t>
      </w:r>
      <w:r>
        <w:rPr>
          <w:rFonts w:hint="eastAsia" w:ascii="仿宋_GB2312" w:hAnsi="仿宋" w:eastAsia="仿宋_GB2312"/>
          <w:bCs/>
          <w:sz w:val="28"/>
          <w:szCs w:val="28"/>
          <w:u w:val="single"/>
        </w:rPr>
        <w:t xml:space="preserve">        </w:t>
      </w:r>
      <w:r>
        <w:rPr>
          <w:rFonts w:hint="eastAsia" w:ascii="仿宋_GB2312" w:hAnsi="仿宋" w:eastAsia="仿宋_GB2312"/>
          <w:bCs/>
          <w:sz w:val="28"/>
          <w:szCs w:val="28"/>
        </w:rPr>
        <w:t>）。</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（二）合同价款包括但不限于</w:t>
      </w:r>
      <w:r>
        <w:rPr>
          <w:rFonts w:hint="eastAsia" w:ascii="仿宋_GB2312" w:hAnsi="仿宋" w:eastAsia="仿宋_GB2312"/>
          <w:bCs/>
          <w:sz w:val="28"/>
          <w:szCs w:val="28"/>
          <w:highlight w:val="none"/>
          <w:lang w:val="en-US" w:eastAsia="zh-CN"/>
        </w:rPr>
        <w:t>人工费</w:t>
      </w:r>
      <w:r>
        <w:rPr>
          <w:rFonts w:hint="eastAsia" w:ascii="仿宋_GB2312" w:hAnsi="仿宋" w:eastAsia="仿宋_GB2312"/>
          <w:bCs/>
          <w:sz w:val="28"/>
          <w:szCs w:val="28"/>
          <w:highlight w:val="none"/>
          <w:lang w:val="zh-CN"/>
        </w:rPr>
        <w:t>、</w:t>
      </w:r>
      <w:r>
        <w:rPr>
          <w:rFonts w:hint="eastAsia" w:ascii="仿宋_GB2312" w:hAnsi="仿宋" w:eastAsia="仿宋_GB2312"/>
          <w:bCs/>
          <w:sz w:val="28"/>
          <w:szCs w:val="28"/>
          <w:highlight w:val="none"/>
          <w:lang w:val="en-US" w:eastAsia="zh-CN"/>
        </w:rPr>
        <w:t>运维</w:t>
      </w:r>
      <w:r>
        <w:rPr>
          <w:rFonts w:hint="eastAsia" w:ascii="仿宋_GB2312" w:hAnsi="仿宋" w:eastAsia="仿宋_GB2312"/>
          <w:bCs/>
          <w:sz w:val="28"/>
          <w:szCs w:val="28"/>
          <w:highlight w:val="none"/>
          <w:lang w:val="zh-CN"/>
        </w:rPr>
        <w:t>费、培训费、管理费、</w:t>
      </w:r>
      <w:r>
        <w:rPr>
          <w:rFonts w:hint="eastAsia" w:ascii="仿宋_GB2312" w:hAnsi="仿宋" w:eastAsia="仿宋_GB2312"/>
          <w:bCs/>
          <w:sz w:val="28"/>
          <w:szCs w:val="28"/>
          <w:highlight w:val="none"/>
        </w:rPr>
        <w:t>不可预见费用、</w:t>
      </w:r>
      <w:r>
        <w:rPr>
          <w:rFonts w:hint="eastAsia" w:ascii="仿宋_GB2312" w:hAnsi="仿宋" w:eastAsia="仿宋_GB2312"/>
          <w:bCs/>
          <w:sz w:val="28"/>
          <w:szCs w:val="28"/>
          <w:highlight w:val="none"/>
          <w:lang w:val="zh-CN"/>
        </w:rPr>
        <w:t>直接费、间接费、利润、税金及其他相关的一切费用。</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（三）合同价款一次性包死，不受市场价格变化因素的影响。</w:t>
      </w:r>
    </w:p>
    <w:p>
      <w:pPr>
        <w:pStyle w:val="20"/>
        <w:spacing w:line="360" w:lineRule="auto"/>
        <w:ind w:firstLine="562" w:firstLineChars="200"/>
        <w:rPr>
          <w:rFonts w:hint="default" w:eastAsia="仿宋_GB2312"/>
          <w:u w:val="single"/>
          <w:lang w:val="en-US" w:eastAsia="zh-CN"/>
        </w:rPr>
      </w:pPr>
      <w:r>
        <w:rPr>
          <w:rFonts w:hint="eastAsia" w:ascii="仿宋_GB2312" w:hAnsi="仿宋" w:eastAsia="仿宋_GB2312"/>
          <w:b/>
          <w:bCs/>
          <w:color w:val="auto"/>
          <w:sz w:val="28"/>
          <w:szCs w:val="28"/>
        </w:rPr>
        <w:t>二、委托工作内容：</w:t>
      </w:r>
      <w:r>
        <w:rPr>
          <w:rFonts w:hint="default" w:ascii="仿宋_GB2312" w:hAnsi="仿宋" w:eastAsia="仿宋_GB2312"/>
          <w:b/>
          <w:bCs/>
          <w:color w:val="auto"/>
          <w:sz w:val="28"/>
          <w:szCs w:val="28"/>
          <w:u w:val="single"/>
          <w:lang w:val="en-US"/>
        </w:rPr>
        <w:t>详见</w:t>
      </w:r>
      <w:r>
        <w:rPr>
          <w:rFonts w:hint="eastAsia" w:ascii="仿宋_GB2312" w:hAnsi="仿宋" w:eastAsia="仿宋_GB2312"/>
          <w:b/>
          <w:bCs/>
          <w:color w:val="auto"/>
          <w:sz w:val="28"/>
          <w:szCs w:val="28"/>
          <w:u w:val="single"/>
          <w:lang w:val="en-US" w:eastAsia="zh-CN"/>
        </w:rPr>
        <w:t>磋商</w:t>
      </w:r>
      <w:r>
        <w:rPr>
          <w:rFonts w:hint="default" w:ascii="仿宋_GB2312" w:hAnsi="仿宋" w:eastAsia="仿宋_GB2312"/>
          <w:b/>
          <w:bCs/>
          <w:color w:val="auto"/>
          <w:sz w:val="28"/>
          <w:szCs w:val="28"/>
          <w:u w:val="single"/>
          <w:lang w:val="en-US"/>
        </w:rPr>
        <w:t>文件第三部分</w:t>
      </w:r>
      <w:r>
        <w:rPr>
          <w:rFonts w:hint="eastAsia" w:ascii="仿宋_GB2312" w:hAnsi="仿宋" w:eastAsia="仿宋_GB2312"/>
          <w:b/>
          <w:bCs/>
          <w:color w:val="auto"/>
          <w:sz w:val="28"/>
          <w:szCs w:val="28"/>
          <w:u w:val="single"/>
          <w:lang w:val="en-US" w:eastAsia="zh-CN"/>
        </w:rPr>
        <w:t>。</w:t>
      </w:r>
    </w:p>
    <w:p>
      <w:pPr>
        <w:autoSpaceDE w:val="0"/>
        <w:autoSpaceDN w:val="0"/>
        <w:adjustRightInd w:val="0"/>
        <w:snapToGrid w:val="0"/>
        <w:spacing w:line="360" w:lineRule="auto"/>
        <w:ind w:firstLine="562" w:firstLineChars="200"/>
        <w:rPr>
          <w:rFonts w:hint="eastAsia" w:ascii="仿宋_GB2312" w:hAnsi="仿宋" w:eastAsia="仿宋_GB2312"/>
          <w:b/>
          <w:bCs/>
          <w:sz w:val="28"/>
          <w:szCs w:val="28"/>
        </w:rPr>
      </w:pPr>
      <w:r>
        <w:rPr>
          <w:rFonts w:hint="eastAsia" w:ascii="仿宋_GB2312" w:hAnsi="仿宋" w:eastAsia="仿宋_GB2312"/>
          <w:b/>
          <w:bCs/>
          <w:sz w:val="28"/>
          <w:szCs w:val="28"/>
        </w:rPr>
        <w:t>三、款项结算</w:t>
      </w:r>
    </w:p>
    <w:p>
      <w:pPr>
        <w:autoSpaceDE w:val="0"/>
        <w:autoSpaceDN w:val="0"/>
        <w:adjustRightInd w:val="0"/>
        <w:snapToGrid w:val="0"/>
        <w:spacing w:line="360" w:lineRule="auto"/>
        <w:ind w:firstLine="560" w:firstLineChars="200"/>
        <w:rPr>
          <w:rFonts w:hint="eastAsia" w:ascii="仿宋_GB2312" w:hAnsi="仿宋" w:eastAsia="仿宋_GB2312"/>
          <w:bCs/>
          <w:sz w:val="28"/>
          <w:szCs w:val="28"/>
          <w:highlight w:val="none"/>
          <w:lang w:val="en-US" w:eastAsia="zh-CN"/>
        </w:rPr>
      </w:pPr>
      <w:r>
        <w:rPr>
          <w:rFonts w:hint="eastAsia" w:ascii="仿宋_GB2312" w:hAnsi="仿宋" w:eastAsia="仿宋_GB2312"/>
          <w:bCs/>
          <w:sz w:val="28"/>
          <w:szCs w:val="28"/>
          <w:highlight w:val="none"/>
        </w:rPr>
        <w:t>（一）付款</w:t>
      </w:r>
      <w:r>
        <w:rPr>
          <w:rFonts w:hint="eastAsia" w:ascii="仿宋_GB2312" w:hAnsi="仿宋" w:eastAsia="仿宋_GB2312"/>
          <w:bCs/>
          <w:sz w:val="28"/>
          <w:szCs w:val="28"/>
          <w:highlight w:val="none"/>
          <w:lang w:val="en-US" w:eastAsia="zh-CN"/>
        </w:rPr>
        <w:t>方式：</w:t>
      </w:r>
    </w:p>
    <w:p>
      <w:pPr>
        <w:autoSpaceDE w:val="0"/>
        <w:autoSpaceDN w:val="0"/>
        <w:adjustRightInd w:val="0"/>
        <w:snapToGrid w:val="0"/>
        <w:spacing w:line="360" w:lineRule="auto"/>
        <w:ind w:firstLine="560" w:firstLineChars="200"/>
        <w:rPr>
          <w:rFonts w:hint="eastAsia" w:ascii="仿宋_GB2312" w:hAnsi="仿宋" w:eastAsia="仿宋_GB2312"/>
          <w:bCs/>
          <w:sz w:val="28"/>
          <w:szCs w:val="28"/>
          <w:highlight w:val="none"/>
          <w:lang w:val="en-US" w:eastAsia="zh-CN"/>
        </w:rPr>
      </w:pPr>
      <w:r>
        <w:rPr>
          <w:rFonts w:hint="eastAsia" w:ascii="仿宋_GB2312" w:hAnsi="仿宋" w:eastAsia="仿宋_GB2312"/>
          <w:bCs/>
          <w:sz w:val="28"/>
          <w:szCs w:val="28"/>
          <w:highlight w:val="none"/>
          <w:lang w:val="en-US" w:eastAsia="zh-CN"/>
        </w:rPr>
        <w:t>1、</w:t>
      </w:r>
      <w:r>
        <w:rPr>
          <w:rFonts w:hint="eastAsia" w:ascii="仿宋_GB2312" w:hAnsi="仿宋_GB2312" w:eastAsia="仿宋_GB2312" w:cs="仿宋_GB2312"/>
          <w:spacing w:val="1"/>
          <w:sz w:val="28"/>
          <w:szCs w:val="28"/>
          <w:highlight w:val="none"/>
          <w:lang w:val="en-US" w:eastAsia="zh-CN"/>
        </w:rPr>
        <w:t>合同签订后，</w:t>
      </w:r>
      <w:r>
        <w:rPr>
          <w:rFonts w:hint="eastAsia" w:ascii="仿宋_GB2312" w:hAnsi="仿宋_GB2312" w:eastAsia="仿宋_GB2312" w:cs="仿宋_GB2312"/>
          <w:color w:val="auto"/>
          <w:spacing w:val="1"/>
          <w:sz w:val="28"/>
          <w:szCs w:val="28"/>
          <w:highlight w:val="none"/>
          <w:lang w:val="en-US" w:eastAsia="zh-CN"/>
        </w:rPr>
        <w:t>达到付款条件</w:t>
      </w:r>
      <w:r>
        <w:rPr>
          <w:rFonts w:hint="eastAsia" w:ascii="仿宋_GB2312" w:hAnsi="仿宋_GB2312" w:eastAsia="仿宋_GB2312" w:cs="仿宋_GB2312"/>
          <w:color w:val="auto"/>
          <w:spacing w:val="1"/>
          <w:sz w:val="28"/>
          <w:szCs w:val="28"/>
          <w:highlight w:val="none"/>
          <w:u w:val="single"/>
          <w:lang w:val="en-US" w:eastAsia="zh-CN"/>
        </w:rPr>
        <w:t xml:space="preserve"> 15 </w:t>
      </w:r>
      <w:r>
        <w:rPr>
          <w:rFonts w:hint="eastAsia" w:ascii="仿宋_GB2312" w:hAnsi="仿宋_GB2312" w:eastAsia="仿宋_GB2312" w:cs="仿宋_GB2312"/>
          <w:color w:val="auto"/>
          <w:spacing w:val="1"/>
          <w:sz w:val="28"/>
          <w:szCs w:val="28"/>
          <w:highlight w:val="none"/>
          <w:lang w:val="en-US" w:eastAsia="zh-CN"/>
        </w:rPr>
        <w:t>日内</w:t>
      </w:r>
      <w:r>
        <w:rPr>
          <w:rFonts w:hint="eastAsia" w:ascii="仿宋_GB2312" w:hAnsi="仿宋_GB2312" w:eastAsia="仿宋_GB2312" w:cs="仿宋_GB2312"/>
          <w:spacing w:val="1"/>
          <w:sz w:val="28"/>
          <w:szCs w:val="28"/>
          <w:highlight w:val="none"/>
          <w:lang w:val="en-US" w:eastAsia="zh-CN"/>
        </w:rPr>
        <w:t>，支付合同总金额的</w:t>
      </w:r>
      <w:r>
        <w:rPr>
          <w:rFonts w:hint="eastAsia" w:ascii="仿宋_GB2312" w:hAnsi="仿宋_GB2312" w:eastAsia="仿宋_GB2312" w:cs="仿宋_GB2312"/>
          <w:spacing w:val="1"/>
          <w:sz w:val="28"/>
          <w:szCs w:val="28"/>
          <w:highlight w:val="none"/>
          <w:u w:val="single"/>
          <w:lang w:val="en-US" w:eastAsia="zh-CN"/>
        </w:rPr>
        <w:t xml:space="preserve"> 95% </w:t>
      </w:r>
      <w:r>
        <w:rPr>
          <w:rFonts w:hint="eastAsia" w:ascii="仿宋_GB2312" w:hAnsi="仿宋" w:eastAsia="仿宋_GB2312"/>
          <w:bCs/>
          <w:sz w:val="28"/>
          <w:szCs w:val="28"/>
          <w:highlight w:val="none"/>
          <w:lang w:val="en-US" w:eastAsia="zh-CN"/>
        </w:rPr>
        <w:t>。</w:t>
      </w:r>
    </w:p>
    <w:p>
      <w:pPr>
        <w:autoSpaceDE w:val="0"/>
        <w:autoSpaceDN w:val="0"/>
        <w:adjustRightInd w:val="0"/>
        <w:snapToGrid w:val="0"/>
        <w:spacing w:line="360" w:lineRule="auto"/>
        <w:ind w:firstLine="560" w:firstLineChars="200"/>
        <w:rPr>
          <w:rFonts w:hint="default" w:ascii="仿宋_GB2312" w:hAnsi="仿宋" w:eastAsia="仿宋_GB2312"/>
          <w:bCs/>
          <w:sz w:val="28"/>
          <w:szCs w:val="28"/>
          <w:highlight w:val="none"/>
          <w:lang w:val="en-US" w:eastAsia="zh-CN"/>
        </w:rPr>
      </w:pPr>
      <w:r>
        <w:rPr>
          <w:rFonts w:hint="eastAsia" w:ascii="仿宋_GB2312" w:hAnsi="仿宋" w:eastAsia="仿宋_GB2312"/>
          <w:bCs/>
          <w:sz w:val="28"/>
          <w:szCs w:val="28"/>
          <w:highlight w:val="none"/>
          <w:lang w:val="en-US" w:eastAsia="zh-CN"/>
        </w:rPr>
        <w:t>2、</w:t>
      </w:r>
      <w:r>
        <w:rPr>
          <w:rFonts w:hint="eastAsia" w:ascii="仿宋_GB2312" w:hAnsi="仿宋_GB2312" w:eastAsia="仿宋_GB2312" w:cs="仿宋_GB2312"/>
          <w:spacing w:val="1"/>
          <w:sz w:val="28"/>
          <w:szCs w:val="28"/>
          <w:highlight w:val="none"/>
          <w:lang w:val="en-US" w:eastAsia="zh-CN"/>
        </w:rPr>
        <w:t>服务期满，验收合格后，</w:t>
      </w:r>
      <w:r>
        <w:rPr>
          <w:rFonts w:hint="eastAsia" w:ascii="仿宋_GB2312" w:hAnsi="仿宋_GB2312" w:eastAsia="仿宋_GB2312" w:cs="仿宋_GB2312"/>
          <w:color w:val="auto"/>
          <w:spacing w:val="1"/>
          <w:sz w:val="28"/>
          <w:szCs w:val="28"/>
          <w:highlight w:val="none"/>
          <w:lang w:val="en-US" w:eastAsia="zh-CN"/>
        </w:rPr>
        <w:t>达到付款条件</w:t>
      </w:r>
      <w:r>
        <w:rPr>
          <w:rFonts w:hint="eastAsia" w:ascii="仿宋_GB2312" w:hAnsi="仿宋_GB2312" w:eastAsia="仿宋_GB2312" w:cs="仿宋_GB2312"/>
          <w:color w:val="auto"/>
          <w:spacing w:val="1"/>
          <w:sz w:val="28"/>
          <w:szCs w:val="28"/>
          <w:highlight w:val="none"/>
          <w:u w:val="single"/>
          <w:lang w:val="en-US" w:eastAsia="zh-CN"/>
        </w:rPr>
        <w:t xml:space="preserve"> 15 </w:t>
      </w:r>
      <w:r>
        <w:rPr>
          <w:rFonts w:hint="eastAsia" w:ascii="仿宋_GB2312" w:hAnsi="仿宋_GB2312" w:eastAsia="仿宋_GB2312" w:cs="仿宋_GB2312"/>
          <w:color w:val="auto"/>
          <w:spacing w:val="1"/>
          <w:sz w:val="28"/>
          <w:szCs w:val="28"/>
          <w:highlight w:val="none"/>
          <w:lang w:val="en-US" w:eastAsia="zh-CN"/>
        </w:rPr>
        <w:t>日内</w:t>
      </w:r>
      <w:r>
        <w:rPr>
          <w:rFonts w:hint="eastAsia" w:ascii="仿宋_GB2312" w:hAnsi="仿宋_GB2312" w:eastAsia="仿宋_GB2312" w:cs="仿宋_GB2312"/>
          <w:spacing w:val="1"/>
          <w:sz w:val="28"/>
          <w:szCs w:val="28"/>
          <w:highlight w:val="none"/>
          <w:lang w:val="en-US" w:eastAsia="zh-CN"/>
        </w:rPr>
        <w:t>，支付合同总金额的</w:t>
      </w:r>
      <w:r>
        <w:rPr>
          <w:rFonts w:hint="eastAsia" w:ascii="仿宋_GB2312" w:hAnsi="仿宋_GB2312" w:eastAsia="仿宋_GB2312" w:cs="仿宋_GB2312"/>
          <w:spacing w:val="1"/>
          <w:sz w:val="28"/>
          <w:szCs w:val="28"/>
          <w:highlight w:val="none"/>
          <w:u w:val="single"/>
          <w:lang w:val="en-US" w:eastAsia="zh-CN"/>
        </w:rPr>
        <w:t xml:space="preserve"> 5% </w:t>
      </w:r>
      <w:r>
        <w:rPr>
          <w:rFonts w:hint="eastAsia" w:ascii="仿宋_GB2312" w:hAnsi="仿宋_GB2312" w:eastAsia="仿宋_GB2312" w:cs="仿宋_GB2312"/>
          <w:spacing w:val="1"/>
          <w:sz w:val="28"/>
          <w:szCs w:val="28"/>
          <w:highlight w:val="none"/>
          <w:lang w:val="en-US" w:eastAsia="zh-CN"/>
        </w:rPr>
        <w:t>。</w:t>
      </w:r>
    </w:p>
    <w:p>
      <w:pPr>
        <w:autoSpaceDE w:val="0"/>
        <w:autoSpaceDN w:val="0"/>
        <w:adjustRightInd w:val="0"/>
        <w:snapToGrid w:val="0"/>
        <w:spacing w:line="360" w:lineRule="auto"/>
        <w:ind w:firstLine="560" w:firstLineChars="200"/>
        <w:rPr>
          <w:rFonts w:hint="eastAsia" w:ascii="仿宋_GB2312" w:hAnsi="仿宋" w:eastAsia="仿宋_GB2312" w:cs="Times New Roman"/>
          <w:bCs/>
          <w:sz w:val="28"/>
          <w:szCs w:val="28"/>
          <w:highlight w:val="none"/>
          <w:lang w:eastAsia="zh-CN"/>
        </w:rPr>
      </w:pPr>
      <w:r>
        <w:rPr>
          <w:rFonts w:hint="eastAsia" w:ascii="仿宋_GB2312" w:hAnsi="仿宋" w:eastAsia="仿宋_GB2312" w:cs="Times New Roman"/>
          <w:bCs/>
          <w:sz w:val="28"/>
          <w:szCs w:val="28"/>
          <w:highlight w:val="none"/>
          <w:lang w:eastAsia="zh-CN"/>
        </w:rPr>
        <w:t>（二）结算方式：银行转账。</w:t>
      </w:r>
    </w:p>
    <w:p>
      <w:pPr>
        <w:autoSpaceDE w:val="0"/>
        <w:autoSpaceDN w:val="0"/>
        <w:adjustRightInd w:val="0"/>
        <w:snapToGrid w:val="0"/>
        <w:spacing w:line="360" w:lineRule="auto"/>
        <w:ind w:firstLine="560" w:firstLineChars="200"/>
        <w:rPr>
          <w:rFonts w:hint="eastAsia" w:ascii="仿宋_GB2312" w:hAnsi="仿宋" w:eastAsia="仿宋_GB2312" w:cs="Times New Roman"/>
          <w:bCs/>
          <w:sz w:val="28"/>
          <w:szCs w:val="28"/>
          <w:highlight w:val="none"/>
          <w:lang w:eastAsia="zh-CN"/>
        </w:rPr>
      </w:pPr>
      <w:r>
        <w:rPr>
          <w:rFonts w:hint="eastAsia" w:ascii="仿宋_GB2312" w:hAnsi="仿宋" w:eastAsia="仿宋_GB2312" w:cs="Times New Roman"/>
          <w:bCs/>
          <w:sz w:val="28"/>
          <w:szCs w:val="28"/>
          <w:highlight w:val="none"/>
          <w:lang w:eastAsia="zh-CN"/>
        </w:rPr>
        <w:t>（三）结算单位：由甲方负责结算，乙方开具合同价款的全额发票给甲方。</w:t>
      </w:r>
    </w:p>
    <w:p>
      <w:pPr>
        <w:autoSpaceDE w:val="0"/>
        <w:autoSpaceDN w:val="0"/>
        <w:adjustRightInd w:val="0"/>
        <w:snapToGrid w:val="0"/>
        <w:spacing w:line="360" w:lineRule="auto"/>
        <w:ind w:firstLine="562" w:firstLineChars="200"/>
        <w:outlineLvl w:val="1"/>
        <w:rPr>
          <w:rFonts w:hint="eastAsia" w:ascii="仿宋_GB2312" w:hAnsi="仿宋" w:eastAsia="仿宋_GB2312"/>
          <w:b/>
          <w:bCs/>
          <w:sz w:val="28"/>
          <w:szCs w:val="28"/>
        </w:rPr>
      </w:pPr>
      <w:bookmarkStart w:id="2" w:name="_Toc9827"/>
      <w:r>
        <w:rPr>
          <w:rFonts w:hint="eastAsia" w:ascii="仿宋_GB2312" w:hAnsi="仿宋" w:eastAsia="仿宋_GB2312"/>
          <w:b/>
          <w:bCs/>
          <w:sz w:val="28"/>
          <w:szCs w:val="28"/>
        </w:rPr>
        <w:t>四、服务地点及服务期</w:t>
      </w:r>
      <w:bookmarkEnd w:id="2"/>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（一）服务地点：甲方指定地点。</w:t>
      </w:r>
    </w:p>
    <w:p>
      <w:pPr>
        <w:autoSpaceDE w:val="0"/>
        <w:autoSpaceDN w:val="0"/>
        <w:adjustRightInd w:val="0"/>
        <w:snapToGrid w:val="0"/>
        <w:spacing w:line="360" w:lineRule="auto"/>
        <w:ind w:firstLine="560" w:firstLineChars="200"/>
        <w:rPr>
          <w:rFonts w:hint="eastAsia"/>
          <w:highlight w:val="none"/>
        </w:rPr>
      </w:pPr>
      <w:r>
        <w:rPr>
          <w:rFonts w:hint="eastAsia" w:ascii="仿宋_GB2312" w:hAnsi="仿宋" w:eastAsia="仿宋_GB2312"/>
          <w:bCs/>
          <w:sz w:val="28"/>
          <w:szCs w:val="28"/>
          <w:highlight w:val="none"/>
        </w:rPr>
        <w:t>（二）服务期：一年（起止时间以双方签订合同时约定的时间为准）</w:t>
      </w:r>
      <w:r>
        <w:rPr>
          <w:rFonts w:hint="eastAsia" w:ascii="仿宋_GB2312" w:hAnsi="仿宋" w:eastAsia="仿宋_GB2312"/>
          <w:bCs/>
          <w:sz w:val="28"/>
          <w:szCs w:val="28"/>
          <w:highlight w:val="none"/>
          <w:lang w:eastAsia="zh-CN"/>
        </w:rPr>
        <w:t>。</w:t>
      </w:r>
    </w:p>
    <w:p>
      <w:pPr>
        <w:autoSpaceDE w:val="0"/>
        <w:autoSpaceDN w:val="0"/>
        <w:adjustRightInd w:val="0"/>
        <w:snapToGrid w:val="0"/>
        <w:spacing w:line="360" w:lineRule="auto"/>
        <w:ind w:firstLine="562" w:firstLineChars="200"/>
        <w:outlineLvl w:val="1"/>
        <w:rPr>
          <w:rFonts w:hint="eastAsia" w:ascii="仿宋_GB2312" w:hAnsi="仿宋" w:eastAsia="仿宋_GB2312"/>
          <w:b/>
          <w:bCs/>
          <w:sz w:val="28"/>
          <w:szCs w:val="28"/>
        </w:rPr>
      </w:pPr>
      <w:bookmarkStart w:id="3" w:name="_Toc32388"/>
      <w:r>
        <w:rPr>
          <w:rFonts w:hint="eastAsia" w:ascii="仿宋_GB2312" w:hAnsi="仿宋" w:eastAsia="仿宋_GB2312"/>
          <w:b/>
          <w:bCs/>
          <w:sz w:val="28"/>
          <w:szCs w:val="28"/>
        </w:rPr>
        <w:t>五、双方的权利和义务</w:t>
      </w:r>
      <w:bookmarkEnd w:id="3"/>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（一）甲方的权利与义务</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1、甲方负责配合本次项目服务工作；</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2、</w:t>
      </w:r>
      <w:r>
        <w:rPr>
          <w:rFonts w:hint="eastAsia" w:ascii="仿宋_GB2312" w:hAnsi="仿宋" w:eastAsia="仿宋_GB2312"/>
          <w:bCs/>
          <w:sz w:val="28"/>
          <w:szCs w:val="28"/>
          <w:lang w:val="en-US" w:eastAsia="zh-CN"/>
        </w:rPr>
        <w:t>乙方按照约定履行的情况下，</w:t>
      </w:r>
      <w:r>
        <w:rPr>
          <w:rFonts w:hint="eastAsia" w:ascii="仿宋_GB2312" w:hAnsi="仿宋" w:eastAsia="仿宋_GB2312"/>
          <w:bCs/>
          <w:sz w:val="28"/>
          <w:szCs w:val="28"/>
        </w:rPr>
        <w:t>甲方应按本合同的约定向乙方支付合同价款；</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3、甲方根据需要对乙方提供的服务方案进行审核，提供建议及意见，确定最终实施的服务方案，以便乙方遵照执行；</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4、甲方有权对乙方的工作进行监督和考核</w:t>
      </w:r>
      <w:r>
        <w:rPr>
          <w:rFonts w:hint="eastAsia" w:ascii="仿宋_GB2312" w:hAnsi="仿宋" w:eastAsia="仿宋_GB2312"/>
          <w:bCs/>
          <w:sz w:val="28"/>
          <w:szCs w:val="28"/>
          <w:lang w:eastAsia="zh-CN"/>
        </w:rPr>
        <w:t>，</w:t>
      </w:r>
      <w:r>
        <w:rPr>
          <w:rFonts w:hint="eastAsia" w:ascii="仿宋_GB2312" w:hAnsi="仿宋" w:eastAsia="仿宋_GB2312"/>
          <w:bCs/>
          <w:sz w:val="28"/>
          <w:szCs w:val="28"/>
          <w:lang w:val="en-US" w:eastAsia="zh-CN"/>
        </w:rPr>
        <w:t>并根据甲方考核结果核算应付款项</w:t>
      </w:r>
      <w:r>
        <w:rPr>
          <w:rFonts w:hint="eastAsia" w:ascii="仿宋_GB2312" w:hAnsi="仿宋" w:eastAsia="仿宋_GB2312"/>
          <w:bCs/>
          <w:sz w:val="28"/>
          <w:szCs w:val="28"/>
        </w:rPr>
        <w:t>。</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（二）乙方的权利与义务</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1、乙方的工作人员必须严格遵守甲方的规章制度，以良好的形象和积极的工作态度，按甲方要求开展工作；</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2、乙方应服从甲方统筹管理并按流程开展工作；</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3、乙方保证安排的相关人员需按照指定时间到达指定地点进行服务，乙方在工作时间内不得迟到早退，如有特殊情况，必须事先通知并征得甲方同意；</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4、乙方提交的方案等应得到甲方确认再予以实施；</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5、乙方在服务期间发布的任何涉及有关甲方的相关信息，需经甲方确认无误后方可发布；</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6、乙方负责解决所需要的工作条件及相应的工作配合，如场地的使用、水电提供、乙方工作人员出入等相关事宜，甲方有义务提供必要的便利条件。</w:t>
      </w:r>
    </w:p>
    <w:p>
      <w:pPr>
        <w:autoSpaceDE w:val="0"/>
        <w:autoSpaceDN w:val="0"/>
        <w:adjustRightInd w:val="0"/>
        <w:snapToGrid w:val="0"/>
        <w:spacing w:line="360" w:lineRule="auto"/>
        <w:ind w:firstLine="560" w:firstLineChars="200"/>
        <w:rPr>
          <w:rFonts w:hint="default" w:ascii="仿宋_GB2312" w:hAnsi="仿宋" w:eastAsia="仿宋_GB2312"/>
          <w:bCs/>
          <w:sz w:val="28"/>
          <w:szCs w:val="28"/>
          <w:lang w:val="en-US" w:eastAsia="zh-CN"/>
        </w:rPr>
      </w:pPr>
      <w:r>
        <w:rPr>
          <w:rFonts w:hint="eastAsia" w:ascii="仿宋_GB2312" w:hAnsi="仿宋" w:eastAsia="仿宋_GB2312"/>
          <w:bCs/>
          <w:sz w:val="28"/>
          <w:szCs w:val="28"/>
          <w:lang w:val="en-US" w:eastAsia="zh-CN"/>
        </w:rPr>
        <w:t>7、乙方与甲方签订本协议视为乙方对甲方磋商文件、澄清文件、补充文件的认可与接受，如乙方的投标文件与磋商文件、澄清文件、补充文件要求冲突，乙方仍有义务遵照磋商文件、澄清文件、补充文件要求履行。</w:t>
      </w:r>
    </w:p>
    <w:p>
      <w:pPr>
        <w:autoSpaceDE w:val="0"/>
        <w:autoSpaceDN w:val="0"/>
        <w:adjustRightInd w:val="0"/>
        <w:snapToGrid w:val="0"/>
        <w:spacing w:line="360" w:lineRule="auto"/>
        <w:ind w:firstLine="562" w:firstLineChars="200"/>
        <w:outlineLvl w:val="1"/>
        <w:rPr>
          <w:rFonts w:hint="eastAsia" w:ascii="仿宋_GB2312" w:hAnsi="仿宋" w:eastAsia="仿宋_GB2312"/>
          <w:b/>
          <w:bCs/>
          <w:sz w:val="28"/>
          <w:szCs w:val="28"/>
        </w:rPr>
      </w:pPr>
      <w:bookmarkStart w:id="4" w:name="_Toc28977"/>
      <w:r>
        <w:rPr>
          <w:rFonts w:hint="eastAsia" w:ascii="仿宋_GB2312" w:hAnsi="仿宋" w:eastAsia="仿宋_GB2312"/>
          <w:b/>
          <w:bCs/>
          <w:sz w:val="28"/>
          <w:szCs w:val="28"/>
        </w:rPr>
        <w:t>六、服务质量保证</w:t>
      </w:r>
      <w:bookmarkEnd w:id="4"/>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（一）乙方需建立高效的管理团队，项目团队组成合理。</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（二）乙方需派一名项目经理，直接与甲方沟通，项目经理接收甲方提出的问题与要求，并及时反馈给工作组，解决在项目实施过程中遇到的问题。</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（三）项目在实施过程中会出现不可预料的需求变更</w:t>
      </w:r>
      <w:r>
        <w:rPr>
          <w:rFonts w:hint="eastAsia" w:ascii="仿宋_GB2312" w:hAnsi="仿宋" w:eastAsia="仿宋_GB2312"/>
          <w:bCs/>
          <w:sz w:val="28"/>
          <w:szCs w:val="28"/>
          <w:lang w:eastAsia="zh-CN"/>
        </w:rPr>
        <w:t>、</w:t>
      </w:r>
      <w:r>
        <w:rPr>
          <w:rFonts w:hint="eastAsia" w:ascii="仿宋_GB2312" w:hAnsi="仿宋" w:eastAsia="仿宋_GB2312"/>
          <w:bCs/>
          <w:sz w:val="28"/>
          <w:szCs w:val="28"/>
          <w:lang w:val="en-US" w:eastAsia="zh-CN"/>
        </w:rPr>
        <w:t>需求细化</w:t>
      </w:r>
      <w:r>
        <w:rPr>
          <w:rFonts w:hint="eastAsia" w:ascii="仿宋_GB2312" w:hAnsi="仿宋" w:eastAsia="仿宋_GB2312"/>
          <w:bCs/>
          <w:sz w:val="28"/>
          <w:szCs w:val="28"/>
        </w:rPr>
        <w:t>，乙方需积极配合甲方的需求变更</w:t>
      </w:r>
      <w:r>
        <w:rPr>
          <w:rFonts w:hint="eastAsia" w:ascii="仿宋_GB2312" w:hAnsi="仿宋" w:eastAsia="仿宋_GB2312"/>
          <w:bCs/>
          <w:sz w:val="28"/>
          <w:szCs w:val="28"/>
          <w:lang w:eastAsia="zh-CN"/>
        </w:rPr>
        <w:t>、</w:t>
      </w:r>
      <w:r>
        <w:rPr>
          <w:rFonts w:hint="eastAsia" w:ascii="仿宋_GB2312" w:hAnsi="仿宋" w:eastAsia="仿宋_GB2312"/>
          <w:bCs/>
          <w:sz w:val="28"/>
          <w:szCs w:val="28"/>
          <w:lang w:val="en-US" w:eastAsia="zh-CN"/>
        </w:rPr>
        <w:t>需求细化</w:t>
      </w:r>
      <w:r>
        <w:rPr>
          <w:rFonts w:hint="eastAsia" w:ascii="仿宋_GB2312" w:hAnsi="仿宋" w:eastAsia="仿宋_GB2312"/>
          <w:bCs/>
          <w:sz w:val="28"/>
          <w:szCs w:val="28"/>
        </w:rPr>
        <w:t>，并按照变更</w:t>
      </w:r>
      <w:r>
        <w:rPr>
          <w:rFonts w:hint="eastAsia" w:ascii="仿宋_GB2312" w:hAnsi="仿宋" w:eastAsia="仿宋_GB2312"/>
          <w:bCs/>
          <w:sz w:val="28"/>
          <w:szCs w:val="28"/>
          <w:lang w:eastAsia="zh-CN"/>
        </w:rPr>
        <w:t>、</w:t>
      </w:r>
      <w:r>
        <w:rPr>
          <w:rFonts w:hint="eastAsia" w:ascii="仿宋_GB2312" w:hAnsi="仿宋" w:eastAsia="仿宋_GB2312"/>
          <w:bCs/>
          <w:sz w:val="28"/>
          <w:szCs w:val="28"/>
          <w:lang w:val="en-US" w:eastAsia="zh-CN"/>
        </w:rPr>
        <w:t>细化</w:t>
      </w:r>
      <w:r>
        <w:rPr>
          <w:rFonts w:hint="eastAsia" w:ascii="仿宋_GB2312" w:hAnsi="仿宋" w:eastAsia="仿宋_GB2312"/>
          <w:bCs/>
          <w:sz w:val="28"/>
          <w:szCs w:val="28"/>
        </w:rPr>
        <w:t>后的需求继续实施。</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（四）乙方需设有详细的技术资料档案和服务档案以便于更好地提供服务</w:t>
      </w:r>
    </w:p>
    <w:p>
      <w:pPr>
        <w:spacing w:line="360" w:lineRule="auto"/>
        <w:ind w:firstLine="562" w:firstLineChars="200"/>
        <w:outlineLvl w:val="1"/>
        <w:rPr>
          <w:rFonts w:hint="eastAsia" w:ascii="仿宋_GB2312" w:hAnsi="仿宋" w:eastAsia="仿宋_GB2312"/>
          <w:b/>
          <w:sz w:val="28"/>
          <w:szCs w:val="28"/>
          <w:lang w:eastAsia="zh-CN"/>
        </w:rPr>
      </w:pPr>
      <w:bookmarkStart w:id="5" w:name="_Toc1840"/>
      <w:r>
        <w:rPr>
          <w:rFonts w:hint="eastAsia" w:ascii="仿宋_GB2312" w:hAnsi="仿宋" w:eastAsia="仿宋_GB2312"/>
          <w:b/>
          <w:sz w:val="28"/>
          <w:szCs w:val="28"/>
          <w:lang w:val="en-US" w:eastAsia="zh-CN"/>
        </w:rPr>
        <w:t>七</w:t>
      </w:r>
      <w:r>
        <w:rPr>
          <w:rFonts w:hint="eastAsia" w:ascii="仿宋_GB2312" w:hAnsi="仿宋" w:eastAsia="仿宋_GB2312"/>
          <w:b/>
          <w:sz w:val="28"/>
          <w:szCs w:val="28"/>
        </w:rPr>
        <w:t>、保密</w:t>
      </w:r>
      <w:r>
        <w:rPr>
          <w:rFonts w:hint="eastAsia" w:ascii="仿宋_GB2312" w:hAnsi="仿宋" w:eastAsia="仿宋_GB2312"/>
          <w:b/>
          <w:sz w:val="28"/>
          <w:szCs w:val="28"/>
          <w:lang w:val="en-US" w:eastAsia="zh-CN"/>
        </w:rPr>
        <w:t>规定</w:t>
      </w:r>
      <w:bookmarkEnd w:id="5"/>
    </w:p>
    <w:p>
      <w:pPr>
        <w:keepNext w:val="0"/>
        <w:keepLines w:val="0"/>
        <w:pageBreakBefore w:val="0"/>
        <w:widowControl w:val="0"/>
        <w:kinsoku/>
        <w:wordWrap w:val="0"/>
        <w:overflowPunct/>
        <w:topLinePunct w:val="0"/>
        <w:autoSpaceDE/>
        <w:autoSpaceDN/>
        <w:bidi w:val="0"/>
        <w:adjustRightInd/>
        <w:snapToGrid/>
        <w:spacing w:line="360" w:lineRule="auto"/>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pPr>
        <w:keepNext w:val="0"/>
        <w:keepLines w:val="0"/>
        <w:pageBreakBefore w:val="0"/>
        <w:widowControl w:val="0"/>
        <w:kinsoku/>
        <w:wordWrap w:val="0"/>
        <w:overflowPunct/>
        <w:topLinePunct w:val="0"/>
        <w:autoSpaceDE/>
        <w:autoSpaceDN/>
        <w:bidi w:val="0"/>
        <w:adjustRightInd/>
        <w:snapToGrid/>
        <w:spacing w:line="360" w:lineRule="auto"/>
        <w:ind w:firstLine="562" w:firstLineChars="200"/>
        <w:jc w:val="left"/>
        <w:textAlignment w:val="auto"/>
        <w:rPr>
          <w:rFonts w:hint="eastAsia" w:ascii="仿宋_GB2312" w:hAnsi="仿宋" w:eastAsia="仿宋_GB2312"/>
          <w:b/>
          <w:sz w:val="28"/>
          <w:szCs w:val="28"/>
        </w:rPr>
      </w:pPr>
      <w:r>
        <w:rPr>
          <w:rFonts w:hint="eastAsia" w:ascii="仿宋_GB2312" w:eastAsia="仿宋_GB2312"/>
          <w:b/>
          <w:bCs/>
          <w:sz w:val="28"/>
          <w:szCs w:val="28"/>
          <w:lang w:val="en-US" w:eastAsia="zh-CN"/>
        </w:rPr>
        <w:t>八</w:t>
      </w:r>
      <w:r>
        <w:rPr>
          <w:rFonts w:hint="eastAsia" w:ascii="仿宋_GB2312" w:hAnsi="仿宋" w:eastAsia="仿宋_GB2312"/>
          <w:b/>
          <w:sz w:val="28"/>
          <w:szCs w:val="28"/>
        </w:rPr>
        <w:t>、其他事项</w:t>
      </w:r>
    </w:p>
    <w:p>
      <w:pPr>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（一）乙方不得转让给其它单位或个人。</w:t>
      </w:r>
    </w:p>
    <w:p>
      <w:pPr>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（二）乙方的</w:t>
      </w:r>
      <w:r>
        <w:rPr>
          <w:rFonts w:hint="eastAsia" w:ascii="仿宋_GB2312" w:hAnsi="仿宋" w:eastAsia="仿宋_GB2312"/>
          <w:bCs/>
          <w:sz w:val="28"/>
          <w:szCs w:val="28"/>
          <w:lang w:eastAsia="zh-CN"/>
        </w:rPr>
        <w:t>投标</w:t>
      </w:r>
      <w:r>
        <w:rPr>
          <w:rFonts w:hint="eastAsia" w:ascii="仿宋_GB2312" w:hAnsi="仿宋" w:eastAsia="仿宋_GB2312"/>
          <w:bCs/>
          <w:sz w:val="28"/>
          <w:szCs w:val="28"/>
        </w:rPr>
        <w:t>文件和承诺等内容将列入合同。</w:t>
      </w:r>
    </w:p>
    <w:p>
      <w:pPr>
        <w:autoSpaceDE w:val="0"/>
        <w:autoSpaceDN w:val="0"/>
        <w:adjustRightInd w:val="0"/>
        <w:snapToGrid w:val="0"/>
        <w:spacing w:line="360" w:lineRule="auto"/>
        <w:ind w:firstLine="562" w:firstLineChars="200"/>
        <w:outlineLvl w:val="1"/>
        <w:rPr>
          <w:rFonts w:hint="eastAsia" w:ascii="仿宋_GB2312" w:hAnsi="仿宋" w:eastAsia="仿宋_GB2312"/>
          <w:b/>
          <w:sz w:val="28"/>
          <w:szCs w:val="28"/>
        </w:rPr>
      </w:pPr>
      <w:bookmarkStart w:id="6" w:name="_Toc7567"/>
      <w:r>
        <w:rPr>
          <w:rFonts w:hint="eastAsia" w:ascii="仿宋_GB2312" w:hAnsi="仿宋" w:eastAsia="仿宋_GB2312"/>
          <w:b/>
          <w:sz w:val="28"/>
          <w:szCs w:val="28"/>
          <w:lang w:val="en-US" w:eastAsia="zh-CN"/>
        </w:rPr>
        <w:t>九</w:t>
      </w:r>
      <w:r>
        <w:rPr>
          <w:rFonts w:hint="eastAsia" w:ascii="仿宋_GB2312" w:hAnsi="仿宋" w:eastAsia="仿宋_GB2312"/>
          <w:b/>
          <w:sz w:val="28"/>
          <w:szCs w:val="28"/>
        </w:rPr>
        <w:t>、违约责任</w:t>
      </w:r>
      <w:bookmarkEnd w:id="6"/>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（一）按《中华人民共和国</w:t>
      </w:r>
      <w:r>
        <w:rPr>
          <w:rFonts w:hint="eastAsia" w:ascii="仿宋_GB2312" w:hAnsi="仿宋" w:eastAsia="仿宋_GB2312"/>
          <w:bCs/>
          <w:sz w:val="28"/>
          <w:szCs w:val="28"/>
          <w:lang w:eastAsia="zh-CN"/>
        </w:rPr>
        <w:t>民法典</w:t>
      </w:r>
      <w:r>
        <w:rPr>
          <w:rFonts w:hint="eastAsia" w:ascii="仿宋_GB2312" w:hAnsi="仿宋" w:eastAsia="仿宋_GB2312"/>
          <w:bCs/>
          <w:sz w:val="28"/>
          <w:szCs w:val="28"/>
        </w:rPr>
        <w:t>》中的相关条款执行。</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（二）未按合同要求提供服务</w:t>
      </w:r>
      <w:r>
        <w:rPr>
          <w:rFonts w:hint="eastAsia" w:ascii="仿宋_GB2312" w:hAnsi="仿宋" w:eastAsia="仿宋_GB2312"/>
          <w:bCs/>
          <w:sz w:val="28"/>
          <w:szCs w:val="28"/>
          <w:lang w:val="en-US" w:eastAsia="zh-CN"/>
        </w:rPr>
        <w:t>或</w:t>
      </w:r>
      <w:r>
        <w:rPr>
          <w:rFonts w:hint="eastAsia" w:ascii="仿宋_GB2312" w:hAnsi="仿宋" w:eastAsia="仿宋_GB2312"/>
          <w:bCs/>
          <w:sz w:val="28"/>
          <w:szCs w:val="28"/>
        </w:rPr>
        <w:t>服务质量不能满足本次</w:t>
      </w:r>
      <w:r>
        <w:rPr>
          <w:rFonts w:hint="eastAsia" w:ascii="仿宋_GB2312" w:hAnsi="仿宋" w:eastAsia="仿宋_GB2312"/>
          <w:bCs/>
          <w:sz w:val="28"/>
          <w:szCs w:val="28"/>
          <w:lang w:val="en-US" w:eastAsia="zh-CN"/>
        </w:rPr>
        <w:t>服务</w:t>
      </w:r>
      <w:r>
        <w:rPr>
          <w:rFonts w:hint="eastAsia" w:ascii="仿宋_GB2312" w:hAnsi="仿宋" w:eastAsia="仿宋_GB2312"/>
          <w:bCs/>
          <w:sz w:val="28"/>
          <w:szCs w:val="28"/>
        </w:rPr>
        <w:t>要求，甲方会同监督机构、采购代理机构有权终止合同和对乙方违约行为进行追究，同时按政府采购法的有关规定进行相应的处罚。</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w:t>
      </w:r>
      <w:r>
        <w:rPr>
          <w:rFonts w:hint="eastAsia" w:ascii="仿宋_GB2312" w:hAnsi="仿宋" w:eastAsia="仿宋_GB2312"/>
          <w:bCs/>
          <w:sz w:val="28"/>
          <w:szCs w:val="28"/>
          <w:lang w:val="en-US" w:eastAsia="zh-CN"/>
        </w:rPr>
        <w:t>三</w:t>
      </w:r>
      <w:r>
        <w:rPr>
          <w:rFonts w:hint="eastAsia" w:ascii="仿宋_GB2312" w:hAnsi="仿宋" w:eastAsia="仿宋_GB2312"/>
          <w:bCs/>
          <w:sz w:val="28"/>
          <w:szCs w:val="28"/>
        </w:rPr>
        <w:t>）甲方有权解除合同情形:</w:t>
      </w:r>
    </w:p>
    <w:p>
      <w:pPr>
        <w:autoSpaceDE w:val="0"/>
        <w:autoSpaceDN w:val="0"/>
        <w:adjustRightInd w:val="0"/>
        <w:snapToGrid w:val="0"/>
        <w:spacing w:line="360" w:lineRule="auto"/>
        <w:ind w:firstLine="560" w:firstLineChars="200"/>
        <w:rPr>
          <w:rFonts w:hint="eastAsia" w:ascii="仿宋_GB2312" w:hAnsi="仿宋" w:eastAsia="仿宋_GB2312"/>
          <w:bCs/>
          <w:sz w:val="28"/>
          <w:szCs w:val="28"/>
          <w:lang w:eastAsia="zh-CN"/>
        </w:rPr>
      </w:pPr>
      <w:r>
        <w:rPr>
          <w:rFonts w:hint="eastAsia" w:ascii="仿宋_GB2312" w:hAnsi="仿宋" w:eastAsia="仿宋_GB2312"/>
          <w:bCs/>
          <w:sz w:val="28"/>
          <w:szCs w:val="28"/>
          <w:lang w:val="en-US" w:eastAsia="zh-CN"/>
        </w:rPr>
        <w:t>1、</w:t>
      </w:r>
      <w:r>
        <w:rPr>
          <w:rFonts w:hint="eastAsia" w:ascii="仿宋_GB2312" w:hAnsi="仿宋" w:eastAsia="仿宋_GB2312"/>
          <w:bCs/>
          <w:sz w:val="28"/>
          <w:szCs w:val="28"/>
        </w:rPr>
        <w:t>乙方不能满足甲方实际工作需要，不服从甲方日常工作管理，</w:t>
      </w:r>
      <w:r>
        <w:rPr>
          <w:rFonts w:hint="eastAsia" w:ascii="仿宋_GB2312" w:hAnsi="仿宋" w:eastAsia="仿宋_GB2312"/>
          <w:bCs/>
          <w:sz w:val="28"/>
          <w:szCs w:val="28"/>
          <w:lang w:val="en-US" w:eastAsia="zh-CN"/>
        </w:rPr>
        <w:t>甲</w:t>
      </w:r>
      <w:r>
        <w:rPr>
          <w:rFonts w:hint="eastAsia" w:ascii="仿宋_GB2312" w:hAnsi="仿宋" w:eastAsia="仿宋_GB2312"/>
          <w:bCs/>
          <w:sz w:val="28"/>
          <w:szCs w:val="28"/>
        </w:rPr>
        <w:t>方有权解除与乙方的合同</w:t>
      </w:r>
      <w:r>
        <w:rPr>
          <w:rFonts w:hint="eastAsia" w:ascii="仿宋_GB2312" w:hAnsi="仿宋" w:eastAsia="仿宋_GB2312"/>
          <w:bCs/>
          <w:sz w:val="28"/>
          <w:szCs w:val="28"/>
          <w:lang w:eastAsia="zh-CN"/>
        </w:rPr>
        <w:t>；</w:t>
      </w:r>
    </w:p>
    <w:p>
      <w:pPr>
        <w:autoSpaceDE w:val="0"/>
        <w:autoSpaceDN w:val="0"/>
        <w:adjustRightInd w:val="0"/>
        <w:snapToGrid w:val="0"/>
        <w:spacing w:line="360" w:lineRule="auto"/>
        <w:ind w:firstLine="560" w:firstLineChars="200"/>
        <w:rPr>
          <w:rFonts w:hint="default" w:ascii="仿宋_GB2312" w:hAnsi="仿宋" w:eastAsia="仿宋_GB2312"/>
          <w:bCs/>
          <w:sz w:val="28"/>
          <w:szCs w:val="28"/>
          <w:lang w:val="en-US" w:eastAsia="zh-CN"/>
        </w:rPr>
      </w:pPr>
      <w:r>
        <w:rPr>
          <w:rFonts w:hint="eastAsia" w:ascii="仿宋_GB2312" w:hAnsi="仿宋" w:eastAsia="仿宋_GB2312"/>
          <w:bCs/>
          <w:sz w:val="28"/>
          <w:szCs w:val="28"/>
          <w:lang w:val="en-US" w:eastAsia="zh-CN"/>
        </w:rPr>
        <w:t>2、乙方未通过甲方各部门相关绩效考核，甲方有权解除合同；</w:t>
      </w:r>
    </w:p>
    <w:p>
      <w:pPr>
        <w:autoSpaceDE w:val="0"/>
        <w:autoSpaceDN w:val="0"/>
        <w:adjustRightInd w:val="0"/>
        <w:snapToGrid w:val="0"/>
        <w:spacing w:line="360" w:lineRule="auto"/>
        <w:ind w:firstLine="560" w:firstLineChars="200"/>
        <w:rPr>
          <w:rFonts w:hint="eastAsia" w:ascii="仿宋_GB2312" w:hAnsi="仿宋" w:eastAsia="仿宋_GB2312"/>
          <w:bCs/>
          <w:sz w:val="28"/>
          <w:szCs w:val="28"/>
          <w:lang w:eastAsia="zh-CN"/>
        </w:rPr>
      </w:pPr>
      <w:r>
        <w:rPr>
          <w:rFonts w:hint="eastAsia" w:ascii="仿宋_GB2312" w:hAnsi="仿宋" w:eastAsia="仿宋_GB2312"/>
          <w:bCs/>
          <w:sz w:val="28"/>
          <w:szCs w:val="28"/>
          <w:lang w:val="en-US" w:eastAsia="zh-CN"/>
        </w:rPr>
        <w:t>3、</w:t>
      </w:r>
      <w:r>
        <w:rPr>
          <w:rFonts w:hint="eastAsia" w:ascii="仿宋_GB2312" w:hAnsi="仿宋" w:eastAsia="仿宋_GB2312"/>
          <w:bCs/>
          <w:sz w:val="28"/>
          <w:szCs w:val="28"/>
        </w:rPr>
        <w:t>因乙方管理不到位，造成群发性事件，给甲方声誉带来严重影响的，甲方有权解除合同</w:t>
      </w:r>
      <w:r>
        <w:rPr>
          <w:rFonts w:hint="eastAsia" w:ascii="仿宋_GB2312" w:hAnsi="仿宋" w:eastAsia="仿宋_GB2312"/>
          <w:bCs/>
          <w:sz w:val="28"/>
          <w:szCs w:val="28"/>
          <w:lang w:eastAsia="zh-CN"/>
        </w:rPr>
        <w:t>；</w:t>
      </w:r>
    </w:p>
    <w:p>
      <w:pPr>
        <w:autoSpaceDE w:val="0"/>
        <w:autoSpaceDN w:val="0"/>
        <w:adjustRightInd w:val="0"/>
        <w:snapToGrid w:val="0"/>
        <w:spacing w:line="360" w:lineRule="auto"/>
        <w:ind w:firstLine="560" w:firstLineChars="200"/>
        <w:rPr>
          <w:rFonts w:hint="eastAsia"/>
        </w:rPr>
      </w:pPr>
      <w:r>
        <w:rPr>
          <w:rFonts w:hint="eastAsia" w:ascii="仿宋_GB2312" w:hAnsi="仿宋" w:eastAsia="仿宋_GB2312"/>
          <w:bCs/>
          <w:sz w:val="28"/>
          <w:szCs w:val="28"/>
          <w:lang w:val="en-US" w:eastAsia="zh-CN"/>
        </w:rPr>
        <w:t>3、</w:t>
      </w:r>
      <w:r>
        <w:rPr>
          <w:rFonts w:hint="eastAsia" w:ascii="仿宋_GB2312" w:hAnsi="仿宋" w:eastAsia="仿宋_GB2312"/>
          <w:bCs/>
          <w:sz w:val="28"/>
          <w:szCs w:val="28"/>
        </w:rPr>
        <w:t>发生各类突发性应急事件或甲方举行重大活动时，乙方如不服从甲方的统一调配，甲方有权解除合同。</w:t>
      </w:r>
    </w:p>
    <w:p>
      <w:pPr>
        <w:autoSpaceDE w:val="0"/>
        <w:autoSpaceDN w:val="0"/>
        <w:adjustRightInd w:val="0"/>
        <w:snapToGrid w:val="0"/>
        <w:spacing w:line="360" w:lineRule="auto"/>
        <w:ind w:firstLine="562" w:firstLineChars="200"/>
        <w:outlineLvl w:val="1"/>
        <w:rPr>
          <w:rFonts w:hint="eastAsia" w:ascii="仿宋_GB2312" w:hAnsi="仿宋" w:eastAsia="仿宋_GB2312"/>
          <w:b/>
          <w:sz w:val="28"/>
          <w:szCs w:val="28"/>
        </w:rPr>
      </w:pPr>
      <w:bookmarkStart w:id="7" w:name="_Toc10759"/>
      <w:r>
        <w:rPr>
          <w:rFonts w:hint="eastAsia" w:ascii="仿宋_GB2312" w:hAnsi="仿宋" w:eastAsia="仿宋_GB2312"/>
          <w:b/>
          <w:sz w:val="28"/>
          <w:szCs w:val="28"/>
        </w:rPr>
        <w:t>十、合同争议解决的方式</w:t>
      </w:r>
      <w:bookmarkEnd w:id="7"/>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本合同在履行过程中发生的争议，由甲、乙双方当事人协商解决，协商不成的按下列第</w:t>
      </w:r>
      <w:r>
        <w:rPr>
          <w:rFonts w:hint="eastAsia" w:ascii="仿宋_GB2312" w:hAnsi="仿宋" w:eastAsia="仿宋_GB2312"/>
          <w:bCs/>
          <w:sz w:val="28"/>
          <w:szCs w:val="28"/>
          <w:u w:val="single"/>
        </w:rPr>
        <w:t>（二）</w:t>
      </w:r>
      <w:r>
        <w:rPr>
          <w:rFonts w:hint="eastAsia" w:ascii="仿宋_GB2312" w:hAnsi="仿宋" w:eastAsia="仿宋_GB2312"/>
          <w:bCs/>
          <w:sz w:val="28"/>
          <w:szCs w:val="28"/>
        </w:rPr>
        <w:t>种方式解决：</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（一）提交西安仲裁委员会仲裁；</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（二）依法向甲方所在地人民法院起诉。</w:t>
      </w:r>
    </w:p>
    <w:p>
      <w:pPr>
        <w:autoSpaceDE w:val="0"/>
        <w:autoSpaceDN w:val="0"/>
        <w:adjustRightInd w:val="0"/>
        <w:snapToGrid w:val="0"/>
        <w:spacing w:line="360" w:lineRule="auto"/>
        <w:ind w:firstLine="562" w:firstLineChars="200"/>
        <w:outlineLvl w:val="1"/>
        <w:rPr>
          <w:rFonts w:hint="eastAsia" w:ascii="仿宋_GB2312" w:hAnsi="仿宋" w:eastAsia="仿宋_GB2312"/>
          <w:b/>
          <w:sz w:val="28"/>
          <w:szCs w:val="28"/>
        </w:rPr>
      </w:pPr>
      <w:bookmarkStart w:id="8" w:name="_Toc19410"/>
      <w:r>
        <w:rPr>
          <w:rFonts w:hint="eastAsia" w:ascii="仿宋_GB2312" w:hAnsi="仿宋" w:eastAsia="仿宋_GB2312"/>
          <w:b/>
          <w:sz w:val="28"/>
          <w:szCs w:val="28"/>
          <w:lang w:val="en-US" w:eastAsia="zh-CN"/>
        </w:rPr>
        <w:t>十一、</w:t>
      </w:r>
      <w:r>
        <w:rPr>
          <w:rFonts w:hint="eastAsia" w:ascii="仿宋_GB2312" w:hAnsi="仿宋" w:eastAsia="仿宋_GB2312"/>
          <w:b/>
          <w:sz w:val="28"/>
          <w:szCs w:val="28"/>
        </w:rPr>
        <w:t>合同生效</w:t>
      </w:r>
      <w:bookmarkEnd w:id="8"/>
    </w:p>
    <w:p>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（一）本合同须经甲、乙双方的法定代表人（授权代表）在合同书上签字并加盖本单位公章后正式生效。</w:t>
      </w:r>
    </w:p>
    <w:p>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（二）合同生效后，甲、乙双方须严格执行本合同条款的规定，全面履行合同，违者按《中华人民共和国民法典》的有关规定承担相应责任。</w:t>
      </w:r>
    </w:p>
    <w:p>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（三）本合同一式</w:t>
      </w:r>
      <w:r>
        <w:rPr>
          <w:rFonts w:hint="eastAsia" w:ascii="仿宋_GB2312" w:hAnsi="仿宋" w:eastAsia="仿宋_GB2312"/>
          <w:bCs/>
          <w:sz w:val="28"/>
          <w:szCs w:val="28"/>
          <w:u w:val="single"/>
        </w:rPr>
        <w:t xml:space="preserve">   </w:t>
      </w:r>
      <w:r>
        <w:rPr>
          <w:rFonts w:hint="eastAsia" w:ascii="仿宋_GB2312" w:hAnsi="仿宋" w:eastAsia="仿宋_GB2312"/>
          <w:bCs/>
          <w:sz w:val="28"/>
          <w:szCs w:val="28"/>
        </w:rPr>
        <w:t>份，甲乙双方各执</w:t>
      </w:r>
      <w:r>
        <w:rPr>
          <w:rFonts w:hint="eastAsia" w:ascii="仿宋_GB2312" w:hAnsi="仿宋" w:eastAsia="仿宋_GB2312"/>
          <w:bCs/>
          <w:sz w:val="28"/>
          <w:szCs w:val="28"/>
          <w:u w:val="single"/>
        </w:rPr>
        <w:t xml:space="preserve">    </w:t>
      </w:r>
      <w:r>
        <w:rPr>
          <w:rFonts w:hint="eastAsia" w:ascii="仿宋_GB2312" w:hAnsi="仿宋" w:eastAsia="仿宋_GB2312"/>
          <w:bCs/>
          <w:sz w:val="28"/>
          <w:szCs w:val="28"/>
        </w:rPr>
        <w:t>份。</w:t>
      </w:r>
    </w:p>
    <w:p>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（四）本合同如有未尽事宜，甲、乙双方协商解决。</w:t>
      </w:r>
    </w:p>
    <w:p>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hint="eastAsia" w:ascii="仿宋_GB2312" w:hAnsi="仿宋_GB2312" w:eastAsia="仿宋_GB2312" w:cs="仿宋_GB2312"/>
          <w:sz w:val="28"/>
          <w:szCs w:val="28"/>
        </w:rPr>
      </w:pPr>
    </w:p>
    <w:p>
      <w:pPr>
        <w:pStyle w:val="20"/>
        <w:rPr>
          <w:rFonts w:hint="eastAsia"/>
        </w:rPr>
      </w:pPr>
    </w:p>
    <w:tbl>
      <w:tblPr>
        <w:tblStyle w:val="12"/>
        <w:tblW w:w="0" w:type="auto"/>
        <w:jc w:val="center"/>
        <w:tblLayout w:type="fixed"/>
        <w:tblCellMar>
          <w:top w:w="0" w:type="dxa"/>
          <w:left w:w="108" w:type="dxa"/>
          <w:bottom w:w="0" w:type="dxa"/>
          <w:right w:w="108" w:type="dxa"/>
        </w:tblCellMar>
      </w:tblPr>
      <w:tblGrid>
        <w:gridCol w:w="4201"/>
        <w:gridCol w:w="4202"/>
      </w:tblGrid>
      <w:tr>
        <w:tblPrEx>
          <w:tblCellMar>
            <w:top w:w="0" w:type="dxa"/>
            <w:left w:w="108" w:type="dxa"/>
            <w:bottom w:w="0" w:type="dxa"/>
            <w:right w:w="108" w:type="dxa"/>
          </w:tblCellMar>
        </w:tblPrEx>
        <w:trPr>
          <w:trHeight w:val="434" w:hRule="exact"/>
          <w:jc w:val="center"/>
        </w:trPr>
        <w:tc>
          <w:tcPr>
            <w:tcW w:w="4201" w:type="dxa"/>
            <w:noWrap w:val="0"/>
            <w:vAlign w:val="center"/>
          </w:tcPr>
          <w:p>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甲  方</w:t>
            </w:r>
          </w:p>
        </w:tc>
        <w:tc>
          <w:tcPr>
            <w:tcW w:w="4202" w:type="dxa"/>
            <w:noWrap w:val="0"/>
            <w:vAlign w:val="center"/>
          </w:tcPr>
          <w:p>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乙  方</w:t>
            </w:r>
          </w:p>
        </w:tc>
      </w:tr>
      <w:tr>
        <w:tblPrEx>
          <w:tblCellMar>
            <w:top w:w="0" w:type="dxa"/>
            <w:left w:w="108" w:type="dxa"/>
            <w:bottom w:w="0" w:type="dxa"/>
            <w:right w:w="108" w:type="dxa"/>
          </w:tblCellMar>
        </w:tblPrEx>
        <w:trPr>
          <w:trHeight w:val="417" w:hRule="exact"/>
          <w:jc w:val="center"/>
        </w:trPr>
        <w:tc>
          <w:tcPr>
            <w:tcW w:w="4201" w:type="dxa"/>
            <w:noWrap w:val="0"/>
            <w:vAlign w:val="center"/>
          </w:tcPr>
          <w:p>
            <w:pPr>
              <w:autoSpaceDE w:val="0"/>
              <w:autoSpaceDN w:val="0"/>
              <w:adjustRightInd w:val="0"/>
              <w:ind w:firstLine="840" w:firstLineChars="35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（盖章）</w:t>
            </w:r>
          </w:p>
        </w:tc>
        <w:tc>
          <w:tcPr>
            <w:tcW w:w="4202" w:type="dxa"/>
            <w:noWrap w:val="0"/>
            <w:vAlign w:val="center"/>
          </w:tcPr>
          <w:p>
            <w:pPr>
              <w:autoSpaceDE w:val="0"/>
              <w:autoSpaceDN w:val="0"/>
              <w:adjustRightInd w:val="0"/>
              <w:ind w:firstLine="960" w:firstLineChars="40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（盖章）</w:t>
            </w:r>
          </w:p>
        </w:tc>
      </w:tr>
      <w:tr>
        <w:tblPrEx>
          <w:tblCellMar>
            <w:top w:w="0" w:type="dxa"/>
            <w:left w:w="108" w:type="dxa"/>
            <w:bottom w:w="0" w:type="dxa"/>
            <w:right w:w="108" w:type="dxa"/>
          </w:tblCellMar>
        </w:tblPrEx>
        <w:trPr>
          <w:trHeight w:val="524" w:hRule="exact"/>
          <w:jc w:val="center"/>
        </w:trPr>
        <w:tc>
          <w:tcPr>
            <w:tcW w:w="4201" w:type="dxa"/>
            <w:noWrap w:val="0"/>
            <w:vAlign w:val="center"/>
          </w:tcPr>
          <w:p>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 xml:space="preserve">地址： </w:t>
            </w:r>
          </w:p>
        </w:tc>
        <w:tc>
          <w:tcPr>
            <w:tcW w:w="4202" w:type="dxa"/>
            <w:noWrap w:val="0"/>
            <w:vAlign w:val="center"/>
          </w:tcPr>
          <w:p>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地址：</w:t>
            </w:r>
          </w:p>
        </w:tc>
      </w:tr>
      <w:tr>
        <w:tblPrEx>
          <w:tblCellMar>
            <w:top w:w="0" w:type="dxa"/>
            <w:left w:w="108" w:type="dxa"/>
            <w:bottom w:w="0" w:type="dxa"/>
            <w:right w:w="108" w:type="dxa"/>
          </w:tblCellMar>
        </w:tblPrEx>
        <w:trPr>
          <w:trHeight w:val="486" w:hRule="exact"/>
          <w:jc w:val="center"/>
        </w:trPr>
        <w:tc>
          <w:tcPr>
            <w:tcW w:w="4201" w:type="dxa"/>
            <w:noWrap w:val="0"/>
            <w:vAlign w:val="center"/>
          </w:tcPr>
          <w:p>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 xml:space="preserve">法定代表人 </w:t>
            </w:r>
          </w:p>
        </w:tc>
        <w:tc>
          <w:tcPr>
            <w:tcW w:w="4202" w:type="dxa"/>
            <w:noWrap w:val="0"/>
            <w:vAlign w:val="center"/>
          </w:tcPr>
          <w:p>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法定代表人</w:t>
            </w:r>
          </w:p>
        </w:tc>
      </w:tr>
      <w:tr>
        <w:tblPrEx>
          <w:tblCellMar>
            <w:top w:w="0" w:type="dxa"/>
            <w:left w:w="108" w:type="dxa"/>
            <w:bottom w:w="0" w:type="dxa"/>
            <w:right w:w="108" w:type="dxa"/>
          </w:tblCellMar>
        </w:tblPrEx>
        <w:trPr>
          <w:trHeight w:val="472" w:hRule="exact"/>
          <w:jc w:val="center"/>
        </w:trPr>
        <w:tc>
          <w:tcPr>
            <w:tcW w:w="4201" w:type="dxa"/>
            <w:noWrap w:val="0"/>
            <w:vAlign w:val="center"/>
          </w:tcPr>
          <w:p>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或授权代表：</w:t>
            </w:r>
          </w:p>
        </w:tc>
        <w:tc>
          <w:tcPr>
            <w:tcW w:w="4202" w:type="dxa"/>
            <w:noWrap w:val="0"/>
            <w:vAlign w:val="center"/>
          </w:tcPr>
          <w:p>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或授权代表：</w:t>
            </w:r>
          </w:p>
        </w:tc>
      </w:tr>
      <w:tr>
        <w:tblPrEx>
          <w:tblCellMar>
            <w:top w:w="0" w:type="dxa"/>
            <w:left w:w="108" w:type="dxa"/>
            <w:bottom w:w="0" w:type="dxa"/>
            <w:right w:w="108" w:type="dxa"/>
          </w:tblCellMar>
        </w:tblPrEx>
        <w:trPr>
          <w:trHeight w:val="471" w:hRule="exact"/>
          <w:jc w:val="center"/>
        </w:trPr>
        <w:tc>
          <w:tcPr>
            <w:tcW w:w="4201" w:type="dxa"/>
            <w:noWrap w:val="0"/>
            <w:vAlign w:val="center"/>
          </w:tcPr>
          <w:p>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电话：</w:t>
            </w:r>
          </w:p>
        </w:tc>
        <w:tc>
          <w:tcPr>
            <w:tcW w:w="4202" w:type="dxa"/>
            <w:noWrap w:val="0"/>
            <w:vAlign w:val="center"/>
          </w:tcPr>
          <w:p>
            <w:pPr>
              <w:autoSpaceDE w:val="0"/>
              <w:autoSpaceDN w:val="0"/>
              <w:adjustRightInd w:val="0"/>
              <w:ind w:left="720" w:hanging="720" w:hangingChars="30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电话：</w:t>
            </w:r>
          </w:p>
        </w:tc>
      </w:tr>
      <w:tr>
        <w:tblPrEx>
          <w:tblCellMar>
            <w:top w:w="0" w:type="dxa"/>
            <w:left w:w="108" w:type="dxa"/>
            <w:bottom w:w="0" w:type="dxa"/>
            <w:right w:w="108" w:type="dxa"/>
          </w:tblCellMar>
        </w:tblPrEx>
        <w:trPr>
          <w:trHeight w:val="457" w:hRule="exact"/>
          <w:jc w:val="center"/>
        </w:trPr>
        <w:tc>
          <w:tcPr>
            <w:tcW w:w="4201" w:type="dxa"/>
            <w:noWrap w:val="0"/>
            <w:vAlign w:val="center"/>
          </w:tcPr>
          <w:p>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传真：</w:t>
            </w:r>
          </w:p>
        </w:tc>
        <w:tc>
          <w:tcPr>
            <w:tcW w:w="4202" w:type="dxa"/>
            <w:noWrap w:val="0"/>
            <w:vAlign w:val="center"/>
          </w:tcPr>
          <w:p>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传真：</w:t>
            </w:r>
          </w:p>
        </w:tc>
      </w:tr>
      <w:tr>
        <w:tblPrEx>
          <w:tblCellMar>
            <w:top w:w="0" w:type="dxa"/>
            <w:left w:w="108" w:type="dxa"/>
            <w:bottom w:w="0" w:type="dxa"/>
            <w:right w:w="108" w:type="dxa"/>
          </w:tblCellMar>
        </w:tblPrEx>
        <w:trPr>
          <w:trHeight w:val="500" w:hRule="exact"/>
          <w:jc w:val="center"/>
        </w:trPr>
        <w:tc>
          <w:tcPr>
            <w:tcW w:w="4201" w:type="dxa"/>
            <w:noWrap w:val="0"/>
            <w:vAlign w:val="center"/>
          </w:tcPr>
          <w:p>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开户银行：</w:t>
            </w:r>
          </w:p>
        </w:tc>
        <w:tc>
          <w:tcPr>
            <w:tcW w:w="4202" w:type="dxa"/>
            <w:noWrap w:val="0"/>
            <w:vAlign w:val="center"/>
          </w:tcPr>
          <w:p>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开户银行：</w:t>
            </w:r>
          </w:p>
        </w:tc>
      </w:tr>
      <w:tr>
        <w:tblPrEx>
          <w:tblCellMar>
            <w:top w:w="0" w:type="dxa"/>
            <w:left w:w="108" w:type="dxa"/>
            <w:bottom w:w="0" w:type="dxa"/>
            <w:right w:w="108" w:type="dxa"/>
          </w:tblCellMar>
        </w:tblPrEx>
        <w:trPr>
          <w:trHeight w:val="432" w:hRule="exact"/>
          <w:jc w:val="center"/>
        </w:trPr>
        <w:tc>
          <w:tcPr>
            <w:tcW w:w="4201" w:type="dxa"/>
            <w:noWrap w:val="0"/>
            <w:vAlign w:val="center"/>
          </w:tcPr>
          <w:p>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日期：</w:t>
            </w:r>
          </w:p>
        </w:tc>
        <w:tc>
          <w:tcPr>
            <w:tcW w:w="4202" w:type="dxa"/>
            <w:noWrap w:val="0"/>
            <w:vAlign w:val="center"/>
          </w:tcPr>
          <w:p>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日期：</w:t>
            </w:r>
          </w:p>
        </w:tc>
      </w:tr>
      <w:bookmarkEnd w:id="0"/>
    </w:tbl>
    <w:p>
      <w:pPr>
        <w:pStyle w:val="4"/>
        <w:spacing w:before="1" w:line="210" w:lineRule="auto"/>
        <w:rPr>
          <w:rFonts w:hint="eastAsia" w:ascii="方正仿宋_GB2312" w:hAnsi="方正仿宋_GB2312" w:eastAsia="方正仿宋_GB2312" w:cs="方正仿宋_GB2312"/>
          <w:sz w:val="28"/>
          <w:szCs w:val="28"/>
          <w:lang w:val="en-US" w:eastAsia="zh-CN"/>
        </w:rPr>
      </w:pPr>
    </w:p>
    <w:p/>
    <w:sectPr>
      <w:headerReference r:id="rId3" w:type="default"/>
      <w:footerReference r:id="rId4" w:type="default"/>
      <w:pgSz w:w="11909" w:h="16841"/>
      <w:pgMar w:top="1417" w:right="1417" w:bottom="1417" w:left="1417" w:header="850" w:footer="10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embedRegular r:id="rId1" w:fontKey="{ACE5FA5E-5DDC-40F0-9626-71A5C07C9D06}"/>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w:pict>
        <v:shape id="文本框 7" o:spid="_x0000_s4097" o:spt="202" type="#_x0000_t202" style="position:absolute;left:0pt;margin-left:206.6pt;margin-top:-13.75pt;height:144pt;width:144pt;mso-position-horizontal-relative:margin;mso-wrap-style:none;z-index:251659264;mso-width-relative:page;mso-height-relative:page;" filled="f" stroked="f" coordsize="21600,21600" o:gfxdata="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MZmIR/YAAAACwEAAA8AAAAAAAAAAQAgAAAAIgAAAGRycy9kb3ducmV2Lnht&#10;bFBLAQIUABQAAAAIAIdO4kD1i4dkMgIAAGEEAAAOAAAAAAAAAAEAIAAAACcBAABkcnMvZTJvRG9j&#10;LnhtbFBLBQYAAAAABgAGAFkBAADLBQAAAAA=&#10;">
          <v:path/>
          <v:fill on="f" focussize="0,0"/>
          <v:stroke on="f" weight="0.5pt"/>
          <v:imagedata o:title=""/>
          <o:lock v:ext="edit" aspectratio="f"/>
          <v:textbox inset="0mm,0mm,0mm,0mm" style="mso-fit-shape-to-text:t;">
            <w:txbxContent>
              <w:p>
                <w:pPr>
                  <w:pStyle w:val="7"/>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53</w:t>
                </w:r>
                <w:r>
                  <w:rPr>
                    <w:sz w:val="21"/>
                    <w:szCs w:val="21"/>
                  </w:rPr>
                  <w:fldChar w:fldCharType="end"/>
                </w:r>
                <w:r>
                  <w:rPr>
                    <w:sz w:val="21"/>
                    <w:szCs w:val="21"/>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jZjMDgwYWJjZmNiM2YzZmU4MTk1ZjZmYmY1NWU1OTEifQ=="/>
  </w:docVars>
  <w:rsids>
    <w:rsidRoot w:val="29BB6BC2"/>
    <w:rsid w:val="00032C77"/>
    <w:rsid w:val="0005444A"/>
    <w:rsid w:val="00055484"/>
    <w:rsid w:val="00196F8D"/>
    <w:rsid w:val="002134F5"/>
    <w:rsid w:val="002A2C9E"/>
    <w:rsid w:val="00301B8C"/>
    <w:rsid w:val="00333158"/>
    <w:rsid w:val="00366B06"/>
    <w:rsid w:val="005C205E"/>
    <w:rsid w:val="00680F55"/>
    <w:rsid w:val="006B2966"/>
    <w:rsid w:val="006E04B8"/>
    <w:rsid w:val="007377F8"/>
    <w:rsid w:val="008B1E38"/>
    <w:rsid w:val="009015B2"/>
    <w:rsid w:val="00AD6F4F"/>
    <w:rsid w:val="00B35765"/>
    <w:rsid w:val="00C65FC8"/>
    <w:rsid w:val="00CC3A78"/>
    <w:rsid w:val="00CF6641"/>
    <w:rsid w:val="00EF3803"/>
    <w:rsid w:val="00F47186"/>
    <w:rsid w:val="00FA5ACA"/>
    <w:rsid w:val="00FC1B97"/>
    <w:rsid w:val="02680F16"/>
    <w:rsid w:val="071938B9"/>
    <w:rsid w:val="0EBB3568"/>
    <w:rsid w:val="0EC60B07"/>
    <w:rsid w:val="10332904"/>
    <w:rsid w:val="10CF4970"/>
    <w:rsid w:val="172B4FA4"/>
    <w:rsid w:val="192A37C4"/>
    <w:rsid w:val="198577DD"/>
    <w:rsid w:val="19966094"/>
    <w:rsid w:val="1CA80820"/>
    <w:rsid w:val="1D6E70FD"/>
    <w:rsid w:val="21665943"/>
    <w:rsid w:val="244871F4"/>
    <w:rsid w:val="274E2D73"/>
    <w:rsid w:val="27EF733B"/>
    <w:rsid w:val="292902AA"/>
    <w:rsid w:val="29BB6BC2"/>
    <w:rsid w:val="2F1025C8"/>
    <w:rsid w:val="30104537"/>
    <w:rsid w:val="313868D1"/>
    <w:rsid w:val="325B49C3"/>
    <w:rsid w:val="326A7D77"/>
    <w:rsid w:val="33EF3E56"/>
    <w:rsid w:val="39094D4C"/>
    <w:rsid w:val="3CCE5611"/>
    <w:rsid w:val="3CE71A85"/>
    <w:rsid w:val="412A6A1E"/>
    <w:rsid w:val="414032D5"/>
    <w:rsid w:val="4EC118A7"/>
    <w:rsid w:val="4FDA2485"/>
    <w:rsid w:val="54F63A8A"/>
    <w:rsid w:val="5C7E1FD1"/>
    <w:rsid w:val="5D3B49BA"/>
    <w:rsid w:val="60E414E6"/>
    <w:rsid w:val="61E5759F"/>
    <w:rsid w:val="696F3399"/>
    <w:rsid w:val="734E36BE"/>
    <w:rsid w:val="74343D24"/>
    <w:rsid w:val="764F97C9"/>
    <w:rsid w:val="78C53A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14">
    <w:name w:val="Default Paragraph Font"/>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pPr>
    <w:rPr>
      <w:szCs w:val="21"/>
    </w:rPr>
  </w:style>
  <w:style w:type="paragraph" w:styleId="3">
    <w:name w:val="annotation text"/>
    <w:basedOn w:val="1"/>
    <w:autoRedefine/>
    <w:qFormat/>
    <w:uiPriority w:val="0"/>
    <w:pPr>
      <w:jc w:val="left"/>
    </w:pPr>
  </w:style>
  <w:style w:type="paragraph" w:styleId="4">
    <w:name w:val="Body Text"/>
    <w:basedOn w:val="1"/>
    <w:next w:val="1"/>
    <w:autoRedefine/>
    <w:qFormat/>
    <w:uiPriority w:val="99"/>
    <w:pPr>
      <w:jc w:val="left"/>
    </w:pPr>
    <w:rPr>
      <w:kern w:val="0"/>
    </w:rPr>
  </w:style>
  <w:style w:type="paragraph" w:styleId="5">
    <w:name w:val="Plain Text"/>
    <w:basedOn w:val="1"/>
    <w:autoRedefine/>
    <w:qFormat/>
    <w:uiPriority w:val="0"/>
    <w:rPr>
      <w:rFonts w:ascii="宋体" w:hAnsi="Courier New"/>
      <w:kern w:val="0"/>
      <w:sz w:val="20"/>
    </w:rPr>
  </w:style>
  <w:style w:type="paragraph" w:styleId="6">
    <w:name w:val="Balloon Text"/>
    <w:basedOn w:val="1"/>
    <w:link w:val="17"/>
    <w:autoRedefine/>
    <w:qFormat/>
    <w:uiPriority w:val="0"/>
    <w:rPr>
      <w:sz w:val="18"/>
      <w:szCs w:val="18"/>
    </w:rPr>
  </w:style>
  <w:style w:type="paragraph" w:styleId="7">
    <w:name w:val="footer"/>
    <w:basedOn w:val="1"/>
    <w:next w:val="4"/>
    <w:autoRedefine/>
    <w:qFormat/>
    <w:uiPriority w:val="0"/>
    <w:pPr>
      <w:tabs>
        <w:tab w:val="center" w:pos="4140"/>
        <w:tab w:val="right" w:pos="8300"/>
      </w:tabs>
      <w:snapToGrid w:val="0"/>
      <w:jc w:val="left"/>
    </w:pPr>
    <w:rPr>
      <w:sz w:val="18"/>
      <w:szCs w:val="18"/>
    </w:rPr>
  </w:style>
  <w:style w:type="paragraph" w:styleId="8">
    <w:name w:val="header"/>
    <w:basedOn w:val="1"/>
    <w:link w:val="16"/>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0">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1">
    <w:name w:val="Body Text First Indent"/>
    <w:basedOn w:val="4"/>
    <w:autoRedefine/>
    <w:qFormat/>
    <w:uiPriority w:val="0"/>
    <w:pPr>
      <w:spacing w:line="360" w:lineRule="auto"/>
      <w:ind w:firstLine="420"/>
    </w:pPr>
    <w:rPr>
      <w:rFonts w:ascii="宋体" w:hAnsi="宋体"/>
      <w:sz w:val="24"/>
    </w:rPr>
  </w:style>
  <w:style w:type="table" w:styleId="13">
    <w:name w:val="Table Grid"/>
    <w:basedOn w:val="12"/>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annotation reference"/>
    <w:basedOn w:val="14"/>
    <w:autoRedefine/>
    <w:qFormat/>
    <w:uiPriority w:val="0"/>
    <w:rPr>
      <w:sz w:val="21"/>
      <w:szCs w:val="21"/>
    </w:rPr>
  </w:style>
  <w:style w:type="character" w:customStyle="1" w:styleId="16">
    <w:name w:val="页眉 Char"/>
    <w:basedOn w:val="14"/>
    <w:link w:val="8"/>
    <w:autoRedefine/>
    <w:qFormat/>
    <w:uiPriority w:val="0"/>
    <w:rPr>
      <w:kern w:val="2"/>
      <w:sz w:val="18"/>
      <w:szCs w:val="18"/>
    </w:rPr>
  </w:style>
  <w:style w:type="character" w:customStyle="1" w:styleId="17">
    <w:name w:val="批注框文本 Char"/>
    <w:basedOn w:val="14"/>
    <w:link w:val="6"/>
    <w:autoRedefine/>
    <w:qFormat/>
    <w:uiPriority w:val="0"/>
    <w:rPr>
      <w:kern w:val="2"/>
      <w:sz w:val="18"/>
      <w:szCs w:val="18"/>
    </w:rPr>
  </w:style>
  <w:style w:type="paragraph" w:customStyle="1" w:styleId="18">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0">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502</Words>
  <Characters>2866</Characters>
  <Lines>23</Lines>
  <Paragraphs>6</Paragraphs>
  <TotalTime>0</TotalTime>
  <ScaleCrop>false</ScaleCrop>
  <LinksUpToDate>false</LinksUpToDate>
  <CharactersWithSpaces>3362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2022-09-28T14:56:00Z</dcterms:created>
  <dc:creator>独舞的蒲公英</dc:creator>
  <cp:lastModifiedBy>R 13</cp:lastModifiedBy>
  <cp:lastPrinted>2022-09-28T14:56:00Z</cp:lastPrinted>
  <dcterms:modified xsi:type="dcterms:W3CDTF">2024-04-30T05:51:53Z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E79E879024B94D3FB100E7468F0D228F</vt:lpwstr>
  </property>
</Properties>
</file>